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jc w:val="center"/>
        <w:rPr>
          <w:rFonts w:hint="eastAsia" w:ascii="宋体" w:hAnsi="宋体" w:eastAsia="宋体" w:cs="宋体"/>
          <w:b/>
          <w:bCs/>
          <w:color w:val="auto"/>
          <w:spacing w:val="6"/>
          <w:sz w:val="44"/>
          <w:szCs w:val="44"/>
          <w:highlight w:val="none"/>
          <w:lang w:eastAsia="zh-CN"/>
        </w:rPr>
      </w:pPr>
      <w:bookmarkStart w:id="130" w:name="_GoBack"/>
      <w:bookmarkEnd w:id="130"/>
      <w:r>
        <w:rPr>
          <w:rFonts w:hint="eastAsia" w:ascii="宋体" w:hAnsi="宋体" w:eastAsia="宋体" w:cs="宋体"/>
          <w:b/>
          <w:bCs/>
          <w:color w:val="auto"/>
          <w:spacing w:val="6"/>
          <w:sz w:val="44"/>
          <w:szCs w:val="44"/>
          <w:highlight w:val="none"/>
          <w:lang w:eastAsia="zh-CN"/>
        </w:rPr>
        <w:t>余杭街道城区道路交通设施零星维护服务项目</w:t>
      </w:r>
    </w:p>
    <w:p>
      <w:pPr>
        <w:pStyle w:val="2"/>
        <w:ind w:firstLine="0"/>
        <w:jc w:val="center"/>
        <w:rPr>
          <w:rFonts w:hint="eastAsia" w:ascii="宋体" w:hAnsi="宋体" w:eastAsia="宋体" w:cs="宋体"/>
          <w:b/>
          <w:bCs/>
          <w:color w:val="auto"/>
          <w:spacing w:val="6"/>
          <w:sz w:val="44"/>
          <w:szCs w:val="44"/>
          <w:highlight w:val="none"/>
        </w:rPr>
      </w:pPr>
    </w:p>
    <w:p>
      <w:pPr>
        <w:pStyle w:val="2"/>
        <w:ind w:firstLine="0"/>
        <w:jc w:val="center"/>
        <w:rPr>
          <w:rFonts w:hint="eastAsia" w:ascii="宋体" w:hAnsi="宋体" w:eastAsia="宋体" w:cs="宋体"/>
          <w:b/>
          <w:bCs/>
          <w:color w:val="auto"/>
          <w:spacing w:val="6"/>
          <w:sz w:val="44"/>
          <w:szCs w:val="44"/>
          <w:highlight w:val="none"/>
        </w:rPr>
      </w:pPr>
    </w:p>
    <w:p>
      <w:pPr>
        <w:pStyle w:val="2"/>
        <w:ind w:firstLine="0"/>
        <w:jc w:val="center"/>
        <w:rPr>
          <w:rFonts w:hint="eastAsia" w:ascii="宋体" w:hAnsi="宋体" w:eastAsia="宋体" w:cs="宋体"/>
          <w:b/>
          <w:bCs/>
          <w:color w:val="auto"/>
          <w:spacing w:val="6"/>
          <w:sz w:val="44"/>
          <w:szCs w:val="44"/>
          <w:highlight w:val="none"/>
        </w:rPr>
      </w:pPr>
    </w:p>
    <w:p>
      <w:pPr>
        <w:pStyle w:val="2"/>
        <w:ind w:firstLine="0"/>
        <w:jc w:val="center"/>
        <w:rPr>
          <w:rFonts w:hint="eastAsia" w:ascii="宋体" w:hAnsi="宋体" w:eastAsia="宋体" w:cs="宋体"/>
          <w:b/>
          <w:bCs/>
          <w:color w:val="auto"/>
          <w:spacing w:val="6"/>
          <w:sz w:val="44"/>
          <w:szCs w:val="44"/>
          <w:highlight w:val="none"/>
        </w:rPr>
      </w:pPr>
    </w:p>
    <w:p>
      <w:pPr>
        <w:pStyle w:val="2"/>
        <w:ind w:firstLine="0"/>
        <w:jc w:val="center"/>
        <w:rPr>
          <w:rFonts w:hint="eastAsia" w:ascii="宋体" w:hAnsi="宋体" w:eastAsia="宋体" w:cs="宋体"/>
          <w:b/>
          <w:bCs/>
          <w:color w:val="auto"/>
          <w:spacing w:val="6"/>
          <w:sz w:val="44"/>
          <w:szCs w:val="44"/>
          <w:highlight w:val="none"/>
        </w:rPr>
      </w:pPr>
    </w:p>
    <w:p>
      <w:pPr>
        <w:pStyle w:val="2"/>
        <w:ind w:firstLine="0"/>
        <w:jc w:val="center"/>
        <w:rPr>
          <w:rFonts w:hint="eastAsia" w:ascii="宋体" w:hAnsi="宋体" w:eastAsia="宋体" w:cs="宋体"/>
          <w:b/>
          <w:bCs/>
          <w:color w:val="auto"/>
          <w:spacing w:val="6"/>
          <w:sz w:val="44"/>
          <w:szCs w:val="44"/>
          <w:highlight w:val="none"/>
        </w:rPr>
      </w:pPr>
    </w:p>
    <w:p>
      <w:pPr>
        <w:jc w:val="center"/>
        <w:rPr>
          <w:rFonts w:hint="eastAsia" w:ascii="宋体" w:hAnsi="宋体" w:eastAsia="宋体" w:cs="宋体"/>
          <w:b/>
          <w:bCs/>
          <w:color w:val="auto"/>
          <w:sz w:val="84"/>
          <w:szCs w:val="84"/>
          <w:highlight w:val="none"/>
        </w:rPr>
      </w:pPr>
      <w:r>
        <w:rPr>
          <w:rFonts w:hint="eastAsia" w:ascii="宋体" w:hAnsi="宋体" w:eastAsia="宋体" w:cs="宋体"/>
          <w:b/>
          <w:bCs/>
          <w:color w:val="auto"/>
          <w:sz w:val="84"/>
          <w:szCs w:val="84"/>
          <w:highlight w:val="none"/>
        </w:rPr>
        <w:t>公开招标文件</w:t>
      </w:r>
    </w:p>
    <w:p>
      <w:pPr>
        <w:widowControl/>
        <w:spacing w:line="600" w:lineRule="exact"/>
        <w:ind w:right="-2"/>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（线上电子招投标）</w:t>
      </w:r>
    </w:p>
    <w:p>
      <w:pPr>
        <w:shd w:val="clear" w:color="auto" w:fill="FFFFFF"/>
        <w:snapToGrid w:val="0"/>
        <w:spacing w:line="600" w:lineRule="exact"/>
        <w:jc w:val="center"/>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rPr>
        <w:t>招标编号：</w:t>
      </w:r>
      <w:r>
        <w:rPr>
          <w:rFonts w:hint="eastAsia" w:ascii="宋体" w:hAnsi="宋体" w:eastAsia="宋体" w:cs="宋体"/>
          <w:b/>
          <w:bCs/>
          <w:color w:val="auto"/>
          <w:sz w:val="32"/>
          <w:szCs w:val="32"/>
          <w:highlight w:val="none"/>
          <w:lang w:eastAsia="zh-CN"/>
        </w:rPr>
        <w:t>RTZFCG-20</w:t>
      </w:r>
      <w:r>
        <w:rPr>
          <w:rFonts w:hint="eastAsia" w:ascii="宋体" w:hAnsi="宋体" w:eastAsia="宋体" w:cs="宋体"/>
          <w:b/>
          <w:bCs/>
          <w:color w:val="auto"/>
          <w:sz w:val="32"/>
          <w:szCs w:val="32"/>
          <w:highlight w:val="none"/>
          <w:lang w:eastAsia="zh-CN"/>
        </w:rPr>
        <w:t>21-076</w:t>
      </w:r>
    </w:p>
    <w:p>
      <w:pPr>
        <w:pStyle w:val="2"/>
        <w:ind w:firstLine="0"/>
        <w:jc w:val="center"/>
        <w:rPr>
          <w:rFonts w:hint="eastAsia" w:ascii="宋体" w:hAnsi="宋体" w:eastAsia="宋体" w:cs="宋体"/>
          <w:b/>
          <w:bCs/>
          <w:color w:val="auto"/>
          <w:spacing w:val="6"/>
          <w:sz w:val="44"/>
          <w:szCs w:val="44"/>
          <w:highlight w:val="none"/>
        </w:rPr>
      </w:pPr>
    </w:p>
    <w:p>
      <w:pPr>
        <w:pStyle w:val="2"/>
        <w:ind w:firstLine="0"/>
        <w:jc w:val="center"/>
        <w:rPr>
          <w:rFonts w:hint="eastAsia" w:ascii="宋体" w:hAnsi="宋体" w:eastAsia="宋体" w:cs="宋体"/>
          <w:b/>
          <w:bCs/>
          <w:color w:val="auto"/>
          <w:spacing w:val="6"/>
          <w:sz w:val="44"/>
          <w:szCs w:val="44"/>
          <w:highlight w:val="none"/>
        </w:rPr>
      </w:pPr>
    </w:p>
    <w:p>
      <w:pPr>
        <w:pStyle w:val="2"/>
        <w:ind w:firstLine="0"/>
        <w:jc w:val="center"/>
        <w:rPr>
          <w:rFonts w:hint="eastAsia" w:ascii="宋体" w:hAnsi="宋体" w:eastAsia="宋体" w:cs="宋体"/>
          <w:b/>
          <w:bCs/>
          <w:color w:val="auto"/>
          <w:spacing w:val="6"/>
          <w:sz w:val="44"/>
          <w:szCs w:val="44"/>
          <w:highlight w:val="none"/>
        </w:rPr>
      </w:pPr>
    </w:p>
    <w:p>
      <w:pPr>
        <w:pStyle w:val="2"/>
        <w:ind w:firstLine="0"/>
        <w:jc w:val="center"/>
        <w:rPr>
          <w:rFonts w:hint="eastAsia" w:ascii="宋体" w:hAnsi="宋体" w:eastAsia="宋体" w:cs="宋体"/>
          <w:b/>
          <w:bCs/>
          <w:color w:val="auto"/>
          <w:spacing w:val="6"/>
          <w:sz w:val="44"/>
          <w:szCs w:val="44"/>
          <w:highlight w:val="none"/>
        </w:rPr>
      </w:pPr>
    </w:p>
    <w:p>
      <w:pPr>
        <w:pStyle w:val="2"/>
        <w:ind w:firstLine="0"/>
        <w:jc w:val="center"/>
        <w:rPr>
          <w:rFonts w:hint="eastAsia" w:ascii="宋体" w:hAnsi="宋体" w:eastAsia="宋体" w:cs="宋体"/>
          <w:b/>
          <w:bCs/>
          <w:color w:val="auto"/>
          <w:spacing w:val="6"/>
          <w:sz w:val="44"/>
          <w:szCs w:val="44"/>
          <w:highlight w:val="none"/>
        </w:rPr>
      </w:pPr>
    </w:p>
    <w:p>
      <w:pPr>
        <w:pStyle w:val="2"/>
        <w:ind w:firstLine="0"/>
        <w:jc w:val="center"/>
        <w:rPr>
          <w:rFonts w:hint="eastAsia" w:ascii="宋体" w:hAnsi="宋体" w:eastAsia="宋体" w:cs="宋体"/>
          <w:b/>
          <w:bCs/>
          <w:color w:val="auto"/>
          <w:spacing w:val="6"/>
          <w:sz w:val="44"/>
          <w:szCs w:val="44"/>
          <w:highlight w:val="none"/>
        </w:rPr>
      </w:pPr>
    </w:p>
    <w:p>
      <w:pPr>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招标人：</w:t>
      </w:r>
      <w:r>
        <w:rPr>
          <w:rFonts w:hint="eastAsia" w:ascii="宋体" w:hAnsi="宋体" w:eastAsia="宋体" w:cs="宋体"/>
          <w:b/>
          <w:bCs/>
          <w:color w:val="auto"/>
          <w:sz w:val="28"/>
          <w:szCs w:val="28"/>
          <w:highlight w:val="none"/>
          <w:lang w:eastAsia="zh-CN"/>
        </w:rPr>
        <w:t>杭州市余杭区人民政府余杭街道办事处</w:t>
      </w:r>
    </w:p>
    <w:p>
      <w:pPr>
        <w:pStyle w:val="2"/>
        <w:ind w:firstLine="0"/>
        <w:jc w:val="center"/>
        <w:rPr>
          <w:rFonts w:hint="eastAsia" w:ascii="宋体" w:hAnsi="宋体" w:eastAsia="宋体" w:cs="宋体"/>
          <w:b/>
          <w:bCs/>
          <w:color w:val="auto"/>
          <w:highlight w:val="none"/>
        </w:rPr>
      </w:pPr>
    </w:p>
    <w:p>
      <w:pPr>
        <w:pStyle w:val="2"/>
        <w:ind w:firstLine="0"/>
        <w:jc w:val="center"/>
        <w:rPr>
          <w:rFonts w:hint="eastAsia" w:ascii="宋体" w:hAnsi="宋体" w:eastAsia="宋体" w:cs="宋体"/>
          <w:b/>
          <w:bCs/>
          <w:color w:val="auto"/>
          <w:highlight w:val="none"/>
        </w:rPr>
      </w:pP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招标代理机构：杭州瑞拓工程咨询有限公司</w:t>
      </w:r>
    </w:p>
    <w:p>
      <w:pPr>
        <w:pStyle w:val="2"/>
        <w:ind w:firstLine="0"/>
        <w:jc w:val="center"/>
        <w:rPr>
          <w:rFonts w:hint="eastAsia" w:ascii="宋体" w:hAnsi="宋体" w:eastAsia="宋体" w:cs="宋体"/>
          <w:color w:val="auto"/>
          <w:highlight w:val="none"/>
        </w:rPr>
      </w:pPr>
    </w:p>
    <w:p>
      <w:pPr>
        <w:pStyle w:val="2"/>
        <w:ind w:firstLine="0"/>
        <w:jc w:val="center"/>
        <w:rPr>
          <w:rFonts w:hint="eastAsia" w:ascii="宋体" w:hAnsi="宋体" w:eastAsia="宋体" w:cs="宋体"/>
          <w:color w:val="auto"/>
          <w:highlight w:val="none"/>
        </w:rPr>
      </w:pP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二O二</w:t>
      </w:r>
      <w:r>
        <w:rPr>
          <w:rFonts w:hint="eastAsia" w:ascii="宋体" w:hAnsi="宋体" w:eastAsia="宋体" w:cs="宋体"/>
          <w:b/>
          <w:bCs/>
          <w:color w:val="auto"/>
          <w:sz w:val="28"/>
          <w:szCs w:val="28"/>
          <w:highlight w:val="none"/>
          <w:lang w:eastAsia="zh-CN"/>
        </w:rPr>
        <w:t>一</w:t>
      </w:r>
      <w:r>
        <w:rPr>
          <w:rFonts w:hint="eastAsia" w:ascii="宋体" w:hAnsi="宋体" w:eastAsia="宋体" w:cs="宋体"/>
          <w:b/>
          <w:bCs/>
          <w:color w:val="auto"/>
          <w:sz w:val="28"/>
          <w:szCs w:val="28"/>
          <w:highlight w:val="none"/>
        </w:rPr>
        <w:t>年</w:t>
      </w:r>
      <w:r>
        <w:rPr>
          <w:rFonts w:hint="eastAsia" w:ascii="宋体" w:hAnsi="宋体" w:eastAsia="宋体" w:cs="宋体"/>
          <w:b/>
          <w:bCs/>
          <w:color w:val="auto"/>
          <w:sz w:val="28"/>
          <w:szCs w:val="28"/>
          <w:highlight w:val="none"/>
          <w:lang w:val="en-US" w:eastAsia="zh-CN"/>
        </w:rPr>
        <w:t>十二</w:t>
      </w:r>
      <w:r>
        <w:rPr>
          <w:rFonts w:hint="eastAsia" w:ascii="宋体" w:hAnsi="宋体" w:eastAsia="宋体" w:cs="宋体"/>
          <w:b/>
          <w:bCs/>
          <w:color w:val="auto"/>
          <w:sz w:val="28"/>
          <w:szCs w:val="28"/>
          <w:highlight w:val="none"/>
        </w:rPr>
        <w:t>月</w:t>
      </w:r>
    </w:p>
    <w:p>
      <w:pPr>
        <w:jc w:val="center"/>
        <w:rPr>
          <w:rFonts w:hint="eastAsia" w:ascii="宋体" w:hAnsi="宋体" w:eastAsia="宋体" w:cs="宋体"/>
          <w:b/>
          <w:bCs/>
          <w:color w:val="auto"/>
          <w:sz w:val="32"/>
          <w:szCs w:val="32"/>
          <w:highlight w:val="none"/>
        </w:rPr>
        <w:sectPr>
          <w:footerReference r:id="rId3" w:type="default"/>
          <w:pgSz w:w="11906" w:h="16838"/>
          <w:pgMar w:top="1531" w:right="1304" w:bottom="1531" w:left="1361" w:header="851" w:footer="1304" w:gutter="0"/>
          <w:paperSrc/>
          <w:pgBorders>
            <w:top w:val="none" w:sz="0" w:space="0"/>
            <w:left w:val="none" w:sz="0" w:space="0"/>
            <w:bottom w:val="none" w:sz="0" w:space="0"/>
            <w:right w:val="none" w:sz="0" w:space="0"/>
          </w:pgBorders>
          <w:cols w:space="720" w:num="1"/>
          <w:rtlGutter w:val="0"/>
          <w:docGrid w:linePitch="312" w:charSpace="0"/>
        </w:sectPr>
      </w:pPr>
    </w:p>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目  录</w:t>
      </w:r>
    </w:p>
    <w:p>
      <w:pPr>
        <w:pStyle w:val="55"/>
        <w:tabs>
          <w:tab w:val="right" w:leader="dot" w:pos="8948"/>
        </w:tabs>
        <w:spacing w:line="600" w:lineRule="exact"/>
        <w:rPr>
          <w:rFonts w:hint="eastAsia" w:ascii="宋体" w:hAnsi="宋体" w:eastAsia="宋体" w:cs="宋体"/>
          <w:b w:val="0"/>
          <w:caps w:val="0"/>
          <w:color w:val="auto"/>
          <w:sz w:val="24"/>
          <w:szCs w:val="24"/>
          <w:highlight w:val="none"/>
          <w:lang/>
        </w:rPr>
      </w:pPr>
      <w:r>
        <w:rPr>
          <w:rFonts w:hint="eastAsia" w:ascii="宋体" w:hAnsi="宋体" w:eastAsia="宋体" w:cs="宋体"/>
          <w:b w:val="0"/>
          <w:caps w:val="0"/>
          <w:smallCaps/>
          <w:color w:val="auto"/>
          <w:sz w:val="24"/>
          <w:szCs w:val="24"/>
          <w:highlight w:val="none"/>
        </w:rPr>
        <w:fldChar w:fldCharType="begin"/>
      </w:r>
      <w:r>
        <w:rPr>
          <w:rFonts w:hint="eastAsia" w:ascii="宋体" w:hAnsi="宋体" w:eastAsia="宋体" w:cs="宋体"/>
          <w:b w:val="0"/>
          <w:caps w:val="0"/>
          <w:smallCaps/>
          <w:color w:val="auto"/>
          <w:sz w:val="24"/>
          <w:szCs w:val="24"/>
          <w:highlight w:val="none"/>
        </w:rPr>
        <w:instrText xml:space="preserve"> TOC \o "1-2" \h \z \u </w:instrText>
      </w:r>
      <w:r>
        <w:rPr>
          <w:rFonts w:hint="eastAsia" w:ascii="宋体" w:hAnsi="宋体" w:eastAsia="宋体" w:cs="宋体"/>
          <w:b w:val="0"/>
          <w:caps w:val="0"/>
          <w:smallCaps/>
          <w:color w:val="auto"/>
          <w:sz w:val="24"/>
          <w:szCs w:val="24"/>
          <w:highlight w:val="none"/>
        </w:rPr>
        <w:fldChar w:fldCharType="separate"/>
      </w:r>
      <w:r>
        <w:rPr>
          <w:rFonts w:hint="eastAsia" w:ascii="宋体" w:hAnsi="宋体" w:eastAsia="宋体" w:cs="宋体"/>
          <w:b w:val="0"/>
          <w:color w:val="auto"/>
          <w:sz w:val="24"/>
          <w:szCs w:val="24"/>
          <w:highlight w:val="none"/>
          <w:lang/>
        </w:rPr>
        <w:fldChar w:fldCharType="begin"/>
      </w:r>
      <w:r>
        <w:rPr>
          <w:rStyle w:val="85"/>
          <w:rFonts w:hint="eastAsia" w:ascii="宋体" w:hAnsi="宋体" w:eastAsia="宋体" w:cs="宋体"/>
          <w:b w:val="0"/>
          <w:color w:val="auto"/>
          <w:sz w:val="24"/>
          <w:szCs w:val="24"/>
          <w:highlight w:val="none"/>
          <w:lang/>
        </w:rPr>
        <w:instrText xml:space="preserve"> </w:instrText>
      </w:r>
      <w:r>
        <w:rPr>
          <w:rFonts w:hint="eastAsia" w:ascii="宋体" w:hAnsi="宋体" w:eastAsia="宋体" w:cs="宋体"/>
          <w:b w:val="0"/>
          <w:color w:val="auto"/>
          <w:sz w:val="24"/>
          <w:szCs w:val="24"/>
          <w:highlight w:val="none"/>
          <w:lang/>
        </w:rPr>
        <w:instrText xml:space="preserve">HYPERLINK \l "_Toc33194385"</w:instrText>
      </w:r>
      <w:r>
        <w:rPr>
          <w:rStyle w:val="85"/>
          <w:rFonts w:hint="eastAsia" w:ascii="宋体" w:hAnsi="宋体" w:eastAsia="宋体" w:cs="宋体"/>
          <w:b w:val="0"/>
          <w:color w:val="auto"/>
          <w:sz w:val="24"/>
          <w:szCs w:val="24"/>
          <w:highlight w:val="none"/>
          <w:lang/>
        </w:rPr>
        <w:instrText xml:space="preserve"> </w:instrText>
      </w:r>
      <w:r>
        <w:rPr>
          <w:rFonts w:hint="eastAsia" w:ascii="宋体" w:hAnsi="宋体" w:eastAsia="宋体" w:cs="宋体"/>
          <w:b w:val="0"/>
          <w:color w:val="auto"/>
          <w:sz w:val="24"/>
          <w:szCs w:val="24"/>
          <w:highlight w:val="none"/>
          <w:lang/>
        </w:rPr>
        <w:fldChar w:fldCharType="separate"/>
      </w:r>
      <w:r>
        <w:rPr>
          <w:rStyle w:val="85"/>
          <w:rFonts w:hint="eastAsia" w:ascii="宋体" w:hAnsi="宋体" w:eastAsia="宋体" w:cs="宋体"/>
          <w:b w:val="0"/>
          <w:color w:val="auto"/>
          <w:sz w:val="24"/>
          <w:szCs w:val="24"/>
          <w:highlight w:val="none"/>
          <w:lang/>
        </w:rPr>
        <w:t>第一部分  招标公告</w:t>
      </w:r>
      <w:r>
        <w:rPr>
          <w:rFonts w:hint="eastAsia" w:ascii="宋体" w:hAnsi="宋体" w:eastAsia="宋体" w:cs="宋体"/>
          <w:b w:val="0"/>
          <w:color w:val="auto"/>
          <w:sz w:val="24"/>
          <w:szCs w:val="24"/>
          <w:highlight w:val="none"/>
          <w:lang/>
        </w:rPr>
        <w:tab/>
      </w:r>
      <w:r>
        <w:rPr>
          <w:rFonts w:hint="eastAsia" w:ascii="宋体" w:hAnsi="宋体" w:eastAsia="宋体" w:cs="宋体"/>
          <w:b w:val="0"/>
          <w:color w:val="auto"/>
          <w:sz w:val="24"/>
          <w:szCs w:val="24"/>
          <w:highlight w:val="none"/>
          <w:lang/>
        </w:rPr>
        <w:fldChar w:fldCharType="begin"/>
      </w:r>
      <w:r>
        <w:rPr>
          <w:rFonts w:hint="eastAsia" w:ascii="宋体" w:hAnsi="宋体" w:eastAsia="宋体" w:cs="宋体"/>
          <w:b w:val="0"/>
          <w:color w:val="auto"/>
          <w:sz w:val="24"/>
          <w:szCs w:val="24"/>
          <w:highlight w:val="none"/>
          <w:lang/>
        </w:rPr>
        <w:instrText xml:space="preserve"> PAGEREF _Toc33194385 \h </w:instrText>
      </w:r>
      <w:r>
        <w:rPr>
          <w:rFonts w:hint="eastAsia" w:ascii="宋体" w:hAnsi="宋体" w:eastAsia="宋体" w:cs="宋体"/>
          <w:b w:val="0"/>
          <w:color w:val="auto"/>
          <w:sz w:val="24"/>
          <w:szCs w:val="24"/>
          <w:highlight w:val="none"/>
          <w:lang/>
        </w:rPr>
        <w:fldChar w:fldCharType="separate"/>
      </w:r>
      <w:r>
        <w:rPr>
          <w:rFonts w:hint="eastAsia" w:ascii="宋体" w:hAnsi="宋体" w:eastAsia="宋体" w:cs="宋体"/>
          <w:b w:val="0"/>
          <w:color w:val="auto"/>
          <w:sz w:val="24"/>
          <w:szCs w:val="24"/>
          <w:highlight w:val="none"/>
          <w:lang/>
        </w:rPr>
        <w:t>22</w:t>
      </w:r>
      <w:r>
        <w:rPr>
          <w:rFonts w:hint="eastAsia" w:ascii="宋体" w:hAnsi="宋体" w:eastAsia="宋体" w:cs="宋体"/>
          <w:b w:val="0"/>
          <w:color w:val="auto"/>
          <w:sz w:val="24"/>
          <w:szCs w:val="24"/>
          <w:highlight w:val="none"/>
          <w:lang/>
        </w:rPr>
        <w:fldChar w:fldCharType="end"/>
      </w:r>
      <w:r>
        <w:rPr>
          <w:rFonts w:hint="eastAsia" w:ascii="宋体" w:hAnsi="宋体" w:eastAsia="宋体" w:cs="宋体"/>
          <w:b w:val="0"/>
          <w:color w:val="auto"/>
          <w:sz w:val="24"/>
          <w:szCs w:val="24"/>
          <w:highlight w:val="none"/>
          <w:lang/>
        </w:rPr>
        <w:fldChar w:fldCharType="end"/>
      </w:r>
    </w:p>
    <w:p>
      <w:pPr>
        <w:pStyle w:val="55"/>
        <w:tabs>
          <w:tab w:val="right" w:leader="dot" w:pos="8948"/>
        </w:tabs>
        <w:spacing w:line="600" w:lineRule="exact"/>
        <w:rPr>
          <w:rFonts w:hint="eastAsia" w:ascii="宋体" w:hAnsi="宋体" w:eastAsia="宋体" w:cs="宋体"/>
          <w:b w:val="0"/>
          <w:caps w:val="0"/>
          <w:color w:val="auto"/>
          <w:sz w:val="24"/>
          <w:szCs w:val="24"/>
          <w:highlight w:val="none"/>
          <w:lang/>
        </w:rPr>
      </w:pPr>
      <w:r>
        <w:rPr>
          <w:rFonts w:hint="eastAsia" w:ascii="宋体" w:hAnsi="宋体" w:eastAsia="宋体" w:cs="宋体"/>
          <w:b w:val="0"/>
          <w:color w:val="auto"/>
          <w:sz w:val="24"/>
          <w:szCs w:val="24"/>
          <w:highlight w:val="none"/>
          <w:lang/>
        </w:rPr>
        <w:fldChar w:fldCharType="begin"/>
      </w:r>
      <w:r>
        <w:rPr>
          <w:rStyle w:val="85"/>
          <w:rFonts w:hint="eastAsia" w:ascii="宋体" w:hAnsi="宋体" w:eastAsia="宋体" w:cs="宋体"/>
          <w:b w:val="0"/>
          <w:color w:val="auto"/>
          <w:sz w:val="24"/>
          <w:szCs w:val="24"/>
          <w:highlight w:val="none"/>
          <w:lang/>
        </w:rPr>
        <w:instrText xml:space="preserve"> </w:instrText>
      </w:r>
      <w:r>
        <w:rPr>
          <w:rFonts w:hint="eastAsia" w:ascii="宋体" w:hAnsi="宋体" w:eastAsia="宋体" w:cs="宋体"/>
          <w:b w:val="0"/>
          <w:color w:val="auto"/>
          <w:sz w:val="24"/>
          <w:szCs w:val="24"/>
          <w:highlight w:val="none"/>
          <w:lang/>
        </w:rPr>
        <w:instrText xml:space="preserve">HYPERLINK \l "_Toc33194386"</w:instrText>
      </w:r>
      <w:r>
        <w:rPr>
          <w:rStyle w:val="85"/>
          <w:rFonts w:hint="eastAsia" w:ascii="宋体" w:hAnsi="宋体" w:eastAsia="宋体" w:cs="宋体"/>
          <w:b w:val="0"/>
          <w:color w:val="auto"/>
          <w:sz w:val="24"/>
          <w:szCs w:val="24"/>
          <w:highlight w:val="none"/>
          <w:lang/>
        </w:rPr>
        <w:instrText xml:space="preserve"> </w:instrText>
      </w:r>
      <w:r>
        <w:rPr>
          <w:rFonts w:hint="eastAsia" w:ascii="宋体" w:hAnsi="宋体" w:eastAsia="宋体" w:cs="宋体"/>
          <w:b w:val="0"/>
          <w:color w:val="auto"/>
          <w:sz w:val="24"/>
          <w:szCs w:val="24"/>
          <w:highlight w:val="none"/>
          <w:lang/>
        </w:rPr>
        <w:fldChar w:fldCharType="separate"/>
      </w:r>
      <w:r>
        <w:rPr>
          <w:rStyle w:val="85"/>
          <w:rFonts w:hint="eastAsia" w:ascii="宋体" w:hAnsi="宋体" w:eastAsia="宋体" w:cs="宋体"/>
          <w:b w:val="0"/>
          <w:color w:val="auto"/>
          <w:sz w:val="24"/>
          <w:szCs w:val="24"/>
          <w:highlight w:val="none"/>
          <w:lang/>
        </w:rPr>
        <w:t>第二部分  编制和提交投标文件须知</w:t>
      </w:r>
      <w:r>
        <w:rPr>
          <w:rFonts w:hint="eastAsia" w:ascii="宋体" w:hAnsi="宋体" w:eastAsia="宋体" w:cs="宋体"/>
          <w:b w:val="0"/>
          <w:color w:val="auto"/>
          <w:sz w:val="24"/>
          <w:szCs w:val="24"/>
          <w:highlight w:val="none"/>
          <w:lang/>
        </w:rPr>
        <w:tab/>
      </w:r>
      <w:r>
        <w:rPr>
          <w:rFonts w:hint="eastAsia" w:ascii="宋体" w:hAnsi="宋体" w:eastAsia="宋体" w:cs="宋体"/>
          <w:b w:val="0"/>
          <w:color w:val="auto"/>
          <w:sz w:val="24"/>
          <w:szCs w:val="24"/>
          <w:highlight w:val="none"/>
          <w:lang/>
        </w:rPr>
        <w:fldChar w:fldCharType="end"/>
      </w:r>
      <w:r>
        <w:rPr>
          <w:rFonts w:hint="eastAsia" w:ascii="宋体" w:hAnsi="宋体" w:eastAsia="宋体" w:cs="宋体"/>
          <w:b w:val="0"/>
          <w:color w:val="auto"/>
          <w:sz w:val="24"/>
          <w:szCs w:val="24"/>
          <w:highlight w:val="none"/>
          <w:lang w:val="en-US" w:eastAsia="zh-CN"/>
        </w:rPr>
        <w:t>7</w:t>
      </w:r>
    </w:p>
    <w:p>
      <w:pPr>
        <w:pStyle w:val="55"/>
        <w:tabs>
          <w:tab w:val="right" w:leader="dot" w:pos="8948"/>
        </w:tabs>
        <w:spacing w:line="600" w:lineRule="exact"/>
        <w:rPr>
          <w:rFonts w:hint="eastAsia" w:ascii="宋体" w:hAnsi="宋体" w:eastAsia="宋体" w:cs="宋体"/>
          <w:b w:val="0"/>
          <w:caps w:val="0"/>
          <w:color w:val="auto"/>
          <w:sz w:val="24"/>
          <w:szCs w:val="24"/>
          <w:highlight w:val="none"/>
          <w:lang w:eastAsia="zh-CN"/>
        </w:rPr>
      </w:pPr>
      <w:r>
        <w:rPr>
          <w:rFonts w:hint="eastAsia" w:ascii="宋体" w:hAnsi="宋体" w:eastAsia="宋体" w:cs="宋体"/>
          <w:b w:val="0"/>
          <w:color w:val="auto"/>
          <w:sz w:val="24"/>
          <w:szCs w:val="24"/>
          <w:highlight w:val="none"/>
          <w:lang/>
        </w:rPr>
        <w:fldChar w:fldCharType="begin"/>
      </w:r>
      <w:r>
        <w:rPr>
          <w:rStyle w:val="85"/>
          <w:rFonts w:hint="eastAsia" w:ascii="宋体" w:hAnsi="宋体" w:eastAsia="宋体" w:cs="宋体"/>
          <w:b w:val="0"/>
          <w:color w:val="auto"/>
          <w:sz w:val="24"/>
          <w:szCs w:val="24"/>
          <w:highlight w:val="none"/>
          <w:lang/>
        </w:rPr>
        <w:instrText xml:space="preserve"> </w:instrText>
      </w:r>
      <w:r>
        <w:rPr>
          <w:rFonts w:hint="eastAsia" w:ascii="宋体" w:hAnsi="宋体" w:eastAsia="宋体" w:cs="宋体"/>
          <w:b w:val="0"/>
          <w:color w:val="auto"/>
          <w:sz w:val="24"/>
          <w:szCs w:val="24"/>
          <w:highlight w:val="none"/>
          <w:lang/>
        </w:rPr>
        <w:instrText xml:space="preserve">HYPERLINK \l "_Toc33194400"</w:instrText>
      </w:r>
      <w:r>
        <w:rPr>
          <w:rStyle w:val="85"/>
          <w:rFonts w:hint="eastAsia" w:ascii="宋体" w:hAnsi="宋体" w:eastAsia="宋体" w:cs="宋体"/>
          <w:b w:val="0"/>
          <w:color w:val="auto"/>
          <w:sz w:val="24"/>
          <w:szCs w:val="24"/>
          <w:highlight w:val="none"/>
          <w:lang/>
        </w:rPr>
        <w:instrText xml:space="preserve"> </w:instrText>
      </w:r>
      <w:r>
        <w:rPr>
          <w:rFonts w:hint="eastAsia" w:ascii="宋体" w:hAnsi="宋体" w:eastAsia="宋体" w:cs="宋体"/>
          <w:b w:val="0"/>
          <w:color w:val="auto"/>
          <w:sz w:val="24"/>
          <w:szCs w:val="24"/>
          <w:highlight w:val="none"/>
          <w:lang/>
        </w:rPr>
        <w:fldChar w:fldCharType="separate"/>
      </w:r>
      <w:r>
        <w:rPr>
          <w:rStyle w:val="85"/>
          <w:rFonts w:hint="eastAsia" w:ascii="宋体" w:hAnsi="宋体" w:eastAsia="宋体" w:cs="宋体"/>
          <w:b w:val="0"/>
          <w:color w:val="auto"/>
          <w:sz w:val="24"/>
          <w:szCs w:val="24"/>
          <w:highlight w:val="none"/>
          <w:lang/>
        </w:rPr>
        <w:t>第三部分  项目技术规范和服务要求</w:t>
      </w:r>
      <w:r>
        <w:rPr>
          <w:rFonts w:hint="eastAsia" w:ascii="宋体" w:hAnsi="宋体" w:eastAsia="宋体" w:cs="宋体"/>
          <w:b w:val="0"/>
          <w:color w:val="auto"/>
          <w:sz w:val="24"/>
          <w:szCs w:val="24"/>
          <w:highlight w:val="none"/>
          <w:lang/>
        </w:rPr>
        <w:tab/>
      </w:r>
      <w:r>
        <w:rPr>
          <w:rFonts w:hint="eastAsia" w:ascii="宋体" w:hAnsi="宋体" w:eastAsia="宋体" w:cs="宋体"/>
          <w:b w:val="0"/>
          <w:color w:val="auto"/>
          <w:sz w:val="24"/>
          <w:szCs w:val="24"/>
          <w:highlight w:val="none"/>
        </w:rPr>
        <w:t>3</w:t>
      </w:r>
      <w:r>
        <w:rPr>
          <w:rFonts w:hint="eastAsia" w:ascii="宋体" w:hAnsi="宋体" w:eastAsia="宋体" w:cs="宋体"/>
          <w:b w:val="0"/>
          <w:color w:val="auto"/>
          <w:sz w:val="24"/>
          <w:szCs w:val="24"/>
          <w:highlight w:val="none"/>
          <w:lang/>
        </w:rPr>
        <w:fldChar w:fldCharType="end"/>
      </w:r>
      <w:r>
        <w:rPr>
          <w:rFonts w:hint="eastAsia" w:ascii="宋体" w:hAnsi="宋体" w:eastAsia="宋体" w:cs="宋体"/>
          <w:b w:val="0"/>
          <w:color w:val="auto"/>
          <w:sz w:val="24"/>
          <w:szCs w:val="24"/>
          <w:highlight w:val="none"/>
          <w:lang w:val="en-US" w:eastAsia="zh-CN"/>
        </w:rPr>
        <w:t>7</w:t>
      </w:r>
    </w:p>
    <w:p>
      <w:pPr>
        <w:pStyle w:val="55"/>
        <w:tabs>
          <w:tab w:val="right" w:leader="dot" w:pos="8948"/>
        </w:tabs>
        <w:spacing w:line="600" w:lineRule="exact"/>
        <w:rPr>
          <w:rFonts w:hint="eastAsia" w:ascii="宋体" w:hAnsi="宋体" w:eastAsia="宋体" w:cs="宋体"/>
          <w:b w:val="0"/>
          <w:caps w:val="0"/>
          <w:color w:val="auto"/>
          <w:sz w:val="24"/>
          <w:szCs w:val="24"/>
          <w:highlight w:val="none"/>
          <w:lang w:val="en-US" w:eastAsia="zh-CN"/>
        </w:rPr>
      </w:pPr>
      <w:r>
        <w:rPr>
          <w:rFonts w:hint="eastAsia" w:ascii="宋体" w:hAnsi="宋体" w:eastAsia="宋体" w:cs="宋体"/>
          <w:b w:val="0"/>
          <w:color w:val="auto"/>
          <w:sz w:val="24"/>
          <w:szCs w:val="24"/>
          <w:highlight w:val="none"/>
          <w:lang/>
        </w:rPr>
        <w:fldChar w:fldCharType="begin"/>
      </w:r>
      <w:r>
        <w:rPr>
          <w:rStyle w:val="85"/>
          <w:rFonts w:hint="eastAsia" w:ascii="宋体" w:hAnsi="宋体" w:eastAsia="宋体" w:cs="宋体"/>
          <w:b w:val="0"/>
          <w:color w:val="auto"/>
          <w:sz w:val="24"/>
          <w:szCs w:val="24"/>
          <w:highlight w:val="none"/>
          <w:lang/>
        </w:rPr>
        <w:instrText xml:space="preserve"> </w:instrText>
      </w:r>
      <w:r>
        <w:rPr>
          <w:rFonts w:hint="eastAsia" w:ascii="宋体" w:hAnsi="宋体" w:eastAsia="宋体" w:cs="宋体"/>
          <w:b w:val="0"/>
          <w:color w:val="auto"/>
          <w:sz w:val="24"/>
          <w:szCs w:val="24"/>
          <w:highlight w:val="none"/>
          <w:lang/>
        </w:rPr>
        <w:instrText xml:space="preserve">HYPERLINK \l "_Toc33194401"</w:instrText>
      </w:r>
      <w:r>
        <w:rPr>
          <w:rStyle w:val="85"/>
          <w:rFonts w:hint="eastAsia" w:ascii="宋体" w:hAnsi="宋体" w:eastAsia="宋体" w:cs="宋体"/>
          <w:b w:val="0"/>
          <w:color w:val="auto"/>
          <w:sz w:val="24"/>
          <w:szCs w:val="24"/>
          <w:highlight w:val="none"/>
          <w:lang/>
        </w:rPr>
        <w:instrText xml:space="preserve"> </w:instrText>
      </w:r>
      <w:r>
        <w:rPr>
          <w:rFonts w:hint="eastAsia" w:ascii="宋体" w:hAnsi="宋体" w:eastAsia="宋体" w:cs="宋体"/>
          <w:b w:val="0"/>
          <w:color w:val="auto"/>
          <w:sz w:val="24"/>
          <w:szCs w:val="24"/>
          <w:highlight w:val="none"/>
          <w:lang/>
        </w:rPr>
        <w:fldChar w:fldCharType="separate"/>
      </w:r>
      <w:r>
        <w:rPr>
          <w:rStyle w:val="85"/>
          <w:rFonts w:hint="eastAsia" w:ascii="宋体" w:hAnsi="宋体" w:eastAsia="宋体" w:cs="宋体"/>
          <w:b w:val="0"/>
          <w:color w:val="auto"/>
          <w:sz w:val="24"/>
          <w:szCs w:val="24"/>
          <w:highlight w:val="none"/>
          <w:lang/>
        </w:rPr>
        <w:t>第四部分  合同主要条款</w:t>
      </w:r>
      <w:r>
        <w:rPr>
          <w:rFonts w:hint="eastAsia" w:ascii="宋体" w:hAnsi="宋体" w:eastAsia="宋体" w:cs="宋体"/>
          <w:b w:val="0"/>
          <w:color w:val="auto"/>
          <w:sz w:val="24"/>
          <w:szCs w:val="24"/>
          <w:highlight w:val="none"/>
          <w:lang/>
        </w:rPr>
        <w:tab/>
      </w:r>
      <w:r>
        <w:rPr>
          <w:rFonts w:hint="eastAsia" w:ascii="宋体" w:hAnsi="宋体" w:eastAsia="宋体" w:cs="宋体"/>
          <w:b w:val="0"/>
          <w:color w:val="auto"/>
          <w:sz w:val="24"/>
          <w:szCs w:val="24"/>
          <w:highlight w:val="none"/>
          <w:lang w:val="en-US" w:eastAsia="zh-CN"/>
        </w:rPr>
        <w:t>3</w:t>
      </w:r>
      <w:r>
        <w:rPr>
          <w:rFonts w:hint="eastAsia" w:ascii="宋体" w:hAnsi="宋体" w:eastAsia="宋体" w:cs="宋体"/>
          <w:b w:val="0"/>
          <w:color w:val="auto"/>
          <w:sz w:val="24"/>
          <w:szCs w:val="24"/>
          <w:highlight w:val="none"/>
          <w:lang/>
        </w:rPr>
        <w:fldChar w:fldCharType="end"/>
      </w:r>
      <w:r>
        <w:rPr>
          <w:rFonts w:hint="eastAsia" w:ascii="宋体" w:hAnsi="宋体" w:eastAsia="宋体" w:cs="宋体"/>
          <w:b w:val="0"/>
          <w:color w:val="auto"/>
          <w:sz w:val="24"/>
          <w:szCs w:val="24"/>
          <w:highlight w:val="none"/>
          <w:lang w:val="en-US" w:eastAsia="zh-CN"/>
        </w:rPr>
        <w:t>9</w:t>
      </w:r>
    </w:p>
    <w:p>
      <w:pPr>
        <w:pStyle w:val="55"/>
        <w:tabs>
          <w:tab w:val="right" w:leader="dot" w:pos="8948"/>
        </w:tabs>
        <w:spacing w:line="600" w:lineRule="exact"/>
        <w:rPr>
          <w:rFonts w:hint="eastAsia" w:ascii="宋体" w:hAnsi="宋体" w:eastAsia="宋体" w:cs="宋体"/>
          <w:b w:val="0"/>
          <w:caps w:val="0"/>
          <w:color w:val="auto"/>
          <w:sz w:val="24"/>
          <w:szCs w:val="24"/>
          <w:highlight w:val="none"/>
        </w:rPr>
      </w:pPr>
      <w:r>
        <w:rPr>
          <w:rFonts w:hint="eastAsia" w:ascii="宋体" w:hAnsi="宋体" w:eastAsia="宋体" w:cs="宋体"/>
          <w:b w:val="0"/>
          <w:color w:val="auto"/>
          <w:sz w:val="24"/>
          <w:szCs w:val="24"/>
          <w:highlight w:val="none"/>
          <w:lang/>
        </w:rPr>
        <w:fldChar w:fldCharType="begin"/>
      </w:r>
      <w:r>
        <w:rPr>
          <w:rStyle w:val="85"/>
          <w:rFonts w:hint="eastAsia" w:ascii="宋体" w:hAnsi="宋体" w:eastAsia="宋体" w:cs="宋体"/>
          <w:b w:val="0"/>
          <w:color w:val="auto"/>
          <w:sz w:val="24"/>
          <w:szCs w:val="24"/>
          <w:highlight w:val="none"/>
          <w:lang/>
        </w:rPr>
        <w:instrText xml:space="preserve"> </w:instrText>
      </w:r>
      <w:r>
        <w:rPr>
          <w:rFonts w:hint="eastAsia" w:ascii="宋体" w:hAnsi="宋体" w:eastAsia="宋体" w:cs="宋体"/>
          <w:b w:val="0"/>
          <w:color w:val="auto"/>
          <w:sz w:val="24"/>
          <w:szCs w:val="24"/>
          <w:highlight w:val="none"/>
          <w:lang/>
        </w:rPr>
        <w:instrText xml:space="preserve">HYPERLINK \l "_Toc33194402"</w:instrText>
      </w:r>
      <w:r>
        <w:rPr>
          <w:rStyle w:val="85"/>
          <w:rFonts w:hint="eastAsia" w:ascii="宋体" w:hAnsi="宋体" w:eastAsia="宋体" w:cs="宋体"/>
          <w:b w:val="0"/>
          <w:color w:val="auto"/>
          <w:sz w:val="24"/>
          <w:szCs w:val="24"/>
          <w:highlight w:val="none"/>
          <w:lang/>
        </w:rPr>
        <w:instrText xml:space="preserve"> </w:instrText>
      </w:r>
      <w:r>
        <w:rPr>
          <w:rFonts w:hint="eastAsia" w:ascii="宋体" w:hAnsi="宋体" w:eastAsia="宋体" w:cs="宋体"/>
          <w:b w:val="0"/>
          <w:color w:val="auto"/>
          <w:sz w:val="24"/>
          <w:szCs w:val="24"/>
          <w:highlight w:val="none"/>
          <w:lang/>
        </w:rPr>
        <w:fldChar w:fldCharType="separate"/>
      </w:r>
      <w:r>
        <w:rPr>
          <w:rStyle w:val="85"/>
          <w:rFonts w:hint="eastAsia" w:ascii="宋体" w:hAnsi="宋体" w:eastAsia="宋体" w:cs="宋体"/>
          <w:b w:val="0"/>
          <w:color w:val="auto"/>
          <w:sz w:val="24"/>
          <w:szCs w:val="24"/>
          <w:highlight w:val="none"/>
          <w:lang/>
        </w:rPr>
        <w:t>第五部分  应提交的有关格式范例</w:t>
      </w:r>
      <w:r>
        <w:rPr>
          <w:rFonts w:hint="eastAsia" w:ascii="宋体" w:hAnsi="宋体" w:eastAsia="宋体" w:cs="宋体"/>
          <w:b w:val="0"/>
          <w:color w:val="auto"/>
          <w:sz w:val="24"/>
          <w:szCs w:val="24"/>
          <w:highlight w:val="none"/>
          <w:lang/>
        </w:rPr>
        <w:tab/>
      </w:r>
      <w:r>
        <w:rPr>
          <w:rFonts w:hint="eastAsia" w:ascii="宋体" w:hAnsi="宋体" w:eastAsia="宋体" w:cs="宋体"/>
          <w:b w:val="0"/>
          <w:color w:val="auto"/>
          <w:sz w:val="24"/>
          <w:szCs w:val="24"/>
          <w:highlight w:val="none"/>
          <w:lang w:val="en-US" w:eastAsia="zh-CN"/>
        </w:rPr>
        <w:t>43</w:t>
      </w:r>
      <w:r>
        <w:rPr>
          <w:rFonts w:hint="eastAsia" w:ascii="宋体" w:hAnsi="宋体" w:eastAsia="宋体" w:cs="宋体"/>
          <w:b w:val="0"/>
          <w:color w:val="auto"/>
          <w:sz w:val="24"/>
          <w:szCs w:val="24"/>
          <w:highlight w:val="none"/>
          <w:lang/>
        </w:rPr>
        <w:fldChar w:fldCharType="end"/>
      </w:r>
    </w:p>
    <w:p>
      <w:pPr>
        <w:pStyle w:val="67"/>
        <w:tabs>
          <w:tab w:val="right" w:leader="dot" w:pos="8958"/>
        </w:tabs>
        <w:snapToGrid w:val="0"/>
        <w:spacing w:line="60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fldChar w:fldCharType="end"/>
      </w:r>
    </w:p>
    <w:p>
      <w:pPr>
        <w:jc w:val="center"/>
        <w:rPr>
          <w:rFonts w:hint="eastAsia" w:ascii="宋体" w:hAnsi="宋体" w:eastAsia="宋体" w:cs="宋体"/>
          <w:bCs/>
          <w:color w:val="auto"/>
          <w:sz w:val="28"/>
          <w:szCs w:val="28"/>
          <w:highlight w:val="none"/>
        </w:rPr>
        <w:sectPr>
          <w:pgSz w:w="11906" w:h="16838"/>
          <w:pgMar w:top="1531" w:right="1304" w:bottom="1531" w:left="1361" w:header="851" w:footer="1304" w:gutter="0"/>
          <w:paperSrc/>
          <w:pgBorders>
            <w:top w:val="none" w:sz="0" w:space="0"/>
            <w:left w:val="none" w:sz="0" w:space="0"/>
            <w:bottom w:val="none" w:sz="0" w:space="0"/>
            <w:right w:val="none" w:sz="0" w:space="0"/>
          </w:pgBorders>
          <w:cols w:space="720" w:num="1"/>
          <w:rtlGutter w:val="0"/>
          <w:docGrid w:linePitch="312" w:charSpace="0"/>
        </w:sectPr>
      </w:pPr>
      <w:bookmarkStart w:id="0" w:name="_Toc354996693"/>
      <w:bookmarkStart w:id="1" w:name="_Toc33194385"/>
    </w:p>
    <w:bookmarkEnd w:id="0"/>
    <w:bookmarkEnd w:id="1"/>
    <w:p>
      <w:pPr>
        <w:spacing w:before="120" w:beforeLines="50" w:after="120" w:afterLines="50"/>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第一部分  招标公告</w:t>
      </w:r>
    </w:p>
    <w:tbl>
      <w:tblPr>
        <w:tblStyle w:val="7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9457" w:type="dxa"/>
            <w:noWrap w:val="0"/>
            <w:vAlign w:val="top"/>
          </w:tcPr>
          <w:p>
            <w:pPr>
              <w:snapToGrid w:val="0"/>
              <w:spacing w:line="600" w:lineRule="exact"/>
              <w:jc w:val="center"/>
              <w:textAlignment w:val="bottom"/>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项目概况</w:t>
            </w:r>
          </w:p>
          <w:p>
            <w:pPr>
              <w:snapToGrid w:val="0"/>
              <w:spacing w:line="600" w:lineRule="exact"/>
              <w:ind w:firstLine="480" w:firstLineChars="200"/>
              <w:textAlignment w:val="bottom"/>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u w:val="single"/>
                <w:lang w:eastAsia="zh-CN"/>
              </w:rPr>
              <w:t>余杭街道城区道路交通设施零星维护服务项目</w:t>
            </w:r>
            <w:r>
              <w:rPr>
                <w:rFonts w:hint="eastAsia" w:ascii="宋体" w:hAnsi="宋体" w:eastAsia="宋体" w:cs="宋体"/>
                <w:color w:val="auto"/>
                <w:kern w:val="0"/>
                <w:sz w:val="24"/>
                <w:highlight w:val="none"/>
              </w:rPr>
              <w:t>招标项目的潜在投标人应在</w:t>
            </w:r>
            <w:r>
              <w:rPr>
                <w:rFonts w:hint="eastAsia" w:ascii="宋体" w:hAnsi="宋体" w:eastAsia="宋体" w:cs="宋体"/>
                <w:color w:val="auto"/>
                <w:kern w:val="0"/>
                <w:sz w:val="24"/>
                <w:highlight w:val="none"/>
                <w:u w:val="single"/>
              </w:rPr>
              <w:t>政采云平台（http：//zfcg.czt.zj.gov.cn）</w:t>
            </w:r>
            <w:r>
              <w:rPr>
                <w:rFonts w:hint="eastAsia" w:ascii="宋体" w:hAnsi="宋体" w:eastAsia="宋体" w:cs="宋体"/>
                <w:color w:val="auto"/>
                <w:kern w:val="0"/>
                <w:sz w:val="24"/>
                <w:highlight w:val="none"/>
              </w:rPr>
              <w:t>获取（下载）招标文件，并于202</w:t>
            </w: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lang w:val="en-US" w:eastAsia="zh-CN"/>
              </w:rPr>
              <w:t>12</w:t>
            </w:r>
            <w:r>
              <w:rPr>
                <w:rFonts w:hint="eastAsia" w:ascii="宋体" w:hAnsi="宋体" w:eastAsia="宋体" w:cs="宋体"/>
                <w:color w:val="auto"/>
                <w:kern w:val="0"/>
                <w:sz w:val="24"/>
                <w:highlight w:val="none"/>
              </w:rPr>
              <w:t>月</w:t>
            </w:r>
            <w:r>
              <w:rPr>
                <w:rFonts w:hint="eastAsia" w:ascii="宋体" w:hAnsi="宋体" w:eastAsia="宋体" w:cs="宋体"/>
                <w:color w:val="auto"/>
                <w:kern w:val="0"/>
                <w:sz w:val="24"/>
                <w:highlight w:val="none"/>
                <w:lang w:val="en-US" w:eastAsia="zh-CN"/>
              </w:rPr>
              <w:t>28</w:t>
            </w:r>
            <w:r>
              <w:rPr>
                <w:rFonts w:hint="eastAsia" w:ascii="宋体" w:hAnsi="宋体" w:eastAsia="宋体" w:cs="宋体"/>
                <w:color w:val="auto"/>
                <w:kern w:val="0"/>
                <w:sz w:val="24"/>
                <w:highlight w:val="none"/>
              </w:rPr>
              <w:t>日</w:t>
            </w:r>
            <w:r>
              <w:rPr>
                <w:rFonts w:hint="eastAsia" w:ascii="宋体" w:hAnsi="宋体" w:eastAsia="宋体" w:cs="宋体"/>
                <w:color w:val="auto"/>
                <w:kern w:val="0"/>
                <w:sz w:val="24"/>
                <w:highlight w:val="none"/>
                <w:lang w:val="en-US" w:eastAsia="zh-CN"/>
              </w:rPr>
              <w:t>10</w:t>
            </w:r>
            <w:r>
              <w:rPr>
                <w:rFonts w:hint="eastAsia" w:ascii="宋体" w:hAnsi="宋体" w:eastAsia="宋体" w:cs="宋体"/>
                <w:color w:val="auto"/>
                <w:kern w:val="0"/>
                <w:sz w:val="24"/>
                <w:highlight w:val="none"/>
              </w:rPr>
              <w:t>时</w:t>
            </w:r>
            <w:r>
              <w:rPr>
                <w:rFonts w:hint="eastAsia" w:ascii="宋体" w:hAnsi="宋体" w:eastAsia="宋体" w:cs="宋体"/>
                <w:color w:val="auto"/>
                <w:kern w:val="0"/>
                <w:sz w:val="24"/>
                <w:highlight w:val="none"/>
                <w:lang w:val="en-US" w:eastAsia="zh-CN"/>
              </w:rPr>
              <w:t>00</w:t>
            </w:r>
            <w:r>
              <w:rPr>
                <w:rFonts w:hint="eastAsia" w:ascii="宋体" w:hAnsi="宋体" w:eastAsia="宋体" w:cs="宋体"/>
                <w:color w:val="auto"/>
                <w:kern w:val="0"/>
                <w:sz w:val="24"/>
                <w:highlight w:val="none"/>
              </w:rPr>
              <w:t>分（北京时间）前递交（上传）投标文件。</w:t>
            </w:r>
          </w:p>
        </w:tc>
      </w:tr>
    </w:tbl>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一、项目基本情况</w:t>
      </w:r>
    </w:p>
    <w:p>
      <w:pPr>
        <w:spacing w:line="600" w:lineRule="exact"/>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u w:val="single"/>
          <w:lang w:eastAsia="zh-CN"/>
        </w:rPr>
        <w:t>RTZFCG-2021-076；</w:t>
      </w:r>
    </w:p>
    <w:p>
      <w:pPr>
        <w:spacing w:line="600" w:lineRule="exact"/>
        <w:ind w:firstLine="480" w:firstLineChars="200"/>
        <w:rPr>
          <w:rFonts w:hint="eastAsia" w:ascii="宋体" w:hAnsi="宋体" w:eastAsia="宋体" w:cs="宋体"/>
          <w:color w:val="auto"/>
          <w:kern w:val="0"/>
          <w:sz w:val="24"/>
          <w:highlight w:val="none"/>
          <w:u w:val="single"/>
          <w:lang w:eastAsia="zh-CN"/>
        </w:rPr>
      </w:pPr>
      <w:r>
        <w:rPr>
          <w:rFonts w:hint="eastAsia" w:ascii="宋体" w:hAnsi="宋体" w:eastAsia="宋体" w:cs="宋体"/>
          <w:color w:val="auto"/>
          <w:sz w:val="24"/>
          <w:highlight w:val="none"/>
        </w:rPr>
        <w:t>项目名称：</w:t>
      </w:r>
      <w:r>
        <w:rPr>
          <w:rFonts w:hint="eastAsia" w:ascii="宋体" w:hAnsi="宋体" w:eastAsia="宋体" w:cs="宋体"/>
          <w:color w:val="auto"/>
          <w:kern w:val="0"/>
          <w:sz w:val="24"/>
          <w:highlight w:val="none"/>
          <w:u w:val="single"/>
          <w:lang w:eastAsia="zh-CN"/>
        </w:rPr>
        <w:t>余杭街道城区道路交通设施零星维护服务项目；</w:t>
      </w:r>
    </w:p>
    <w:p>
      <w:pPr>
        <w:spacing w:line="600" w:lineRule="exact"/>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预算金额（元）：</w:t>
      </w:r>
      <w:r>
        <w:rPr>
          <w:rFonts w:hint="eastAsia" w:ascii="宋体" w:hAnsi="宋体" w:eastAsia="宋体" w:cs="宋体"/>
          <w:color w:val="auto"/>
          <w:sz w:val="24"/>
          <w:highlight w:val="none"/>
          <w:u w:val="single"/>
          <w:lang w:val="en-US" w:eastAsia="zh-CN"/>
        </w:rPr>
        <w:t>10000000元；</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最高限价（元）：</w:t>
      </w:r>
      <w:r>
        <w:rPr>
          <w:rFonts w:hint="eastAsia" w:ascii="宋体" w:hAnsi="宋体" w:eastAsia="宋体" w:cs="宋体"/>
          <w:color w:val="auto"/>
          <w:sz w:val="24"/>
          <w:highlight w:val="none"/>
          <w:u w:val="single"/>
          <w:lang w:val="en-US" w:eastAsia="zh-CN"/>
        </w:rPr>
        <w:t>10000000元；</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采购需求：</w:t>
      </w:r>
    </w:p>
    <w:p>
      <w:pPr>
        <w:spacing w:line="600" w:lineRule="exact"/>
        <w:ind w:left="479" w:leftChars="228"/>
        <w:rPr>
          <w:rFonts w:hint="eastAsia" w:ascii="宋体" w:hAnsi="宋体" w:eastAsia="宋体" w:cs="宋体"/>
          <w:color w:val="auto"/>
          <w:sz w:val="24"/>
          <w:highlight w:val="none"/>
        </w:rPr>
      </w:pPr>
      <w:r>
        <w:rPr>
          <w:rFonts w:hint="eastAsia" w:ascii="宋体" w:hAnsi="宋体" w:eastAsia="宋体" w:cs="宋体"/>
          <w:color w:val="auto"/>
          <w:sz w:val="24"/>
          <w:highlight w:val="none"/>
        </w:rPr>
        <w:t>标项一：</w:t>
      </w:r>
    </w:p>
    <w:p>
      <w:pPr>
        <w:spacing w:line="600" w:lineRule="exact"/>
        <w:ind w:left="479" w:leftChars="228"/>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标项名称：</w:t>
      </w:r>
      <w:r>
        <w:rPr>
          <w:rFonts w:hint="eastAsia" w:ascii="宋体" w:hAnsi="宋体" w:eastAsia="宋体" w:cs="宋体"/>
          <w:color w:val="auto"/>
          <w:sz w:val="24"/>
          <w:highlight w:val="none"/>
          <w:u w:val="single"/>
          <w:lang w:eastAsia="zh-CN"/>
        </w:rPr>
        <w:t>余杭街道城区道路交通设施零星维护服务项目；</w:t>
      </w:r>
    </w:p>
    <w:p>
      <w:pPr>
        <w:spacing w:line="600" w:lineRule="exact"/>
        <w:ind w:left="479" w:leftChars="228"/>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数量：</w:t>
      </w:r>
      <w:r>
        <w:rPr>
          <w:rFonts w:hint="eastAsia" w:ascii="宋体" w:hAnsi="宋体" w:eastAsia="宋体" w:cs="宋体"/>
          <w:color w:val="auto"/>
          <w:sz w:val="24"/>
          <w:highlight w:val="none"/>
          <w:u w:val="single"/>
        </w:rPr>
        <w:t>1</w:t>
      </w:r>
      <w:r>
        <w:rPr>
          <w:rFonts w:hint="eastAsia" w:ascii="宋体" w:hAnsi="宋体" w:eastAsia="宋体" w:cs="宋体"/>
          <w:color w:val="auto"/>
          <w:sz w:val="24"/>
          <w:highlight w:val="none"/>
          <w:u w:val="single"/>
          <w:lang w:val="en-US" w:eastAsia="zh-CN"/>
        </w:rPr>
        <w:t>项</w:t>
      </w:r>
      <w:r>
        <w:rPr>
          <w:rFonts w:hint="eastAsia" w:ascii="宋体" w:hAnsi="宋体" w:eastAsia="宋体" w:cs="宋体"/>
          <w:color w:val="auto"/>
          <w:sz w:val="24"/>
          <w:highlight w:val="none"/>
          <w:lang w:eastAsia="zh-CN"/>
        </w:rPr>
        <w:t>；</w:t>
      </w:r>
    </w:p>
    <w:p>
      <w:pPr>
        <w:spacing w:line="600" w:lineRule="exact"/>
        <w:ind w:left="479" w:leftChars="228"/>
        <w:rPr>
          <w:rFonts w:hint="eastAsia" w:ascii="宋体" w:hAnsi="宋体" w:eastAsia="宋体" w:cs="宋体"/>
          <w:color w:val="auto"/>
          <w:sz w:val="24"/>
          <w:highlight w:val="none"/>
        </w:rPr>
      </w:pPr>
      <w:r>
        <w:rPr>
          <w:rFonts w:hint="eastAsia" w:ascii="宋体" w:hAnsi="宋体" w:eastAsia="宋体" w:cs="宋体"/>
          <w:color w:val="auto"/>
          <w:sz w:val="24"/>
          <w:highlight w:val="none"/>
        </w:rPr>
        <w:t>预算金额（元）：</w:t>
      </w:r>
      <w:r>
        <w:rPr>
          <w:rFonts w:hint="eastAsia" w:ascii="宋体" w:hAnsi="宋体" w:eastAsia="宋体" w:cs="宋体"/>
          <w:color w:val="auto"/>
          <w:sz w:val="24"/>
          <w:highlight w:val="none"/>
          <w:u w:val="single"/>
          <w:lang w:val="en-US" w:eastAsia="zh-CN"/>
        </w:rPr>
        <w:t>10000000元；</w:t>
      </w:r>
    </w:p>
    <w:p>
      <w:pPr>
        <w:spacing w:line="600" w:lineRule="exact"/>
        <w:ind w:firstLine="480" w:firstLineChars="200"/>
        <w:rPr>
          <w:rFonts w:hint="eastAsia" w:ascii="宋体" w:hAnsi="宋体" w:eastAsia="宋体" w:cs="宋体"/>
          <w:color w:val="auto"/>
          <w:sz w:val="24"/>
          <w:highlight w:val="none"/>
          <w:u w:val="single"/>
          <w:lang w:eastAsia="zh-CN"/>
        </w:rPr>
      </w:pPr>
      <w:r>
        <w:rPr>
          <w:rFonts w:hint="eastAsia" w:ascii="宋体" w:hAnsi="宋体" w:eastAsia="宋体" w:cs="宋体"/>
          <w:color w:val="auto"/>
          <w:sz w:val="24"/>
          <w:highlight w:val="none"/>
        </w:rPr>
        <w:t>简要规格描述或项目基本概况介绍、用途：</w:t>
      </w:r>
      <w:r>
        <w:rPr>
          <w:rFonts w:hint="eastAsia" w:ascii="宋体" w:hAnsi="宋体" w:eastAsia="宋体" w:cs="宋体"/>
          <w:color w:val="auto"/>
          <w:sz w:val="24"/>
          <w:highlight w:val="none"/>
          <w:u w:val="single"/>
        </w:rPr>
        <w:t>本项目采购内容为城区范围内的交通标志标线、隔离绿化护栏、等交通设施维护服务；</w:t>
      </w:r>
      <w:r>
        <w:rPr>
          <w:rFonts w:hint="eastAsia" w:ascii="宋体" w:hAnsi="宋体" w:eastAsia="宋体" w:cs="宋体"/>
          <w:color w:val="auto"/>
          <w:sz w:val="24"/>
          <w:highlight w:val="none"/>
          <w:u w:val="single"/>
          <w:lang w:eastAsia="zh-CN"/>
        </w:rPr>
        <w:t>详见第三部分—项目技术规范和服务要求；</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服务期限：</w:t>
      </w:r>
      <w:r>
        <w:rPr>
          <w:rFonts w:hint="eastAsia" w:ascii="宋体" w:hAnsi="宋体" w:eastAsia="宋体" w:cs="宋体"/>
          <w:b w:val="0"/>
          <w:bCs/>
          <w:color w:val="auto"/>
          <w:sz w:val="24"/>
          <w:highlight w:val="none"/>
        </w:rPr>
        <w:t>自合同生效之日起两年</w:t>
      </w:r>
      <w:r>
        <w:rPr>
          <w:rFonts w:hint="eastAsia" w:ascii="宋体" w:hAnsi="宋体" w:eastAsia="宋体" w:cs="宋体"/>
          <w:b w:val="0"/>
          <w:bCs/>
          <w:color w:val="auto"/>
          <w:sz w:val="24"/>
          <w:highlight w:val="none"/>
          <w:lang w:eastAsia="zh-CN"/>
        </w:rPr>
        <w:t>（中标后累计合同金额不得超过</w:t>
      </w:r>
      <w:r>
        <w:rPr>
          <w:rFonts w:hint="eastAsia" w:ascii="宋体" w:hAnsi="宋体" w:eastAsia="宋体" w:cs="宋体"/>
          <w:b w:val="0"/>
          <w:bCs/>
          <w:color w:val="auto"/>
          <w:sz w:val="24"/>
          <w:highlight w:val="none"/>
          <w:lang w:val="en-US" w:eastAsia="zh-CN"/>
        </w:rPr>
        <w:t>1000</w:t>
      </w:r>
      <w:r>
        <w:rPr>
          <w:rFonts w:hint="eastAsia" w:ascii="宋体" w:hAnsi="宋体" w:eastAsia="宋体" w:cs="宋体"/>
          <w:b w:val="0"/>
          <w:bCs/>
          <w:color w:val="auto"/>
          <w:sz w:val="24"/>
          <w:highlight w:val="none"/>
          <w:lang w:eastAsia="zh-CN"/>
        </w:rPr>
        <w:t>万元）</w:t>
      </w:r>
      <w:r>
        <w:rPr>
          <w:rFonts w:hint="eastAsia" w:ascii="宋体" w:hAnsi="宋体" w:eastAsia="宋体" w:cs="宋体"/>
          <w:b w:val="0"/>
          <w:bCs/>
          <w:color w:val="auto"/>
          <w:sz w:val="24"/>
          <w:highlight w:val="none"/>
        </w:rPr>
        <w:t>，中标单位根据采购人下派的任务单将设施运输至指定地点，在设施的安装保养周期（安装保养周期是指水泥混凝土基础等的制作时间+保养周期+设施安装时间）内完成安装（或拆除）工作</w:t>
      </w:r>
      <w:r>
        <w:rPr>
          <w:rFonts w:hint="eastAsia" w:ascii="宋体" w:hAnsi="宋体" w:eastAsia="宋体" w:cs="宋体"/>
          <w:color w:val="auto"/>
          <w:sz w:val="24"/>
          <w:highlight w:val="none"/>
          <w:u w:val="none"/>
        </w:rPr>
        <w:t>；</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本项目（否）接受联合体投标。</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二、申请人的资格要求：</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1、满足《中华人民共和国政府采购法》第二十二条规定；</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落实政府采购政策需满足的资格要求：1）本项目对符合财政扶持政策的中小企业（小型、微型）、监狱企业、残疾人福利性单位给予价格优惠扶持；2）满足转发财政部工业和信息化部关于印发《政府采购促进中小企业发展暂行办法》的通知（浙财采监[2012]11号）的规定的中小企业可享受优惠扶持；满足关于政府采购支持监狱企业发展有关问题的通知（财库[2014]68号）的规定的供应商可享受优惠扶持；满足关于促进残疾人就业政府采购政策的通知（财库[2017]141号）的规定的供应商可享受优惠扶持；3）节能产品、环境标志产品的强制采购政策；4）节能产品、环境标志产品的优先采购政策； </w:t>
      </w:r>
    </w:p>
    <w:p>
      <w:pPr>
        <w:spacing w:line="600" w:lineRule="exact"/>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3、本项目的特定资格要求：标项一：</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单位负责人为同一人或者存在直接控股、管理关系的不同供应商，不得参加同一合同项下的政府采购活动</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供应商未被列入失信被执行人名单、重大税收违法案件当事人名单、政府采购严重违法失信行为记录名单，信用信息以信用中国网站（www.creditchina.gov.cn）、中国政府采购网（www.ccgp.gov.cn）公布为准；</w:t>
      </w:r>
      <w:r>
        <w:rPr>
          <w:rFonts w:hint="eastAsia" w:ascii="宋体" w:hAnsi="宋体" w:eastAsia="宋体" w:cs="宋体"/>
          <w:color w:val="auto"/>
          <w:sz w:val="24"/>
          <w:highlight w:val="none"/>
          <w:lang w:val="en-US" w:eastAsia="zh-CN"/>
        </w:rPr>
        <w:t>3）公益一类事业单位、使用事业编制且由财政拨款保障的群团组织，不作为政府购买服务的承接主体；4）具备公路交通工程（公路安全设施分项）专业承包二级及以上资质；</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三、获取招标文件 </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时间：</w:t>
      </w:r>
      <w:r>
        <w:rPr>
          <w:rFonts w:hint="eastAsia" w:ascii="宋体" w:hAnsi="宋体" w:eastAsia="宋体" w:cs="宋体"/>
          <w:color w:val="auto"/>
          <w:sz w:val="24"/>
          <w:highlight w:val="none"/>
          <w:u w:val="single"/>
        </w:rPr>
        <w:t xml:space="preserve">     /     </w:t>
      </w:r>
      <w:r>
        <w:rPr>
          <w:rFonts w:hint="eastAsia" w:ascii="宋体" w:hAnsi="宋体" w:eastAsia="宋体" w:cs="宋体"/>
          <w:color w:val="auto"/>
          <w:sz w:val="24"/>
          <w:highlight w:val="none"/>
        </w:rPr>
        <w:t>至202</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val="en-US" w:eastAsia="zh-CN"/>
        </w:rPr>
        <w:t>12</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28</w:t>
      </w:r>
      <w:r>
        <w:rPr>
          <w:rFonts w:hint="eastAsia" w:ascii="宋体" w:hAnsi="宋体" w:eastAsia="宋体" w:cs="宋体"/>
          <w:color w:val="auto"/>
          <w:sz w:val="24"/>
          <w:highlight w:val="none"/>
        </w:rPr>
        <w:t>日，每天上午00：00至12：00，下午12：00至23：59（北京时间，线上获取法定节假日均可，线下获取文件法定节假日除外）；</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地点（网址）：</w:t>
      </w:r>
      <w:r>
        <w:rPr>
          <w:rFonts w:hint="eastAsia" w:ascii="宋体" w:hAnsi="宋体" w:eastAsia="宋体" w:cs="宋体"/>
          <w:color w:val="auto"/>
          <w:sz w:val="24"/>
          <w:highlight w:val="none"/>
          <w:u w:val="single"/>
        </w:rPr>
        <w:t>政采云平台（http：//zfcg.czt.zj.gov.cn）</w:t>
      </w:r>
      <w:r>
        <w:rPr>
          <w:rFonts w:hint="eastAsia" w:ascii="宋体" w:hAnsi="宋体" w:eastAsia="宋体" w:cs="宋体"/>
          <w:color w:val="auto"/>
          <w:sz w:val="24"/>
          <w:highlight w:val="none"/>
        </w:rPr>
        <w:t>； </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方式：</w:t>
      </w:r>
      <w:r>
        <w:rPr>
          <w:rFonts w:hint="eastAsia" w:ascii="宋体" w:hAnsi="宋体" w:eastAsia="宋体" w:cs="宋体"/>
          <w:color w:val="auto"/>
          <w:sz w:val="24"/>
          <w:highlight w:val="none"/>
          <w:u w:val="single"/>
        </w:rPr>
        <w:t>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r>
        <w:rPr>
          <w:rFonts w:hint="eastAsia" w:ascii="宋体" w:hAnsi="宋体" w:eastAsia="宋体" w:cs="宋体"/>
          <w:color w:val="auto"/>
          <w:sz w:val="24"/>
          <w:highlight w:val="none"/>
        </w:rPr>
        <w:t>； </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售价（元）：0；</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四、提交投标文件截止时间、开标时间和地点</w:t>
      </w:r>
    </w:p>
    <w:p>
      <w:pPr>
        <w:spacing w:line="60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提交投标文件截止时间：</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1</w:t>
      </w:r>
      <w:r>
        <w:rPr>
          <w:rFonts w:hint="eastAsia" w:ascii="宋体" w:hAnsi="宋体" w:eastAsia="宋体" w:cs="宋体"/>
          <w:color w:val="auto"/>
          <w:sz w:val="24"/>
          <w:highlight w:val="none"/>
          <w:u w:val="single"/>
        </w:rPr>
        <w:t>年</w:t>
      </w:r>
      <w:r>
        <w:rPr>
          <w:rFonts w:hint="eastAsia" w:ascii="宋体" w:hAnsi="宋体" w:eastAsia="宋体" w:cs="宋体"/>
          <w:color w:val="auto"/>
          <w:sz w:val="24"/>
          <w:highlight w:val="none"/>
          <w:u w:val="single"/>
          <w:lang w:val="en-US" w:eastAsia="zh-CN"/>
        </w:rPr>
        <w:t>12</w:t>
      </w:r>
      <w:r>
        <w:rPr>
          <w:rFonts w:hint="eastAsia" w:ascii="宋体" w:hAnsi="宋体" w:eastAsia="宋体" w:cs="宋体"/>
          <w:color w:val="auto"/>
          <w:sz w:val="24"/>
          <w:highlight w:val="none"/>
          <w:u w:val="single"/>
        </w:rPr>
        <w:t>月</w:t>
      </w:r>
      <w:r>
        <w:rPr>
          <w:rFonts w:hint="eastAsia" w:ascii="宋体" w:hAnsi="宋体" w:eastAsia="宋体" w:cs="宋体"/>
          <w:color w:val="auto"/>
          <w:sz w:val="24"/>
          <w:highlight w:val="none"/>
          <w:u w:val="single"/>
          <w:lang w:val="en-US" w:eastAsia="zh-CN"/>
        </w:rPr>
        <w:t>28</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u w:val="single"/>
          <w:lang w:val="en-US" w:eastAsia="zh-CN"/>
        </w:rPr>
        <w:t>10</w:t>
      </w:r>
      <w:r>
        <w:rPr>
          <w:rFonts w:hint="eastAsia" w:ascii="宋体" w:hAnsi="宋体" w:eastAsia="宋体" w:cs="宋体"/>
          <w:color w:val="auto"/>
          <w:sz w:val="24"/>
          <w:highlight w:val="none"/>
          <w:u w:val="single"/>
        </w:rPr>
        <w:t>时</w:t>
      </w:r>
      <w:r>
        <w:rPr>
          <w:rFonts w:hint="eastAsia" w:ascii="宋体" w:hAnsi="宋体" w:eastAsia="宋体" w:cs="宋体"/>
          <w:color w:val="auto"/>
          <w:sz w:val="24"/>
          <w:highlight w:val="none"/>
          <w:u w:val="single"/>
          <w:lang w:val="en-US" w:eastAsia="zh-CN"/>
        </w:rPr>
        <w:t>00</w:t>
      </w:r>
      <w:r>
        <w:rPr>
          <w:rFonts w:hint="eastAsia" w:ascii="宋体" w:hAnsi="宋体" w:eastAsia="宋体" w:cs="宋体"/>
          <w:color w:val="auto"/>
          <w:sz w:val="24"/>
          <w:highlight w:val="none"/>
          <w:u w:val="single"/>
        </w:rPr>
        <w:t>分（北京时间）</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投标地点（网址）：</w:t>
      </w:r>
      <w:r>
        <w:rPr>
          <w:rFonts w:hint="eastAsia" w:ascii="宋体" w:hAnsi="宋体" w:eastAsia="宋体" w:cs="宋体"/>
          <w:color w:val="auto"/>
          <w:sz w:val="24"/>
          <w:highlight w:val="none"/>
          <w:u w:val="single"/>
          <w:lang w:eastAsia="zh-CN"/>
        </w:rPr>
        <w:t>杭州瑞拓工程咨询有限公司（杭州市余杭区余杭街道科技大道8-5号5幢2层开标室）</w:t>
      </w:r>
      <w:r>
        <w:rPr>
          <w:rFonts w:hint="eastAsia" w:ascii="宋体" w:hAnsi="宋体" w:eastAsia="宋体" w:cs="宋体"/>
          <w:color w:val="auto"/>
          <w:sz w:val="24"/>
          <w:highlight w:val="none"/>
        </w:rPr>
        <w:t>； </w:t>
      </w:r>
    </w:p>
    <w:p>
      <w:pPr>
        <w:spacing w:line="600" w:lineRule="exact"/>
        <w:ind w:firstLine="480" w:firstLineChars="200"/>
        <w:rPr>
          <w:rFonts w:hint="eastAsia" w:ascii="宋体" w:hAnsi="宋体" w:eastAsia="宋体" w:cs="宋体"/>
          <w:color w:val="auto"/>
          <w:kern w:val="0"/>
          <w:sz w:val="24"/>
          <w:highlight w:val="none"/>
          <w:u w:val="single"/>
        </w:rPr>
      </w:pPr>
      <w:r>
        <w:rPr>
          <w:rFonts w:hint="eastAsia" w:ascii="宋体" w:hAnsi="宋体" w:eastAsia="宋体" w:cs="宋体"/>
          <w:color w:val="auto"/>
          <w:sz w:val="24"/>
          <w:highlight w:val="none"/>
        </w:rPr>
        <w:t>开标时间：</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1</w:t>
      </w:r>
      <w:r>
        <w:rPr>
          <w:rFonts w:hint="eastAsia" w:ascii="宋体" w:hAnsi="宋体" w:eastAsia="宋体" w:cs="宋体"/>
          <w:color w:val="auto"/>
          <w:sz w:val="24"/>
          <w:highlight w:val="none"/>
          <w:u w:val="single"/>
        </w:rPr>
        <w:t>年</w:t>
      </w:r>
      <w:r>
        <w:rPr>
          <w:rFonts w:hint="eastAsia" w:ascii="宋体" w:hAnsi="宋体" w:eastAsia="宋体" w:cs="宋体"/>
          <w:color w:val="auto"/>
          <w:sz w:val="24"/>
          <w:highlight w:val="none"/>
          <w:u w:val="single"/>
          <w:lang w:val="en-US" w:eastAsia="zh-CN"/>
        </w:rPr>
        <w:t>12</w:t>
      </w:r>
      <w:r>
        <w:rPr>
          <w:rFonts w:hint="eastAsia" w:ascii="宋体" w:hAnsi="宋体" w:eastAsia="宋体" w:cs="宋体"/>
          <w:color w:val="auto"/>
          <w:sz w:val="24"/>
          <w:highlight w:val="none"/>
          <w:u w:val="single"/>
        </w:rPr>
        <w:t>月</w:t>
      </w:r>
      <w:r>
        <w:rPr>
          <w:rFonts w:hint="eastAsia" w:ascii="宋体" w:hAnsi="宋体" w:eastAsia="宋体" w:cs="宋体"/>
          <w:color w:val="auto"/>
          <w:sz w:val="24"/>
          <w:highlight w:val="none"/>
          <w:u w:val="single"/>
          <w:lang w:val="en-US" w:eastAsia="zh-CN"/>
        </w:rPr>
        <w:t>28</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u w:val="single"/>
          <w:lang w:val="en-US" w:eastAsia="zh-CN"/>
        </w:rPr>
        <w:t>10</w:t>
      </w:r>
      <w:r>
        <w:rPr>
          <w:rFonts w:hint="eastAsia" w:ascii="宋体" w:hAnsi="宋体" w:eastAsia="宋体" w:cs="宋体"/>
          <w:color w:val="auto"/>
          <w:sz w:val="24"/>
          <w:highlight w:val="none"/>
          <w:u w:val="single"/>
        </w:rPr>
        <w:t>时</w:t>
      </w:r>
      <w:r>
        <w:rPr>
          <w:rFonts w:hint="eastAsia" w:ascii="宋体" w:hAnsi="宋体" w:eastAsia="宋体" w:cs="宋体"/>
          <w:color w:val="auto"/>
          <w:sz w:val="24"/>
          <w:highlight w:val="none"/>
          <w:u w:val="single"/>
          <w:lang w:val="en-US" w:eastAsia="zh-CN"/>
        </w:rPr>
        <w:t>00</w:t>
      </w:r>
      <w:r>
        <w:rPr>
          <w:rFonts w:hint="eastAsia" w:ascii="宋体" w:hAnsi="宋体" w:eastAsia="宋体" w:cs="宋体"/>
          <w:color w:val="auto"/>
          <w:sz w:val="24"/>
          <w:highlight w:val="none"/>
          <w:u w:val="single"/>
        </w:rPr>
        <w:t>分（北京时间）</w:t>
      </w:r>
      <w:r>
        <w:rPr>
          <w:rFonts w:hint="eastAsia" w:ascii="宋体" w:hAnsi="宋体" w:eastAsia="宋体" w:cs="宋体"/>
          <w:color w:val="auto"/>
          <w:kern w:val="0"/>
          <w:sz w:val="24"/>
          <w:highlight w:val="none"/>
          <w:u w:val="single"/>
        </w:rPr>
        <w:t>；</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开标地点（网址）：</w:t>
      </w:r>
      <w:r>
        <w:rPr>
          <w:rFonts w:hint="eastAsia" w:ascii="宋体" w:hAnsi="宋体" w:eastAsia="宋体" w:cs="宋体"/>
          <w:color w:val="auto"/>
          <w:sz w:val="24"/>
          <w:highlight w:val="none"/>
          <w:u w:val="single"/>
          <w:lang w:eastAsia="zh-CN"/>
        </w:rPr>
        <w:t>杭州瑞拓工程咨询有限公司（杭州市余杭区余杭街道科技大道8-5号5幢2层开标室）</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rPr>
        <w:t>  </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五、公告期限 </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自本公告发布之日起5个工作日。</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六、其他补充事宜</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2、其他事项：无  </w:t>
      </w:r>
    </w:p>
    <w:p>
      <w:pPr>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七、对本次采购提出询问、质疑、投诉，请按以下方式联系</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1、采购人信息</w:t>
      </w:r>
    </w:p>
    <w:p>
      <w:pPr>
        <w:spacing w:line="600" w:lineRule="exact"/>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名称：</w:t>
      </w:r>
      <w:r>
        <w:rPr>
          <w:rFonts w:hint="eastAsia" w:ascii="宋体" w:hAnsi="宋体" w:eastAsia="宋体" w:cs="宋体"/>
          <w:color w:val="auto"/>
          <w:sz w:val="24"/>
          <w:highlight w:val="none"/>
          <w:lang w:eastAsia="zh-CN"/>
        </w:rPr>
        <w:t>杭州市余杭区人民政府余杭街道办事处</w:t>
      </w:r>
    </w:p>
    <w:p>
      <w:pPr>
        <w:spacing w:line="600" w:lineRule="exact"/>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地址：杭州市余杭区余杭街道城南路9号 </w:t>
      </w:r>
    </w:p>
    <w:p>
      <w:pPr>
        <w:spacing w:line="580" w:lineRule="exact"/>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项目联系人（询问）：</w:t>
      </w:r>
      <w:r>
        <w:rPr>
          <w:rFonts w:hint="eastAsia" w:ascii="宋体" w:hAnsi="宋体" w:eastAsia="宋体" w:cs="宋体"/>
          <w:color w:val="auto"/>
          <w:sz w:val="24"/>
          <w:highlight w:val="none"/>
          <w:lang w:eastAsia="zh-CN"/>
        </w:rPr>
        <w:t>何兴荣</w:t>
      </w:r>
    </w:p>
    <w:p>
      <w:pPr>
        <w:spacing w:line="580" w:lineRule="exact"/>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项目联系方式（询问）：</w:t>
      </w:r>
      <w:r>
        <w:rPr>
          <w:rFonts w:hint="eastAsia" w:ascii="宋体" w:hAnsi="宋体" w:eastAsia="宋体" w:cs="宋体"/>
          <w:color w:val="auto"/>
          <w:sz w:val="24"/>
          <w:highlight w:val="none"/>
          <w:lang w:val="en-US" w:eastAsia="zh-CN"/>
        </w:rPr>
        <w:t>18969176892</w:t>
      </w:r>
    </w:p>
    <w:p>
      <w:pPr>
        <w:spacing w:line="580" w:lineRule="exact"/>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质疑联系人</w:t>
      </w:r>
      <w:r>
        <w:rPr>
          <w:rFonts w:hint="eastAsia" w:ascii="宋体" w:hAnsi="宋体" w:eastAsia="宋体" w:cs="宋体"/>
          <w:color w:val="auto"/>
          <w:sz w:val="24"/>
          <w:highlight w:val="none"/>
          <w:lang w:eastAsia="zh-CN"/>
        </w:rPr>
        <w:t>：杨勇</w:t>
      </w:r>
    </w:p>
    <w:p>
      <w:pPr>
        <w:spacing w:line="600" w:lineRule="exact"/>
        <w:ind w:firstLine="480" w:firstLineChars="200"/>
        <w:rPr>
          <w:rFonts w:hint="eastAsia" w:ascii="宋体" w:hAnsi="宋体" w:eastAsia="宋体" w:cs="宋体"/>
          <w:color w:val="auto"/>
          <w:highlight w:val="none"/>
          <w:lang w:val="en-US" w:eastAsia="zh-CN"/>
        </w:rPr>
      </w:pPr>
      <w:r>
        <w:rPr>
          <w:rFonts w:hint="eastAsia" w:ascii="宋体" w:hAnsi="宋体" w:eastAsia="宋体" w:cs="宋体"/>
          <w:color w:val="auto"/>
          <w:sz w:val="24"/>
          <w:highlight w:val="none"/>
        </w:rPr>
        <w:t>质疑联系方式：</w:t>
      </w:r>
      <w:r>
        <w:rPr>
          <w:rFonts w:hint="eastAsia" w:ascii="宋体" w:hAnsi="宋体" w:eastAsia="宋体" w:cs="宋体"/>
          <w:color w:val="auto"/>
          <w:highlight w:val="none"/>
          <w:lang w:val="en-US" w:eastAsia="zh-CN"/>
        </w:rPr>
        <w:t>13868097582</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2、采购代理机构信息            </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名称：杭州瑞拓工程咨询有限公司             </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lang w:eastAsia="zh-CN"/>
        </w:rPr>
        <w:t>杭州市余杭区余杭街道科技大道8-5号</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传真：0571-86243788             </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项目联系人（询问）：</w:t>
      </w:r>
      <w:r>
        <w:rPr>
          <w:rFonts w:hint="eastAsia" w:ascii="宋体" w:hAnsi="宋体" w:eastAsia="宋体" w:cs="宋体"/>
          <w:color w:val="auto"/>
          <w:sz w:val="24"/>
          <w:highlight w:val="none"/>
          <w:lang w:eastAsia="zh-CN"/>
        </w:rPr>
        <w:t>张诗佳</w:t>
      </w:r>
      <w:r>
        <w:rPr>
          <w:rFonts w:hint="eastAsia" w:ascii="宋体" w:hAnsi="宋体" w:eastAsia="宋体" w:cs="宋体"/>
          <w:color w:val="auto"/>
          <w:sz w:val="24"/>
          <w:highlight w:val="none"/>
        </w:rPr>
        <w:t xml:space="preserve">            </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项目联系方式（询问）：0571-89282811 </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质疑联系人：</w:t>
      </w:r>
      <w:r>
        <w:rPr>
          <w:rFonts w:hint="eastAsia" w:ascii="宋体" w:hAnsi="宋体" w:eastAsia="宋体" w:cs="宋体"/>
          <w:color w:val="auto"/>
          <w:sz w:val="24"/>
          <w:highlight w:val="none"/>
          <w:lang w:eastAsia="zh-CN"/>
        </w:rPr>
        <w:t>石敏</w:t>
      </w:r>
      <w:r>
        <w:rPr>
          <w:rFonts w:hint="eastAsia" w:ascii="宋体" w:hAnsi="宋体" w:eastAsia="宋体" w:cs="宋体"/>
          <w:color w:val="auto"/>
          <w:sz w:val="24"/>
          <w:highlight w:val="none"/>
        </w:rPr>
        <w:t>             </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质疑联系方式：0571-</w:t>
      </w:r>
      <w:r>
        <w:rPr>
          <w:rFonts w:hint="eastAsia" w:ascii="宋体" w:hAnsi="宋体" w:eastAsia="宋体" w:cs="宋体"/>
          <w:color w:val="auto"/>
          <w:sz w:val="24"/>
          <w:highlight w:val="none"/>
          <w:lang w:val="en-US" w:eastAsia="zh-CN"/>
        </w:rPr>
        <w:t>86243788</w:t>
      </w:r>
      <w:r>
        <w:rPr>
          <w:rFonts w:hint="eastAsia" w:ascii="宋体" w:hAnsi="宋体" w:eastAsia="宋体" w:cs="宋体"/>
          <w:color w:val="auto"/>
          <w:sz w:val="24"/>
          <w:highlight w:val="none"/>
        </w:rPr>
        <w:t>　　　　　　     </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3.同级政府采购监督管理部门</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名称：余杭区政府采购办公室 </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ascii="宋体" w:hAnsi="宋体" w:eastAsia="宋体" w:cs="宋体"/>
          <w:color w:val="auto"/>
          <w:sz w:val="24"/>
          <w:szCs w:val="24"/>
          <w:highlight w:val="none"/>
        </w:rPr>
        <w:t>杭州市余杭区五常街道溪沁路8号中国电信浙江创新园1号楼</w:t>
      </w:r>
      <w:r>
        <w:rPr>
          <w:rFonts w:hint="eastAsia" w:ascii="宋体" w:hAnsi="宋体" w:eastAsia="宋体" w:cs="宋体"/>
          <w:color w:val="auto"/>
          <w:sz w:val="24"/>
          <w:highlight w:val="none"/>
        </w:rPr>
        <w:t> </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传真：0571-88728858</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联系人：杜国强 </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highlight w:val="none"/>
        </w:rPr>
        <w:t>监督投诉电话：0571-</w:t>
      </w:r>
      <w:r>
        <w:rPr>
          <w:rFonts w:ascii="宋体" w:hAnsi="宋体" w:eastAsia="宋体" w:cs="宋体"/>
          <w:color w:val="auto"/>
          <w:sz w:val="24"/>
          <w:szCs w:val="24"/>
          <w:highlight w:val="none"/>
        </w:rPr>
        <w:t>88728858</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若对项目采购电子交易系统操作有疑问，可登录政采云（https：//www.zcygov.cn/），点击右侧咨询小采，获取采小蜜智能服务管家帮助，或拨打政采云服务热线400-881-7190获取热线服务帮助。       </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spacing w:before="120" w:beforeLines="50" w:after="120" w:afterLines="50"/>
        <w:jc w:val="center"/>
        <w:rPr>
          <w:rFonts w:hint="eastAsia" w:ascii="宋体" w:hAnsi="宋体" w:eastAsia="宋体" w:cs="宋体"/>
          <w:b/>
          <w:bCs/>
          <w:color w:val="auto"/>
          <w:sz w:val="28"/>
          <w:szCs w:val="28"/>
          <w:highlight w:val="none"/>
        </w:rPr>
        <w:sectPr>
          <w:headerReference r:id="rId4" w:type="default"/>
          <w:footerReference r:id="rId5" w:type="default"/>
          <w:pgSz w:w="11906" w:h="16838"/>
          <w:pgMar w:top="1531" w:right="1304" w:bottom="1531" w:left="1361" w:header="851" w:footer="1304" w:gutter="0"/>
          <w:paperSrc/>
          <w:pgBorders>
            <w:top w:val="none" w:sz="0" w:space="0"/>
            <w:left w:val="none" w:sz="0" w:space="0"/>
            <w:bottom w:val="none" w:sz="0" w:space="0"/>
            <w:right w:val="none" w:sz="0" w:space="0"/>
          </w:pgBorders>
          <w:cols w:space="720" w:num="1"/>
          <w:rtlGutter w:val="0"/>
          <w:docGrid w:linePitch="312" w:charSpace="0"/>
        </w:sectPr>
      </w:pPr>
      <w:bookmarkStart w:id="2" w:name="_Hlt74649545"/>
      <w:bookmarkEnd w:id="2"/>
      <w:bookmarkStart w:id="3" w:name="_Hlt74728647"/>
      <w:bookmarkEnd w:id="3"/>
      <w:bookmarkStart w:id="4" w:name="_Hlt74707423"/>
      <w:bookmarkEnd w:id="4"/>
      <w:bookmarkStart w:id="5" w:name="_Hlt74729822"/>
      <w:bookmarkEnd w:id="5"/>
      <w:bookmarkStart w:id="6" w:name="_Toc33194386"/>
      <w:bookmarkStart w:id="7" w:name="_Toc354996694"/>
      <w:bookmarkStart w:id="8" w:name="_Toc225840107"/>
    </w:p>
    <w:p>
      <w:pPr>
        <w:spacing w:before="120" w:beforeLines="50" w:after="120" w:afterLines="50" w:line="60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第二部分  编制和提交投标文件须知</w:t>
      </w:r>
      <w:bookmarkEnd w:id="6"/>
      <w:bookmarkEnd w:id="7"/>
    </w:p>
    <w:p>
      <w:pPr>
        <w:spacing w:before="120" w:beforeLines="50" w:after="120" w:afterLines="50" w:line="600" w:lineRule="exact"/>
        <w:jc w:val="center"/>
        <w:rPr>
          <w:rFonts w:hint="eastAsia" w:ascii="宋体" w:hAnsi="宋体" w:eastAsia="宋体" w:cs="宋体"/>
          <w:b/>
          <w:bCs/>
          <w:color w:val="auto"/>
          <w:sz w:val="28"/>
          <w:szCs w:val="28"/>
          <w:highlight w:val="none"/>
        </w:rPr>
      </w:pPr>
      <w:bookmarkStart w:id="9" w:name="_Toc33194387"/>
      <w:bookmarkStart w:id="10" w:name="_Toc233618971"/>
      <w:bookmarkStart w:id="11" w:name="_Toc354996695"/>
      <w:r>
        <w:rPr>
          <w:rFonts w:hint="eastAsia" w:ascii="宋体" w:hAnsi="宋体" w:eastAsia="宋体" w:cs="宋体"/>
          <w:b/>
          <w:bCs/>
          <w:color w:val="auto"/>
          <w:sz w:val="28"/>
          <w:szCs w:val="28"/>
          <w:highlight w:val="none"/>
        </w:rPr>
        <w:t>前 附 表</w:t>
      </w:r>
      <w:bookmarkEnd w:id="9"/>
      <w:bookmarkEnd w:id="10"/>
      <w:bookmarkEnd w:id="11"/>
    </w:p>
    <w:tbl>
      <w:tblPr>
        <w:tblStyle w:val="7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85" w:type="dxa"/>
          <w:bottom w:w="0" w:type="dxa"/>
          <w:right w:w="85" w:type="dxa"/>
        </w:tblCellMar>
      </w:tblPr>
      <w:tblGrid>
        <w:gridCol w:w="784"/>
        <w:gridCol w:w="1365"/>
        <w:gridCol w:w="73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680" w:hRule="atLeast"/>
          <w:tblHeader/>
          <w:jc w:val="center"/>
        </w:trPr>
        <w:tc>
          <w:tcPr>
            <w:tcW w:w="784" w:type="dxa"/>
            <w:tcBorders>
              <w:top w:val="single" w:color="000000" w:sz="8"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条款</w:t>
            </w:r>
          </w:p>
        </w:tc>
        <w:tc>
          <w:tcPr>
            <w:tcW w:w="8673" w:type="dxa"/>
            <w:gridSpan w:val="2"/>
            <w:tcBorders>
              <w:top w:val="single" w:color="000000" w:sz="8" w:space="0"/>
              <w:left w:val="single" w:color="000000" w:sz="2" w:space="0"/>
              <w:bottom w:val="single" w:color="000000" w:sz="2" w:space="0"/>
              <w:right w:val="single" w:color="000000" w:sz="8"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项目说明</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一、项目名称：</w:t>
            </w:r>
            <w:r>
              <w:rPr>
                <w:rFonts w:hint="eastAsia" w:ascii="宋体" w:hAnsi="宋体" w:eastAsia="宋体" w:cs="宋体"/>
                <w:color w:val="auto"/>
                <w:sz w:val="24"/>
                <w:highlight w:val="none"/>
                <w:lang w:eastAsia="zh-CN"/>
              </w:rPr>
              <w:t>余杭街道城区道路交通设施零星维护服务项目</w:t>
            </w:r>
            <w:r>
              <w:rPr>
                <w:rFonts w:hint="eastAsia" w:ascii="宋体" w:hAnsi="宋体" w:eastAsia="宋体" w:cs="宋体"/>
                <w:color w:val="auto"/>
                <w:sz w:val="24"/>
                <w:highlight w:val="none"/>
              </w:rPr>
              <w:t>；</w:t>
            </w:r>
          </w:p>
          <w:p>
            <w:pPr>
              <w:spacing w:line="600" w:lineRule="exact"/>
              <w:jc w:val="left"/>
              <w:rPr>
                <w:rFonts w:hint="eastAsia" w:ascii="宋体" w:hAnsi="宋体" w:eastAsia="宋体" w:cs="宋体"/>
                <w:color w:val="auto"/>
                <w:sz w:val="24"/>
                <w:highlight w:val="none"/>
                <w:u w:val="none"/>
                <w:lang w:eastAsia="zh-CN"/>
              </w:rPr>
            </w:pPr>
            <w:bookmarkStart w:id="12" w:name="_Hlt75139851"/>
            <w:bookmarkEnd w:id="12"/>
            <w:r>
              <w:rPr>
                <w:rFonts w:hint="eastAsia" w:ascii="宋体" w:hAnsi="宋体" w:eastAsia="宋体" w:cs="宋体"/>
                <w:color w:val="auto"/>
                <w:sz w:val="24"/>
                <w:highlight w:val="none"/>
              </w:rPr>
              <w:t>二、采购内容：</w:t>
            </w:r>
            <w:r>
              <w:rPr>
                <w:rFonts w:hint="eastAsia" w:ascii="宋体" w:hAnsi="宋体" w:eastAsia="宋体" w:cs="宋体"/>
                <w:color w:val="auto"/>
                <w:sz w:val="24"/>
                <w:highlight w:val="none"/>
                <w:u w:val="none"/>
              </w:rPr>
              <w:t>本项目采购内容为城区范围内的交通标志标线、隔离绿化护栏、等交通设施维护服务；</w:t>
            </w:r>
            <w:r>
              <w:rPr>
                <w:rFonts w:hint="eastAsia" w:ascii="宋体" w:hAnsi="宋体" w:eastAsia="宋体" w:cs="宋体"/>
                <w:color w:val="auto"/>
                <w:sz w:val="24"/>
                <w:highlight w:val="none"/>
                <w:u w:val="none"/>
                <w:lang w:eastAsia="zh-CN"/>
              </w:rPr>
              <w:t>详见第三部分—项目技术规范和服务要求；</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三、项目实施地点：</w:t>
            </w:r>
            <w:r>
              <w:rPr>
                <w:rFonts w:hint="eastAsia" w:ascii="宋体" w:hAnsi="宋体" w:eastAsia="宋体" w:cs="宋体"/>
                <w:bCs/>
                <w:color w:val="auto"/>
                <w:sz w:val="24"/>
                <w:highlight w:val="none"/>
              </w:rPr>
              <w:t>杭州市余杭区人民政府</w:t>
            </w:r>
            <w:r>
              <w:rPr>
                <w:rFonts w:hint="eastAsia" w:ascii="宋体" w:hAnsi="宋体" w:eastAsia="宋体" w:cs="宋体"/>
                <w:bCs/>
                <w:color w:val="auto"/>
                <w:sz w:val="24"/>
                <w:highlight w:val="none"/>
                <w:lang w:val="en-US" w:eastAsia="zh-CN"/>
              </w:rPr>
              <w:t>余杭</w:t>
            </w:r>
            <w:r>
              <w:rPr>
                <w:rFonts w:hint="eastAsia" w:ascii="宋体" w:hAnsi="宋体" w:eastAsia="宋体" w:cs="宋体"/>
                <w:bCs/>
                <w:color w:val="auto"/>
                <w:sz w:val="24"/>
                <w:highlight w:val="none"/>
              </w:rPr>
              <w:t>街道</w:t>
            </w:r>
            <w:r>
              <w:rPr>
                <w:rFonts w:hint="eastAsia" w:ascii="宋体" w:hAnsi="宋体" w:eastAsia="宋体" w:cs="宋体"/>
                <w:bCs/>
                <w:color w:val="auto"/>
                <w:sz w:val="24"/>
                <w:highlight w:val="none"/>
                <w:lang w:val="en-US" w:eastAsia="zh-CN"/>
              </w:rPr>
              <w:t>范围内城区道路</w:t>
            </w:r>
            <w:r>
              <w:rPr>
                <w:rFonts w:hint="eastAsia" w:ascii="宋体" w:hAnsi="宋体" w:eastAsia="宋体" w:cs="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600" w:lineRule="exact"/>
              <w:ind w:firstLine="0" w:firstLineChars="0"/>
              <w:jc w:val="left"/>
              <w:textAlignment w:val="auto"/>
              <w:rPr>
                <w:rFonts w:hint="eastAsia" w:ascii="宋体" w:hAnsi="宋体" w:eastAsia="宋体" w:cs="宋体"/>
                <w:b w:val="0"/>
                <w:bCs w:val="0"/>
                <w:color w:val="auto"/>
                <w:sz w:val="24"/>
                <w:szCs w:val="24"/>
                <w:highlight w:val="none"/>
                <w:lang w:val="zh-CN"/>
              </w:rPr>
            </w:pPr>
            <w:r>
              <w:rPr>
                <w:rFonts w:hint="eastAsia" w:ascii="宋体" w:hAnsi="宋体" w:eastAsia="宋体" w:cs="宋体"/>
                <w:color w:val="auto"/>
                <w:sz w:val="24"/>
                <w:highlight w:val="none"/>
                <w:lang w:val="en-US" w:eastAsia="zh-CN"/>
              </w:rPr>
              <w:t>四</w:t>
            </w:r>
            <w:r>
              <w:rPr>
                <w:rFonts w:hint="eastAsia" w:ascii="宋体" w:hAnsi="宋体" w:eastAsia="宋体" w:cs="宋体"/>
                <w:color w:val="auto"/>
                <w:sz w:val="24"/>
                <w:highlight w:val="none"/>
              </w:rPr>
              <w:t>、服务期限：</w:t>
            </w:r>
            <w:r>
              <w:rPr>
                <w:rFonts w:hint="eastAsia" w:ascii="宋体" w:hAnsi="宋体" w:eastAsia="宋体" w:cs="宋体"/>
                <w:b w:val="0"/>
                <w:bCs/>
                <w:color w:val="auto"/>
                <w:sz w:val="24"/>
                <w:highlight w:val="none"/>
              </w:rPr>
              <w:t>自合同生效之日起两年</w:t>
            </w:r>
            <w:r>
              <w:rPr>
                <w:rFonts w:hint="eastAsia" w:ascii="宋体" w:hAnsi="宋体" w:eastAsia="宋体" w:cs="宋体"/>
                <w:b w:val="0"/>
                <w:bCs/>
                <w:color w:val="auto"/>
                <w:sz w:val="24"/>
                <w:highlight w:val="none"/>
                <w:lang w:eastAsia="zh-CN"/>
              </w:rPr>
              <w:t>（中标后累计合同金额不得超过</w:t>
            </w:r>
            <w:r>
              <w:rPr>
                <w:rFonts w:hint="eastAsia" w:ascii="宋体" w:hAnsi="宋体" w:eastAsia="宋体" w:cs="宋体"/>
                <w:b w:val="0"/>
                <w:bCs/>
                <w:color w:val="auto"/>
                <w:sz w:val="24"/>
                <w:highlight w:val="none"/>
                <w:lang w:val="en-US" w:eastAsia="zh-CN"/>
              </w:rPr>
              <w:t>1000</w:t>
            </w:r>
            <w:r>
              <w:rPr>
                <w:rFonts w:hint="eastAsia" w:ascii="宋体" w:hAnsi="宋体" w:eastAsia="宋体" w:cs="宋体"/>
                <w:b w:val="0"/>
                <w:bCs/>
                <w:color w:val="auto"/>
                <w:sz w:val="24"/>
                <w:highlight w:val="none"/>
                <w:lang w:eastAsia="zh-CN"/>
              </w:rPr>
              <w:t>万元）</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五</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zh-CN"/>
              </w:rPr>
              <w:t>采购预算：人民币</w:t>
            </w:r>
            <w:r>
              <w:rPr>
                <w:rFonts w:hint="eastAsia" w:ascii="宋体" w:hAnsi="宋体" w:eastAsia="宋体" w:cs="宋体"/>
                <w:color w:val="auto"/>
                <w:sz w:val="24"/>
                <w:highlight w:val="none"/>
                <w:lang w:val="en-US" w:eastAsia="zh-CN"/>
              </w:rPr>
              <w:t>1000</w:t>
            </w:r>
            <w:r>
              <w:rPr>
                <w:rFonts w:hint="eastAsia" w:ascii="宋体" w:hAnsi="宋体" w:eastAsia="宋体" w:cs="宋体"/>
                <w:color w:val="auto"/>
                <w:sz w:val="24"/>
                <w:highlight w:val="none"/>
                <w:lang w:val="zh-CN"/>
              </w:rPr>
              <w:t>万元。</w:t>
            </w:r>
            <w:r>
              <w:rPr>
                <w:rFonts w:hint="eastAsia" w:ascii="宋体" w:hAnsi="宋体" w:eastAsia="宋体" w:cs="宋体"/>
                <w:b/>
                <w:bCs/>
                <w:color w:val="auto"/>
                <w:sz w:val="24"/>
                <w:highlight w:val="none"/>
                <w:lang w:val="zh-CN"/>
              </w:rPr>
              <w:t>本项目采用费率招标</w:t>
            </w:r>
            <w:r>
              <w:rPr>
                <w:rFonts w:hint="eastAsia" w:ascii="宋体" w:hAnsi="宋体" w:eastAsia="宋体" w:cs="宋体"/>
                <w:b/>
                <w:bCs/>
                <w:color w:val="auto"/>
                <w:sz w:val="24"/>
                <w:highlight w:val="none"/>
                <w:lang w:val="en-US" w:eastAsia="zh-CN"/>
              </w:rPr>
              <w:t>(小数点后保留两位小数)</w:t>
            </w:r>
            <w:r>
              <w:rPr>
                <w:rFonts w:hint="eastAsia" w:ascii="宋体" w:hAnsi="宋体" w:eastAsia="宋体" w:cs="宋体"/>
                <w:b/>
                <w:bCs/>
                <w:color w:val="auto"/>
                <w:sz w:val="24"/>
                <w:highlight w:val="none"/>
                <w:lang w:val="zh-CN"/>
              </w:rPr>
              <w:t>，投标报价（费率）包括人工费、材料费、机械使用费、管理、利润、规费、税金等所有相关费用；最高限价为基价的90%；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365"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合同名称</w:t>
            </w:r>
          </w:p>
        </w:tc>
        <w:tc>
          <w:tcPr>
            <w:tcW w:w="7308" w:type="dxa"/>
            <w:tcBorders>
              <w:top w:val="single" w:color="000000" w:sz="2" w:space="0"/>
              <w:left w:val="single" w:color="000000" w:sz="2" w:space="0"/>
              <w:bottom w:val="single" w:color="000000" w:sz="2" w:space="0"/>
              <w:right w:val="single" w:color="000000" w:sz="8" w:space="0"/>
            </w:tcBorders>
            <w:noWrap w:val="0"/>
            <w:vAlign w:val="center"/>
          </w:tcPr>
          <w:p>
            <w:pPr>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《余杭街道城区道路交通设施零星维护服务项目合同》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投标</w:t>
            </w:r>
            <w:r>
              <w:rPr>
                <w:rFonts w:hint="eastAsia" w:ascii="宋体" w:hAnsi="宋体" w:eastAsia="宋体" w:cs="宋体"/>
                <w:color w:val="auto"/>
                <w:sz w:val="24"/>
                <w:highlight w:val="none"/>
              </w:rPr>
              <w:t>有效期：自投标截止日起90天。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投标保证金数额：无。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招标代理服务费：本次招标代理服务费由中标人支付，按照国家计委印发的《招标代理服务收费管理暂行办法》计价格[2002]1980号、发改办价格[2003]857号和《关于规范余杭区政府投资项目中介服务付费限额标准的通知》余财政〔2018〕24号规定收费。招标代理服务费为人民币</w:t>
            </w:r>
            <w:r>
              <w:rPr>
                <w:rFonts w:hint="eastAsia" w:ascii="宋体" w:hAnsi="宋体" w:eastAsia="宋体" w:cs="宋体"/>
                <w:color w:val="auto"/>
                <w:sz w:val="24"/>
                <w:highlight w:val="none"/>
                <w:lang w:val="en-US" w:eastAsia="zh-CN"/>
              </w:rPr>
              <w:t>59200</w:t>
            </w:r>
            <w:r>
              <w:rPr>
                <w:rFonts w:hint="eastAsia" w:ascii="宋体" w:hAnsi="宋体" w:eastAsia="宋体" w:cs="宋体"/>
                <w:color w:val="auto"/>
                <w:sz w:val="24"/>
                <w:highlight w:val="none"/>
              </w:rPr>
              <w:t>元整。各投标人应在投标报价中予以考虑。</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招标代理服务费的交纳方式：以转帐或支票的形式支付；开户行名称：浦发银行</w:t>
            </w:r>
            <w:r>
              <w:rPr>
                <w:rFonts w:hint="eastAsia" w:ascii="宋体" w:hAnsi="宋体" w:eastAsia="宋体" w:cs="宋体"/>
                <w:color w:val="auto"/>
                <w:sz w:val="24"/>
                <w:highlight w:val="none"/>
                <w:lang w:eastAsia="zh-CN"/>
              </w:rPr>
              <w:t>临平</w:t>
            </w:r>
            <w:r>
              <w:rPr>
                <w:rFonts w:hint="eastAsia" w:ascii="宋体" w:hAnsi="宋体" w:eastAsia="宋体" w:cs="宋体"/>
                <w:color w:val="auto"/>
                <w:sz w:val="24"/>
                <w:highlight w:val="none"/>
              </w:rPr>
              <w:t>支行；帐号： 95110154800000633；开户名：杭州瑞拓工程咨询有限公司；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1214"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投标文件的组成：</w:t>
            </w:r>
            <w:r>
              <w:rPr>
                <w:rFonts w:hint="eastAsia" w:ascii="宋体" w:hAnsi="宋体" w:eastAsia="宋体" w:cs="宋体"/>
                <w:b/>
                <w:bCs/>
                <w:color w:val="auto"/>
                <w:sz w:val="24"/>
                <w:highlight w:val="none"/>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投标文件的编制：供应商应先安装“政采云电子交易客户端”，并按照本招标文件和“政府采购云平台”的要求，通过“政采云电子交易客户端”编制并加密投标文件。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投标文件的签章：电子签章。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投标文件的形式：☑</w:t>
            </w:r>
            <w:r>
              <w:rPr>
                <w:rFonts w:hint="eastAsia" w:ascii="宋体" w:hAnsi="宋体" w:eastAsia="宋体" w:cs="宋体"/>
                <w:b/>
                <w:bCs/>
                <w:color w:val="auto"/>
                <w:sz w:val="24"/>
                <w:highlight w:val="none"/>
              </w:rPr>
              <w:t>电子投标文件（包括“电子加密投标文件”和“备份投标文件”，在投标文件编制完成后同时生成）；</w:t>
            </w:r>
          </w:p>
          <w:p>
            <w:pPr>
              <w:spacing w:line="6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（1）“电子加密投标文件”是指通过“政采云电子交易客户端”完成投标文件编制后生成并加密的数据电文形式的投标文件。</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投标文件份数：</w:t>
            </w:r>
            <w:r>
              <w:rPr>
                <w:rFonts w:hint="eastAsia" w:ascii="宋体" w:hAnsi="宋体" w:eastAsia="宋体" w:cs="宋体"/>
                <w:b/>
                <w:bCs/>
                <w:color w:val="auto"/>
                <w:sz w:val="24"/>
                <w:highlight w:val="none"/>
              </w:rPr>
              <w:t>（1）“电子加密投标文件”：在线上传递交、一份。（2）“备份投标文件”：密封包装后（EMS</w:t>
            </w:r>
            <w:r>
              <w:rPr>
                <w:rFonts w:hint="eastAsia" w:ascii="宋体" w:hAnsi="宋体" w:eastAsia="宋体" w:cs="宋体"/>
                <w:b/>
                <w:bCs/>
                <w:color w:val="auto"/>
                <w:sz w:val="24"/>
                <w:highlight w:val="none"/>
                <w:lang w:val="en-US" w:eastAsia="zh-CN"/>
              </w:rPr>
              <w:t>等</w:t>
            </w:r>
            <w:r>
              <w:rPr>
                <w:rFonts w:hint="eastAsia" w:ascii="宋体" w:hAnsi="宋体" w:eastAsia="宋体" w:cs="宋体"/>
                <w:b/>
                <w:bCs/>
                <w:color w:val="auto"/>
                <w:sz w:val="24"/>
                <w:highlight w:val="none"/>
              </w:rPr>
              <w:t>邮寄形式）投标截止时间前递交、一份</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邮寄地址：</w:t>
            </w:r>
            <w:r>
              <w:rPr>
                <w:rFonts w:hint="eastAsia" w:ascii="宋体" w:hAnsi="宋体" w:eastAsia="宋体" w:cs="宋体"/>
                <w:b/>
                <w:bCs/>
                <w:color w:val="auto"/>
                <w:sz w:val="24"/>
                <w:highlight w:val="none"/>
                <w:lang w:eastAsia="zh-CN"/>
              </w:rPr>
              <w:t>杭州市余杭区余杭街道科技大道8-5号</w:t>
            </w:r>
            <w:r>
              <w:rPr>
                <w:rFonts w:hint="eastAsia" w:ascii="宋体" w:hAnsi="宋体" w:eastAsia="宋体" w:cs="宋体"/>
                <w:b/>
                <w:bCs/>
                <w:color w:val="auto"/>
                <w:sz w:val="24"/>
                <w:highlight w:val="none"/>
                <w:lang w:val="en-US" w:eastAsia="zh-CN"/>
              </w:rPr>
              <w:t>5幢2</w:t>
            </w:r>
            <w:r>
              <w:rPr>
                <w:rFonts w:hint="eastAsia" w:ascii="宋体" w:hAnsi="宋体" w:eastAsia="宋体" w:cs="宋体"/>
                <w:b/>
                <w:bCs/>
                <w:color w:val="auto"/>
                <w:sz w:val="24"/>
                <w:highlight w:val="none"/>
              </w:rPr>
              <w:t>层招标代理部收</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投标文件的上传和递交：</w:t>
            </w:r>
          </w:p>
          <w:p>
            <w:pPr>
              <w:spacing w:line="6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（1）“电子加密投标文件”的上传、递交：</w:t>
            </w:r>
          </w:p>
          <w:p>
            <w:pPr>
              <w:spacing w:line="6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a.投标供应商应在投标截止时间前将“电子加密投标文件”成功上传递交至“政府采购云平台”，否则投标无效。</w:t>
            </w:r>
          </w:p>
          <w:p>
            <w:pPr>
              <w:spacing w:line="6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b.“电子加密投标文件”成功上传递交后，供应商可自行打印投标文件接收回执。</w:t>
            </w:r>
          </w:p>
          <w:p>
            <w:pPr>
              <w:spacing w:line="6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（2）“备份投标文件”的密封包装、递交：</w:t>
            </w:r>
          </w:p>
          <w:p>
            <w:pPr>
              <w:spacing w:line="6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a.投标供应商在“政府采购云平台”完成“电子加密投标文件”的上传递交后，还可以（EMS</w:t>
            </w:r>
            <w:r>
              <w:rPr>
                <w:rFonts w:hint="eastAsia" w:ascii="宋体" w:hAnsi="宋体" w:eastAsia="宋体" w:cs="宋体"/>
                <w:b/>
                <w:bCs/>
                <w:color w:val="auto"/>
                <w:sz w:val="24"/>
                <w:highlight w:val="none"/>
                <w:lang w:val="en-US" w:eastAsia="zh-CN"/>
              </w:rPr>
              <w:t>等</w:t>
            </w:r>
            <w:r>
              <w:rPr>
                <w:rFonts w:hint="eastAsia" w:ascii="宋体" w:hAnsi="宋体" w:eastAsia="宋体" w:cs="宋体"/>
                <w:b/>
                <w:bCs/>
                <w:color w:val="auto"/>
                <w:sz w:val="24"/>
                <w:highlight w:val="none"/>
              </w:rPr>
              <w:t>邮寄形式）在投标截止时间前递交以介质（U盘）存储的“备份投标文件”（一份）；</w:t>
            </w:r>
          </w:p>
          <w:p>
            <w:pPr>
              <w:spacing w:line="6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b.“备份投标文件”应当密封包装，并在包装上标注投标项目名称、投标单位名称并加盖公章。没有密封包装或者逾期邮寄送达至投标地点的“备份投标文件”将不予接收；</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电子加密投标文件的解密和异常情况处理：</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（1）开标后，采购组织机构将向各投标供应商发出“电子加密投标文件”的解密通知，各投标供应商代表应当在接到解密通知后45分钟内自行完成“电子加密投标文件”的在线解密。</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投标截止时间：</w:t>
            </w:r>
            <w:r>
              <w:rPr>
                <w:rFonts w:hint="eastAsia" w:ascii="宋体" w:hAnsi="宋体" w:eastAsia="宋体" w:cs="宋体"/>
                <w:color w:val="auto"/>
                <w:kern w:val="0"/>
                <w:sz w:val="24"/>
                <w:highlight w:val="none"/>
              </w:rPr>
              <w:t>202</w:t>
            </w: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lang w:val="en-US" w:eastAsia="zh-CN"/>
              </w:rPr>
              <w:t>12</w:t>
            </w:r>
            <w:r>
              <w:rPr>
                <w:rFonts w:hint="eastAsia" w:ascii="宋体" w:hAnsi="宋体" w:eastAsia="宋体" w:cs="宋体"/>
                <w:color w:val="auto"/>
                <w:kern w:val="0"/>
                <w:sz w:val="24"/>
                <w:highlight w:val="none"/>
              </w:rPr>
              <w:t>月</w:t>
            </w:r>
            <w:r>
              <w:rPr>
                <w:rFonts w:hint="eastAsia" w:ascii="宋体" w:hAnsi="宋体" w:eastAsia="宋体" w:cs="宋体"/>
                <w:color w:val="auto"/>
                <w:kern w:val="0"/>
                <w:sz w:val="24"/>
                <w:highlight w:val="none"/>
                <w:lang w:val="en-US" w:eastAsia="zh-CN"/>
              </w:rPr>
              <w:t>28</w:t>
            </w:r>
            <w:r>
              <w:rPr>
                <w:rFonts w:hint="eastAsia" w:ascii="宋体" w:hAnsi="宋体" w:eastAsia="宋体" w:cs="宋体"/>
                <w:color w:val="auto"/>
                <w:kern w:val="0"/>
                <w:sz w:val="24"/>
                <w:highlight w:val="none"/>
              </w:rPr>
              <w:t>日</w:t>
            </w:r>
            <w:r>
              <w:rPr>
                <w:rFonts w:hint="eastAsia" w:ascii="宋体" w:hAnsi="宋体" w:eastAsia="宋体" w:cs="宋体"/>
                <w:color w:val="auto"/>
                <w:kern w:val="0"/>
                <w:sz w:val="24"/>
                <w:highlight w:val="none"/>
                <w:lang w:val="en-US" w:eastAsia="zh-CN"/>
              </w:rPr>
              <w:t>10</w:t>
            </w:r>
            <w:r>
              <w:rPr>
                <w:rFonts w:hint="eastAsia" w:ascii="宋体" w:hAnsi="宋体" w:eastAsia="宋体" w:cs="宋体"/>
                <w:color w:val="auto"/>
                <w:kern w:val="0"/>
                <w:sz w:val="24"/>
                <w:highlight w:val="none"/>
              </w:rPr>
              <w:t>时</w:t>
            </w:r>
            <w:r>
              <w:rPr>
                <w:rFonts w:hint="eastAsia" w:ascii="宋体" w:hAnsi="宋体" w:eastAsia="宋体" w:cs="宋体"/>
                <w:color w:val="auto"/>
                <w:kern w:val="0"/>
                <w:sz w:val="24"/>
                <w:highlight w:val="none"/>
                <w:lang w:val="en-US" w:eastAsia="zh-CN"/>
              </w:rPr>
              <w:t>00</w:t>
            </w:r>
            <w:r>
              <w:rPr>
                <w:rFonts w:hint="eastAsia" w:ascii="宋体" w:hAnsi="宋体" w:eastAsia="宋体" w:cs="宋体"/>
                <w:color w:val="auto"/>
                <w:kern w:val="0"/>
                <w:sz w:val="24"/>
                <w:highlight w:val="none"/>
              </w:rPr>
              <w:t>分</w:t>
            </w:r>
            <w:r>
              <w:rPr>
                <w:rFonts w:hint="eastAsia" w:ascii="宋体" w:hAnsi="宋体" w:eastAsia="宋体" w:cs="宋体"/>
                <w:color w:val="auto"/>
                <w:kern w:val="0"/>
                <w:sz w:val="24"/>
                <w:highlight w:val="none"/>
                <w:u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投标地点：</w:t>
            </w:r>
            <w:r>
              <w:rPr>
                <w:rFonts w:hint="eastAsia" w:ascii="宋体" w:hAnsi="宋体" w:eastAsia="宋体" w:cs="宋体"/>
                <w:color w:val="auto"/>
                <w:sz w:val="24"/>
                <w:highlight w:val="none"/>
                <w:lang w:eastAsia="zh-CN"/>
              </w:rPr>
              <w:t>杭州瑞拓工程咨询有限公司（杭州市余杭区余杭街道科技大道8-5号5幢2层开标室）</w:t>
            </w: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680" w:hRule="atLeast"/>
          <w:jc w:val="center"/>
        </w:trPr>
        <w:tc>
          <w:tcPr>
            <w:tcW w:w="784" w:type="dxa"/>
            <w:tcBorders>
              <w:top w:val="single" w:color="000000" w:sz="2" w:space="0"/>
              <w:left w:val="single" w:color="000000" w:sz="8" w:space="0"/>
              <w:bottom w:val="single" w:color="auto" w:sz="4" w:space="0"/>
              <w:right w:val="single" w:color="000000" w:sz="2"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15</w:t>
            </w:r>
          </w:p>
        </w:tc>
        <w:tc>
          <w:tcPr>
            <w:tcW w:w="8673" w:type="dxa"/>
            <w:gridSpan w:val="2"/>
            <w:tcBorders>
              <w:top w:val="single" w:color="000000" w:sz="2" w:space="0"/>
              <w:left w:val="single" w:color="000000" w:sz="2" w:space="0"/>
              <w:bottom w:val="single" w:color="auto" w:sz="4" w:space="0"/>
              <w:right w:val="single" w:color="000000" w:sz="8" w:space="0"/>
            </w:tcBorders>
            <w:noWrap w:val="0"/>
            <w:vAlign w:val="center"/>
          </w:tcPr>
          <w:p>
            <w:pPr>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开标时间和地点：同投标截止时间与地点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680" w:hRule="atLeast"/>
          <w:jc w:val="center"/>
        </w:trPr>
        <w:tc>
          <w:tcPr>
            <w:tcW w:w="784" w:type="dxa"/>
            <w:tcBorders>
              <w:top w:val="single" w:color="auto" w:sz="4" w:space="0"/>
              <w:left w:val="single" w:color="000000" w:sz="8" w:space="0"/>
              <w:bottom w:val="single" w:color="auto" w:sz="4" w:space="0"/>
              <w:right w:val="single" w:color="000000" w:sz="2"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16</w:t>
            </w:r>
          </w:p>
        </w:tc>
        <w:tc>
          <w:tcPr>
            <w:tcW w:w="8673" w:type="dxa"/>
            <w:gridSpan w:val="2"/>
            <w:tcBorders>
              <w:top w:val="single" w:color="auto" w:sz="4" w:space="0"/>
              <w:left w:val="single" w:color="000000" w:sz="2" w:space="0"/>
              <w:bottom w:val="single" w:color="auto" w:sz="4" w:space="0"/>
              <w:right w:val="single" w:color="000000" w:sz="8" w:space="0"/>
            </w:tcBorders>
            <w:noWrap w:val="0"/>
            <w:vAlign w:val="center"/>
          </w:tcPr>
          <w:p>
            <w:pPr>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加“▲”的资料为必须提供，否则将视为无效标处理。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680" w:hRule="atLeast"/>
          <w:jc w:val="center"/>
        </w:trPr>
        <w:tc>
          <w:tcPr>
            <w:tcW w:w="784" w:type="dxa"/>
            <w:tcBorders>
              <w:top w:val="single" w:color="auto" w:sz="4" w:space="0"/>
              <w:left w:val="single" w:color="000000" w:sz="8" w:space="0"/>
              <w:bottom w:val="single" w:color="auto" w:sz="4" w:space="0"/>
              <w:right w:val="single" w:color="000000" w:sz="2"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17</w:t>
            </w:r>
          </w:p>
        </w:tc>
        <w:tc>
          <w:tcPr>
            <w:tcW w:w="8673" w:type="dxa"/>
            <w:gridSpan w:val="2"/>
            <w:tcBorders>
              <w:top w:val="single" w:color="auto" w:sz="4" w:space="0"/>
              <w:left w:val="single" w:color="000000" w:sz="2" w:space="0"/>
              <w:bottom w:val="single" w:color="auto" w:sz="4" w:space="0"/>
              <w:right w:val="single" w:color="000000" w:sz="8" w:space="0"/>
            </w:tcBorders>
            <w:noWrap w:val="0"/>
            <w:vAlign w:val="center"/>
          </w:tcPr>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1、投标截止后，在投标有效期内，投标人不能撤销投标文件。投标人强行撤销投标文件的，应按预算金额的2%赔偿对招标代理机构造成的损失。</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中标后，投标人拒绝签订合同的，招标人可以按照评审报告推荐的中标候选人名单排序，确定下一候选人为中标供应商，也可以重新开展政府采购活动。投标人中标后拒绝签订合同的，应按预算金额的2%对招标人进行赔偿；赔偿金额不足以弥补招标人损失的，投标人应继续承担超过部分的损失。</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3、存在下列行为的，招标代理机构将其失信行为上报政府采购主管部门，由主管部门按有关规定对其违法失信行为记录进行公开：</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（1）中标或者成交后，拒绝签订政府采购合同的；</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（2）投标有效期内撤销投标文件的。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680" w:hRule="atLeast"/>
          <w:jc w:val="center"/>
        </w:trPr>
        <w:tc>
          <w:tcPr>
            <w:tcW w:w="784" w:type="dxa"/>
            <w:tcBorders>
              <w:top w:val="single" w:color="auto" w:sz="4" w:space="0"/>
              <w:left w:val="single" w:color="000000" w:sz="8" w:space="0"/>
              <w:bottom w:val="single" w:color="auto" w:sz="4" w:space="0"/>
              <w:right w:val="single" w:color="000000" w:sz="2"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18</w:t>
            </w:r>
          </w:p>
        </w:tc>
        <w:tc>
          <w:tcPr>
            <w:tcW w:w="8673" w:type="dxa"/>
            <w:gridSpan w:val="2"/>
            <w:tcBorders>
              <w:top w:val="single" w:color="auto" w:sz="4" w:space="0"/>
              <w:left w:val="single" w:color="000000" w:sz="2" w:space="0"/>
              <w:bottom w:val="single" w:color="auto" w:sz="4" w:space="0"/>
              <w:right w:val="single" w:color="000000" w:sz="8" w:space="0"/>
            </w:tcBorders>
            <w:noWrap w:val="0"/>
            <w:vAlign w:val="center"/>
          </w:tcPr>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19</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潜在供应商需在浙江政府采购网</w:t>
            </w:r>
            <w:r>
              <w:rPr>
                <w:rFonts w:hint="eastAsia" w:ascii="宋体" w:hAnsi="宋体" w:eastAsia="宋体" w:cs="宋体"/>
                <w:color w:val="auto"/>
                <w:sz w:val="24"/>
                <w:highlight w:val="none"/>
                <w:lang/>
              </w:rPr>
              <w:drawing>
                <wp:inline distT="0" distB="0" distL="114300" distR="114300">
                  <wp:extent cx="194310" cy="146050"/>
                  <wp:effectExtent l="0" t="0" r="15240" b="6350"/>
                  <wp:docPr id="1"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57"/>
                          <pic:cNvPicPr>
                            <a:picLocks noChangeAspect="1"/>
                          </pic:cNvPicPr>
                        </pic:nvPicPr>
                        <pic:blipFill>
                          <a:blip r:embed="rId7"/>
                          <a:stretch>
                            <a:fillRect/>
                          </a:stretch>
                        </pic:blipFill>
                        <pic:spPr>
                          <a:xfrm>
                            <a:off x="0" y="0"/>
                            <a:ext cx="194310" cy="146050"/>
                          </a:xfrm>
                          <a:prstGeom prst="rect">
                            <a:avLst/>
                          </a:prstGeom>
                          <a:noFill/>
                          <a:ln>
                            <a:noFill/>
                          </a:ln>
                        </pic:spPr>
                      </pic:pic>
                    </a:graphicData>
                  </a:graphic>
                </wp:inline>
              </w:drawing>
            </w:r>
            <w:r>
              <w:rPr>
                <w:rFonts w:hint="eastAsia" w:ascii="宋体" w:hAnsi="宋体" w:eastAsia="宋体" w:cs="宋体"/>
                <w:color w:val="auto"/>
                <w:sz w:val="24"/>
                <w:highlight w:val="none"/>
              </w:rPr>
              <w:t>http://www.ccgp-zhejiang.gov.cn/进行免费注册，具体详见浙江政府采购网供应商注册要求。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20</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中小企业划分标准所属行业</w:t>
            </w:r>
            <w:r>
              <w:rPr>
                <w:rFonts w:hint="eastAsia" w:ascii="宋体" w:hAnsi="宋体" w:eastAsia="宋体" w:cs="宋体"/>
                <w:color w:val="auto"/>
                <w:sz w:val="24"/>
                <w:highlight w:val="none"/>
                <w:lang w:eastAsia="zh-CN"/>
              </w:rPr>
              <w:t>：按照《关于印发中小企业划型标准规定的通知》（工信部联企业〔2011〕300号）的所属行业规定，本项目采购标的</w:t>
            </w:r>
            <w:r>
              <w:rPr>
                <w:rFonts w:hint="eastAsia" w:ascii="宋体" w:hAnsi="宋体" w:eastAsia="宋体" w:cs="宋体"/>
                <w:color w:val="auto"/>
                <w:sz w:val="24"/>
                <w:highlight w:val="none"/>
                <w:lang w:val="en-US" w:eastAsia="zh-CN"/>
              </w:rPr>
              <w:t>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u w:val="single"/>
                <w:lang w:val="en-US" w:eastAsia="zh-CN"/>
              </w:rPr>
              <w:t>道路交通设施零星维护项目</w:t>
            </w:r>
            <w:r>
              <w:rPr>
                <w:rFonts w:hint="eastAsia" w:ascii="宋体" w:hAnsi="宋体" w:eastAsia="宋体" w:cs="宋体"/>
                <w:color w:val="auto"/>
                <w:sz w:val="24"/>
                <w:highlight w:val="none"/>
                <w:lang w:eastAsia="zh-CN"/>
              </w:rPr>
              <w:t>，所属行业：</w:t>
            </w:r>
            <w:r>
              <w:rPr>
                <w:rFonts w:hint="eastAsia" w:ascii="宋体" w:hAnsi="宋体" w:eastAsia="宋体" w:cs="宋体"/>
                <w:color w:val="auto"/>
                <w:sz w:val="24"/>
                <w:highlight w:val="none"/>
                <w:u w:val="single"/>
                <w:lang w:eastAsia="zh-CN"/>
              </w:rPr>
              <w:t>（十六）其他未列明行业</w:t>
            </w:r>
            <w:r>
              <w:rPr>
                <w:rFonts w:hint="eastAsia" w:ascii="宋体" w:hAnsi="宋体" w:eastAsia="宋体" w:cs="宋体"/>
                <w:color w:val="auto"/>
                <w:sz w:val="24"/>
                <w:highlight w:val="none"/>
                <w:lang w:eastAsia="zh-CN"/>
              </w:rPr>
              <w:t>。</w:t>
            </w:r>
          </w:p>
          <w:p>
            <w:pPr>
              <w:spacing w:line="600" w:lineRule="exact"/>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eastAsia="zh-CN"/>
              </w:rPr>
              <w:t>中小企业预留份额情况：</w:t>
            </w:r>
            <w:r>
              <w:rPr>
                <w:rFonts w:hint="eastAsia" w:ascii="宋体" w:hAnsi="宋体" w:eastAsia="宋体" w:cs="宋体"/>
                <w:color w:val="auto"/>
                <w:sz w:val="24"/>
                <w:highlight w:val="none"/>
                <w:lang w:val="en-US" w:eastAsia="zh-CN"/>
              </w:rPr>
              <w:t>根据《政府采购促进中小企业发展管理办法》财库〔2020〕46号文件的规定，本项目不预留份额专门面向中小企业采购。</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支持中小企业发展。</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符合中小企业划分标准的个体工商户，在政府采购活动中视同中小企业。</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3.2在政府采购活动中，投标人提供的货物、工程或者服务符合下列情形的，享受中小企业扶持政策：</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（1）在货物采购项目中，货物由中小企业制造，即货物由中小企业生产且使用该中小企业商号或者注册商标；</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（2）在工程采购项目中，工程由中小企业承建，即工程施工单位为中小企业；</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（3）在服务采购项目中，服务由中小企业承接，即提供服务的人员为中小企业依照《中华人民共和国劳动合同法》订立劳动合同的从业人员。</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在货物采购项目中，投标人提供的货物既有中小企业制造货物，也有大型企业制造货物的，不享受中小企业扶持政策。</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以联合体形式参加政府采购活动，联合体各方均为中小企业的，联合体视同中小企业。其中，联合体各方均为小微企业的，联合体视同小微企业。</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3.3</w:t>
            </w:r>
            <w:r>
              <w:rPr>
                <w:rFonts w:hint="eastAsia" w:ascii="宋体" w:hAnsi="宋体" w:eastAsia="宋体" w:cs="宋体"/>
                <w:b/>
                <w:bCs/>
                <w:color w:val="auto"/>
                <w:sz w:val="24"/>
                <w:highlight w:val="none"/>
              </w:rPr>
              <w:t>对于未预留份额专门面向中小企业的政府采购货物或服务项目，以及预留份额政府采购货物或服务项目中的非预留部分标项，对小型和微型企业的投标报价给予 10% 的扣除，用扣除后的价格参与评审。</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3.4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 3% 的扣除，用扣除后的价格参加评审。组成联合体或者接受分包的小微企业与联合体内其他企业、分包企业之间存在直接控股、管理关系的，不享受价格扣除优惠政策。</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3.5符合《关于促进残疾人就业政府采购政策的通知》（财库〔2017〕141号）规定的条件并提供《残疾人福利性单位声明函》（附件1）的残疾人福利性单位视同小型、微型企业；</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3.6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3.7可享受中小企业扶持政策的投标人应按照招标文件格式要求提供《中小企业声明函》。</w:t>
            </w:r>
          </w:p>
          <w:p>
            <w:pPr>
              <w:spacing w:line="600" w:lineRule="exact"/>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3.8中小企业享受扶持政策获得政府采购合同的，小微企业不得将合同分包给大中型企业，中型企业不得将合同分包给大型企业。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1</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、节能产品、环境标志产品的强制采购政策</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、节能产品、环境标志产品的优先采购政策</w:t>
            </w:r>
          </w:p>
          <w:p>
            <w:pPr>
              <w:spacing w:line="600" w:lineRule="exact"/>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2</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根据《关于在政府采购活动中查询及使用信用记录有关问题的通知》财库[2016]125号的规定：</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（1）采购人或采购代理机构将对本项目供应商的信用记录进行查询。查询渠道为信用中国网站（www.creditchina.gov.cn）、中国政府采购网（www.ccgp.gov.cn）；</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（2）截止时点：提交投标文件（响应文件）截止时间前3年内；</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（3）查询记录和证据的留存：信用信息查询记录和证据以网页截图等方式留存。</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（4）使用规则：被列入失信被执行人、重大税收违法案件当事人名单、政府采购严重违法失信行为记录名单及其它不符合《中华人民共和国政府采购法》第二十二条规定条件的，其投标将被拒绝。</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3</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中标单位在中标公示结束后再递交与电子加密投标文件内容一致的书面投标文件（正本一份，副本四份）。</w:t>
            </w:r>
          </w:p>
        </w:tc>
      </w:tr>
    </w:tbl>
    <w:p>
      <w:pPr>
        <w:shd w:val="clear" w:color="auto" w:fill="FFFFFF"/>
        <w:snapToGrid w:val="0"/>
        <w:spacing w:line="600" w:lineRule="exact"/>
        <w:jc w:val="center"/>
        <w:outlineLvl w:val="1"/>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br w:type="page"/>
      </w:r>
      <w:bookmarkEnd w:id="8"/>
      <w:bookmarkStart w:id="13" w:name="_Toc354996696"/>
      <w:bookmarkStart w:id="14" w:name="_Toc233618972"/>
      <w:bookmarkStart w:id="15" w:name="_Toc33194388"/>
      <w:bookmarkStart w:id="16" w:name="_Toc226106467"/>
      <w:bookmarkStart w:id="17" w:name="_Toc226106516"/>
      <w:bookmarkStart w:id="18" w:name="_Toc226521904"/>
      <w:bookmarkStart w:id="19" w:name="_Toc225840109"/>
      <w:r>
        <w:rPr>
          <w:rFonts w:hint="eastAsia" w:ascii="宋体" w:hAnsi="宋体" w:eastAsia="宋体" w:cs="宋体"/>
          <w:b/>
          <w:bCs/>
          <w:color w:val="auto"/>
          <w:sz w:val="24"/>
          <w:highlight w:val="none"/>
        </w:rPr>
        <w:t>一、总 则</w:t>
      </w:r>
      <w:bookmarkEnd w:id="13"/>
      <w:bookmarkEnd w:id="14"/>
      <w:bookmarkEnd w:id="15"/>
    </w:p>
    <w:p>
      <w:pPr>
        <w:snapToGrid w:val="0"/>
        <w:spacing w:line="600" w:lineRule="exact"/>
        <w:rPr>
          <w:rFonts w:hint="eastAsia" w:ascii="宋体" w:hAnsi="宋体" w:eastAsia="宋体" w:cs="宋体"/>
          <w:b/>
          <w:color w:val="auto"/>
          <w:sz w:val="24"/>
          <w:highlight w:val="none"/>
        </w:rPr>
      </w:pPr>
      <w:bookmarkStart w:id="20" w:name="_Toc91899872"/>
      <w:bookmarkStart w:id="21" w:name="_Hlt74730208"/>
      <w:bookmarkStart w:id="22" w:name="_Hlt74730112"/>
      <w:bookmarkStart w:id="23" w:name="_Toc354996697"/>
      <w:bookmarkStart w:id="24" w:name="_Toc233618973"/>
      <w:r>
        <w:rPr>
          <w:rFonts w:hint="eastAsia" w:ascii="宋体" w:hAnsi="宋体" w:eastAsia="宋体" w:cs="宋体"/>
          <w:b/>
          <w:color w:val="auto"/>
          <w:sz w:val="24"/>
          <w:highlight w:val="none"/>
        </w:rPr>
        <w:t>（一）项目说明</w:t>
      </w:r>
      <w:bookmarkEnd w:id="20"/>
    </w:p>
    <w:p>
      <w:pPr>
        <w:pStyle w:val="208"/>
        <w:snapToGrid w:val="0"/>
        <w:spacing w:line="60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1、项目说明见投标须知前附表(以下称“前附表”)第1项所述。</w:t>
      </w:r>
    </w:p>
    <w:p>
      <w:pPr>
        <w:pStyle w:val="208"/>
        <w:tabs>
          <w:tab w:val="left" w:pos="6510"/>
        </w:tabs>
        <w:snapToGrid w:val="0"/>
        <w:spacing w:line="60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2、采购单位</w:t>
      </w:r>
      <w:r>
        <w:rPr>
          <w:rFonts w:hint="eastAsia" w:eastAsia="宋体" w:cs="宋体"/>
          <w:color w:val="auto"/>
          <w:highlight w:val="none"/>
          <w:lang w:eastAsia="zh-CN"/>
        </w:rPr>
        <w:t>杭州市余杭区人民政府余杭街道办事处</w:t>
      </w:r>
      <w:r>
        <w:rPr>
          <w:rFonts w:hint="eastAsia" w:ascii="宋体" w:hAnsi="宋体" w:eastAsia="宋体" w:cs="宋体"/>
          <w:color w:val="auto"/>
          <w:highlight w:val="none"/>
        </w:rPr>
        <w:t>为本项目的招标人（合同中的甲方），杭州瑞拓工程咨询有限公司为招标代理机构，</w:t>
      </w:r>
      <w:r>
        <w:rPr>
          <w:rFonts w:hint="eastAsia" w:ascii="宋体" w:hAnsi="宋体" w:eastAsia="宋体" w:cs="宋体"/>
          <w:color w:val="auto"/>
          <w:highlight w:val="none"/>
          <w:lang w:val="en-US" w:eastAsia="zh-CN"/>
        </w:rPr>
        <w:t>余杭区</w:t>
      </w:r>
      <w:r>
        <w:rPr>
          <w:rFonts w:hint="eastAsia" w:ascii="宋体" w:hAnsi="宋体" w:eastAsia="宋体" w:cs="宋体"/>
          <w:color w:val="auto"/>
          <w:highlight w:val="none"/>
        </w:rPr>
        <w:t>政府采购办公室为政府采购监督管理部门，自愿参加本次项目投标的法人、其他组织为投标人，经评审产生并经批准的投标人为中标人，签订合同后的中标人为供应商(合同中的乙方)。</w:t>
      </w:r>
    </w:p>
    <w:p>
      <w:pPr>
        <w:pStyle w:val="208"/>
        <w:snapToGrid w:val="0"/>
        <w:spacing w:line="60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3、投标人一旦参与本次招标活动，即被视为接受了本招标文件的所有内容，如有任何异议，均已在答疑截止时间前提出。</w:t>
      </w:r>
    </w:p>
    <w:p>
      <w:pPr>
        <w:tabs>
          <w:tab w:val="left" w:pos="3780"/>
        </w:tabs>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投标人须对所投产品、方案、技术、服务等拥有合法的占有和处置权，并对涉及项目的所有内容可能侵权行为指控负责，保证不伤害招标人的利益。在法律范围内，如果出现文字、图片、商标和技术等侵权行为而造成的纠纷和产生的一切费用，招标人概不负责，由此给招标人造成损失的，</w:t>
      </w:r>
      <w:r>
        <w:rPr>
          <w:rFonts w:hint="eastAsia" w:ascii="宋体" w:hAnsi="宋体" w:eastAsia="宋体" w:cs="宋体"/>
          <w:color w:val="auto"/>
          <w:kern w:val="0"/>
          <w:sz w:val="24"/>
          <w:highlight w:val="none"/>
          <w:lang w:val="zh-CN"/>
        </w:rPr>
        <w:t>供应商</w:t>
      </w:r>
      <w:r>
        <w:rPr>
          <w:rFonts w:hint="eastAsia" w:ascii="宋体" w:hAnsi="宋体" w:eastAsia="宋体" w:cs="宋体"/>
          <w:color w:val="auto"/>
          <w:sz w:val="24"/>
          <w:highlight w:val="none"/>
        </w:rPr>
        <w:t>应承担相应后果，</w:t>
      </w:r>
      <w:r>
        <w:rPr>
          <w:rFonts w:hint="eastAsia" w:ascii="宋体" w:hAnsi="宋体" w:eastAsia="宋体" w:cs="宋体"/>
          <w:color w:val="auto"/>
          <w:kern w:val="0"/>
          <w:sz w:val="24"/>
          <w:highlight w:val="none"/>
          <w:lang w:val="zh-CN"/>
        </w:rPr>
        <w:t>并负责赔偿。</w:t>
      </w:r>
      <w:r>
        <w:rPr>
          <w:rFonts w:hint="eastAsia" w:ascii="宋体" w:hAnsi="宋体" w:eastAsia="宋体" w:cs="宋体"/>
          <w:color w:val="auto"/>
          <w:sz w:val="24"/>
          <w:highlight w:val="none"/>
        </w:rPr>
        <w:t>供应商为执行本项目合同而提供的技术资料等归招标人所有。</w:t>
      </w:r>
      <w:bookmarkStart w:id="25" w:name="_Toc91899873"/>
    </w:p>
    <w:p>
      <w:pPr>
        <w:tabs>
          <w:tab w:val="left" w:pos="3780"/>
        </w:tabs>
        <w:snapToGrid w:val="0"/>
        <w:spacing w:line="60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（二）采购方式</w:t>
      </w:r>
      <w:bookmarkEnd w:id="25"/>
    </w:p>
    <w:p>
      <w:pPr>
        <w:pStyle w:val="208"/>
        <w:snapToGrid w:val="0"/>
        <w:spacing w:line="60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公开招标。</w:t>
      </w:r>
      <w:bookmarkEnd w:id="21"/>
      <w:bookmarkEnd w:id="22"/>
      <w:bookmarkStart w:id="26" w:name="_Hlt74388212"/>
      <w:bookmarkEnd w:id="26"/>
      <w:bookmarkStart w:id="27" w:name="_Hlt68516771"/>
      <w:bookmarkEnd w:id="27"/>
    </w:p>
    <w:p>
      <w:pPr>
        <w:snapToGrid w:val="0"/>
        <w:spacing w:line="600" w:lineRule="exact"/>
        <w:rPr>
          <w:rFonts w:hint="eastAsia" w:ascii="宋体" w:hAnsi="宋体" w:eastAsia="宋体" w:cs="宋体"/>
          <w:b/>
          <w:color w:val="auto"/>
          <w:sz w:val="24"/>
          <w:highlight w:val="none"/>
        </w:rPr>
      </w:pPr>
      <w:bookmarkStart w:id="28" w:name="_Toc91899877"/>
      <w:bookmarkStart w:id="29" w:name="_Hlt74730303"/>
      <w:r>
        <w:rPr>
          <w:rFonts w:hint="eastAsia" w:ascii="宋体" w:hAnsi="宋体" w:eastAsia="宋体" w:cs="宋体"/>
          <w:b/>
          <w:color w:val="auto"/>
          <w:sz w:val="24"/>
          <w:highlight w:val="none"/>
        </w:rPr>
        <w:t>（三）</w:t>
      </w:r>
      <w:r>
        <w:rPr>
          <w:rFonts w:hint="eastAsia" w:ascii="宋体" w:hAnsi="宋体" w:eastAsia="宋体" w:cs="宋体"/>
          <w:b/>
          <w:color w:val="auto"/>
          <w:kern w:val="0"/>
          <w:sz w:val="24"/>
          <w:highlight w:val="none"/>
          <w:lang w:val="zh-CN"/>
        </w:rPr>
        <w:t>定义</w:t>
      </w:r>
    </w:p>
    <w:p>
      <w:pPr>
        <w:snapToGrid w:val="0"/>
        <w:spacing w:line="600" w:lineRule="exact"/>
        <w:ind w:firstLine="481"/>
        <w:rPr>
          <w:rFonts w:hint="eastAsia" w:ascii="宋体" w:hAnsi="宋体" w:eastAsia="宋体" w:cs="宋体"/>
          <w:color w:val="auto"/>
          <w:kern w:val="0"/>
          <w:sz w:val="24"/>
          <w:highlight w:val="none"/>
          <w:lang w:val="zh-CN"/>
        </w:rPr>
      </w:pPr>
      <w:r>
        <w:rPr>
          <w:rFonts w:hint="eastAsia" w:ascii="宋体" w:hAnsi="宋体" w:eastAsia="宋体" w:cs="宋体"/>
          <w:b/>
          <w:color w:val="auto"/>
          <w:kern w:val="0"/>
          <w:sz w:val="24"/>
          <w:highlight w:val="none"/>
          <w:lang w:val="zh-CN"/>
        </w:rPr>
        <w:t>1、合格的投标人应具备的资格要求，</w:t>
      </w:r>
      <w:r>
        <w:rPr>
          <w:rFonts w:hint="eastAsia" w:ascii="宋体" w:hAnsi="宋体" w:eastAsia="宋体" w:cs="宋体"/>
          <w:color w:val="auto"/>
          <w:kern w:val="0"/>
          <w:sz w:val="24"/>
          <w:highlight w:val="none"/>
          <w:lang w:val="zh-CN"/>
        </w:rPr>
        <w:t>见招标文件第一部分“招标公告”。</w:t>
      </w:r>
    </w:p>
    <w:p>
      <w:pPr>
        <w:tabs>
          <w:tab w:val="left" w:pos="0"/>
        </w:tabs>
        <w:autoSpaceDE w:val="0"/>
        <w:autoSpaceDN w:val="0"/>
        <w:snapToGrid w:val="0"/>
        <w:spacing w:line="60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2、内容</w:t>
      </w:r>
    </w:p>
    <w:p>
      <w:pPr>
        <w:spacing w:line="600" w:lineRule="exact"/>
        <w:ind w:firstLine="480" w:firstLineChars="200"/>
        <w:rPr>
          <w:rFonts w:hint="eastAsia" w:ascii="宋体" w:hAnsi="宋体" w:eastAsia="宋体" w:cs="宋体"/>
          <w:color w:val="auto"/>
          <w:sz w:val="24"/>
          <w:highlight w:val="none"/>
          <w:lang w:val="zh-CN" w:eastAsia="zh-CN"/>
        </w:rPr>
      </w:pPr>
      <w:r>
        <w:rPr>
          <w:rFonts w:hint="eastAsia" w:ascii="宋体" w:hAnsi="宋体" w:eastAsia="宋体" w:cs="宋体"/>
          <w:color w:val="auto"/>
          <w:sz w:val="24"/>
          <w:highlight w:val="none"/>
          <w:lang w:eastAsia="zh-CN"/>
        </w:rPr>
        <w:t>本项目采购内容为城区范围内的交通标志标线、隔离绿化护栏、等交通设施维护服务</w:t>
      </w:r>
      <w:r>
        <w:rPr>
          <w:rFonts w:hint="eastAsia" w:ascii="宋体" w:hAnsi="宋体" w:eastAsia="宋体" w:cs="宋体"/>
          <w:color w:val="auto"/>
          <w:sz w:val="24"/>
          <w:highlight w:val="none"/>
        </w:rPr>
        <w:t>；详见第三部分—项目技术规范和服务要求</w:t>
      </w:r>
      <w:r>
        <w:rPr>
          <w:rFonts w:hint="eastAsia" w:ascii="宋体" w:hAnsi="宋体" w:eastAsia="宋体" w:cs="宋体"/>
          <w:color w:val="auto"/>
          <w:sz w:val="24"/>
          <w:highlight w:val="none"/>
          <w:lang w:eastAsia="zh-CN"/>
        </w:rPr>
        <w:t>。</w:t>
      </w:r>
    </w:p>
    <w:p>
      <w:pPr>
        <w:pStyle w:val="42"/>
        <w:snapToGrid w:val="0"/>
        <w:spacing w:line="6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（四）投标费用</w:t>
      </w:r>
    </w:p>
    <w:p>
      <w:pPr>
        <w:snapToGrid w:val="0"/>
        <w:spacing w:line="600" w:lineRule="exact"/>
        <w:ind w:firstLine="523" w:firstLineChars="218"/>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投标人需自行承担涉及投标的一切税、费用</w:t>
      </w:r>
      <w:r>
        <w:rPr>
          <w:rFonts w:hint="eastAsia" w:ascii="宋体" w:hAnsi="宋体" w:eastAsia="宋体" w:cs="宋体"/>
          <w:color w:val="auto"/>
          <w:sz w:val="24"/>
          <w:highlight w:val="none"/>
          <w:lang w:val="zh-CN"/>
        </w:rPr>
        <w:t>。</w:t>
      </w:r>
    </w:p>
    <w:bookmarkEnd w:id="28"/>
    <w:bookmarkEnd w:id="29"/>
    <w:p>
      <w:pPr>
        <w:shd w:val="clear" w:color="auto" w:fill="FFFFFF"/>
        <w:snapToGrid w:val="0"/>
        <w:spacing w:line="600" w:lineRule="exact"/>
        <w:jc w:val="center"/>
        <w:outlineLvl w:val="1"/>
        <w:rPr>
          <w:rFonts w:hint="eastAsia" w:ascii="宋体" w:hAnsi="宋体" w:eastAsia="宋体" w:cs="宋体"/>
          <w:b/>
          <w:bCs/>
          <w:color w:val="auto"/>
          <w:sz w:val="24"/>
          <w:highlight w:val="none"/>
        </w:rPr>
      </w:pPr>
      <w:bookmarkStart w:id="30" w:name="_Toc33194389"/>
    </w:p>
    <w:p>
      <w:pPr>
        <w:shd w:val="clear" w:color="auto" w:fill="FFFFFF"/>
        <w:snapToGrid w:val="0"/>
        <w:spacing w:line="600" w:lineRule="exact"/>
        <w:jc w:val="center"/>
        <w:outlineLvl w:val="1"/>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二、招标文件</w:t>
      </w:r>
      <w:bookmarkEnd w:id="23"/>
      <w:bookmarkEnd w:id="24"/>
      <w:bookmarkEnd w:id="30"/>
    </w:p>
    <w:p>
      <w:pPr>
        <w:shd w:val="clear" w:color="auto" w:fill="FFFFFF"/>
        <w:snapToGrid w:val="0"/>
        <w:spacing w:line="600" w:lineRule="exact"/>
        <w:rPr>
          <w:rFonts w:hint="eastAsia" w:ascii="宋体" w:hAnsi="宋体" w:eastAsia="宋体" w:cs="宋体"/>
          <w:b/>
          <w:bCs/>
          <w:color w:val="auto"/>
          <w:sz w:val="24"/>
          <w:highlight w:val="none"/>
        </w:rPr>
      </w:pPr>
      <w:bookmarkStart w:id="31" w:name="_Toc91899880"/>
      <w:bookmarkStart w:id="32" w:name="_Hlt74730307"/>
      <w:r>
        <w:rPr>
          <w:rFonts w:hint="eastAsia" w:ascii="宋体" w:hAnsi="宋体" w:eastAsia="宋体" w:cs="宋体"/>
          <w:b/>
          <w:bCs/>
          <w:color w:val="auto"/>
          <w:sz w:val="24"/>
          <w:highlight w:val="none"/>
        </w:rPr>
        <w:t>（一）招标文件的构成</w:t>
      </w:r>
      <w:bookmarkEnd w:id="31"/>
    </w:p>
    <w:bookmarkEnd w:id="32"/>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1、招标文件包括下列文件及附件</w:t>
      </w:r>
    </w:p>
    <w:p>
      <w:pPr>
        <w:shd w:val="clear" w:color="auto" w:fill="FFFFFF"/>
        <w:snapToGrid w:val="0"/>
        <w:spacing w:line="600" w:lineRule="exact"/>
        <w:ind w:left="480"/>
        <w:rPr>
          <w:rFonts w:hint="eastAsia" w:ascii="宋体" w:hAnsi="宋体" w:eastAsia="宋体" w:cs="宋体"/>
          <w:color w:val="auto"/>
          <w:sz w:val="24"/>
          <w:highlight w:val="none"/>
        </w:rPr>
      </w:pPr>
      <w:r>
        <w:rPr>
          <w:rFonts w:hint="eastAsia" w:ascii="宋体" w:hAnsi="宋体" w:eastAsia="宋体" w:cs="宋体"/>
          <w:color w:val="auto"/>
          <w:sz w:val="24"/>
          <w:highlight w:val="none"/>
        </w:rPr>
        <w:t>第一部分  招标公告</w:t>
      </w:r>
    </w:p>
    <w:p>
      <w:pPr>
        <w:shd w:val="clear" w:color="auto" w:fill="FFFFFF"/>
        <w:snapToGrid w:val="0"/>
        <w:spacing w:line="600" w:lineRule="exact"/>
        <w:ind w:left="480"/>
        <w:rPr>
          <w:rFonts w:hint="eastAsia" w:ascii="宋体" w:hAnsi="宋体" w:eastAsia="宋体" w:cs="宋体"/>
          <w:color w:val="auto"/>
          <w:sz w:val="24"/>
          <w:highlight w:val="none"/>
        </w:rPr>
      </w:pPr>
      <w:r>
        <w:rPr>
          <w:rFonts w:hint="eastAsia" w:ascii="宋体" w:hAnsi="宋体" w:eastAsia="宋体" w:cs="宋体"/>
          <w:color w:val="auto"/>
          <w:sz w:val="24"/>
          <w:highlight w:val="none"/>
        </w:rPr>
        <w:t>第二部分  编制和提交投标文件须知</w:t>
      </w:r>
    </w:p>
    <w:p>
      <w:pPr>
        <w:shd w:val="clear" w:color="auto" w:fill="FFFFFF"/>
        <w:snapToGrid w:val="0"/>
        <w:spacing w:line="600" w:lineRule="exact"/>
        <w:ind w:left="480"/>
        <w:rPr>
          <w:rFonts w:hint="eastAsia" w:ascii="宋体" w:hAnsi="宋体" w:eastAsia="宋体" w:cs="宋体"/>
          <w:color w:val="auto"/>
          <w:sz w:val="24"/>
          <w:highlight w:val="none"/>
        </w:rPr>
      </w:pPr>
      <w:r>
        <w:rPr>
          <w:rFonts w:hint="eastAsia" w:ascii="宋体" w:hAnsi="宋体" w:eastAsia="宋体" w:cs="宋体"/>
          <w:color w:val="auto"/>
          <w:sz w:val="24"/>
          <w:highlight w:val="none"/>
        </w:rPr>
        <w:t>第三部分  项目技术规范和服务要求</w:t>
      </w:r>
    </w:p>
    <w:p>
      <w:pPr>
        <w:shd w:val="clear" w:color="auto" w:fill="FFFFFF"/>
        <w:snapToGrid w:val="0"/>
        <w:spacing w:line="600" w:lineRule="exact"/>
        <w:ind w:left="480"/>
        <w:rPr>
          <w:rFonts w:hint="eastAsia" w:ascii="宋体" w:hAnsi="宋体" w:eastAsia="宋体" w:cs="宋体"/>
          <w:color w:val="auto"/>
          <w:sz w:val="24"/>
          <w:highlight w:val="none"/>
        </w:rPr>
      </w:pPr>
      <w:r>
        <w:rPr>
          <w:rFonts w:hint="eastAsia" w:ascii="宋体" w:hAnsi="宋体" w:eastAsia="宋体" w:cs="宋体"/>
          <w:color w:val="auto"/>
          <w:sz w:val="24"/>
          <w:highlight w:val="none"/>
        </w:rPr>
        <w:t>第四部分  合同主要条款</w:t>
      </w:r>
    </w:p>
    <w:p>
      <w:pPr>
        <w:shd w:val="clear" w:color="auto" w:fill="FFFFFF"/>
        <w:snapToGrid w:val="0"/>
        <w:spacing w:line="600" w:lineRule="exact"/>
        <w:ind w:left="480"/>
        <w:rPr>
          <w:rFonts w:hint="eastAsia" w:ascii="宋体" w:hAnsi="宋体" w:eastAsia="宋体" w:cs="宋体"/>
          <w:color w:val="auto"/>
          <w:sz w:val="24"/>
          <w:highlight w:val="none"/>
        </w:rPr>
      </w:pPr>
      <w:r>
        <w:rPr>
          <w:rFonts w:hint="eastAsia" w:ascii="宋体" w:hAnsi="宋体" w:eastAsia="宋体" w:cs="宋体"/>
          <w:color w:val="auto"/>
          <w:sz w:val="24"/>
          <w:highlight w:val="none"/>
        </w:rPr>
        <w:t>第五部分  应提交的有关格式范例</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人应认真审阅招标文件中所有的内容，包括编制和提交投标文件须知、项目技术规范和服务要求、采购合同主要条款、应提交的有关格式范例等。如果投标人编制的投标文件没有从实质上响应招标文件的要求，其投标文件将被拒绝。</w:t>
      </w:r>
    </w:p>
    <w:p>
      <w:pPr>
        <w:pStyle w:val="42"/>
        <w:snapToGrid w:val="0"/>
        <w:spacing w:line="600" w:lineRule="exac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（二）招标文件的澄清</w:t>
      </w:r>
    </w:p>
    <w:p>
      <w:pPr>
        <w:pStyle w:val="176"/>
        <w:snapToGrid w:val="0"/>
        <w:spacing w:before="0" w:line="600" w:lineRule="exact"/>
        <w:ind w:left="120" w:leftChars="57"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1、供应商认为招标文件使自己的权益受到损害的，可以自获取招标文件之日（获取截止日之后收到招标文件的，以获取截止日为准）起7个工作日内，以书面形式向采购人和采购代理机构提出质疑。</w:t>
      </w:r>
    </w:p>
    <w:p>
      <w:pPr>
        <w:tabs>
          <w:tab w:val="left" w:pos="3780"/>
        </w:tabs>
        <w:snapToGrid w:val="0"/>
        <w:spacing w:line="600" w:lineRule="exact"/>
        <w:ind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2、投标人一旦参与本次采购活动，即被视为接受了本招标文件的所有内容，如有任何异议，均已在答疑截止时间前提出。</w:t>
      </w:r>
    </w:p>
    <w:p>
      <w:pPr>
        <w:shd w:val="clear" w:color="auto" w:fill="FFFFFF"/>
        <w:snapToGrid w:val="0"/>
        <w:spacing w:line="60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（三）招标文件的修改</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1、招标文件澄清、答复、修改、补充的内容为招标文件的组成部分。当招标文件与招标文件的答复、澄清、修改、补充通知就同一内容的表述不一致时，以最后发出的文件为准。</w:t>
      </w:r>
    </w:p>
    <w:p>
      <w:pPr>
        <w:shd w:val="clear" w:color="auto" w:fill="FFFFFF"/>
        <w:snapToGrid w:val="0"/>
        <w:spacing w:line="60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2、若有必要，招标代理机构将酌情延长递交投标文件的截止日期。</w:t>
      </w:r>
    </w:p>
    <w:p>
      <w:pPr>
        <w:shd w:val="clear" w:color="auto" w:fill="FFFFFF"/>
        <w:snapToGrid w:val="0"/>
        <w:spacing w:line="60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（四）投标报价</w:t>
      </w:r>
    </w:p>
    <w:p>
      <w:pPr>
        <w:pStyle w:val="176"/>
        <w:snapToGrid w:val="0"/>
        <w:spacing w:before="0" w:line="600" w:lineRule="exact"/>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1、报价</w:t>
      </w:r>
    </w:p>
    <w:p>
      <w:pPr>
        <w:pStyle w:val="176"/>
        <w:snapToGrid w:val="0"/>
        <w:spacing w:before="0" w:line="600" w:lineRule="exact"/>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有关本项目所需的一切费用均计入报价。投标人应根据《开标一览表》填写相关内容。《开标一览表》是报价的唯一载体。</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2、其它费用处理</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招标文件未列明，而投标人认为必需的费用也需列入报价。投标人在投标报价中应充分考虑所有可能发生的费用，否则招标人将视投标总价中已包括所有费用。</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3、投标货币</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投标文件中价格全部采用人民币报价。报价应是唯一的，不接受有选择的报价。</w:t>
      </w:r>
    </w:p>
    <w:p>
      <w:pPr>
        <w:shd w:val="clear" w:color="auto" w:fill="FFFFFF"/>
        <w:snapToGrid w:val="0"/>
        <w:spacing w:line="600" w:lineRule="exact"/>
        <w:ind w:firstLine="480" w:firstLineChars="200"/>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4、投标人对在合同执行中，除上述费用及招标文件规定的由中标人负责的工作范围以外需要招标人协调或提供便利的工作应当在投标文件中说明。</w:t>
      </w:r>
    </w:p>
    <w:p>
      <w:pPr>
        <w:tabs>
          <w:tab w:val="left" w:pos="3780"/>
        </w:tabs>
        <w:snapToGrid w:val="0"/>
        <w:spacing w:line="600" w:lineRule="exact"/>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5、其他注意事项：</w:t>
      </w:r>
    </w:p>
    <w:p>
      <w:pPr>
        <w:tabs>
          <w:tab w:val="left" w:pos="3780"/>
        </w:tabs>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投标人在投标活动中提供任何虚假材料，其投标无效，并上报监管部门。</w:t>
      </w:r>
    </w:p>
    <w:p>
      <w:pPr>
        <w:snapToGrid w:val="0"/>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6、中小企业（含中型、小型、微型）指符合中小企业划分标准（工信部联企业[2011]300号），在本项目政府采购活动中提供本企业提供的服务，或者提供其他中小企业提供的服务的企业。小型、微型企业提供中型企业提供的服务的，视同为中型企业。</w:t>
      </w:r>
    </w:p>
    <w:p>
      <w:pPr>
        <w:tabs>
          <w:tab w:val="left" w:pos="3780"/>
        </w:tabs>
        <w:snapToGrid w:val="0"/>
        <w:spacing w:line="600" w:lineRule="exact"/>
        <w:ind w:firstLine="532" w:firstLineChars="222"/>
        <w:rPr>
          <w:rFonts w:hint="eastAsia" w:ascii="宋体" w:hAnsi="宋体" w:eastAsia="宋体" w:cs="宋体"/>
          <w:color w:val="auto"/>
          <w:sz w:val="24"/>
          <w:highlight w:val="none"/>
        </w:rPr>
      </w:pPr>
      <w:r>
        <w:rPr>
          <w:rFonts w:hint="eastAsia" w:ascii="宋体" w:hAnsi="宋体" w:eastAsia="宋体" w:cs="宋体"/>
          <w:color w:val="auto"/>
          <w:sz w:val="24"/>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tabs>
          <w:tab w:val="left" w:pos="3780"/>
        </w:tabs>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残疾人福利性单位：符合《财政部 民政部 中国残疾人联合会关于促进残疾人就业政府采购政策的通知》（财库（2017）141号）的规定单位。</w:t>
      </w:r>
    </w:p>
    <w:p>
      <w:pPr>
        <w:snapToGrid w:val="0"/>
        <w:spacing w:line="600" w:lineRule="exact"/>
        <w:jc w:val="center"/>
        <w:rPr>
          <w:rFonts w:hint="eastAsia" w:ascii="宋体" w:hAnsi="宋体" w:eastAsia="宋体" w:cs="宋体"/>
          <w:b/>
          <w:bCs/>
          <w:color w:val="auto"/>
          <w:sz w:val="24"/>
          <w:highlight w:val="none"/>
        </w:rPr>
      </w:pPr>
      <w:bookmarkStart w:id="33" w:name="_Toc33194390"/>
    </w:p>
    <w:p>
      <w:pPr>
        <w:snapToGrid w:val="0"/>
        <w:spacing w:line="600" w:lineRule="exact"/>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w:t>
      </w:r>
      <w:bookmarkStart w:id="34" w:name="_Hlt75236011"/>
      <w:bookmarkEnd w:id="34"/>
      <w:bookmarkStart w:id="35" w:name="_Toc354996698"/>
      <w:bookmarkStart w:id="36" w:name="_Toc233618974"/>
      <w:bookmarkStart w:id="37" w:name="_Toc91899884"/>
      <w:r>
        <w:rPr>
          <w:rFonts w:hint="eastAsia" w:ascii="宋体" w:hAnsi="宋体" w:eastAsia="宋体" w:cs="宋体"/>
          <w:b/>
          <w:bCs/>
          <w:color w:val="auto"/>
          <w:sz w:val="24"/>
          <w:highlight w:val="none"/>
        </w:rPr>
        <w:t>投标文件</w:t>
      </w:r>
      <w:bookmarkEnd w:id="33"/>
      <w:bookmarkEnd w:id="35"/>
      <w:bookmarkEnd w:id="36"/>
      <w:bookmarkEnd w:id="37"/>
    </w:p>
    <w:p>
      <w:pPr>
        <w:shd w:val="clear" w:color="auto" w:fill="FFFFFF"/>
        <w:snapToGrid w:val="0"/>
        <w:spacing w:line="60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（一）投标文件的语言</w:t>
      </w:r>
    </w:p>
    <w:p>
      <w:pPr>
        <w:shd w:val="clear" w:color="auto" w:fill="FFFFFF"/>
        <w:snapToGrid w:val="0"/>
        <w:spacing w:line="60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投标文件及投标人与采购有关的来往通知、函件和文件均应使用中文。</w:t>
      </w:r>
    </w:p>
    <w:p>
      <w:pPr>
        <w:pStyle w:val="176"/>
        <w:snapToGrid w:val="0"/>
        <w:spacing w:before="0" w:line="600" w:lineRule="exact"/>
        <w:ind w:firstLine="0" w:firstLineChars="0"/>
        <w:rPr>
          <w:rFonts w:hint="eastAsia" w:ascii="宋体" w:hAnsi="宋体" w:eastAsia="宋体" w:cs="宋体"/>
          <w:b/>
          <w:color w:val="auto"/>
          <w:szCs w:val="24"/>
          <w:highlight w:val="none"/>
        </w:rPr>
      </w:pPr>
      <w:bookmarkStart w:id="38" w:name="_Toc91899887"/>
      <w:r>
        <w:rPr>
          <w:rFonts w:hint="eastAsia" w:ascii="宋体" w:hAnsi="宋体" w:eastAsia="宋体" w:cs="宋体"/>
          <w:b/>
          <w:color w:val="auto"/>
          <w:szCs w:val="24"/>
          <w:highlight w:val="none"/>
        </w:rPr>
        <w:t>（二）投标文件的组成</w:t>
      </w:r>
    </w:p>
    <w:p>
      <w:pPr>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投标文件应当包括以下主要内容：资格文件、报价文件、商务技术文件。</w:t>
      </w:r>
    </w:p>
    <w:p>
      <w:pPr>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1、投标人的资格文件至少应包括以下内容： </w:t>
      </w:r>
    </w:p>
    <w:p>
      <w:pPr>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基本资格条件审查材料：</w:t>
      </w:r>
    </w:p>
    <w:p>
      <w:pPr>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【即证明其符合《中华人民共和国政府采购法》规定的供应商基本条件的有关资格证明文件。】</w:t>
      </w:r>
    </w:p>
    <w:p>
      <w:pPr>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包括：</w:t>
      </w:r>
    </w:p>
    <w:p>
      <w:pPr>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（1）营业执照(或事业法人登记证书或其它工商等登记证明材料；自然人参与政府采购，提供身份证)复印件； </w:t>
      </w:r>
    </w:p>
    <w:p>
      <w:pPr>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（2）最近一年财务报表(复印件，新成立的公司提供情况说明)；</w:t>
      </w:r>
    </w:p>
    <w:p>
      <w:pPr>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（3）具有履行合同所必需的场地、设备和专业技术能力的承诺函；</w:t>
      </w:r>
    </w:p>
    <w:p>
      <w:pPr>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（4）依法缴纳税收和社会保障资金的承诺函；</w:t>
      </w:r>
    </w:p>
    <w:p>
      <w:pPr>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（5）参加政府采购活动前3年内在经营活动中没有重大违法记录的声明函；</w:t>
      </w:r>
    </w:p>
    <w:p>
      <w:pPr>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（6）单位负责人为同一人或者存在直接控股、管理关系的不同供应商，不得参加同一合同项下的政府采购活动承诺函；</w:t>
      </w:r>
    </w:p>
    <w:p>
      <w:pPr>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（7）投标供应商没有失信记录承诺函；</w:t>
      </w:r>
    </w:p>
    <w:p>
      <w:pPr>
        <w:snapToGrid w:val="0"/>
        <w:spacing w:line="600" w:lineRule="exact"/>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（8）</w:t>
      </w:r>
      <w:r>
        <w:rPr>
          <w:rFonts w:hint="eastAsia" w:ascii="宋体" w:hAnsi="宋体" w:eastAsia="宋体" w:cs="宋体"/>
          <w:color w:val="auto"/>
          <w:kern w:val="0"/>
          <w:sz w:val="24"/>
          <w:highlight w:val="none"/>
        </w:rPr>
        <w:t>投</w:t>
      </w:r>
      <w:r>
        <w:rPr>
          <w:rFonts w:hint="eastAsia" w:ascii="宋体" w:hAnsi="宋体" w:eastAsia="宋体" w:cs="宋体"/>
          <w:color w:val="auto"/>
          <w:sz w:val="24"/>
          <w:szCs w:val="21"/>
          <w:highlight w:val="none"/>
        </w:rPr>
        <w:t>标供应商不属于</w:t>
      </w:r>
      <w:r>
        <w:rPr>
          <w:rFonts w:hint="eastAsia" w:ascii="宋体" w:hAnsi="宋体" w:eastAsia="宋体" w:cs="宋体"/>
          <w:color w:val="auto"/>
          <w:kern w:val="0"/>
          <w:sz w:val="24"/>
          <w:highlight w:val="none"/>
        </w:rPr>
        <w:t>公益一类事业单位、使用事业编制且由财政拨款保障的群团组织的</w:t>
      </w:r>
      <w:r>
        <w:rPr>
          <w:rFonts w:hint="eastAsia" w:ascii="宋体" w:hAnsi="宋体" w:eastAsia="宋体" w:cs="宋体"/>
          <w:color w:val="auto"/>
          <w:sz w:val="24"/>
          <w:szCs w:val="21"/>
          <w:highlight w:val="none"/>
        </w:rPr>
        <w:t>承诺函</w:t>
      </w:r>
      <w:r>
        <w:rPr>
          <w:rFonts w:hint="eastAsia" w:ascii="宋体" w:hAnsi="宋体" w:eastAsia="宋体" w:cs="宋体"/>
          <w:color w:val="auto"/>
          <w:sz w:val="24"/>
          <w:szCs w:val="21"/>
          <w:highlight w:val="none"/>
          <w:lang w:eastAsia="zh-CN"/>
        </w:rPr>
        <w:t>；</w:t>
      </w:r>
    </w:p>
    <w:p>
      <w:pPr>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上述资格条件审查材料有一项不提供的，视为资格审查不通过。</w:t>
      </w:r>
    </w:p>
    <w:p>
      <w:pPr>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2、投标人的报价文件至少应包括以下内容： </w:t>
      </w:r>
    </w:p>
    <w:p>
      <w:pPr>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（1）投标响应函；</w:t>
      </w:r>
    </w:p>
    <w:p>
      <w:pPr>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（2）开标一览表；</w:t>
      </w:r>
    </w:p>
    <w:p>
      <w:pPr>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（3）报价明细清单；</w:t>
      </w:r>
    </w:p>
    <w:p>
      <w:pPr>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（4）中小企业声明函、监狱企业、残疾人福利性单位及其他相关的充分的证明材料。 </w:t>
      </w:r>
    </w:p>
    <w:p>
      <w:pPr>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3、投标人的商务技术文件至少应包括以下内容： </w:t>
      </w:r>
    </w:p>
    <w:p>
      <w:pPr>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（1）法定代表人授权委托书；</w:t>
      </w:r>
    </w:p>
    <w:p>
      <w:pPr>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（2）法定代表人及授权委托人的身份证(复印件加盖公章)；</w:t>
      </w:r>
    </w:p>
    <w:p>
      <w:pPr>
        <w:spacing w:line="60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w:t>
      </w:r>
      <w:r>
        <w:rPr>
          <w:rFonts w:hint="eastAsia" w:ascii="宋体" w:hAnsi="宋体" w:eastAsia="宋体" w:cs="宋体"/>
          <w:b/>
          <w:bCs/>
          <w:color w:val="auto"/>
          <w:sz w:val="24"/>
          <w:highlight w:val="none"/>
          <w:lang w:val="en-US" w:eastAsia="zh-CN"/>
        </w:rPr>
        <w:t>3</w:t>
      </w:r>
      <w:r>
        <w:rPr>
          <w:rFonts w:hint="eastAsia" w:ascii="宋体" w:hAnsi="宋体" w:eastAsia="宋体" w:cs="宋体"/>
          <w:b/>
          <w:bCs/>
          <w:color w:val="auto"/>
          <w:sz w:val="24"/>
          <w:highlight w:val="none"/>
        </w:rPr>
        <w:t>）采购需求实质性内容响应表（格式见第五部分  应提交的有关格式范例）；</w:t>
      </w:r>
    </w:p>
    <w:p>
      <w:pPr>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en-US" w:eastAsia="zh-CN"/>
        </w:rPr>
        <w:t>4</w:t>
      </w: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对应评分细则提供相关证明资料</w:t>
      </w:r>
      <w:r>
        <w:rPr>
          <w:rFonts w:hint="eastAsia" w:ascii="宋体" w:hAnsi="宋体" w:eastAsia="宋体" w:cs="宋体"/>
          <w:color w:val="auto"/>
          <w:kern w:val="0"/>
          <w:sz w:val="24"/>
          <w:highlight w:val="none"/>
        </w:rPr>
        <w:t>；</w:t>
      </w:r>
    </w:p>
    <w:p>
      <w:pPr>
        <w:snapToGrid w:val="0"/>
        <w:spacing w:line="600" w:lineRule="exact"/>
        <w:ind w:firstLine="482" w:firstLineChars="200"/>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投标文件中所需的各种证书、证件、证明资料如是复印件，须在复印件上加盖有效公章。</w:t>
      </w:r>
    </w:p>
    <w:p>
      <w:pPr>
        <w:snapToGrid w:val="0"/>
        <w:spacing w:line="600" w:lineRule="exact"/>
        <w:ind w:firstLine="482" w:firstLineChars="200"/>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投标人的投标文件必须按照招标文件要求制作。</w:t>
      </w:r>
    </w:p>
    <w:p>
      <w:pPr>
        <w:shd w:val="clear" w:color="auto" w:fill="FFFFFF"/>
        <w:snapToGrid w:val="0"/>
        <w:spacing w:line="60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（三）投标有效期</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1、投标文件合格投递后，自投标截止日期起，至前附表所列的日期内有效。</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2、在原定投标有效期之前，如果出现特殊情况，招标代理机构可以以书面形式通知投标人延长投标有效期。</w:t>
      </w:r>
    </w:p>
    <w:p>
      <w:pPr>
        <w:shd w:val="clear" w:color="auto" w:fill="FFFFFF"/>
        <w:snapToGrid w:val="0"/>
        <w:spacing w:line="60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（四）投标保证金</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无。</w:t>
      </w:r>
    </w:p>
    <w:p>
      <w:pPr>
        <w:spacing w:line="60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（五）</w:t>
      </w:r>
      <w:bookmarkEnd w:id="38"/>
      <w:bookmarkStart w:id="39" w:name="_Hlt68072998"/>
      <w:bookmarkEnd w:id="39"/>
      <w:bookmarkStart w:id="40" w:name="_Hlt68403820"/>
      <w:bookmarkEnd w:id="40"/>
      <w:bookmarkStart w:id="41" w:name="_Hlt68073093"/>
      <w:bookmarkEnd w:id="41"/>
      <w:bookmarkStart w:id="42" w:name="_Toc91899892"/>
      <w:bookmarkStart w:id="43" w:name="_Toc233618975"/>
      <w:bookmarkStart w:id="44" w:name="_Toc86216991"/>
      <w:r>
        <w:rPr>
          <w:rFonts w:hint="eastAsia" w:ascii="宋体" w:hAnsi="宋体" w:eastAsia="宋体" w:cs="宋体"/>
          <w:b/>
          <w:bCs/>
          <w:color w:val="auto"/>
          <w:sz w:val="24"/>
          <w:highlight w:val="none"/>
        </w:rPr>
        <w:t>投标文件编制</w:t>
      </w:r>
    </w:p>
    <w:p>
      <w:pPr>
        <w:spacing w:line="60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5.1</w:t>
      </w:r>
      <w:r>
        <w:rPr>
          <w:rFonts w:hint="eastAsia" w:ascii="宋体" w:hAnsi="宋体" w:eastAsia="宋体" w:cs="宋体"/>
          <w:b/>
          <w:color w:val="auto"/>
          <w:sz w:val="24"/>
          <w:highlight w:val="none"/>
        </w:rPr>
        <w:t>本项目通过“政府采购云平台（www.zcygov.cn）”实行在线投标响应（电子投标）。供应商应通过“政采云电子交易客户端”，并按照本招标文件和“政府采购云平台”的要求编制并加密投标文件。</w:t>
      </w:r>
    </w:p>
    <w:p>
      <w:pPr>
        <w:spacing w:line="600" w:lineRule="exact"/>
        <w:ind w:firstLine="422" w:firstLineChars="175"/>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5.2投标供应商应当按照本章节 “投标文件组成”规定的内容及顺序在“政采云电子交易客户端”编制投标文件。其中《资格文件》和《商务技术文件》中不得出现本项目投标报价，如因投标人原因提前泄露投标报价，是投标人的责任。</w:t>
      </w:r>
    </w:p>
    <w:p>
      <w:pPr>
        <w:spacing w:line="600" w:lineRule="exact"/>
        <w:ind w:firstLine="422" w:firstLineChars="175"/>
        <w:rPr>
          <w:rFonts w:hint="eastAsia" w:ascii="宋体" w:hAnsi="宋体" w:eastAsia="宋体" w:cs="宋体"/>
          <w:b/>
          <w:color w:val="auto"/>
          <w:sz w:val="24"/>
          <w:highlight w:val="none"/>
        </w:rPr>
      </w:pPr>
      <w:r>
        <w:rPr>
          <w:rFonts w:hint="eastAsia" w:ascii="宋体" w:hAnsi="宋体" w:eastAsia="宋体" w:cs="宋体"/>
          <w:b/>
          <w:color w:val="auto"/>
          <w:sz w:val="24"/>
          <w:highlight w:val="none"/>
        </w:rPr>
        <w:t>5.3本文件《第五部分  应提交的有关格式范例》中有提供格式的，投标供应商须参照格式进行编制（格式中要求提供相关证明材料的还需后附相关证明材料），并按格式要求在指定位置根据要求进行签章，否则视为未提供；本文件《第五部分  应提交的有关格式范例》未提供格式的，请各投标单位自行拟定格式，并加盖单位公章并由法定代表人或其授权代表签署（签字或盖章），否则视为未提供。</w:t>
      </w:r>
    </w:p>
    <w:p>
      <w:pPr>
        <w:spacing w:line="600" w:lineRule="exact"/>
        <w:ind w:firstLine="420" w:firstLineChars="17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5.4《投标文件》内容不完整、编排混乱导致《投标文件》被误读、漏读或者查找不到相关内容的，是投标供应商的责任。</w:t>
      </w:r>
    </w:p>
    <w:p>
      <w:pPr>
        <w:spacing w:line="600" w:lineRule="exact"/>
        <w:ind w:firstLine="420" w:firstLineChars="17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5.5《投标文件》因字迹潦草或表达不清所引起的后果由投标供应商负责。</w:t>
      </w:r>
    </w:p>
    <w:p>
      <w:pPr>
        <w:spacing w:line="600" w:lineRule="exact"/>
        <w:ind w:firstLine="420" w:firstLineChars="17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5.6投标供应商没有按照本章节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pPr>
        <w:pStyle w:val="7"/>
        <w:numPr>
          <w:ilvl w:val="2"/>
          <w:numId w:val="0"/>
        </w:numPr>
        <w:spacing w:before="0" w:after="0" w:line="600" w:lineRule="exact"/>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（六）投标文件的签章</w:t>
      </w:r>
    </w:p>
    <w:p>
      <w:pPr>
        <w:spacing w:line="600" w:lineRule="exact"/>
        <w:ind w:firstLine="463" w:firstLineChars="192"/>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6.1《投标文件》的签章：</w:t>
      </w:r>
      <w:r>
        <w:rPr>
          <w:rFonts w:hint="eastAsia" w:ascii="宋体" w:hAnsi="宋体" w:eastAsia="宋体" w:cs="宋体"/>
          <w:b/>
          <w:color w:val="auto"/>
          <w:sz w:val="24"/>
          <w:highlight w:val="none"/>
        </w:rPr>
        <w:t>见《前附表》；</w:t>
      </w:r>
    </w:p>
    <w:p>
      <w:pPr>
        <w:spacing w:line="600" w:lineRule="exact"/>
        <w:ind w:firstLine="463" w:firstLineChars="192"/>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6.2《投标文件》应由投标供应商法定代表人或其授权代表签字（或盖章），并时加盖投标供应商公章。</w:t>
      </w:r>
    </w:p>
    <w:p>
      <w:pPr>
        <w:spacing w:line="600" w:lineRule="exact"/>
        <w:ind w:firstLine="424" w:firstLineChars="176"/>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6.3电子签章操作指南详见采购公告附件</w:t>
      </w:r>
      <w:r>
        <w:rPr>
          <w:rFonts w:hint="eastAsia" w:ascii="宋体" w:hAnsi="宋体" w:eastAsia="宋体" w:cs="宋体"/>
          <w:b/>
          <w:color w:val="auto"/>
          <w:sz w:val="24"/>
          <w:highlight w:val="none"/>
        </w:rPr>
        <w:t>《供应商项目采购-电子招投标操作指南》</w:t>
      </w:r>
      <w:r>
        <w:rPr>
          <w:rFonts w:hint="eastAsia" w:ascii="宋体" w:hAnsi="宋体" w:eastAsia="宋体" w:cs="宋体"/>
          <w:color w:val="auto"/>
          <w:sz w:val="24"/>
          <w:highlight w:val="none"/>
        </w:rPr>
        <w:t>。</w:t>
      </w:r>
    </w:p>
    <w:p>
      <w:pPr>
        <w:pStyle w:val="7"/>
        <w:numPr>
          <w:ilvl w:val="2"/>
          <w:numId w:val="0"/>
        </w:numPr>
        <w:spacing w:before="0" w:after="0" w:line="600" w:lineRule="exact"/>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（七）投标文件的形式</w:t>
      </w:r>
    </w:p>
    <w:p>
      <w:pPr>
        <w:spacing w:line="600" w:lineRule="exact"/>
        <w:ind w:firstLine="424" w:firstLineChars="176"/>
        <w:rPr>
          <w:rFonts w:hint="eastAsia" w:ascii="宋体" w:hAnsi="宋体" w:eastAsia="宋体" w:cs="宋体"/>
          <w:color w:val="auto"/>
          <w:sz w:val="24"/>
          <w:highlight w:val="none"/>
        </w:rPr>
      </w:pPr>
      <w:r>
        <w:rPr>
          <w:rFonts w:hint="eastAsia" w:ascii="宋体" w:hAnsi="宋体" w:eastAsia="宋体" w:cs="宋体"/>
          <w:b/>
          <w:color w:val="auto"/>
          <w:sz w:val="24"/>
          <w:highlight w:val="none"/>
        </w:rPr>
        <w:t>7.1投标文件的形式：见《前附表》；</w:t>
      </w:r>
    </w:p>
    <w:p>
      <w:pPr>
        <w:spacing w:line="600" w:lineRule="exact"/>
        <w:ind w:firstLine="424" w:firstLineChars="17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7.2“电子加密投标文件”：“电子加密投标文件”是指通过“政采云电子交易客户端”完成投标文件编制后生成并加密的数据电文形式的投标文件。</w:t>
      </w:r>
    </w:p>
    <w:p>
      <w:pPr>
        <w:spacing w:line="600" w:lineRule="exact"/>
        <w:ind w:firstLine="424" w:firstLineChars="17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7.3“备份投标文件”：“备份投标文件”是指与“电子加密投标文件”同时生成的数据电文形式的电子文件（备份标书），其他方式编制的“备份投标文件”视为无效的“备份投标文件”。</w:t>
      </w:r>
    </w:p>
    <w:p>
      <w:pPr>
        <w:pStyle w:val="7"/>
        <w:numPr>
          <w:ilvl w:val="2"/>
          <w:numId w:val="0"/>
        </w:numPr>
        <w:spacing w:before="0" w:after="0" w:line="600" w:lineRule="exact"/>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（八）投标文件的份数</w:t>
      </w:r>
    </w:p>
    <w:p>
      <w:pPr>
        <w:spacing w:line="600" w:lineRule="exact"/>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sz w:val="24"/>
          <w:highlight w:val="none"/>
        </w:rPr>
        <w:t>8.1投标文件的份数：见《前附表》。</w:t>
      </w:r>
    </w:p>
    <w:p>
      <w:pPr>
        <w:shd w:val="clear" w:color="auto" w:fill="FFFFFF"/>
        <w:snapToGrid w:val="0"/>
        <w:spacing w:line="600" w:lineRule="exact"/>
        <w:rPr>
          <w:rFonts w:hint="eastAsia" w:ascii="宋体" w:hAnsi="宋体" w:eastAsia="宋体" w:cs="宋体"/>
          <w:b/>
          <w:bCs/>
          <w:color w:val="auto"/>
          <w:sz w:val="24"/>
          <w:highlight w:val="none"/>
        </w:rPr>
      </w:pPr>
    </w:p>
    <w:p>
      <w:pPr>
        <w:snapToGrid w:val="0"/>
        <w:spacing w:line="600" w:lineRule="exact"/>
        <w:jc w:val="center"/>
        <w:outlineLvl w:val="1"/>
        <w:rPr>
          <w:rFonts w:hint="eastAsia" w:ascii="宋体" w:hAnsi="宋体" w:eastAsia="宋体" w:cs="宋体"/>
          <w:b/>
          <w:color w:val="auto"/>
          <w:sz w:val="24"/>
          <w:highlight w:val="none"/>
        </w:rPr>
      </w:pPr>
      <w:bookmarkStart w:id="45" w:name="_Toc412730341"/>
      <w:bookmarkStart w:id="46" w:name="_Toc33194391"/>
      <w:bookmarkStart w:id="47" w:name="_Toc462229099"/>
      <w:bookmarkStart w:id="48" w:name="_Toc354996699"/>
      <w:r>
        <w:rPr>
          <w:rFonts w:hint="eastAsia" w:ascii="宋体" w:hAnsi="宋体" w:eastAsia="宋体" w:cs="宋体"/>
          <w:b/>
          <w:color w:val="auto"/>
          <w:sz w:val="24"/>
          <w:highlight w:val="none"/>
        </w:rPr>
        <w:t>四、投标</w:t>
      </w:r>
      <w:bookmarkEnd w:id="45"/>
      <w:bookmarkEnd w:id="46"/>
      <w:bookmarkEnd w:id="47"/>
    </w:p>
    <w:p>
      <w:pPr>
        <w:pStyle w:val="7"/>
        <w:numPr>
          <w:ilvl w:val="2"/>
          <w:numId w:val="0"/>
        </w:numPr>
        <w:spacing w:before="0" w:after="0" w:line="600" w:lineRule="exact"/>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（一）投标文件的上传和递交</w:t>
      </w:r>
    </w:p>
    <w:p>
      <w:pPr>
        <w:spacing w:line="600" w:lineRule="exact"/>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1.1“投标文件”的上传、递交：</w:t>
      </w:r>
      <w:r>
        <w:rPr>
          <w:rFonts w:hint="eastAsia" w:ascii="宋体" w:hAnsi="宋体" w:eastAsia="宋体" w:cs="宋体"/>
          <w:b/>
          <w:color w:val="auto"/>
          <w:sz w:val="24"/>
          <w:highlight w:val="none"/>
        </w:rPr>
        <w:t>见《前附表》。</w:t>
      </w:r>
    </w:p>
    <w:p>
      <w:pPr>
        <w:pStyle w:val="7"/>
        <w:numPr>
          <w:ilvl w:val="2"/>
          <w:numId w:val="0"/>
        </w:numPr>
        <w:spacing w:before="0" w:after="0" w:line="600" w:lineRule="exact"/>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（二）“电子加密投标文件”解密和异常情况处理</w:t>
      </w:r>
    </w:p>
    <w:p>
      <w:pPr>
        <w:spacing w:line="600" w:lineRule="exact"/>
        <w:ind w:firstLine="426" w:firstLineChars="177"/>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2.1“电子加密投标文件”解密：</w:t>
      </w:r>
      <w:r>
        <w:rPr>
          <w:rFonts w:hint="eastAsia" w:ascii="宋体" w:hAnsi="宋体" w:eastAsia="宋体" w:cs="宋体"/>
          <w:b/>
          <w:color w:val="auto"/>
          <w:sz w:val="24"/>
          <w:highlight w:val="none"/>
        </w:rPr>
        <w:t>见《前附表》。</w:t>
      </w:r>
    </w:p>
    <w:p>
      <w:pPr>
        <w:pStyle w:val="7"/>
        <w:numPr>
          <w:ilvl w:val="2"/>
          <w:numId w:val="0"/>
        </w:numPr>
        <w:spacing w:before="0" w:after="0" w:line="600" w:lineRule="exact"/>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（三）投标文件的补充、修改或撤回</w:t>
      </w:r>
    </w:p>
    <w:p>
      <w:pPr>
        <w:spacing w:line="600" w:lineRule="exact"/>
        <w:ind w:firstLine="426" w:firstLineChars="177"/>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600" w:lineRule="exact"/>
        <w:ind w:firstLine="426" w:firstLineChars="177"/>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3.2投标截止时间后，投标供应商不得撤回、修改《投标文件》。</w:t>
      </w:r>
    </w:p>
    <w:p>
      <w:pPr>
        <w:pStyle w:val="7"/>
        <w:numPr>
          <w:ilvl w:val="2"/>
          <w:numId w:val="0"/>
        </w:numPr>
        <w:spacing w:before="0" w:after="0" w:line="600" w:lineRule="exact"/>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（四）投标文件的备选方案</w:t>
      </w:r>
    </w:p>
    <w:p>
      <w:pPr>
        <w:spacing w:line="600" w:lineRule="exact"/>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4.1投标供应商不得递交任何的</w:t>
      </w:r>
      <w:r>
        <w:rPr>
          <w:rFonts w:hint="eastAsia" w:ascii="宋体" w:hAnsi="宋体" w:eastAsia="宋体" w:cs="宋体"/>
          <w:b/>
          <w:color w:val="auto"/>
          <w:kern w:val="0"/>
          <w:sz w:val="24"/>
          <w:highlight w:val="none"/>
        </w:rPr>
        <w:t>投标备选（替代）方案</w:t>
      </w:r>
      <w:r>
        <w:rPr>
          <w:rFonts w:hint="eastAsia" w:ascii="宋体" w:hAnsi="宋体" w:eastAsia="宋体" w:cs="宋体"/>
          <w:b/>
          <w:color w:val="auto"/>
          <w:sz w:val="24"/>
          <w:highlight w:val="none"/>
        </w:rPr>
        <w:t>，否则其投标文件将作无效标处理。与“电子加密投标文件”同时生成的“备份投标文件”不是投标备选（替代）方案。</w:t>
      </w:r>
    </w:p>
    <w:p>
      <w:pPr>
        <w:pStyle w:val="176"/>
        <w:snapToGrid w:val="0"/>
        <w:spacing w:before="0" w:line="600" w:lineRule="exact"/>
        <w:ind w:firstLine="482"/>
        <w:rPr>
          <w:rFonts w:hint="eastAsia" w:ascii="宋体" w:hAnsi="宋体" w:eastAsia="宋体" w:cs="宋体"/>
          <w:b/>
          <w:color w:val="auto"/>
          <w:szCs w:val="24"/>
          <w:highlight w:val="none"/>
        </w:rPr>
      </w:pPr>
    </w:p>
    <w:p>
      <w:pPr>
        <w:snapToGrid w:val="0"/>
        <w:spacing w:line="600" w:lineRule="exact"/>
        <w:jc w:val="center"/>
        <w:outlineLvl w:val="1"/>
        <w:rPr>
          <w:rFonts w:hint="eastAsia" w:ascii="宋体" w:hAnsi="宋体" w:eastAsia="宋体" w:cs="宋体"/>
          <w:b/>
          <w:color w:val="auto"/>
          <w:sz w:val="24"/>
          <w:highlight w:val="none"/>
        </w:rPr>
      </w:pPr>
      <w:bookmarkStart w:id="49" w:name="_Toc462229100"/>
      <w:bookmarkStart w:id="50" w:name="_Toc33194392"/>
      <w:r>
        <w:rPr>
          <w:rFonts w:hint="eastAsia" w:ascii="宋体" w:hAnsi="宋体" w:eastAsia="宋体" w:cs="宋体"/>
          <w:b/>
          <w:color w:val="auto"/>
          <w:sz w:val="24"/>
          <w:highlight w:val="none"/>
        </w:rPr>
        <w:t>五、开 标</w:t>
      </w:r>
      <w:bookmarkEnd w:id="49"/>
      <w:bookmarkEnd w:id="50"/>
    </w:p>
    <w:p>
      <w:pPr>
        <w:pStyle w:val="7"/>
        <w:numPr>
          <w:ilvl w:val="2"/>
          <w:numId w:val="0"/>
        </w:numPr>
        <w:spacing w:before="0" w:after="0" w:line="600" w:lineRule="exact"/>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（一）开标形式</w:t>
      </w:r>
    </w:p>
    <w:p>
      <w:pPr>
        <w:spacing w:line="600" w:lineRule="exact"/>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1.1 采购组织机构将按照招标文件规定的时间通过“政府采购云平台”组织开标、开启投标文件，所有供应商均应当准时在线参加。</w:t>
      </w:r>
    </w:p>
    <w:p>
      <w:pPr>
        <w:pStyle w:val="7"/>
        <w:numPr>
          <w:ilvl w:val="2"/>
          <w:numId w:val="0"/>
        </w:numPr>
        <w:spacing w:before="0" w:after="0" w:line="600" w:lineRule="exact"/>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 开标准备</w:t>
      </w:r>
    </w:p>
    <w:p>
      <w:pPr>
        <w:spacing w:line="600" w:lineRule="exact"/>
        <w:ind w:firstLine="422" w:firstLineChars="1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2.1开标的准备工作由采购组织机构负责落实；</w:t>
      </w:r>
    </w:p>
    <w:p>
      <w:pPr>
        <w:spacing w:line="600" w:lineRule="exact"/>
        <w:ind w:firstLine="422" w:firstLineChars="1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2.2</w:t>
      </w:r>
      <w:r>
        <w:rPr>
          <w:rFonts w:hint="eastAsia" w:ascii="宋体" w:hAnsi="宋体" w:eastAsia="宋体" w:cs="宋体"/>
          <w:b/>
          <w:color w:val="auto"/>
          <w:sz w:val="24"/>
          <w:highlight w:val="none"/>
        </w:rPr>
        <w:t>采购组织机构将按照招标文件规定的时间通过“政府采购云平台”组织开标、开启投标文件，所有供应商均应当准时在线参加。</w:t>
      </w:r>
      <w:r>
        <w:rPr>
          <w:rFonts w:hint="eastAsia" w:ascii="宋体" w:hAnsi="宋体" w:eastAsia="宋体" w:cs="宋体"/>
          <w:b/>
          <w:color w:val="auto"/>
          <w:kern w:val="0"/>
          <w:sz w:val="24"/>
          <w:highlight w:val="none"/>
        </w:rPr>
        <w:t>投标供应商如不参加开标大会的，视同认可开标结果，事后不得对采购相关人员、开标过程和开标结果提出异议，同时投标供应商因未在线参加开标而导致投标文件无法按时解密等一切后果由供应商自己承担。</w:t>
      </w:r>
    </w:p>
    <w:p>
      <w:pPr>
        <w:pStyle w:val="7"/>
        <w:numPr>
          <w:ilvl w:val="2"/>
          <w:numId w:val="0"/>
        </w:numPr>
        <w:spacing w:before="0" w:after="0" w:line="600" w:lineRule="exact"/>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（三）开标流程（两阶段）</w:t>
      </w:r>
    </w:p>
    <w:p>
      <w:pPr>
        <w:spacing w:line="600" w:lineRule="exact"/>
        <w:ind w:firstLine="426" w:firstLineChars="177"/>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3.1开标第一阶段</w:t>
      </w:r>
    </w:p>
    <w:p>
      <w:pPr>
        <w:spacing w:line="600" w:lineRule="exact"/>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600" w:lineRule="exact"/>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（2）投标文件解密结束，通过邮件形式发送各投标人组织签署《政府采购活动现场确认声明书》；</w:t>
      </w:r>
    </w:p>
    <w:p>
      <w:pPr>
        <w:spacing w:line="600" w:lineRule="exact"/>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（3）开启投标文件，进入资格审查；</w:t>
      </w:r>
    </w:p>
    <w:p>
      <w:pPr>
        <w:spacing w:line="600" w:lineRule="exact"/>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（4）开启资格审查通过的投标供应商的商务技术文件进入符合性审查、商务技术评审；</w:t>
      </w:r>
    </w:p>
    <w:p>
      <w:pPr>
        <w:spacing w:line="600" w:lineRule="exact"/>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（5）第一阶段开标结束。</w:t>
      </w:r>
    </w:p>
    <w:p>
      <w:pPr>
        <w:spacing w:line="600" w:lineRule="exact"/>
        <w:ind w:firstLine="426" w:firstLineChars="177"/>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备注：开标大会的第一阶段结束后，采购人或采购代理机构将对依法对投标供应商的资格进行审查，资格审查结束后进入符合性审查和商务技术的评审工作，具体见本章节“投标供应商资格审查”相关规定。</w:t>
      </w:r>
    </w:p>
    <w:p>
      <w:pPr>
        <w:spacing w:line="600" w:lineRule="exact"/>
        <w:ind w:firstLine="426" w:firstLineChars="177"/>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3.2开标大会第二阶段</w:t>
      </w:r>
    </w:p>
    <w:p>
      <w:pPr>
        <w:spacing w:line="600" w:lineRule="exact"/>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符合性审查、商务技术评审结束后，举行开标大会第二阶段会议。首先通过发送邮件形式公布符合性审查、商务技术评审无效供应商名称及理由；公布经商务技术评审后有效投标供应商的名单，同时公布其商务技术部分得分情况。</w:t>
      </w:r>
    </w:p>
    <w:p>
      <w:pPr>
        <w:spacing w:line="600" w:lineRule="exact"/>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开启符合性审查、商务技术评审有效投标供应商的《报价文件》，通过发送邮件形式公布开标一览表有关内容，同时当场制作开标记录表，供应商通过发送邮件形式签字确认（不予确认的应说明理由，否则视为无异议）。唱标结束后，由评标委员会对报价的合理性、准确性等进行审查核实。</w:t>
      </w:r>
    </w:p>
    <w:p>
      <w:pPr>
        <w:spacing w:line="600" w:lineRule="exact"/>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（3）评审结束后，通过发送邮件形式公布中标（成交）候选供应商名单，及采购人最终确定中标或成交供应商名单的时间和公告方式等。</w:t>
      </w:r>
    </w:p>
    <w:p>
      <w:pPr>
        <w:spacing w:line="600" w:lineRule="exact"/>
        <w:ind w:firstLine="426" w:firstLineChars="177"/>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特别说明：如遇“政府采购云平台”电子化开标或评审程序调整的，按调整后程序执行。</w:t>
      </w:r>
    </w:p>
    <w:p>
      <w:pPr>
        <w:pStyle w:val="6"/>
        <w:numPr>
          <w:ilvl w:val="0"/>
          <w:numId w:val="0"/>
        </w:numPr>
        <w:tabs>
          <w:tab w:val="left" w:pos="1110"/>
        </w:tabs>
        <w:spacing w:line="600" w:lineRule="exact"/>
        <w:rPr>
          <w:rFonts w:hint="eastAsia" w:ascii="宋体" w:hAnsi="宋体" w:eastAsia="宋体" w:cs="宋体"/>
          <w:color w:val="auto"/>
          <w:sz w:val="24"/>
          <w:szCs w:val="24"/>
          <w:highlight w:val="none"/>
        </w:rPr>
      </w:pPr>
      <w:bookmarkStart w:id="51" w:name="_Toc24550037"/>
      <w:bookmarkStart w:id="52" w:name="_Toc33194393"/>
      <w:r>
        <w:rPr>
          <w:rFonts w:hint="eastAsia" w:ascii="宋体" w:hAnsi="宋体" w:eastAsia="宋体" w:cs="宋体"/>
          <w:color w:val="auto"/>
          <w:sz w:val="24"/>
          <w:szCs w:val="24"/>
          <w:highlight w:val="none"/>
        </w:rPr>
        <w:t>（四）投标供应商资格审查</w:t>
      </w:r>
      <w:bookmarkEnd w:id="51"/>
      <w:bookmarkEnd w:id="52"/>
    </w:p>
    <w:p>
      <w:pPr>
        <w:spacing w:line="600" w:lineRule="exact"/>
        <w:ind w:firstLine="426" w:firstLineChars="177"/>
        <w:rPr>
          <w:rFonts w:hint="eastAsia" w:ascii="宋体" w:hAnsi="宋体" w:eastAsia="宋体" w:cs="宋体"/>
          <w:color w:val="auto"/>
          <w:sz w:val="24"/>
          <w:highlight w:val="none"/>
        </w:rPr>
      </w:pPr>
      <w:r>
        <w:rPr>
          <w:rFonts w:hint="eastAsia" w:ascii="宋体" w:hAnsi="宋体" w:eastAsia="宋体" w:cs="宋体"/>
          <w:b/>
          <w:color w:val="auto"/>
          <w:sz w:val="24"/>
          <w:highlight w:val="none"/>
        </w:rPr>
        <w:t>4.1开标大会第一阶段结束后，采购人或采购代理机构首先依法对各投标供应商的资格进行审查，审查各投标供应商的资格是否满足招标文件的要求。</w:t>
      </w:r>
      <w:r>
        <w:rPr>
          <w:rFonts w:hint="eastAsia" w:ascii="宋体" w:hAnsi="宋体" w:eastAsia="宋体" w:cs="宋体"/>
          <w:color w:val="auto"/>
          <w:sz w:val="24"/>
          <w:highlight w:val="none"/>
        </w:rPr>
        <w:t>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600" w:lineRule="exact"/>
        <w:ind w:firstLine="426" w:firstLineChars="177"/>
        <w:rPr>
          <w:rFonts w:hint="eastAsia" w:ascii="宋体" w:hAnsi="宋体" w:eastAsia="宋体" w:cs="宋体"/>
          <w:b/>
          <w:color w:val="auto"/>
          <w:kern w:val="0"/>
          <w:sz w:val="24"/>
          <w:highlight w:val="none"/>
        </w:rPr>
      </w:pPr>
      <w:r>
        <w:rPr>
          <w:rFonts w:hint="eastAsia" w:ascii="宋体" w:hAnsi="宋体" w:eastAsia="宋体" w:cs="宋体"/>
          <w:b/>
          <w:color w:val="auto"/>
          <w:sz w:val="24"/>
          <w:highlight w:val="none"/>
        </w:rPr>
        <w:t>4.2投标供应商提交的资格证明材料无法证明其符合招标文件规定的“投标供应商资格要求”的，采购人或采购代理机构</w:t>
      </w:r>
      <w:r>
        <w:rPr>
          <w:rFonts w:hint="eastAsia" w:ascii="宋体" w:hAnsi="宋体" w:eastAsia="宋体" w:cs="宋体"/>
          <w:b/>
          <w:color w:val="auto"/>
          <w:kern w:val="0"/>
          <w:sz w:val="24"/>
          <w:highlight w:val="none"/>
        </w:rPr>
        <w:t>将对其作资格审查不通过处理（无效投标），并不再将其投标提交评标委员会进行后续评审。</w:t>
      </w:r>
    </w:p>
    <w:p>
      <w:pPr>
        <w:spacing w:line="600" w:lineRule="exact"/>
        <w:ind w:firstLine="426" w:firstLineChars="177"/>
        <w:rPr>
          <w:rFonts w:hint="eastAsia" w:ascii="宋体" w:hAnsi="宋体" w:eastAsia="宋体" w:cs="宋体"/>
          <w:b/>
          <w:color w:val="auto"/>
          <w:kern w:val="0"/>
          <w:sz w:val="24"/>
          <w:highlight w:val="none"/>
        </w:rPr>
      </w:pPr>
      <w:r>
        <w:rPr>
          <w:rFonts w:hint="eastAsia" w:ascii="宋体" w:hAnsi="宋体" w:eastAsia="宋体" w:cs="宋体"/>
          <w:b/>
          <w:color w:val="auto"/>
          <w:sz w:val="24"/>
          <w:highlight w:val="none"/>
        </w:rPr>
        <w:t>4</w:t>
      </w:r>
      <w:r>
        <w:rPr>
          <w:rFonts w:hint="eastAsia" w:ascii="宋体" w:hAnsi="宋体" w:eastAsia="宋体" w:cs="宋体"/>
          <w:b/>
          <w:color w:val="auto"/>
          <w:kern w:val="0"/>
          <w:sz w:val="24"/>
          <w:highlight w:val="none"/>
        </w:rPr>
        <w:t>.3单位负责人为同一人或者存在直接控股、管理关系的不同供应商参加同一合同项下的政府采购活动的，相关投标供应商均作资格无效处理。</w:t>
      </w:r>
    </w:p>
    <w:bookmarkEnd w:id="42"/>
    <w:bookmarkEnd w:id="43"/>
    <w:bookmarkEnd w:id="44"/>
    <w:bookmarkEnd w:id="48"/>
    <w:p>
      <w:pPr>
        <w:snapToGrid w:val="0"/>
        <w:spacing w:line="600" w:lineRule="exact"/>
        <w:jc w:val="center"/>
        <w:outlineLvl w:val="1"/>
        <w:rPr>
          <w:rFonts w:hint="eastAsia" w:ascii="宋体" w:hAnsi="宋体" w:eastAsia="宋体" w:cs="宋体"/>
          <w:b/>
          <w:color w:val="auto"/>
          <w:sz w:val="24"/>
          <w:highlight w:val="none"/>
        </w:rPr>
      </w:pPr>
      <w:bookmarkStart w:id="53" w:name="_Toc412730343"/>
      <w:bookmarkStart w:id="54" w:name="_Toc462229101"/>
      <w:bookmarkStart w:id="55" w:name="_Toc86216994"/>
      <w:bookmarkStart w:id="56" w:name="_Toc354996702"/>
      <w:bookmarkStart w:id="57" w:name="_Toc233618978"/>
    </w:p>
    <w:p>
      <w:pPr>
        <w:snapToGrid w:val="0"/>
        <w:spacing w:line="600" w:lineRule="exact"/>
        <w:jc w:val="center"/>
        <w:outlineLvl w:val="1"/>
        <w:rPr>
          <w:rFonts w:hint="eastAsia" w:ascii="宋体" w:hAnsi="宋体" w:eastAsia="宋体" w:cs="宋体"/>
          <w:b/>
          <w:color w:val="auto"/>
          <w:sz w:val="24"/>
          <w:highlight w:val="none"/>
        </w:rPr>
      </w:pPr>
      <w:bookmarkStart w:id="58" w:name="_Toc33194394"/>
      <w:r>
        <w:rPr>
          <w:rFonts w:hint="eastAsia" w:ascii="宋体" w:hAnsi="宋体" w:eastAsia="宋体" w:cs="宋体"/>
          <w:b/>
          <w:color w:val="auto"/>
          <w:sz w:val="24"/>
          <w:highlight w:val="none"/>
        </w:rPr>
        <w:t>六、评 标</w:t>
      </w:r>
      <w:bookmarkEnd w:id="53"/>
      <w:bookmarkEnd w:id="54"/>
      <w:bookmarkEnd w:id="58"/>
    </w:p>
    <w:p>
      <w:pPr>
        <w:pStyle w:val="7"/>
        <w:numPr>
          <w:ilvl w:val="2"/>
          <w:numId w:val="0"/>
        </w:numPr>
        <w:spacing w:before="0" w:after="0" w:line="600" w:lineRule="exact"/>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（一）评审工作的组织</w:t>
      </w:r>
    </w:p>
    <w:p>
      <w:pPr>
        <w:spacing w:line="600" w:lineRule="exact"/>
        <w:ind w:firstLine="422" w:firstLineChars="1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1.1采购人或采购代理机构负责组织本项目的评审工作，并依据《政府采购货物和服务招标投标管理办法（财政部第87号令）》第四十五条的相关规定履行职责。</w:t>
      </w:r>
    </w:p>
    <w:p>
      <w:pPr>
        <w:pStyle w:val="7"/>
        <w:numPr>
          <w:ilvl w:val="2"/>
          <w:numId w:val="0"/>
        </w:numPr>
        <w:spacing w:before="0" w:after="0" w:line="600" w:lineRule="exact"/>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（二）评标委员会的组建</w:t>
      </w:r>
    </w:p>
    <w:p>
      <w:pPr>
        <w:spacing w:line="600" w:lineRule="exact"/>
        <w:ind w:firstLine="422" w:firstLineChars="1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2.1评标委员会由采购人或采购代理机构依法组建，成员包括采购人代表和评审专家，成员人数为五人或以上单数，其中评审专家不少于成员总数的三分之二。</w:t>
      </w:r>
    </w:p>
    <w:p>
      <w:pPr>
        <w:spacing w:line="600" w:lineRule="exact"/>
        <w:ind w:firstLine="422" w:firstLineChars="1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2.2评标委员会成员名单在评审结果（采购结果）公告前保密。</w:t>
      </w:r>
    </w:p>
    <w:p>
      <w:pPr>
        <w:pStyle w:val="7"/>
        <w:numPr>
          <w:ilvl w:val="2"/>
          <w:numId w:val="0"/>
        </w:numPr>
        <w:spacing w:before="0" w:after="0" w:line="600" w:lineRule="exact"/>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（三）评标委员会的职责</w:t>
      </w:r>
    </w:p>
    <w:p>
      <w:pPr>
        <w:spacing w:line="600" w:lineRule="exact"/>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3.1评标委员会负责具体评审事务，并独立履行下列职责：</w:t>
      </w:r>
    </w:p>
    <w:p>
      <w:pPr>
        <w:spacing w:line="600" w:lineRule="exact"/>
        <w:ind w:firstLine="422" w:firstLineChars="1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（1）审查、评价投标文件是否符合招标文件的商务、技术等实质性要求；</w:t>
      </w:r>
    </w:p>
    <w:p>
      <w:pPr>
        <w:spacing w:line="600" w:lineRule="exact"/>
        <w:ind w:firstLine="422" w:firstLineChars="1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（2）要求投标人对投标文件有关事项作出澄清或者说明；</w:t>
      </w:r>
    </w:p>
    <w:p>
      <w:pPr>
        <w:spacing w:line="600" w:lineRule="exact"/>
        <w:ind w:firstLine="422" w:firstLineChars="1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（3）对投标文件进行比较和评价；</w:t>
      </w:r>
    </w:p>
    <w:p>
      <w:pPr>
        <w:spacing w:line="600" w:lineRule="exact"/>
        <w:ind w:firstLine="422" w:firstLineChars="1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（4）确定中标候选人名单，以及根据采购人委托直接确定中标人；</w:t>
      </w:r>
    </w:p>
    <w:p>
      <w:pPr>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（5）向采购人、采购代理机构或者有关部门报告评审中发现的违法行为。</w:t>
      </w:r>
    </w:p>
    <w:p>
      <w:pPr>
        <w:pStyle w:val="7"/>
        <w:numPr>
          <w:ilvl w:val="2"/>
          <w:numId w:val="0"/>
        </w:numPr>
        <w:spacing w:before="0" w:after="0" w:line="600" w:lineRule="exact"/>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（四）评审原则</w:t>
      </w:r>
    </w:p>
    <w:p>
      <w:pPr>
        <w:spacing w:line="600" w:lineRule="exact"/>
        <w:ind w:firstLine="424" w:firstLineChars="177"/>
        <w:rPr>
          <w:rFonts w:hint="eastAsia" w:ascii="宋体" w:hAnsi="宋体" w:eastAsia="宋体" w:cs="宋体"/>
          <w:color w:val="auto"/>
          <w:sz w:val="24"/>
          <w:highlight w:val="none"/>
        </w:rPr>
      </w:pPr>
      <w:r>
        <w:rPr>
          <w:rFonts w:hint="eastAsia" w:ascii="宋体" w:hAnsi="宋体" w:eastAsia="宋体" w:cs="宋体"/>
          <w:color w:val="auto"/>
          <w:sz w:val="24"/>
          <w:highlight w:val="none"/>
        </w:rPr>
        <w:t>4.1评审原则：</w:t>
      </w:r>
      <w:r>
        <w:rPr>
          <w:rFonts w:hint="eastAsia" w:ascii="宋体" w:hAnsi="宋体" w:eastAsia="宋体" w:cs="宋体"/>
          <w:color w:val="auto"/>
          <w:kern w:val="0"/>
          <w:sz w:val="24"/>
          <w:highlight w:val="none"/>
        </w:rPr>
        <w:t>评标委员会</w:t>
      </w:r>
      <w:r>
        <w:rPr>
          <w:rFonts w:hint="eastAsia" w:ascii="宋体" w:hAnsi="宋体" w:eastAsia="宋体" w:cs="宋体"/>
          <w:color w:val="auto"/>
          <w:sz w:val="24"/>
          <w:highlight w:val="none"/>
        </w:rPr>
        <w:t>按照客观、公正、审慎、择优的原则，根据招标文件规定的评审程序、评审方法和评审标准进行独立评审。</w:t>
      </w:r>
    </w:p>
    <w:p>
      <w:pPr>
        <w:spacing w:line="600" w:lineRule="exact"/>
        <w:ind w:firstLine="424" w:firstLineChars="177"/>
        <w:rPr>
          <w:rFonts w:hint="eastAsia" w:ascii="宋体" w:hAnsi="宋体" w:eastAsia="宋体" w:cs="宋体"/>
          <w:color w:val="auto"/>
          <w:sz w:val="24"/>
          <w:highlight w:val="none"/>
        </w:rPr>
      </w:pPr>
      <w:r>
        <w:rPr>
          <w:rFonts w:hint="eastAsia" w:ascii="宋体" w:hAnsi="宋体" w:eastAsia="宋体" w:cs="宋体"/>
          <w:color w:val="auto"/>
          <w:sz w:val="24"/>
          <w:highlight w:val="none"/>
        </w:rPr>
        <w:t>4.2评审工作将依据</w:t>
      </w:r>
      <w:r>
        <w:rPr>
          <w:rFonts w:hint="eastAsia" w:ascii="宋体" w:hAnsi="宋体" w:eastAsia="宋体" w:cs="宋体"/>
          <w:color w:val="auto"/>
          <w:kern w:val="0"/>
          <w:sz w:val="24"/>
          <w:highlight w:val="none"/>
        </w:rPr>
        <w:t>招标文件、投标文件及招标文件中事先已列明的内容进行（如现场方案讲解、演示等）。</w:t>
      </w:r>
    </w:p>
    <w:p>
      <w:pPr>
        <w:pStyle w:val="7"/>
        <w:numPr>
          <w:ilvl w:val="2"/>
          <w:numId w:val="0"/>
        </w:numPr>
        <w:spacing w:before="0" w:after="0" w:line="600" w:lineRule="exact"/>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（五）评审意见的争议处理</w:t>
      </w:r>
    </w:p>
    <w:p>
      <w:pPr>
        <w:spacing w:line="600" w:lineRule="exact"/>
        <w:ind w:firstLine="424" w:firstLineChars="177"/>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5.1评标委员会成员对需要共同认定的事项存在争议的，按照少数服从多数的原则作出结论。持不同意见的评标委员会成员应当在评审报告上签署不同意见及理由，否则视为同意评审报告。</w:t>
      </w:r>
    </w:p>
    <w:p>
      <w:pPr>
        <w:pStyle w:val="7"/>
        <w:numPr>
          <w:ilvl w:val="2"/>
          <w:numId w:val="0"/>
        </w:numPr>
        <w:spacing w:before="0" w:after="0" w:line="600" w:lineRule="exact"/>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（六）评委纪律</w:t>
      </w:r>
    </w:p>
    <w:p>
      <w:pPr>
        <w:spacing w:line="600" w:lineRule="exact"/>
        <w:ind w:firstLine="424" w:firstLineChars="177"/>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6.1评标委员会成员必须严格遵守保密规定，不得泄露评审的有关情况</w:t>
      </w:r>
      <w:r>
        <w:rPr>
          <w:rFonts w:hint="eastAsia" w:ascii="宋体" w:hAnsi="宋体" w:eastAsia="宋体" w:cs="宋体"/>
          <w:color w:val="auto"/>
          <w:kern w:val="0"/>
          <w:sz w:val="24"/>
          <w:highlight w:val="none"/>
        </w:rPr>
        <w:t>，任何单位和个人不得干扰、影响评标的正常进行，评标委员会成员不得私下与投标供应商接触，不得出现浙江省政府采购活动现场组织管理办法中规定的其他禁止行为。</w:t>
      </w:r>
    </w:p>
    <w:p>
      <w:pPr>
        <w:pStyle w:val="6"/>
        <w:numPr>
          <w:ilvl w:val="0"/>
          <w:numId w:val="0"/>
        </w:numPr>
        <w:tabs>
          <w:tab w:val="left" w:pos="1110"/>
        </w:tabs>
        <w:spacing w:line="600" w:lineRule="exact"/>
        <w:rPr>
          <w:rFonts w:hint="eastAsia" w:ascii="宋体" w:hAnsi="宋体" w:eastAsia="宋体" w:cs="宋体"/>
          <w:color w:val="auto"/>
          <w:sz w:val="24"/>
          <w:szCs w:val="24"/>
          <w:highlight w:val="none"/>
        </w:rPr>
      </w:pPr>
      <w:bookmarkStart w:id="59" w:name="_Toc24550043"/>
      <w:bookmarkStart w:id="60" w:name="_Toc33194395"/>
      <w:r>
        <w:rPr>
          <w:rFonts w:hint="eastAsia" w:ascii="宋体" w:hAnsi="宋体" w:eastAsia="宋体" w:cs="宋体"/>
          <w:color w:val="auto"/>
          <w:sz w:val="24"/>
          <w:szCs w:val="24"/>
          <w:highlight w:val="none"/>
        </w:rPr>
        <w:t>（七）</w:t>
      </w:r>
      <w:bookmarkEnd w:id="59"/>
      <w:bookmarkStart w:id="61" w:name="_Toc24550044"/>
      <w:r>
        <w:rPr>
          <w:rFonts w:hint="eastAsia" w:ascii="宋体" w:hAnsi="宋体" w:eastAsia="宋体" w:cs="宋体"/>
          <w:color w:val="auto"/>
          <w:sz w:val="24"/>
          <w:szCs w:val="24"/>
          <w:highlight w:val="none"/>
        </w:rPr>
        <w:t>评审流程及内容</w:t>
      </w:r>
      <w:bookmarkEnd w:id="60"/>
      <w:bookmarkEnd w:id="61"/>
    </w:p>
    <w:p>
      <w:pPr>
        <w:spacing w:line="600" w:lineRule="exact"/>
        <w:ind w:firstLine="424" w:firstLineChars="176"/>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本项目具体的评审事务由评标委员会负责，评审流程及内容如下：</w:t>
      </w:r>
    </w:p>
    <w:p>
      <w:pPr>
        <w:pStyle w:val="7"/>
        <w:numPr>
          <w:ilvl w:val="2"/>
          <w:numId w:val="0"/>
        </w:numPr>
        <w:spacing w:before="0" w:after="0" w:line="600" w:lineRule="exact"/>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 评审前准备</w:t>
      </w:r>
    </w:p>
    <w:p>
      <w:pPr>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7.1.1由评审专家推选评审小组组长，采购人代表不得担任评审小组组长。</w:t>
      </w:r>
    </w:p>
    <w:p>
      <w:pPr>
        <w:spacing w:line="600" w:lineRule="exact"/>
        <w:ind w:firstLine="424" w:firstLineChars="177"/>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7.1.2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pStyle w:val="7"/>
        <w:numPr>
          <w:ilvl w:val="2"/>
          <w:numId w:val="0"/>
        </w:numPr>
        <w:spacing w:before="0" w:after="0" w:line="600" w:lineRule="exact"/>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7.2投标文件的初步审查、符合性审查</w:t>
      </w:r>
    </w:p>
    <w:p>
      <w:pPr>
        <w:spacing w:line="600" w:lineRule="exact"/>
        <w:ind w:firstLine="426" w:firstLineChars="177"/>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对所有通过资格审查的投标供应商的投标文件进行初步审查，审查、评价投标文件是否符合招标文件的商务、技术、服务等实质性要求。</w:t>
      </w:r>
    </w:p>
    <w:p>
      <w:pPr>
        <w:spacing w:line="600" w:lineRule="exact"/>
        <w:ind w:firstLine="424" w:firstLineChars="177"/>
        <w:rPr>
          <w:rFonts w:hint="eastAsia" w:ascii="宋体" w:hAnsi="宋体" w:eastAsia="宋体" w:cs="宋体"/>
          <w:color w:val="auto"/>
          <w:sz w:val="24"/>
          <w:highlight w:val="none"/>
        </w:rPr>
      </w:pPr>
      <w:r>
        <w:rPr>
          <w:rFonts w:hint="eastAsia" w:ascii="宋体" w:hAnsi="宋体" w:eastAsia="宋体" w:cs="宋体"/>
          <w:color w:val="auto"/>
          <w:sz w:val="24"/>
          <w:highlight w:val="none"/>
        </w:rPr>
        <w:t>7.2.1评标委员会首先对所有通过资格审查的投标供应商的投标文件进行符合性审查，审查每份投标文件是否实质上响应了招标文件的要求（实质性响应的投标文件是指投标文件符合招标文件规定的实质性内容、条件和规定）。</w:t>
      </w:r>
    </w:p>
    <w:p>
      <w:pPr>
        <w:pStyle w:val="7"/>
        <w:numPr>
          <w:ilvl w:val="2"/>
          <w:numId w:val="0"/>
        </w:numPr>
        <w:spacing w:before="0" w:after="0" w:line="60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 投标文件的澄清、说明或补正</w:t>
      </w:r>
    </w:p>
    <w:p>
      <w:pPr>
        <w:spacing w:line="600" w:lineRule="exact"/>
        <w:ind w:firstLine="424" w:firstLineChars="177"/>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7.3.1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spacing w:line="600" w:lineRule="exact"/>
        <w:ind w:firstLine="424" w:firstLineChars="177"/>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7.3.2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pStyle w:val="7"/>
        <w:numPr>
          <w:ilvl w:val="2"/>
          <w:numId w:val="0"/>
        </w:numPr>
        <w:spacing w:before="0" w:after="0" w:line="600" w:lineRule="exact"/>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 投标文件的错误修正</w:t>
      </w:r>
    </w:p>
    <w:p>
      <w:pPr>
        <w:spacing w:line="600" w:lineRule="exact"/>
        <w:ind w:firstLine="422" w:firstLineChars="175"/>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7.4.1《投标文件》如果出现计算或表达上的错误，修正错误的原则如下：</w:t>
      </w:r>
    </w:p>
    <w:p>
      <w:pPr>
        <w:spacing w:line="600" w:lineRule="exact"/>
        <w:ind w:firstLine="420" w:firstLineChars="17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（1）投标文件中开标一览表（报价表）内容与投标文件中相应内容不一致的，以开标一览表（报价表）为准。</w:t>
      </w:r>
    </w:p>
    <w:p>
      <w:pPr>
        <w:spacing w:line="600" w:lineRule="exact"/>
        <w:ind w:firstLine="420" w:firstLineChars="17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（2）《投标文件》的大写金额和小写金额不一致的，以大写金额为准；</w:t>
      </w:r>
    </w:p>
    <w:p>
      <w:pPr>
        <w:spacing w:line="600" w:lineRule="exact"/>
        <w:ind w:firstLine="420" w:firstLineChars="17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（3）单价金额小数点或者百分比有明显错位的，应以开标一览表（报价表）的总价为准，并修改单价；</w:t>
      </w:r>
    </w:p>
    <w:p>
      <w:pPr>
        <w:spacing w:line="600" w:lineRule="exact"/>
        <w:ind w:firstLine="420" w:firstLineChars="17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（4）总价金额与按单价汇总金额不一致的，以单价金额计算结果为准。</w:t>
      </w:r>
    </w:p>
    <w:p>
      <w:pPr>
        <w:spacing w:line="600" w:lineRule="exact"/>
        <w:ind w:firstLine="420" w:firstLineChars="17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7.4.2对不同文字文本《投标文件》的解释发生异议的，以中文文本为准。</w:t>
      </w:r>
    </w:p>
    <w:p>
      <w:pPr>
        <w:pStyle w:val="433"/>
        <w:autoSpaceDE/>
        <w:adjustRightInd/>
        <w:snapToGrid w:val="0"/>
        <w:spacing w:before="0" w:line="600" w:lineRule="exact"/>
        <w:ind w:left="0" w:firstLine="0"/>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（八）投标文件有下列情况之一者将视为无效：</w:t>
      </w:r>
    </w:p>
    <w:p>
      <w:pPr>
        <w:spacing w:line="600" w:lineRule="exact"/>
        <w:ind w:firstLine="482" w:firstLineChars="200"/>
        <w:rPr>
          <w:rFonts w:hint="eastAsia" w:ascii="宋体" w:hAnsi="宋体" w:eastAsia="宋体" w:cs="宋体"/>
          <w:b/>
          <w:color w:val="auto"/>
          <w:kern w:val="0"/>
          <w:sz w:val="24"/>
          <w:highlight w:val="none"/>
        </w:rPr>
      </w:pPr>
      <w:bookmarkStart w:id="62" w:name="_Hlk33211013"/>
      <w:r>
        <w:rPr>
          <w:rFonts w:hint="eastAsia" w:ascii="宋体" w:hAnsi="宋体" w:eastAsia="宋体" w:cs="宋体"/>
          <w:b/>
          <w:color w:val="auto"/>
          <w:kern w:val="0"/>
          <w:sz w:val="24"/>
          <w:highlight w:val="none"/>
        </w:rPr>
        <w:t>8.1商务、技术文件符合性审查中，存在下列情形之一的，经评标委员会认定后作无效标处理：</w:t>
      </w:r>
    </w:p>
    <w:p>
      <w:pPr>
        <w:pStyle w:val="6"/>
        <w:numPr>
          <w:ilvl w:val="0"/>
          <w:numId w:val="0"/>
        </w:numPr>
        <w:tabs>
          <w:tab w:val="left" w:pos="1110"/>
        </w:tabs>
        <w:spacing w:line="600" w:lineRule="exact"/>
        <w:ind w:firstLine="482" w:firstLineChars="200"/>
        <w:jc w:val="left"/>
        <w:rPr>
          <w:rFonts w:hint="eastAsia" w:ascii="宋体" w:hAnsi="宋体" w:eastAsia="宋体" w:cs="宋体"/>
          <w:bCs w:val="0"/>
          <w:color w:val="auto"/>
          <w:sz w:val="24"/>
          <w:szCs w:val="24"/>
          <w:highlight w:val="none"/>
        </w:rPr>
      </w:pPr>
      <w:bookmarkStart w:id="63" w:name="_Toc33194396"/>
      <w:r>
        <w:rPr>
          <w:rFonts w:hint="eastAsia" w:ascii="宋体" w:hAnsi="宋体" w:eastAsia="宋体" w:cs="宋体"/>
          <w:bCs w:val="0"/>
          <w:color w:val="auto"/>
          <w:sz w:val="24"/>
          <w:szCs w:val="24"/>
          <w:highlight w:val="none"/>
        </w:rPr>
        <w:t>（1）投标文件未有效授权，法定代表人授权委托书等填写不完整或有涂改的；</w:t>
      </w:r>
      <w:bookmarkEnd w:id="63"/>
    </w:p>
    <w:p>
      <w:pPr>
        <w:spacing w:line="60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（2）投标文件没有对本招标文件作出实质性响应的，或不满足（不响应）本招标文件中标注“●”的实质性要求条款的，或存在招标文件中明确规定的其他无效标情形的；</w:t>
      </w:r>
    </w:p>
    <w:p>
      <w:pPr>
        <w:spacing w:line="600" w:lineRule="exact"/>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（3）投标文件存在一个或一个以上备选（替代）投标方案的；</w:t>
      </w:r>
    </w:p>
    <w:p>
      <w:pPr>
        <w:spacing w:line="600" w:lineRule="exact"/>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（4）仅提交“备份投标文件”的；</w:t>
      </w:r>
    </w:p>
    <w:p>
      <w:pPr>
        <w:spacing w:line="600" w:lineRule="exact"/>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（5）文件组成内容不齐全，本招标文件规定必须提供而未提供的（属于资格审查范围的除外）；</w:t>
      </w:r>
    </w:p>
    <w:p>
      <w:pPr>
        <w:spacing w:line="600" w:lineRule="exact"/>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（6）投标文件标注的响应或偏离情况与事实不符，或提供了虚假材料的；</w:t>
      </w:r>
    </w:p>
    <w:p>
      <w:pPr>
        <w:spacing w:line="600" w:lineRule="exact"/>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（7）不响应或擅自改变本招标文件要求或投标文件有采购人不能接受的附加条件的；</w:t>
      </w:r>
    </w:p>
    <w:p>
      <w:pPr>
        <w:spacing w:line="600" w:lineRule="exact"/>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（8）参加同一合同项下政府采购活动的不同供应商之间存在利害关系并且存在影响政府采购公平竞争行为的；</w:t>
      </w:r>
    </w:p>
    <w:p>
      <w:pPr>
        <w:pStyle w:val="6"/>
        <w:numPr>
          <w:ilvl w:val="0"/>
          <w:numId w:val="0"/>
        </w:numPr>
        <w:tabs>
          <w:tab w:val="left" w:pos="1110"/>
        </w:tabs>
        <w:spacing w:line="600" w:lineRule="exact"/>
        <w:ind w:left="560" w:firstLine="5" w:firstLineChars="2"/>
        <w:rPr>
          <w:rFonts w:hint="eastAsia" w:ascii="宋体" w:hAnsi="宋体" w:eastAsia="宋体" w:cs="宋体"/>
          <w:bCs w:val="0"/>
          <w:color w:val="auto"/>
          <w:sz w:val="24"/>
          <w:szCs w:val="24"/>
          <w:highlight w:val="none"/>
        </w:rPr>
      </w:pPr>
      <w:bookmarkStart w:id="64" w:name="_Toc33194397"/>
      <w:r>
        <w:rPr>
          <w:rFonts w:hint="eastAsia" w:ascii="宋体" w:hAnsi="宋体" w:eastAsia="宋体" w:cs="宋体"/>
          <w:bCs w:val="0"/>
          <w:color w:val="auto"/>
          <w:sz w:val="24"/>
          <w:szCs w:val="24"/>
          <w:highlight w:val="none"/>
        </w:rPr>
        <w:t>（9）招标人拟采购的产品如属于品目清单范围内的强制采购品目的，投标人未</w:t>
      </w:r>
      <w:bookmarkEnd w:id="64"/>
    </w:p>
    <w:p>
      <w:pPr>
        <w:pStyle w:val="6"/>
        <w:numPr>
          <w:ilvl w:val="0"/>
          <w:numId w:val="0"/>
        </w:numPr>
        <w:tabs>
          <w:tab w:val="left" w:pos="1110"/>
        </w:tabs>
        <w:spacing w:line="600" w:lineRule="exact"/>
        <w:ind w:left="106"/>
        <w:rPr>
          <w:rFonts w:hint="eastAsia" w:ascii="宋体" w:hAnsi="宋体" w:eastAsia="宋体" w:cs="宋体"/>
          <w:bCs w:val="0"/>
          <w:color w:val="auto"/>
          <w:sz w:val="24"/>
          <w:szCs w:val="24"/>
          <w:highlight w:val="none"/>
        </w:rPr>
      </w:pPr>
      <w:bookmarkStart w:id="65" w:name="_Toc33194398"/>
      <w:r>
        <w:rPr>
          <w:rFonts w:hint="eastAsia" w:ascii="宋体" w:hAnsi="宋体" w:eastAsia="宋体" w:cs="宋体"/>
          <w:bCs w:val="0"/>
          <w:color w:val="auto"/>
          <w:sz w:val="24"/>
          <w:szCs w:val="24"/>
          <w:highlight w:val="none"/>
        </w:rPr>
        <w:t>能在响应文件中提供国家确定的认证机构出具的、处于有效期之内的该产品节能产品、环境标志产品认证证书；</w:t>
      </w:r>
      <w:bookmarkEnd w:id="65"/>
    </w:p>
    <w:p>
      <w:pPr>
        <w:spacing w:line="600" w:lineRule="exact"/>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（10）投标文件未按采购文件要求签字、盖章的；</w:t>
      </w:r>
    </w:p>
    <w:p>
      <w:pPr>
        <w:spacing w:line="600" w:lineRule="exact"/>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（11）违反国家或政府部门相关法律、法规、文件规定的。</w:t>
      </w:r>
    </w:p>
    <w:bookmarkEnd w:id="62"/>
    <w:p>
      <w:pPr>
        <w:spacing w:line="600" w:lineRule="exact"/>
        <w:ind w:firstLine="426" w:firstLineChars="177"/>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8.2报价文件符合性审查中，存在下列情形之一的，经评标委员会认定后作无效标处理：</w:t>
      </w:r>
    </w:p>
    <w:p>
      <w:pPr>
        <w:spacing w:line="600" w:lineRule="exact"/>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（1）投标文件没有对本招标文件作出实质性响应的，或不满足（不响应）本招标文件中标注“●”的实质性要求条款的，或存在招标文件中明确规定的其他无效标情形的；</w:t>
      </w:r>
    </w:p>
    <w:p>
      <w:pPr>
        <w:spacing w:line="600" w:lineRule="exact"/>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（2）投标文件存在一个或一个以上备选（替代）投标方案的；</w:t>
      </w:r>
    </w:p>
    <w:p>
      <w:pPr>
        <w:spacing w:line="600" w:lineRule="exact"/>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（3）未按照招标文件标明的币种报价的，或者投标报价涵盖的内容不符合招标文件要求的；</w:t>
      </w:r>
    </w:p>
    <w:p>
      <w:pPr>
        <w:spacing w:line="600" w:lineRule="exact"/>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（4）《开标一览表》内容与《投标报价明细表》内容不一致且拒不接受修正的；</w:t>
      </w:r>
    </w:p>
    <w:p>
      <w:pPr>
        <w:spacing w:line="600" w:lineRule="exact"/>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（5）投标报价具有选择性，唱标价格与《投标文件》承诺的优惠（折扣）后价格不一致的；</w:t>
      </w:r>
    </w:p>
    <w:p>
      <w:pPr>
        <w:spacing w:line="600" w:lineRule="exact"/>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（6）投标报价超过采购预算（或最高限价）的；</w:t>
      </w:r>
    </w:p>
    <w:p>
      <w:pPr>
        <w:spacing w:line="600" w:lineRule="exact"/>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（7）仅提交“备份投标文件”的；</w:t>
      </w:r>
    </w:p>
    <w:p>
      <w:pPr>
        <w:spacing w:line="600" w:lineRule="exact"/>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（8）投标文件组成内容不齐全，本招标文件规定必须提供而未提供的（属于资格审查范围的除外）；</w:t>
      </w:r>
    </w:p>
    <w:p>
      <w:pPr>
        <w:spacing w:line="600" w:lineRule="exact"/>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（9）投标文件标注的响应或偏离情况与事实不符，或提供了虚假材料的；</w:t>
      </w:r>
    </w:p>
    <w:p>
      <w:pPr>
        <w:spacing w:line="600" w:lineRule="exact"/>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（10）不响应或擅自改变本招标文件要求或投标文件有采购人不能接受的附加条件的；</w:t>
      </w:r>
    </w:p>
    <w:p>
      <w:pPr>
        <w:shd w:val="clear" w:color="auto" w:fill="FFFFFF"/>
        <w:autoSpaceDE w:val="0"/>
        <w:autoSpaceDN w:val="0"/>
        <w:snapToGrid w:val="0"/>
        <w:spacing w:line="60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11）评审委员会认为供应商报价明显低于其他合格供应商的报价，有可能影响产品质量或者不能诚信履约的，应当要求其在合理时间内提供书面说明，必要时提供相关证明材料；投标人不能证明其报价合理性的，评审委员会应当将其作为无效投标或者无效响应处理；</w:t>
      </w:r>
    </w:p>
    <w:p>
      <w:pPr>
        <w:spacing w:line="600" w:lineRule="exact"/>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（12）投标文件未按采购文件要求签字、盖章的；</w:t>
      </w:r>
    </w:p>
    <w:p>
      <w:pPr>
        <w:spacing w:line="600" w:lineRule="exact"/>
        <w:ind w:firstLine="426" w:firstLineChars="177"/>
        <w:rPr>
          <w:rFonts w:hint="eastAsia" w:ascii="宋体" w:hAnsi="宋体" w:eastAsia="宋体" w:cs="宋体"/>
          <w:b/>
          <w:color w:val="auto"/>
          <w:kern w:val="0"/>
          <w:sz w:val="24"/>
          <w:highlight w:val="none"/>
        </w:rPr>
      </w:pPr>
      <w:r>
        <w:rPr>
          <w:rFonts w:hint="eastAsia" w:ascii="宋体" w:hAnsi="宋体" w:eastAsia="宋体" w:cs="宋体"/>
          <w:b/>
          <w:color w:val="auto"/>
          <w:sz w:val="24"/>
          <w:highlight w:val="none"/>
        </w:rPr>
        <w:t>（13）违反国家或政府部门相关法律、法规、文件规定的。</w:t>
      </w:r>
    </w:p>
    <w:p>
      <w:pPr>
        <w:pStyle w:val="7"/>
        <w:numPr>
          <w:ilvl w:val="2"/>
          <w:numId w:val="0"/>
        </w:numPr>
        <w:spacing w:before="0" w:after="0" w:line="600" w:lineRule="exact"/>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（九）投标文件的评估、比较、评分</w:t>
      </w:r>
    </w:p>
    <w:p>
      <w:pPr>
        <w:spacing w:line="600" w:lineRule="exact"/>
        <w:ind w:firstLine="424" w:firstLineChars="177"/>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9.1评标委员会应当按照招标文件中规定的评审方法和标准，对符合性审查合格的投标文件进行商务和技术评估，综合比较与评价。评标时，评标委员会各成员将独立对每个投标人的投标文件进行评价，并汇总每个投标人的得分。评审细则详见本章第七款。</w:t>
      </w:r>
    </w:p>
    <w:p>
      <w:pPr>
        <w:spacing w:line="600" w:lineRule="exact"/>
        <w:ind w:firstLine="424" w:firstLineChars="177"/>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9.2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7"/>
        <w:numPr>
          <w:ilvl w:val="2"/>
          <w:numId w:val="0"/>
        </w:numPr>
        <w:spacing w:before="0" w:after="0" w:line="600" w:lineRule="exact"/>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（十）修改评审结果</w:t>
      </w:r>
    </w:p>
    <w:p>
      <w:pPr>
        <w:spacing w:line="600" w:lineRule="exact"/>
        <w:ind w:firstLine="487" w:firstLineChars="202"/>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10.1评标结果汇总完成后，除下列情形外，任何人不得修改评标结果：</w:t>
      </w:r>
    </w:p>
    <w:p>
      <w:pPr>
        <w:spacing w:line="600" w:lineRule="exact"/>
        <w:ind w:firstLine="484" w:firstLineChars="202"/>
        <w:rPr>
          <w:rFonts w:hint="eastAsia" w:ascii="宋体" w:hAnsi="宋体" w:eastAsia="宋体" w:cs="宋体"/>
          <w:color w:val="auto"/>
          <w:sz w:val="24"/>
          <w:highlight w:val="none"/>
        </w:rPr>
      </w:pPr>
      <w:r>
        <w:rPr>
          <w:rFonts w:hint="eastAsia" w:ascii="宋体" w:hAnsi="宋体" w:eastAsia="宋体" w:cs="宋体"/>
          <w:color w:val="auto"/>
          <w:sz w:val="24"/>
          <w:highlight w:val="none"/>
        </w:rPr>
        <w:t>（1）分值汇总计算错误的；</w:t>
      </w:r>
    </w:p>
    <w:p>
      <w:pPr>
        <w:spacing w:line="600" w:lineRule="exact"/>
        <w:ind w:firstLine="484" w:firstLineChars="202"/>
        <w:rPr>
          <w:rFonts w:hint="eastAsia" w:ascii="宋体" w:hAnsi="宋体" w:eastAsia="宋体" w:cs="宋体"/>
          <w:color w:val="auto"/>
          <w:sz w:val="24"/>
          <w:highlight w:val="none"/>
        </w:rPr>
      </w:pPr>
      <w:r>
        <w:rPr>
          <w:rFonts w:hint="eastAsia" w:ascii="宋体" w:hAnsi="宋体" w:eastAsia="宋体" w:cs="宋体"/>
          <w:color w:val="auto"/>
          <w:sz w:val="24"/>
          <w:highlight w:val="none"/>
        </w:rPr>
        <w:t>（2）分项评分超出评分标准范围的；</w:t>
      </w:r>
    </w:p>
    <w:p>
      <w:pPr>
        <w:spacing w:line="600" w:lineRule="exact"/>
        <w:ind w:firstLine="484" w:firstLineChars="202"/>
        <w:rPr>
          <w:rFonts w:hint="eastAsia" w:ascii="宋体" w:hAnsi="宋体" w:eastAsia="宋体" w:cs="宋体"/>
          <w:color w:val="auto"/>
          <w:sz w:val="24"/>
          <w:highlight w:val="none"/>
        </w:rPr>
      </w:pPr>
      <w:r>
        <w:rPr>
          <w:rFonts w:hint="eastAsia" w:ascii="宋体" w:hAnsi="宋体" w:eastAsia="宋体" w:cs="宋体"/>
          <w:color w:val="auto"/>
          <w:sz w:val="24"/>
          <w:highlight w:val="none"/>
        </w:rPr>
        <w:t>（3）评标委员会成员对客观评审因素评分不一致的；</w:t>
      </w:r>
    </w:p>
    <w:p>
      <w:pPr>
        <w:spacing w:line="600" w:lineRule="exact"/>
        <w:ind w:firstLine="484" w:firstLineChars="202"/>
        <w:rPr>
          <w:rFonts w:hint="eastAsia" w:ascii="宋体" w:hAnsi="宋体" w:eastAsia="宋体" w:cs="宋体"/>
          <w:color w:val="auto"/>
          <w:sz w:val="24"/>
          <w:highlight w:val="none"/>
        </w:rPr>
      </w:pPr>
      <w:r>
        <w:rPr>
          <w:rFonts w:hint="eastAsia" w:ascii="宋体" w:hAnsi="宋体" w:eastAsia="宋体" w:cs="宋体"/>
          <w:color w:val="auto"/>
          <w:sz w:val="24"/>
          <w:highlight w:val="none"/>
        </w:rPr>
        <w:t>（4）经评标委员会认定评分畸高、畸低的。</w:t>
      </w:r>
    </w:p>
    <w:p>
      <w:pPr>
        <w:spacing w:line="600" w:lineRule="exact"/>
        <w:ind w:firstLine="487" w:firstLineChars="202"/>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10.2评标报告签署前，经复核发现存在以上情形之一的，评标委员会将当场修改评标结果，并在评标报告中记载。</w:t>
      </w:r>
    </w:p>
    <w:p>
      <w:pPr>
        <w:pStyle w:val="7"/>
        <w:numPr>
          <w:ilvl w:val="2"/>
          <w:numId w:val="0"/>
        </w:numPr>
        <w:spacing w:before="0" w:after="0" w:line="600" w:lineRule="exact"/>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（十一）供应商排序及推荐中标（成交）候选供应商</w:t>
      </w:r>
    </w:p>
    <w:p>
      <w:pPr>
        <w:spacing w:line="600" w:lineRule="exact"/>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评标委员会根据以下规定确定供应商排名并推荐中标（成交）候选供应商。</w:t>
      </w:r>
    </w:p>
    <w:p>
      <w:pPr>
        <w:spacing w:line="600" w:lineRule="exact"/>
        <w:ind w:firstLine="465" w:firstLineChars="193"/>
        <w:rPr>
          <w:rFonts w:hint="eastAsia" w:ascii="宋体" w:hAnsi="宋体" w:eastAsia="宋体" w:cs="宋体"/>
          <w:color w:val="auto"/>
          <w:kern w:val="0"/>
          <w:sz w:val="24"/>
          <w:highlight w:val="none"/>
        </w:rPr>
      </w:pPr>
      <w:r>
        <w:rPr>
          <w:rFonts w:hint="eastAsia" w:ascii="宋体" w:hAnsi="宋体" w:eastAsia="宋体" w:cs="宋体"/>
          <w:b/>
          <w:color w:val="auto"/>
          <w:sz w:val="24"/>
          <w:highlight w:val="none"/>
        </w:rPr>
        <w:t>11.1评标委员会根据各投标供应商的综合得分（商务技术分与报价得分之和）从高到低依次进行排名排序。特殊情形按以下原则处理：</w:t>
      </w:r>
    </w:p>
    <w:p>
      <w:pPr>
        <w:spacing w:line="600" w:lineRule="exact"/>
        <w:ind w:firstLine="463" w:firstLineChars="193"/>
        <w:rPr>
          <w:rFonts w:hint="eastAsia" w:ascii="宋体" w:hAnsi="宋体" w:eastAsia="宋体" w:cs="宋体"/>
          <w:color w:val="auto"/>
          <w:sz w:val="24"/>
          <w:highlight w:val="none"/>
        </w:rPr>
      </w:pPr>
      <w:r>
        <w:rPr>
          <w:rFonts w:hint="eastAsia" w:ascii="宋体" w:hAnsi="宋体" w:eastAsia="宋体" w:cs="宋体"/>
          <w:color w:val="auto"/>
          <w:sz w:val="24"/>
          <w:highlight w:val="none"/>
        </w:rPr>
        <w:t>（1）综合得分相同的，按投标报价低的优先原则确定排名；</w:t>
      </w:r>
    </w:p>
    <w:p>
      <w:pPr>
        <w:spacing w:line="600" w:lineRule="exact"/>
        <w:ind w:firstLine="463" w:firstLineChars="193"/>
        <w:rPr>
          <w:rFonts w:hint="eastAsia" w:ascii="宋体" w:hAnsi="宋体" w:eastAsia="宋体" w:cs="宋体"/>
          <w:color w:val="auto"/>
          <w:sz w:val="24"/>
          <w:highlight w:val="none"/>
        </w:rPr>
      </w:pPr>
      <w:r>
        <w:rPr>
          <w:rFonts w:hint="eastAsia" w:ascii="宋体" w:hAnsi="宋体" w:eastAsia="宋体" w:cs="宋体"/>
          <w:color w:val="auto"/>
          <w:sz w:val="24"/>
          <w:highlight w:val="none"/>
        </w:rPr>
        <w:t>（2）综合得分和投标报价均相同的，按技术资信得分从高到低确定排名；</w:t>
      </w:r>
    </w:p>
    <w:p>
      <w:pPr>
        <w:spacing w:line="600" w:lineRule="exact"/>
        <w:ind w:firstLine="463" w:firstLineChars="193"/>
        <w:rPr>
          <w:rFonts w:hint="eastAsia" w:ascii="宋体" w:hAnsi="宋体" w:eastAsia="宋体" w:cs="宋体"/>
          <w:color w:val="auto"/>
          <w:sz w:val="24"/>
          <w:highlight w:val="none"/>
        </w:rPr>
      </w:pPr>
      <w:r>
        <w:rPr>
          <w:rFonts w:hint="eastAsia" w:ascii="宋体" w:hAnsi="宋体" w:eastAsia="宋体" w:cs="宋体"/>
          <w:color w:val="auto"/>
          <w:sz w:val="24"/>
          <w:highlight w:val="none"/>
        </w:rPr>
        <w:t>（3）综合得分、投标报价和技术资信得分均相同的由评标委员会全体成员记名投票按少数服从多数的原则确定排名。</w:t>
      </w:r>
    </w:p>
    <w:p>
      <w:pPr>
        <w:spacing w:line="600" w:lineRule="exact"/>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11.2根据最终得分排序，通过书面评审报告的形式，向采购人推荐</w:t>
      </w:r>
      <w:r>
        <w:rPr>
          <w:rFonts w:hint="eastAsia" w:ascii="宋体" w:hAnsi="宋体" w:eastAsia="宋体" w:cs="宋体"/>
          <w:b/>
          <w:color w:val="auto"/>
          <w:kern w:val="0"/>
          <w:sz w:val="24"/>
          <w:highlight w:val="none"/>
        </w:rPr>
        <w:t>排名第一的投标供应商为中标（成交）候选供应商</w:t>
      </w:r>
      <w:r>
        <w:rPr>
          <w:rFonts w:hint="eastAsia" w:ascii="宋体" w:hAnsi="宋体" w:eastAsia="宋体" w:cs="宋体"/>
          <w:b/>
          <w:color w:val="auto"/>
          <w:sz w:val="24"/>
          <w:highlight w:val="none"/>
        </w:rPr>
        <w:t>。</w:t>
      </w:r>
    </w:p>
    <w:p>
      <w:pPr>
        <w:pStyle w:val="7"/>
        <w:numPr>
          <w:ilvl w:val="2"/>
          <w:numId w:val="0"/>
        </w:numPr>
        <w:spacing w:before="0" w:after="0" w:line="600" w:lineRule="exact"/>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（十二）起草、签署评审报告</w:t>
      </w:r>
    </w:p>
    <w:p>
      <w:pPr>
        <w:spacing w:line="600" w:lineRule="exact"/>
        <w:ind w:firstLine="463" w:firstLineChars="193"/>
        <w:rPr>
          <w:rFonts w:hint="eastAsia" w:ascii="宋体" w:hAnsi="宋体" w:eastAsia="宋体" w:cs="宋体"/>
          <w:color w:val="auto"/>
          <w:sz w:val="24"/>
          <w:highlight w:val="none"/>
        </w:rPr>
      </w:pPr>
      <w:r>
        <w:rPr>
          <w:rFonts w:hint="eastAsia" w:ascii="宋体" w:hAnsi="宋体" w:eastAsia="宋体" w:cs="宋体"/>
          <w:color w:val="auto"/>
          <w:sz w:val="24"/>
          <w:highlight w:val="none"/>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pStyle w:val="42"/>
        <w:snapToGrid w:val="0"/>
        <w:spacing w:line="600" w:lineRule="exact"/>
        <w:rPr>
          <w:rFonts w:hint="eastAsia" w:ascii="宋体" w:hAnsi="宋体" w:eastAsia="宋体" w:cs="宋体"/>
          <w:b/>
          <w:color w:val="auto"/>
          <w:sz w:val="24"/>
          <w:szCs w:val="24"/>
          <w:highlight w:val="none"/>
        </w:rPr>
      </w:pPr>
      <w:bookmarkStart w:id="66" w:name="_Toc91899903"/>
      <w:r>
        <w:rPr>
          <w:rFonts w:hint="eastAsia" w:ascii="宋体" w:hAnsi="宋体" w:eastAsia="宋体" w:cs="宋体"/>
          <w:b/>
          <w:color w:val="auto"/>
          <w:sz w:val="24"/>
          <w:szCs w:val="24"/>
          <w:highlight w:val="none"/>
        </w:rPr>
        <w:t>（十三）评标办法</w:t>
      </w:r>
    </w:p>
    <w:p>
      <w:pPr>
        <w:snapToGrid w:val="0"/>
        <w:spacing w:line="600" w:lineRule="exact"/>
        <w:ind w:firstLine="482" w:firstLineChars="200"/>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1、</w:t>
      </w:r>
      <w:r>
        <w:rPr>
          <w:rFonts w:hint="eastAsia" w:ascii="宋体" w:hAnsi="宋体" w:eastAsia="宋体" w:cs="宋体"/>
          <w:b/>
          <w:color w:val="auto"/>
          <w:sz w:val="24"/>
          <w:highlight w:val="none"/>
        </w:rPr>
        <w:t>本项目采用综合评分法</w:t>
      </w:r>
      <w:r>
        <w:rPr>
          <w:rFonts w:hint="eastAsia" w:ascii="宋体" w:hAnsi="宋体" w:eastAsia="宋体" w:cs="宋体"/>
          <w:color w:val="auto"/>
          <w:sz w:val="24"/>
          <w:highlight w:val="none"/>
        </w:rPr>
        <w:t>，总分为100分，其中商务、技术</w:t>
      </w:r>
      <w:r>
        <w:rPr>
          <w:rFonts w:hint="eastAsia" w:ascii="宋体" w:hAnsi="宋体" w:eastAsia="宋体" w:cs="宋体"/>
          <w:color w:val="auto"/>
          <w:sz w:val="24"/>
          <w:highlight w:val="none"/>
          <w:lang w:val="en-US" w:eastAsia="zh-CN"/>
        </w:rPr>
        <w:t>80</w:t>
      </w:r>
      <w:r>
        <w:rPr>
          <w:rFonts w:hint="eastAsia" w:ascii="宋体" w:hAnsi="宋体" w:eastAsia="宋体" w:cs="宋体"/>
          <w:color w:val="auto"/>
          <w:sz w:val="24"/>
          <w:highlight w:val="none"/>
        </w:rPr>
        <w:t>分，价格分</w:t>
      </w:r>
      <w:r>
        <w:rPr>
          <w:rFonts w:hint="eastAsia" w:ascii="宋体" w:hAnsi="宋体" w:eastAsia="宋体" w:cs="宋体"/>
          <w:color w:val="auto"/>
          <w:sz w:val="24"/>
          <w:highlight w:val="none"/>
          <w:lang w:val="en-US" w:eastAsia="zh-CN"/>
        </w:rPr>
        <w:t>20</w:t>
      </w:r>
      <w:r>
        <w:rPr>
          <w:rFonts w:hint="eastAsia" w:ascii="宋体" w:hAnsi="宋体" w:eastAsia="宋体" w:cs="宋体"/>
          <w:color w:val="auto"/>
          <w:sz w:val="24"/>
          <w:highlight w:val="none"/>
        </w:rPr>
        <w:t>分。</w:t>
      </w:r>
    </w:p>
    <w:p>
      <w:pPr>
        <w:spacing w:line="600" w:lineRule="exact"/>
        <w:ind w:firstLine="465" w:firstLineChars="193"/>
        <w:rPr>
          <w:rFonts w:hint="eastAsia" w:ascii="宋体" w:hAnsi="宋体" w:eastAsia="宋体" w:cs="宋体"/>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color w:val="auto"/>
          <w:sz w:val="24"/>
          <w:highlight w:val="none"/>
        </w:rPr>
        <w:t>、商务、技术评标细则（</w:t>
      </w:r>
      <w:r>
        <w:rPr>
          <w:rFonts w:hint="eastAsia" w:ascii="宋体" w:hAnsi="宋体" w:eastAsia="宋体" w:cs="宋体"/>
          <w:color w:val="auto"/>
          <w:sz w:val="24"/>
          <w:highlight w:val="none"/>
          <w:lang w:val="en-US" w:eastAsia="zh-CN"/>
        </w:rPr>
        <w:t>80</w:t>
      </w:r>
      <w:r>
        <w:rPr>
          <w:rFonts w:hint="eastAsia" w:ascii="宋体" w:hAnsi="宋体" w:eastAsia="宋体" w:cs="宋体"/>
          <w:color w:val="auto"/>
          <w:sz w:val="24"/>
          <w:highlight w:val="none"/>
        </w:rPr>
        <w:t>分）</w:t>
      </w:r>
    </w:p>
    <w:p>
      <w:pPr>
        <w:spacing w:line="600" w:lineRule="exact"/>
        <w:ind w:firstLine="463" w:firstLineChars="193"/>
        <w:rPr>
          <w:rFonts w:hint="eastAsia" w:ascii="宋体" w:hAnsi="宋体" w:eastAsia="宋体" w:cs="宋体"/>
          <w:color w:val="auto"/>
          <w:sz w:val="24"/>
          <w:highlight w:val="none"/>
        </w:rPr>
      </w:pPr>
      <w:r>
        <w:rPr>
          <w:rFonts w:hint="eastAsia" w:ascii="宋体" w:hAnsi="宋体" w:eastAsia="宋体" w:cs="宋体"/>
          <w:color w:val="auto"/>
          <w:sz w:val="24"/>
          <w:highlight w:val="none"/>
        </w:rPr>
        <w:t>技术分（</w:t>
      </w:r>
      <w:r>
        <w:rPr>
          <w:rFonts w:hint="eastAsia" w:ascii="宋体" w:hAnsi="宋体" w:eastAsia="宋体" w:cs="宋体"/>
          <w:color w:val="auto"/>
          <w:sz w:val="24"/>
          <w:highlight w:val="none"/>
          <w:lang w:val="en-US" w:eastAsia="zh-CN"/>
        </w:rPr>
        <w:t>64</w:t>
      </w:r>
      <w:r>
        <w:rPr>
          <w:rFonts w:hint="eastAsia" w:ascii="宋体" w:hAnsi="宋体" w:eastAsia="宋体" w:cs="宋体"/>
          <w:color w:val="auto"/>
          <w:sz w:val="24"/>
          <w:highlight w:val="none"/>
        </w:rPr>
        <w:t>分）</w:t>
      </w:r>
    </w:p>
    <w:tbl>
      <w:tblPr>
        <w:tblStyle w:val="77"/>
        <w:tblpPr w:leftFromText="180" w:rightFromText="180" w:vertAnchor="text" w:horzAnchor="page" w:tblpX="1382" w:tblpY="583"/>
        <w:tblOverlap w:val="never"/>
        <w:tblW w:w="93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1"/>
        <w:gridCol w:w="7468"/>
        <w:gridCol w:w="1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746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评分细则内容</w:t>
            </w:r>
          </w:p>
        </w:tc>
        <w:tc>
          <w:tcPr>
            <w:tcW w:w="119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7468" w:type="dxa"/>
            <w:tcBorders>
              <w:top w:val="single" w:color="000000" w:sz="4" w:space="0"/>
              <w:left w:val="nil"/>
              <w:bottom w:val="single" w:color="000000" w:sz="4" w:space="0"/>
              <w:right w:val="single" w:color="000000" w:sz="4" w:space="0"/>
            </w:tcBorders>
            <w:noWrap w:val="0"/>
            <w:vAlign w:val="center"/>
          </w:tcPr>
          <w:p>
            <w:pPr>
              <w:widowControl w:val="0"/>
              <w:spacing w:line="600" w:lineRule="exact"/>
              <w:jc w:val="left"/>
              <w:rPr>
                <w:rFonts w:hint="eastAsia" w:ascii="宋体" w:hAnsi="宋体" w:eastAsia="宋体" w:cs="宋体"/>
                <w:bCs w:val="0"/>
                <w:color w:val="auto"/>
                <w:sz w:val="24"/>
                <w:highlight w:val="none"/>
                <w:lang w:val="en-US" w:eastAsia="zh-CN"/>
              </w:rPr>
            </w:pPr>
            <w:r>
              <w:rPr>
                <w:rFonts w:hint="eastAsia" w:ascii="宋体" w:hAnsi="宋体" w:eastAsia="宋体" w:cs="宋体"/>
                <w:bCs w:val="0"/>
                <w:color w:val="auto"/>
                <w:sz w:val="24"/>
                <w:szCs w:val="24"/>
                <w:highlight w:val="none"/>
                <w:lang w:val="en-US" w:eastAsia="zh-CN"/>
              </w:rPr>
              <w:t>项目实施方案：根据投标人对于本项目</w:t>
            </w:r>
            <w:r>
              <w:rPr>
                <w:rFonts w:hint="eastAsia" w:ascii="宋体" w:hAnsi="宋体" w:eastAsia="宋体" w:cs="宋体"/>
                <w:color w:val="auto"/>
                <w:sz w:val="24"/>
                <w:szCs w:val="24"/>
                <w:highlight w:val="none"/>
                <w:lang w:val="zh-CN"/>
              </w:rPr>
              <w:t>需求的吻合程度以及方案的优势情况</w:t>
            </w:r>
            <w:r>
              <w:rPr>
                <w:rFonts w:hint="eastAsia" w:ascii="宋体" w:hAnsi="宋体" w:eastAsia="宋体" w:cs="宋体"/>
                <w:bCs w:val="0"/>
                <w:color w:val="auto"/>
                <w:sz w:val="24"/>
                <w:szCs w:val="24"/>
                <w:highlight w:val="none"/>
                <w:lang w:val="en-US" w:eastAsia="zh-CN"/>
              </w:rPr>
              <w:t>实、</w:t>
            </w:r>
            <w:r>
              <w:rPr>
                <w:rFonts w:hint="eastAsia" w:ascii="宋体" w:hAnsi="宋体" w:eastAsia="宋体" w:cs="宋体"/>
                <w:bCs/>
                <w:color w:val="auto"/>
                <w:sz w:val="24"/>
                <w:szCs w:val="24"/>
                <w:highlight w:val="none"/>
              </w:rPr>
              <w:t>施</w:t>
            </w:r>
            <w:r>
              <w:rPr>
                <w:rFonts w:hint="eastAsia" w:ascii="宋体" w:hAnsi="宋体" w:eastAsia="宋体" w:cs="宋体"/>
                <w:bCs/>
                <w:color w:val="auto"/>
                <w:sz w:val="24"/>
                <w:szCs w:val="24"/>
                <w:highlight w:val="none"/>
                <w:lang w:val="en-US" w:eastAsia="zh-CN"/>
              </w:rPr>
              <w:t>工</w:t>
            </w:r>
            <w:r>
              <w:rPr>
                <w:rFonts w:hint="eastAsia" w:ascii="宋体" w:hAnsi="宋体" w:eastAsia="宋体" w:cs="宋体"/>
                <w:bCs/>
                <w:color w:val="auto"/>
                <w:sz w:val="24"/>
                <w:szCs w:val="24"/>
                <w:highlight w:val="none"/>
              </w:rPr>
              <w:t>划标线装备，及标线维护抢修方案等是否合理、科学</w:t>
            </w:r>
            <w:r>
              <w:rPr>
                <w:rFonts w:hint="eastAsia" w:ascii="宋体" w:hAnsi="宋体" w:eastAsia="宋体" w:cs="宋体"/>
                <w:bCs w:val="0"/>
                <w:color w:val="auto"/>
                <w:sz w:val="24"/>
                <w:szCs w:val="24"/>
                <w:highlight w:val="none"/>
                <w:lang w:val="en-US" w:eastAsia="zh-CN"/>
              </w:rPr>
              <w:t>，由评标委员会进行打分；</w:t>
            </w:r>
          </w:p>
        </w:tc>
        <w:tc>
          <w:tcPr>
            <w:tcW w:w="119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2</w:t>
            </w:r>
          </w:p>
        </w:tc>
        <w:tc>
          <w:tcPr>
            <w:tcW w:w="7468" w:type="dxa"/>
            <w:tcBorders>
              <w:top w:val="single" w:color="000000" w:sz="4" w:space="0"/>
              <w:left w:val="nil"/>
              <w:bottom w:val="single" w:color="000000" w:sz="4" w:space="0"/>
              <w:right w:val="single" w:color="000000" w:sz="4" w:space="0"/>
            </w:tcBorders>
            <w:noWrap w:val="0"/>
            <w:vAlign w:val="center"/>
          </w:tcPr>
          <w:p>
            <w:pPr>
              <w:widowControl w:val="0"/>
              <w:spacing w:line="600" w:lineRule="exact"/>
              <w:jc w:val="left"/>
              <w:rPr>
                <w:rFonts w:hint="eastAsia" w:ascii="宋体" w:hAnsi="宋体" w:eastAsia="宋体" w:cs="宋体"/>
                <w:bCs w:val="0"/>
                <w:color w:val="auto"/>
                <w:sz w:val="24"/>
                <w:szCs w:val="24"/>
                <w:highlight w:val="none"/>
                <w:lang w:val="en-US" w:eastAsia="zh-CN"/>
              </w:rPr>
            </w:pPr>
            <w:r>
              <w:rPr>
                <w:rFonts w:hint="eastAsia" w:ascii="宋体" w:hAnsi="宋体" w:eastAsia="宋体" w:cs="宋体"/>
                <w:bCs w:val="0"/>
                <w:color w:val="auto"/>
                <w:sz w:val="24"/>
                <w:szCs w:val="24"/>
                <w:highlight w:val="none"/>
                <w:lang w:val="en-US" w:eastAsia="zh-CN"/>
              </w:rPr>
              <w:t>保证服务进度的措施：根据保证服务进度措施方案，由评标委员会进行打分；</w:t>
            </w:r>
          </w:p>
        </w:tc>
        <w:tc>
          <w:tcPr>
            <w:tcW w:w="119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7468" w:type="dxa"/>
            <w:tcBorders>
              <w:top w:val="single" w:color="000000" w:sz="4" w:space="0"/>
              <w:left w:val="nil"/>
              <w:bottom w:val="single" w:color="000000" w:sz="4" w:space="0"/>
              <w:right w:val="single" w:color="000000" w:sz="4" w:space="0"/>
            </w:tcBorders>
            <w:noWrap w:val="0"/>
            <w:vAlign w:val="center"/>
          </w:tcPr>
          <w:p>
            <w:pPr>
              <w:spacing w:line="600" w:lineRule="exact"/>
              <w:jc w:val="left"/>
              <w:rPr>
                <w:rFonts w:hint="eastAsia" w:ascii="宋体" w:hAnsi="宋体" w:eastAsia="宋体" w:cs="宋体"/>
                <w:bCs w:val="0"/>
                <w:color w:val="auto"/>
                <w:sz w:val="24"/>
                <w:szCs w:val="24"/>
                <w:highlight w:val="none"/>
                <w:lang w:val="en-US" w:eastAsia="zh-CN"/>
              </w:rPr>
            </w:pPr>
            <w:r>
              <w:rPr>
                <w:rFonts w:hint="eastAsia" w:ascii="宋体" w:hAnsi="宋体" w:eastAsia="宋体" w:cs="宋体"/>
                <w:bCs w:val="0"/>
                <w:color w:val="auto"/>
                <w:sz w:val="24"/>
                <w:szCs w:val="24"/>
                <w:highlight w:val="none"/>
                <w:lang w:val="en-US" w:eastAsia="zh-CN"/>
              </w:rPr>
              <w:t>保证服务质量的措施：根据保证服务质量措施方案，由评标委员会进行打分；</w:t>
            </w:r>
          </w:p>
        </w:tc>
        <w:tc>
          <w:tcPr>
            <w:tcW w:w="119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31" w:type="dxa"/>
            <w:tcBorders>
              <w:top w:val="nil"/>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4</w:t>
            </w:r>
          </w:p>
        </w:tc>
        <w:tc>
          <w:tcPr>
            <w:tcW w:w="7468" w:type="dxa"/>
            <w:tcBorders>
              <w:top w:val="nil"/>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技术力量和人力资源的配备：根据针对本项目的项目组成人员的职</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称、工作经验、人员配置及技术力量组成等因素，由评标委员会进行打分；</w:t>
            </w:r>
            <w:r>
              <w:rPr>
                <w:rFonts w:hint="eastAsia" w:ascii="宋体" w:hAnsi="宋体" w:eastAsia="宋体" w:cs="宋体"/>
                <w:b/>
                <w:bCs/>
                <w:color w:val="auto"/>
                <w:sz w:val="24"/>
                <w:szCs w:val="24"/>
                <w:highlight w:val="none"/>
                <w:lang w:val="en-US" w:eastAsia="zh-CN"/>
              </w:rPr>
              <w:t>投标文件中提供相关人员证书复印件并加盖单位公章；</w:t>
            </w:r>
          </w:p>
        </w:tc>
        <w:tc>
          <w:tcPr>
            <w:tcW w:w="119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31" w:type="dxa"/>
            <w:tcBorders>
              <w:top w:val="nil"/>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7468" w:type="dxa"/>
            <w:tcBorders>
              <w:top w:val="nil"/>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color w:val="auto"/>
                <w:kern w:val="0"/>
                <w:sz w:val="24"/>
                <w:szCs w:val="24"/>
                <w:highlight w:val="none"/>
              </w:rPr>
              <w:t>交通组织方案</w:t>
            </w:r>
            <w:r>
              <w:rPr>
                <w:rFonts w:hint="eastAsia" w:ascii="宋体" w:hAnsi="宋体" w:eastAsia="宋体" w:cs="宋体"/>
                <w:b w:val="0"/>
                <w:bCs/>
                <w:color w:val="auto"/>
                <w:sz w:val="24"/>
                <w:szCs w:val="24"/>
                <w:highlight w:val="none"/>
                <w:lang w:val="en-US" w:eastAsia="zh-CN"/>
              </w:rPr>
              <w:t>：现</w:t>
            </w:r>
            <w:r>
              <w:rPr>
                <w:rFonts w:hint="eastAsia" w:ascii="宋体" w:hAnsi="宋体" w:eastAsia="宋体" w:cs="宋体"/>
                <w:bCs/>
                <w:color w:val="auto"/>
                <w:sz w:val="24"/>
                <w:szCs w:val="24"/>
                <w:highlight w:val="none"/>
              </w:rPr>
              <w:t>场实施技术方案与措施</w:t>
            </w:r>
            <w:r>
              <w:rPr>
                <w:rFonts w:hint="eastAsia" w:ascii="宋体" w:hAnsi="宋体" w:eastAsia="宋体" w:cs="宋体"/>
                <w:color w:val="auto"/>
                <w:sz w:val="24"/>
                <w:szCs w:val="24"/>
                <w:highlight w:val="none"/>
                <w:lang w:val="zh-CN"/>
              </w:rPr>
              <w:t>的科学性、合理性、规范性和可操作性，</w:t>
            </w:r>
            <w:r>
              <w:rPr>
                <w:rFonts w:hint="eastAsia" w:ascii="宋体" w:hAnsi="宋体" w:eastAsia="宋体" w:cs="宋体"/>
                <w:bCs/>
                <w:color w:val="auto"/>
                <w:sz w:val="24"/>
                <w:szCs w:val="24"/>
                <w:highlight w:val="none"/>
              </w:rPr>
              <w:t>交通组织方案</w:t>
            </w:r>
            <w:r>
              <w:rPr>
                <w:rFonts w:hint="eastAsia" w:ascii="宋体" w:hAnsi="宋体" w:eastAsia="宋体" w:cs="宋体"/>
                <w:bCs/>
                <w:color w:val="auto"/>
                <w:sz w:val="24"/>
                <w:szCs w:val="24"/>
                <w:highlight w:val="none"/>
                <w:lang w:val="zh-CN"/>
              </w:rPr>
              <w:t>的科学性、合理性、规范性和可操作性，</w:t>
            </w:r>
            <w:r>
              <w:rPr>
                <w:rFonts w:hint="eastAsia" w:ascii="宋体" w:hAnsi="宋体" w:eastAsia="宋体" w:cs="宋体"/>
                <w:bCs/>
                <w:color w:val="auto"/>
                <w:sz w:val="24"/>
                <w:szCs w:val="24"/>
                <w:highlight w:val="none"/>
                <w:lang w:val="zh-CN" w:eastAsia="zh-CN"/>
              </w:rPr>
              <w:t>由评标委员会进行打分；</w:t>
            </w:r>
          </w:p>
        </w:tc>
        <w:tc>
          <w:tcPr>
            <w:tcW w:w="119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31" w:type="dxa"/>
            <w:tcBorders>
              <w:top w:val="nil"/>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6</w:t>
            </w:r>
          </w:p>
        </w:tc>
        <w:tc>
          <w:tcPr>
            <w:tcW w:w="7468" w:type="dxa"/>
            <w:tcBorders>
              <w:top w:val="nil"/>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设备的投入：1、</w:t>
            </w:r>
            <w:r>
              <w:rPr>
                <w:rFonts w:hint="eastAsia" w:ascii="宋体" w:hAnsi="宋体" w:eastAsia="宋体" w:cs="宋体"/>
                <w:color w:val="auto"/>
                <w:sz w:val="24"/>
                <w:highlight w:val="none"/>
              </w:rPr>
              <w:t>包括吊臂作业车</w:t>
            </w:r>
            <w:r>
              <w:rPr>
                <w:rFonts w:hint="eastAsia" w:ascii="宋体" w:hAnsi="宋体" w:eastAsia="宋体" w:cs="宋体"/>
                <w:color w:val="auto"/>
                <w:sz w:val="24"/>
                <w:highlight w:val="none"/>
                <w:lang w:eastAsia="zh-CN"/>
              </w:rPr>
              <w:t>（登高车）</w:t>
            </w:r>
            <w:r>
              <w:rPr>
                <w:rFonts w:hint="eastAsia" w:ascii="宋体" w:hAnsi="宋体" w:eastAsia="宋体" w:cs="宋体"/>
                <w:color w:val="auto"/>
                <w:sz w:val="24"/>
                <w:highlight w:val="none"/>
              </w:rPr>
              <w:t>、货车及其它工程作业车辆等。</w:t>
            </w:r>
            <w:r>
              <w:rPr>
                <w:rFonts w:hint="eastAsia" w:ascii="宋体" w:hAnsi="宋体" w:eastAsia="宋体" w:cs="宋体"/>
                <w:color w:val="auto"/>
                <w:sz w:val="24"/>
                <w:highlight w:val="none"/>
                <w:lang w:val="en-US" w:eastAsia="zh-CN"/>
              </w:rPr>
              <w:t>具有超过3</w:t>
            </w:r>
            <w:r>
              <w:rPr>
                <w:rFonts w:hint="eastAsia" w:ascii="宋体" w:hAnsi="宋体" w:eastAsia="宋体" w:cs="宋体"/>
                <w:color w:val="auto"/>
                <w:sz w:val="24"/>
                <w:highlight w:val="none"/>
              </w:rPr>
              <w:t>辆车得2分，</w:t>
            </w:r>
            <w:r>
              <w:rPr>
                <w:rFonts w:hint="eastAsia" w:ascii="宋体" w:hAnsi="宋体" w:eastAsia="宋体" w:cs="宋体"/>
                <w:color w:val="auto"/>
                <w:sz w:val="24"/>
                <w:highlight w:val="none"/>
                <w:lang w:val="en-US" w:eastAsia="zh-CN"/>
              </w:rPr>
              <w:t>其中具有1辆及以上</w:t>
            </w:r>
            <w:r>
              <w:rPr>
                <w:rFonts w:hint="eastAsia" w:ascii="宋体" w:hAnsi="宋体" w:eastAsia="宋体" w:cs="宋体"/>
                <w:color w:val="auto"/>
                <w:sz w:val="24"/>
                <w:highlight w:val="none"/>
              </w:rPr>
              <w:t>吊臂作业车(车辆行驶证上车辆类型必须为专项作业车)加1分；超过</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辆（不含）的每增加1辆得</w:t>
            </w:r>
            <w:r>
              <w:rPr>
                <w:rFonts w:hint="eastAsia" w:ascii="宋体" w:hAnsi="宋体" w:eastAsia="宋体" w:cs="宋体"/>
                <w:color w:val="auto"/>
                <w:sz w:val="24"/>
                <w:highlight w:val="none"/>
                <w:lang w:val="en-US" w:eastAsia="zh-CN"/>
              </w:rPr>
              <w:t>0.5</w:t>
            </w:r>
            <w:r>
              <w:rPr>
                <w:rFonts w:hint="eastAsia" w:ascii="宋体" w:hAnsi="宋体" w:eastAsia="宋体" w:cs="宋体"/>
                <w:color w:val="auto"/>
                <w:sz w:val="24"/>
                <w:highlight w:val="none"/>
              </w:rPr>
              <w:t>分</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最多得</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分。</w:t>
            </w:r>
            <w:r>
              <w:rPr>
                <w:rFonts w:hint="eastAsia" w:ascii="宋体" w:hAnsi="宋体" w:eastAsia="宋体" w:cs="宋体"/>
                <w:color w:val="auto"/>
                <w:sz w:val="24"/>
                <w:highlight w:val="none"/>
                <w:lang w:val="en-US" w:eastAsia="zh-CN"/>
              </w:rPr>
              <w:t>投标文件中提供</w:t>
            </w:r>
            <w:r>
              <w:rPr>
                <w:rFonts w:hint="eastAsia" w:ascii="宋体" w:hAnsi="宋体" w:eastAsia="宋体" w:cs="宋体"/>
                <w:color w:val="auto"/>
                <w:sz w:val="24"/>
                <w:highlight w:val="none"/>
              </w:rPr>
              <w:t>有效的车辆行驶证复印件为准。作业车辆必须符合杭州市相关交通管理要求。</w:t>
            </w:r>
          </w:p>
          <w:p>
            <w:pPr>
              <w:pStyle w:val="2"/>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rPr>
              <w:t>2、投标人根据项目内容自有其他设备（包括双组份标线机、手推式划线机、热熔划线机、热熔划线斗、水线放线装置、经纬仪、水准仪、逆反射系数检测仪器、标线厚度测定仪器、水除线设备、无人机），本项最高得4分，每少一项扣0.5分，扣完为止；</w:t>
            </w:r>
            <w:r>
              <w:rPr>
                <w:rFonts w:hint="eastAsia" w:ascii="宋体" w:hAnsi="宋体" w:eastAsia="宋体" w:cs="宋体"/>
                <w:b/>
                <w:bCs/>
                <w:color w:val="auto"/>
                <w:kern w:val="0"/>
                <w:sz w:val="24"/>
                <w:szCs w:val="24"/>
                <w:highlight w:val="none"/>
                <w:lang w:val="en-US" w:eastAsia="zh-CN"/>
              </w:rPr>
              <w:t>投标文件中提供设备发票复印件并加盖投标人公章；</w:t>
            </w:r>
          </w:p>
        </w:tc>
        <w:tc>
          <w:tcPr>
            <w:tcW w:w="119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31"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7468" w:type="dxa"/>
            <w:tcBorders>
              <w:top w:val="nil"/>
              <w:left w:val="nil"/>
              <w:bottom w:val="single" w:color="000000" w:sz="4" w:space="0"/>
              <w:right w:val="single" w:color="000000" w:sz="4" w:space="0"/>
            </w:tcBorders>
            <w:noWrap w:val="0"/>
            <w:vAlign w:val="center"/>
          </w:tcPr>
          <w:p>
            <w:pPr>
              <w:widowControl w:val="0"/>
              <w:spacing w:line="600" w:lineRule="exact"/>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项目班子组成结构</w:t>
            </w:r>
            <w:r>
              <w:rPr>
                <w:rFonts w:hint="eastAsia" w:ascii="宋体" w:hAnsi="宋体" w:eastAsia="宋体" w:cs="宋体"/>
                <w:color w:val="auto"/>
                <w:kern w:val="0"/>
                <w:sz w:val="24"/>
                <w:szCs w:val="24"/>
                <w:highlight w:val="none"/>
                <w:lang w:val="en-US" w:eastAsia="zh-CN"/>
              </w:rPr>
              <w:t>:项目负责人有二级</w:t>
            </w:r>
            <w:r>
              <w:rPr>
                <w:rFonts w:hint="eastAsia" w:ascii="宋体" w:hAnsi="宋体" w:eastAsia="宋体" w:cs="宋体"/>
                <w:bCs w:val="0"/>
                <w:color w:val="auto"/>
                <w:kern w:val="0"/>
                <w:sz w:val="24"/>
                <w:szCs w:val="24"/>
                <w:highlight w:val="none"/>
                <w:lang w:val="en-US" w:eastAsia="zh-CN"/>
              </w:rPr>
              <w:t>建造师以上（含）及建筑施工企业项目安全生产证书（建安B证）的</w:t>
            </w:r>
            <w:r>
              <w:rPr>
                <w:rFonts w:hint="eastAsia" w:ascii="宋体" w:hAnsi="宋体" w:eastAsia="宋体" w:cs="宋体"/>
                <w:color w:val="auto"/>
                <w:kern w:val="0"/>
                <w:sz w:val="24"/>
                <w:szCs w:val="24"/>
                <w:highlight w:val="none"/>
                <w:lang w:val="en-US" w:eastAsia="zh-CN"/>
              </w:rPr>
              <w:t>的，得2分；</w:t>
            </w:r>
          </w:p>
          <w:p>
            <w:pPr>
              <w:widowControl w:val="0"/>
              <w:spacing w:line="600" w:lineRule="exact"/>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技术负责人具有中级职称的得0.5分，具有高级职称及以上的得1分；</w:t>
            </w:r>
          </w:p>
          <w:p>
            <w:pPr>
              <w:widowControl w:val="0"/>
              <w:spacing w:line="600" w:lineRule="exact"/>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rPr>
              <w:t>安全员(建安C证)、资料员、材料员、质量员、施工员、标准员、劳务员取得相应证书的每个得1分。（提供项目组成员清单及人员近三个月社保缴纳证明等）</w:t>
            </w:r>
          </w:p>
        </w:tc>
        <w:tc>
          <w:tcPr>
            <w:tcW w:w="119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7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highlight w:val="none"/>
              </w:rPr>
              <w:t>针对本项目</w:t>
            </w:r>
            <w:r>
              <w:rPr>
                <w:rFonts w:hint="eastAsia" w:ascii="宋体" w:hAnsi="宋体" w:eastAsia="宋体" w:cs="宋体"/>
                <w:color w:val="auto"/>
                <w:sz w:val="24"/>
                <w:highlight w:val="none"/>
                <w:lang w:eastAsia="zh-CN"/>
              </w:rPr>
              <w:t>维护</w:t>
            </w:r>
            <w:r>
              <w:rPr>
                <w:rFonts w:hint="eastAsia" w:ascii="宋体" w:hAnsi="宋体" w:eastAsia="宋体" w:cs="宋体"/>
                <w:color w:val="auto"/>
                <w:sz w:val="24"/>
                <w:highlight w:val="none"/>
              </w:rPr>
              <w:t>提出合理化、优化建议，</w:t>
            </w:r>
            <w:r>
              <w:rPr>
                <w:rFonts w:hint="eastAsia" w:ascii="宋体" w:hAnsi="宋体" w:eastAsia="宋体" w:cs="宋体"/>
                <w:color w:val="auto"/>
                <w:sz w:val="24"/>
                <w:highlight w:val="none"/>
                <w:lang w:eastAsia="zh-CN"/>
              </w:rPr>
              <w:t>由专家进行打分；</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r>
    </w:tbl>
    <w:p>
      <w:pPr>
        <w:pStyle w:val="2"/>
        <w:spacing w:line="6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商务分（</w:t>
      </w:r>
      <w:r>
        <w:rPr>
          <w:rFonts w:hint="eastAsia" w:ascii="宋体" w:hAnsi="宋体" w:eastAsia="宋体" w:cs="宋体"/>
          <w:color w:val="auto"/>
          <w:sz w:val="24"/>
          <w:szCs w:val="24"/>
          <w:highlight w:val="none"/>
          <w:lang w:val="en-US" w:eastAsia="zh-CN"/>
        </w:rPr>
        <w:t>16</w:t>
      </w:r>
      <w:r>
        <w:rPr>
          <w:rFonts w:hint="eastAsia" w:ascii="宋体" w:hAnsi="宋体" w:eastAsia="宋体" w:cs="宋体"/>
          <w:color w:val="auto"/>
          <w:sz w:val="24"/>
          <w:szCs w:val="24"/>
          <w:highlight w:val="none"/>
        </w:rPr>
        <w:t>分）：</w:t>
      </w:r>
    </w:p>
    <w:tbl>
      <w:tblPr>
        <w:tblStyle w:val="77"/>
        <w:tblW w:w="9369" w:type="dxa"/>
        <w:tblInd w:w="0" w:type="dxa"/>
        <w:tblLayout w:type="fixed"/>
        <w:tblCellMar>
          <w:top w:w="0" w:type="dxa"/>
          <w:left w:w="108" w:type="dxa"/>
          <w:bottom w:w="0" w:type="dxa"/>
          <w:right w:w="108" w:type="dxa"/>
        </w:tblCellMar>
      </w:tblPr>
      <w:tblGrid>
        <w:gridCol w:w="787"/>
        <w:gridCol w:w="7569"/>
        <w:gridCol w:w="1013"/>
      </w:tblGrid>
      <w:tr>
        <w:tblPrEx>
          <w:tblCellMar>
            <w:top w:w="0" w:type="dxa"/>
            <w:left w:w="108" w:type="dxa"/>
            <w:bottom w:w="0" w:type="dxa"/>
            <w:right w:w="108" w:type="dxa"/>
          </w:tblCellMar>
        </w:tblPrEx>
        <w:trPr>
          <w:trHeight w:val="680" w:hRule="atLeast"/>
        </w:trPr>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756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评分细则内容</w:t>
            </w:r>
          </w:p>
        </w:tc>
        <w:tc>
          <w:tcPr>
            <w:tcW w:w="101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分值（分）</w:t>
            </w:r>
          </w:p>
        </w:tc>
      </w:tr>
      <w:tr>
        <w:tblPrEx>
          <w:tblCellMar>
            <w:top w:w="0" w:type="dxa"/>
            <w:left w:w="108" w:type="dxa"/>
            <w:bottom w:w="0" w:type="dxa"/>
            <w:right w:w="108" w:type="dxa"/>
          </w:tblCellMar>
        </w:tblPrEx>
        <w:trPr>
          <w:trHeight w:val="680" w:hRule="atLeast"/>
        </w:trPr>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569" w:type="dxa"/>
            <w:tcBorders>
              <w:top w:val="single" w:color="000000" w:sz="4" w:space="0"/>
              <w:left w:val="nil"/>
              <w:bottom w:val="single" w:color="000000" w:sz="4" w:space="0"/>
              <w:right w:val="single" w:color="000000" w:sz="4" w:space="0"/>
            </w:tcBorders>
            <w:noWrap w:val="0"/>
            <w:vAlign w:val="center"/>
          </w:tcPr>
          <w:p>
            <w:pPr>
              <w:pStyle w:val="176"/>
              <w:keepNext w:val="0"/>
              <w:keepLines w:val="0"/>
              <w:pageBreakBefore w:val="0"/>
              <w:widowControl/>
              <w:kinsoku/>
              <w:wordWrap/>
              <w:overflowPunct/>
              <w:topLinePunct w:val="0"/>
              <w:autoSpaceDE/>
              <w:autoSpaceDN/>
              <w:bidi w:val="0"/>
              <w:adjustRightInd/>
              <w:snapToGrid/>
              <w:spacing w:before="0" w:line="600" w:lineRule="exact"/>
              <w:ind w:firstLine="0" w:firstLineChars="0"/>
              <w:jc w:val="left"/>
              <w:rPr>
                <w:rFonts w:hint="eastAsia" w:ascii="宋体" w:hAnsi="宋体" w:eastAsia="宋体" w:cs="宋体"/>
                <w:bCs/>
                <w:color w:val="auto"/>
                <w:highlight w:val="none"/>
                <w:lang w:val="en-US" w:eastAsia="zh-CN"/>
              </w:rPr>
            </w:pPr>
            <w:r>
              <w:rPr>
                <w:rFonts w:hint="eastAsia" w:ascii="宋体" w:hAnsi="宋体" w:eastAsia="宋体" w:cs="宋体"/>
                <w:bCs/>
                <w:color w:val="auto"/>
                <w:highlight w:val="none"/>
                <w:lang w:val="en-US" w:eastAsia="zh-CN"/>
              </w:rPr>
              <w:t>管理体系认证证书：投标单位具有质量管理体系认证证书的得2分，具有环境管理体系认证证书的得2分，职业健康管理体系认证证书的得2分，证书需要在有效期内，没有不得分；</w:t>
            </w:r>
          </w:p>
          <w:p>
            <w:pPr>
              <w:pStyle w:val="176"/>
              <w:keepNext w:val="0"/>
              <w:keepLines w:val="0"/>
              <w:pageBreakBefore w:val="0"/>
              <w:widowControl/>
              <w:kinsoku/>
              <w:wordWrap/>
              <w:overflowPunct/>
              <w:topLinePunct w:val="0"/>
              <w:autoSpaceDE/>
              <w:autoSpaceDN/>
              <w:bidi w:val="0"/>
              <w:adjustRightInd/>
              <w:snapToGrid/>
              <w:spacing w:before="0" w:line="600" w:lineRule="exact"/>
              <w:ind w:firstLine="0" w:firstLineChars="0"/>
              <w:jc w:val="left"/>
              <w:rPr>
                <w:rFonts w:hint="eastAsia" w:ascii="宋体" w:hAnsi="宋体" w:eastAsia="宋体" w:cs="宋体"/>
                <w:color w:val="auto"/>
                <w:sz w:val="24"/>
                <w:szCs w:val="24"/>
                <w:highlight w:val="none"/>
              </w:rPr>
            </w:pPr>
            <w:r>
              <w:rPr>
                <w:rFonts w:hint="eastAsia" w:ascii="宋体" w:hAnsi="宋体" w:eastAsia="宋体" w:cs="宋体"/>
                <w:b/>
                <w:color w:val="auto"/>
                <w:highlight w:val="none"/>
                <w:lang w:val="en-US" w:eastAsia="zh-CN"/>
              </w:rPr>
              <w:t>投标文件中提供证书复印件</w:t>
            </w:r>
            <w:r>
              <w:rPr>
                <w:rFonts w:hint="eastAsia" w:ascii="宋体" w:hAnsi="宋体" w:eastAsia="宋体" w:cs="宋体"/>
                <w:b/>
                <w:bCs/>
                <w:color w:val="auto"/>
                <w:kern w:val="2"/>
                <w:sz w:val="24"/>
                <w:szCs w:val="24"/>
                <w:highlight w:val="none"/>
                <w:lang w:val="en-US" w:eastAsia="zh-CN" w:bidi="ar-SA"/>
              </w:rPr>
              <w:t>加盖投标人公章</w:t>
            </w:r>
            <w:r>
              <w:rPr>
                <w:rFonts w:hint="eastAsia" w:ascii="宋体" w:hAnsi="宋体" w:eastAsia="宋体" w:cs="宋体"/>
                <w:b/>
                <w:color w:val="auto"/>
                <w:highlight w:val="none"/>
                <w:lang w:val="en-US" w:eastAsia="zh-CN"/>
              </w:rPr>
              <w:t>；</w:t>
            </w:r>
          </w:p>
        </w:tc>
        <w:tc>
          <w:tcPr>
            <w:tcW w:w="1013" w:type="dxa"/>
            <w:tcBorders>
              <w:top w:val="single" w:color="000000" w:sz="4" w:space="0"/>
              <w:left w:val="nil"/>
              <w:bottom w:val="single" w:color="000000" w:sz="4" w:space="0"/>
              <w:right w:val="single" w:color="000000" w:sz="4" w:space="0"/>
            </w:tcBorders>
            <w:noWrap w:val="0"/>
            <w:vAlign w:val="center"/>
          </w:tcPr>
          <w:p>
            <w:pPr>
              <w:pStyle w:val="176"/>
              <w:keepNext w:val="0"/>
              <w:keepLines w:val="0"/>
              <w:pageBreakBefore w:val="0"/>
              <w:widowControl/>
              <w:kinsoku/>
              <w:wordWrap/>
              <w:overflowPunct/>
              <w:topLinePunct w:val="0"/>
              <w:autoSpaceDE/>
              <w:autoSpaceDN/>
              <w:bidi w:val="0"/>
              <w:adjustRightInd/>
              <w:snapToGrid/>
              <w:spacing w:before="0" w:line="60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bCs/>
                <w:color w:val="auto"/>
                <w:highlight w:val="none"/>
                <w:lang w:val="en-US" w:eastAsia="zh-CN"/>
              </w:rPr>
              <w:t>6</w:t>
            </w:r>
          </w:p>
        </w:tc>
      </w:tr>
      <w:tr>
        <w:tblPrEx>
          <w:tblCellMar>
            <w:top w:w="0" w:type="dxa"/>
            <w:left w:w="108" w:type="dxa"/>
            <w:bottom w:w="0" w:type="dxa"/>
            <w:right w:w="108" w:type="dxa"/>
          </w:tblCellMar>
        </w:tblPrEx>
        <w:trPr>
          <w:trHeight w:val="680" w:hRule="atLeast"/>
        </w:trPr>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p>
        </w:tc>
        <w:tc>
          <w:tcPr>
            <w:tcW w:w="7569" w:type="dxa"/>
            <w:tcBorders>
              <w:top w:val="single" w:color="000000" w:sz="4" w:space="0"/>
              <w:left w:val="nil"/>
              <w:bottom w:val="single" w:color="000000" w:sz="4" w:space="0"/>
              <w:right w:val="single" w:color="000000" w:sz="4" w:space="0"/>
            </w:tcBorders>
            <w:noWrap w:val="0"/>
            <w:vAlign w:val="center"/>
          </w:tcPr>
          <w:p>
            <w:pPr>
              <w:pStyle w:val="176"/>
              <w:keepNext w:val="0"/>
              <w:keepLines w:val="0"/>
              <w:pageBreakBefore w:val="0"/>
              <w:widowControl/>
              <w:kinsoku/>
              <w:wordWrap/>
              <w:overflowPunct/>
              <w:topLinePunct w:val="0"/>
              <w:autoSpaceDE/>
              <w:autoSpaceDN/>
              <w:bidi w:val="0"/>
              <w:adjustRightInd/>
              <w:snapToGrid/>
              <w:spacing w:before="0" w:line="600" w:lineRule="exact"/>
              <w:ind w:firstLine="0" w:firstLineChars="0"/>
              <w:rPr>
                <w:rFonts w:hint="eastAsia" w:ascii="宋体" w:hAnsi="宋体" w:eastAsia="宋体" w:cs="宋体"/>
                <w:bCs/>
                <w:color w:val="auto"/>
                <w:highlight w:val="none"/>
                <w:lang w:val="en-US" w:eastAsia="zh-CN"/>
              </w:rPr>
            </w:pPr>
            <w:r>
              <w:rPr>
                <w:rFonts w:hint="eastAsia" w:ascii="宋体" w:hAnsi="宋体" w:eastAsia="宋体" w:cs="宋体"/>
                <w:bCs/>
                <w:color w:val="auto"/>
                <w:highlight w:val="none"/>
                <w:lang w:val="en-US" w:eastAsia="zh-CN"/>
              </w:rPr>
              <w:t>类似项目业绩：企业自2016年1月1日以来（时间以签订合同时间为准）承担过交通安全设施维护类似业绩的，每有一个得2个，最多得10分。</w:t>
            </w:r>
          </w:p>
          <w:p>
            <w:pPr>
              <w:pStyle w:val="176"/>
              <w:keepNext w:val="0"/>
              <w:keepLines w:val="0"/>
              <w:pageBreakBefore w:val="0"/>
              <w:widowControl/>
              <w:kinsoku/>
              <w:wordWrap/>
              <w:overflowPunct/>
              <w:topLinePunct w:val="0"/>
              <w:autoSpaceDE/>
              <w:autoSpaceDN/>
              <w:bidi w:val="0"/>
              <w:adjustRightInd/>
              <w:snapToGrid/>
              <w:spacing w:before="0" w:line="60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b/>
                <w:color w:val="auto"/>
                <w:highlight w:val="none"/>
                <w:lang w:val="en-US" w:eastAsia="zh-CN"/>
              </w:rPr>
              <w:t>投标文件中同时提供合同复印件并</w:t>
            </w:r>
            <w:r>
              <w:rPr>
                <w:rFonts w:hint="eastAsia" w:ascii="宋体" w:hAnsi="宋体" w:eastAsia="宋体" w:cs="宋体"/>
                <w:b/>
                <w:bCs/>
                <w:color w:val="auto"/>
                <w:kern w:val="2"/>
                <w:sz w:val="24"/>
                <w:szCs w:val="24"/>
                <w:highlight w:val="none"/>
                <w:lang w:val="en-US" w:eastAsia="zh-CN" w:bidi="ar-SA"/>
              </w:rPr>
              <w:t>加盖投标人公章</w:t>
            </w:r>
            <w:r>
              <w:rPr>
                <w:rFonts w:hint="eastAsia" w:ascii="宋体" w:hAnsi="宋体" w:eastAsia="宋体" w:cs="宋体"/>
                <w:b/>
                <w:color w:val="auto"/>
                <w:highlight w:val="none"/>
                <w:lang w:val="en-US" w:eastAsia="zh-CN"/>
              </w:rPr>
              <w:t>；</w:t>
            </w:r>
          </w:p>
        </w:tc>
        <w:tc>
          <w:tcPr>
            <w:tcW w:w="1013" w:type="dxa"/>
            <w:tcBorders>
              <w:top w:val="single" w:color="000000" w:sz="4" w:space="0"/>
              <w:left w:val="nil"/>
              <w:bottom w:val="single" w:color="000000" w:sz="4" w:space="0"/>
              <w:right w:val="single" w:color="000000" w:sz="4" w:space="0"/>
            </w:tcBorders>
            <w:noWrap w:val="0"/>
            <w:vAlign w:val="center"/>
          </w:tcPr>
          <w:p>
            <w:pPr>
              <w:pStyle w:val="176"/>
              <w:keepNext w:val="0"/>
              <w:keepLines w:val="0"/>
              <w:pageBreakBefore w:val="0"/>
              <w:widowControl/>
              <w:kinsoku/>
              <w:wordWrap/>
              <w:overflowPunct/>
              <w:topLinePunct w:val="0"/>
              <w:autoSpaceDE/>
              <w:autoSpaceDN/>
              <w:bidi w:val="0"/>
              <w:adjustRightInd/>
              <w:snapToGrid/>
              <w:spacing w:before="0" w:line="600" w:lineRule="exact"/>
              <w:ind w:firstLine="0" w:firstLineChars="0"/>
              <w:jc w:val="center"/>
              <w:rPr>
                <w:rFonts w:hint="default" w:ascii="宋体" w:hAnsi="宋体" w:eastAsia="宋体" w:cs="宋体"/>
                <w:color w:val="auto"/>
                <w:sz w:val="24"/>
                <w:szCs w:val="24"/>
                <w:highlight w:val="none"/>
                <w:lang w:val="en-US"/>
              </w:rPr>
            </w:pPr>
            <w:r>
              <w:rPr>
                <w:rFonts w:hint="eastAsia" w:ascii="宋体" w:hAnsi="宋体" w:eastAsia="宋体" w:cs="宋体"/>
                <w:bCs/>
                <w:color w:val="auto"/>
                <w:highlight w:val="none"/>
                <w:lang w:val="en-US" w:eastAsia="zh-CN"/>
              </w:rPr>
              <w:t>10</w:t>
            </w:r>
          </w:p>
        </w:tc>
      </w:tr>
      <w:bookmarkEnd w:id="66"/>
    </w:tbl>
    <w:p>
      <w:pPr>
        <w:pStyle w:val="493"/>
        <w:spacing w:line="60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3、技术分+商务分=评标委员会所有成员评分合计数/评标委员会组成人员数</w:t>
      </w:r>
    </w:p>
    <w:p>
      <w:pPr>
        <w:pStyle w:val="493"/>
        <w:spacing w:line="60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4、价格分（</w:t>
      </w:r>
      <w:r>
        <w:rPr>
          <w:rFonts w:hint="eastAsia" w:ascii="宋体" w:hAnsi="宋体" w:eastAsia="宋体" w:cs="宋体"/>
          <w:color w:val="auto"/>
          <w:szCs w:val="24"/>
          <w:highlight w:val="none"/>
          <w:lang w:val="en-US" w:eastAsia="zh-CN"/>
        </w:rPr>
        <w:t>20</w:t>
      </w:r>
      <w:r>
        <w:rPr>
          <w:rFonts w:hint="eastAsia" w:ascii="宋体" w:hAnsi="宋体" w:eastAsia="宋体" w:cs="宋体"/>
          <w:color w:val="auto"/>
          <w:szCs w:val="24"/>
          <w:highlight w:val="none"/>
        </w:rPr>
        <w:t>分）采用低价优先法计算，即满足招标文件要求且投标价格最低的投标报价为评标基准价，其他投标人的价格分按照下列公式计算：</w:t>
      </w:r>
    </w:p>
    <w:p>
      <w:pPr>
        <w:pStyle w:val="493"/>
        <w:spacing w:line="60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投标报价得分=(评标基准价／投标报价)×价格权值×100（精确到小数点后二位）因落实政府采购政策进行价格调整的，以调整后的价格计算评标基准价和投标报价。</w:t>
      </w:r>
    </w:p>
    <w:p>
      <w:pPr>
        <w:pStyle w:val="493"/>
        <w:spacing w:line="60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5、投标人评标综合得分=价格分+技术分+商务分</w:t>
      </w:r>
    </w:p>
    <w:p>
      <w:pPr>
        <w:pStyle w:val="493"/>
        <w:spacing w:line="60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报价是中标的一个重要因素，但最低报价不是中标的唯一依据。</w:t>
      </w:r>
    </w:p>
    <w:p>
      <w:pPr>
        <w:shd w:val="clear" w:color="auto" w:fill="FFFFFF"/>
        <w:snapToGrid w:val="0"/>
        <w:spacing w:line="60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（十四）评标内容的保密</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1、公开开标后，直到宣布中标单位止，凡属于审查、澄清、评价和比较投标的所有资料，都不应向投标人或与评标无关的其他人泄露。</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2、在投标文件的审查、澄清、评价和比较以及确定中标人过程中，投标人对招标人、招标代理机构和评标委员会施加影响的任何行为，都将导致取消资格。</w:t>
      </w:r>
    </w:p>
    <w:p>
      <w:pPr>
        <w:shd w:val="clear" w:color="auto" w:fill="FFFFFF"/>
        <w:snapToGrid w:val="0"/>
        <w:spacing w:line="60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（十五）废标</w:t>
      </w:r>
    </w:p>
    <w:p>
      <w:pPr>
        <w:pStyle w:val="2"/>
        <w:snapToGrid w:val="0"/>
        <w:spacing w:line="6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在采购中，出现下列情形之一的，应予废标：</w:t>
      </w:r>
    </w:p>
    <w:p>
      <w:pPr>
        <w:pStyle w:val="2"/>
        <w:snapToGrid w:val="0"/>
        <w:spacing w:line="600" w:lineRule="exact"/>
        <w:ind w:firstLine="48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(1)符合专业条件的供应商或者对招标文件作实质响应的供应商不足3家的；</w:t>
      </w:r>
    </w:p>
    <w:p>
      <w:pPr>
        <w:pStyle w:val="2"/>
        <w:snapToGrid w:val="0"/>
        <w:spacing w:line="600" w:lineRule="exact"/>
        <w:ind w:firstLine="48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(2)出现影响采购公正的违法、违规行为的；</w:t>
      </w:r>
    </w:p>
    <w:p>
      <w:pPr>
        <w:pStyle w:val="2"/>
        <w:snapToGrid w:val="0"/>
        <w:spacing w:line="600" w:lineRule="exact"/>
        <w:ind w:firstLine="48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(3)报价均超过预算，不能支付的；</w:t>
      </w:r>
    </w:p>
    <w:p>
      <w:pPr>
        <w:shd w:val="clear" w:color="auto" w:fill="FFFFFF"/>
        <w:snapToGrid w:val="0"/>
        <w:spacing w:line="600" w:lineRule="exact"/>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 xml:space="preserve">    (4)因重大变故，采购任务取消的。</w:t>
      </w:r>
    </w:p>
    <w:p>
      <w:pPr>
        <w:pStyle w:val="7"/>
        <w:numPr>
          <w:ilvl w:val="2"/>
          <w:numId w:val="0"/>
        </w:numPr>
        <w:spacing w:before="0" w:after="0" w:line="60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（十六）可中止电子交易活动的情形</w:t>
      </w:r>
    </w:p>
    <w:p>
      <w:pPr>
        <w:spacing w:line="600" w:lineRule="exact"/>
        <w:ind w:firstLine="424" w:firstLineChars="176"/>
        <w:rPr>
          <w:rFonts w:hint="eastAsia" w:ascii="宋体" w:hAnsi="宋体" w:eastAsia="宋体" w:cs="宋体"/>
          <w:color w:val="auto"/>
          <w:sz w:val="24"/>
          <w:highlight w:val="none"/>
        </w:rPr>
      </w:pPr>
      <w:r>
        <w:rPr>
          <w:rFonts w:hint="eastAsia" w:ascii="宋体" w:hAnsi="宋体" w:eastAsia="宋体" w:cs="宋体"/>
          <w:b/>
          <w:color w:val="auto"/>
          <w:sz w:val="24"/>
          <w:highlight w:val="none"/>
        </w:rPr>
        <w:t>采购过程中出现以下情形，导致电子交易平台无法正常运行，或者无法保证电子交易的公平、公正和安全时，采购组织机构可中止电子交易活动：</w:t>
      </w:r>
    </w:p>
    <w:p>
      <w:pPr>
        <w:spacing w:line="600" w:lineRule="exact"/>
        <w:ind w:firstLine="422" w:firstLineChars="176"/>
        <w:rPr>
          <w:rFonts w:hint="eastAsia" w:ascii="宋体" w:hAnsi="宋体" w:eastAsia="宋体" w:cs="宋体"/>
          <w:color w:val="auto"/>
          <w:sz w:val="24"/>
          <w:highlight w:val="none"/>
        </w:rPr>
      </w:pPr>
      <w:r>
        <w:rPr>
          <w:rFonts w:hint="eastAsia" w:ascii="宋体" w:hAnsi="宋体" w:eastAsia="宋体" w:cs="宋体"/>
          <w:color w:val="auto"/>
          <w:sz w:val="24"/>
          <w:highlight w:val="none"/>
        </w:rPr>
        <w:t>1、电子交易平台发生故障而无法登录访问的；</w:t>
      </w:r>
    </w:p>
    <w:p>
      <w:pPr>
        <w:spacing w:line="600" w:lineRule="exact"/>
        <w:ind w:firstLine="422" w:firstLineChars="176"/>
        <w:rPr>
          <w:rFonts w:hint="eastAsia" w:ascii="宋体" w:hAnsi="宋体" w:eastAsia="宋体" w:cs="宋体"/>
          <w:color w:val="auto"/>
          <w:sz w:val="24"/>
          <w:highlight w:val="none"/>
        </w:rPr>
      </w:pPr>
      <w:r>
        <w:rPr>
          <w:rFonts w:hint="eastAsia" w:ascii="宋体" w:hAnsi="宋体" w:eastAsia="宋体" w:cs="宋体"/>
          <w:color w:val="auto"/>
          <w:sz w:val="24"/>
          <w:highlight w:val="none"/>
        </w:rPr>
        <w:t>2、电子交易平台应用或数据库出现错误，不能进行正常操作的；</w:t>
      </w:r>
    </w:p>
    <w:p>
      <w:pPr>
        <w:spacing w:line="600" w:lineRule="exact"/>
        <w:ind w:firstLine="422" w:firstLineChars="176"/>
        <w:rPr>
          <w:rFonts w:hint="eastAsia" w:ascii="宋体" w:hAnsi="宋体" w:eastAsia="宋体" w:cs="宋体"/>
          <w:color w:val="auto"/>
          <w:sz w:val="24"/>
          <w:highlight w:val="none"/>
        </w:rPr>
      </w:pPr>
      <w:r>
        <w:rPr>
          <w:rFonts w:hint="eastAsia" w:ascii="宋体" w:hAnsi="宋体" w:eastAsia="宋体" w:cs="宋体"/>
          <w:color w:val="auto"/>
          <w:sz w:val="24"/>
          <w:highlight w:val="none"/>
        </w:rPr>
        <w:t>3、电子交易平台发现严重安全漏洞，有潜在泄密危险的；</w:t>
      </w:r>
    </w:p>
    <w:p>
      <w:pPr>
        <w:spacing w:line="600" w:lineRule="exact"/>
        <w:ind w:firstLine="422" w:firstLineChars="176"/>
        <w:rPr>
          <w:rFonts w:hint="eastAsia" w:ascii="宋体" w:hAnsi="宋体" w:eastAsia="宋体" w:cs="宋体"/>
          <w:color w:val="auto"/>
          <w:sz w:val="24"/>
          <w:highlight w:val="none"/>
        </w:rPr>
      </w:pPr>
      <w:r>
        <w:rPr>
          <w:rFonts w:hint="eastAsia" w:ascii="宋体" w:hAnsi="宋体" w:eastAsia="宋体" w:cs="宋体"/>
          <w:color w:val="auto"/>
          <w:sz w:val="24"/>
          <w:highlight w:val="none"/>
        </w:rPr>
        <w:t>4、病毒发作导致不能进行正常操作的；</w:t>
      </w:r>
    </w:p>
    <w:p>
      <w:pPr>
        <w:spacing w:line="600" w:lineRule="exact"/>
        <w:ind w:firstLine="422" w:firstLineChars="176"/>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5、其他无法保证电子交易的公平、公正和安全的情况。</w:t>
      </w:r>
    </w:p>
    <w:p>
      <w:pPr>
        <w:pStyle w:val="6"/>
        <w:numPr>
          <w:ilvl w:val="0"/>
          <w:numId w:val="0"/>
        </w:numPr>
        <w:tabs>
          <w:tab w:val="left" w:pos="1110"/>
        </w:tabs>
        <w:spacing w:line="600" w:lineRule="exact"/>
        <w:ind w:left="560"/>
        <w:rPr>
          <w:rFonts w:hint="eastAsia" w:ascii="宋体" w:hAnsi="宋体" w:eastAsia="宋体" w:cs="宋体"/>
          <w:color w:val="auto"/>
          <w:sz w:val="24"/>
          <w:szCs w:val="24"/>
          <w:highlight w:val="none"/>
        </w:rPr>
      </w:pPr>
      <w:r>
        <w:rPr>
          <w:rFonts w:hint="eastAsia" w:ascii="宋体" w:hAnsi="宋体" w:eastAsia="宋体" w:cs="宋体"/>
          <w:b/>
          <w:color w:val="auto"/>
          <w:sz w:val="24"/>
          <w:highlight w:val="none"/>
        </w:rPr>
        <w:t>出现前款规定情形，不影响采购公平、公正性的，采购组织机构可以待上述情形消除后继续组织电子交易活动；影响或可能影响采购公平、公正性的，应当重新采购。</w:t>
      </w:r>
    </w:p>
    <w:bookmarkEnd w:id="55"/>
    <w:bookmarkEnd w:id="56"/>
    <w:bookmarkEnd w:id="57"/>
    <w:p>
      <w:pPr>
        <w:shd w:val="clear" w:color="auto" w:fill="FFFFFF"/>
        <w:snapToGrid w:val="0"/>
        <w:spacing w:line="600" w:lineRule="exact"/>
        <w:jc w:val="center"/>
        <w:outlineLvl w:val="1"/>
        <w:rPr>
          <w:rFonts w:hint="eastAsia" w:ascii="宋体" w:hAnsi="宋体" w:eastAsia="宋体" w:cs="宋体"/>
          <w:b/>
          <w:bCs/>
          <w:color w:val="auto"/>
          <w:sz w:val="24"/>
          <w:highlight w:val="none"/>
        </w:rPr>
      </w:pPr>
      <w:bookmarkStart w:id="67" w:name="_Toc86216995"/>
      <w:bookmarkStart w:id="68" w:name="_Toc354996703"/>
      <w:bookmarkStart w:id="69" w:name="_Toc233618979"/>
      <w:bookmarkStart w:id="70" w:name="_Toc33194399"/>
      <w:bookmarkStart w:id="71" w:name="_Toc91899910"/>
    </w:p>
    <w:p>
      <w:pPr>
        <w:shd w:val="clear" w:color="auto" w:fill="FFFFFF"/>
        <w:snapToGrid w:val="0"/>
        <w:spacing w:line="600" w:lineRule="exact"/>
        <w:jc w:val="center"/>
        <w:outlineLvl w:val="1"/>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七、</w:t>
      </w:r>
      <w:bookmarkEnd w:id="67"/>
      <w:r>
        <w:rPr>
          <w:rFonts w:hint="eastAsia" w:ascii="宋体" w:hAnsi="宋体" w:eastAsia="宋体" w:cs="宋体"/>
          <w:b/>
          <w:bCs/>
          <w:color w:val="auto"/>
          <w:sz w:val="24"/>
          <w:highlight w:val="none"/>
        </w:rPr>
        <w:t>合同签订及其他</w:t>
      </w:r>
      <w:bookmarkEnd w:id="68"/>
      <w:bookmarkEnd w:id="69"/>
      <w:bookmarkEnd w:id="70"/>
    </w:p>
    <w:bookmarkEnd w:id="71"/>
    <w:p>
      <w:pPr>
        <w:shd w:val="clear" w:color="auto" w:fill="FFFFFF"/>
        <w:snapToGrid w:val="0"/>
        <w:spacing w:line="60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（一）中标通知书</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1、确定中标人后，招标代理机构将在发布招标公告的网站上公布评标结果。</w:t>
      </w:r>
    </w:p>
    <w:p>
      <w:pPr>
        <w:shd w:val="clear" w:color="auto" w:fill="FFFFFF"/>
        <w:tabs>
          <w:tab w:val="left" w:pos="0"/>
        </w:tabs>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如中标人拒绝承担中标的项目，或提出招标方不能接受的条件，致使合同无法签订，招标方将取消其中标资格，并根据评标委员会推荐的中标候选人先后顺序，将下一顺序的中标候选人作为预中标人进行公示，或由招标方组织评标委员会复议后提出重新组织采购等建议。</w:t>
      </w:r>
    </w:p>
    <w:p>
      <w:pPr>
        <w:shd w:val="clear" w:color="auto" w:fill="FFFFFF"/>
        <w:snapToGrid w:val="0"/>
        <w:spacing w:line="600" w:lineRule="exact"/>
        <w:ind w:firstLine="540"/>
        <w:rPr>
          <w:rFonts w:hint="eastAsia" w:ascii="宋体" w:hAnsi="宋体" w:eastAsia="宋体" w:cs="宋体"/>
          <w:color w:val="auto"/>
          <w:sz w:val="24"/>
          <w:highlight w:val="none"/>
        </w:rPr>
      </w:pPr>
      <w:r>
        <w:rPr>
          <w:rFonts w:hint="eastAsia" w:ascii="宋体" w:hAnsi="宋体" w:eastAsia="宋体" w:cs="宋体"/>
          <w:color w:val="auto"/>
          <w:sz w:val="24"/>
          <w:highlight w:val="none"/>
        </w:rPr>
        <w:t>3、在中标人签订合同并生效后，招标代理机构及时将未中标的结果通知其他投标人。</w:t>
      </w:r>
    </w:p>
    <w:p>
      <w:pPr>
        <w:shd w:val="clear" w:color="auto" w:fill="FFFFFF"/>
        <w:snapToGrid w:val="0"/>
        <w:spacing w:line="600" w:lineRule="exact"/>
        <w:ind w:firstLine="540"/>
        <w:rPr>
          <w:rFonts w:hint="eastAsia" w:ascii="宋体" w:hAnsi="宋体" w:eastAsia="宋体" w:cs="宋体"/>
          <w:color w:val="auto"/>
          <w:sz w:val="24"/>
          <w:highlight w:val="none"/>
        </w:rPr>
      </w:pPr>
      <w:r>
        <w:rPr>
          <w:rFonts w:hint="eastAsia" w:ascii="宋体" w:hAnsi="宋体" w:eastAsia="宋体" w:cs="宋体"/>
          <w:color w:val="auto"/>
          <w:sz w:val="24"/>
          <w:highlight w:val="none"/>
        </w:rPr>
        <w:t>4、如签订合同并生效后，供应商无故拒绝或延期，除按照合同条款处罚外，列入不良行为记录一次，并给予通报。</w:t>
      </w:r>
    </w:p>
    <w:p>
      <w:pPr>
        <w:shd w:val="clear" w:color="auto" w:fill="FFFFFF"/>
        <w:snapToGrid w:val="0"/>
        <w:spacing w:line="60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（二）合同的签订</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中标人按规定的日期、时间、地点，由法定代表人或</w:t>
      </w:r>
      <w:r>
        <w:rPr>
          <w:rFonts w:hint="eastAsia" w:ascii="宋体" w:hAnsi="宋体" w:eastAsia="宋体" w:cs="宋体"/>
          <w:color w:val="auto"/>
          <w:sz w:val="24"/>
          <w:highlight w:val="none"/>
          <w:lang w:val="en-US" w:eastAsia="zh-CN"/>
        </w:rPr>
        <w:t>委托代理人</w:t>
      </w:r>
      <w:r>
        <w:rPr>
          <w:rFonts w:hint="eastAsia" w:ascii="宋体" w:hAnsi="宋体" w:eastAsia="宋体" w:cs="宋体"/>
          <w:color w:val="auto"/>
          <w:sz w:val="24"/>
          <w:highlight w:val="none"/>
        </w:rPr>
        <w:t>与招标人代表签订合同。</w:t>
      </w:r>
    </w:p>
    <w:p>
      <w:pPr>
        <w:shd w:val="clear" w:color="auto" w:fill="FFFFFF"/>
        <w:snapToGrid w:val="0"/>
        <w:spacing w:line="600" w:lineRule="exact"/>
        <w:rPr>
          <w:rFonts w:hint="eastAsia" w:ascii="宋体" w:hAnsi="宋体" w:eastAsia="宋体" w:cs="宋体"/>
          <w:color w:val="auto"/>
          <w:kern w:val="0"/>
          <w:sz w:val="24"/>
          <w:highlight w:val="none"/>
          <w:lang w:val="zh-CN"/>
        </w:rPr>
      </w:pPr>
      <w:r>
        <w:rPr>
          <w:rFonts w:hint="eastAsia" w:ascii="宋体" w:hAnsi="宋体" w:eastAsia="宋体" w:cs="宋体"/>
          <w:b/>
          <w:bCs/>
          <w:color w:val="auto"/>
          <w:sz w:val="24"/>
          <w:highlight w:val="none"/>
        </w:rPr>
        <w:t>（三）采购方式改变</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在符合资格的投标人不足规定数量或投标人提供的服务及其报价、服务承诺等不能满足采购人要求，以及招标过程中出现其他不正常情况时，经批准，招标代理机构</w:t>
      </w:r>
      <w:r>
        <w:rPr>
          <w:rFonts w:hint="eastAsia" w:ascii="宋体" w:hAnsi="宋体" w:eastAsia="宋体" w:cs="宋体"/>
          <w:color w:val="auto"/>
          <w:sz w:val="24"/>
          <w:highlight w:val="none"/>
          <w:lang w:val="zh-CN"/>
        </w:rPr>
        <w:t>将根据《政府采购货物和服务招标投标管理办法》(财政部第</w:t>
      </w:r>
      <w:r>
        <w:rPr>
          <w:rFonts w:hint="eastAsia" w:ascii="宋体" w:hAnsi="宋体" w:eastAsia="宋体" w:cs="宋体"/>
          <w:color w:val="auto"/>
          <w:sz w:val="24"/>
          <w:highlight w:val="none"/>
        </w:rPr>
        <w:t>87</w:t>
      </w:r>
      <w:r>
        <w:rPr>
          <w:rFonts w:hint="eastAsia" w:ascii="宋体" w:hAnsi="宋体" w:eastAsia="宋体" w:cs="宋体"/>
          <w:color w:val="auto"/>
          <w:sz w:val="24"/>
          <w:highlight w:val="none"/>
          <w:lang w:val="zh-CN"/>
        </w:rPr>
        <w:t>号令)，</w:t>
      </w:r>
      <w:r>
        <w:rPr>
          <w:rFonts w:hint="eastAsia" w:ascii="宋体" w:hAnsi="宋体" w:eastAsia="宋体" w:cs="宋体"/>
          <w:color w:val="auto"/>
          <w:sz w:val="24"/>
          <w:highlight w:val="none"/>
        </w:rPr>
        <w:t>重新选择合适的方式进行采购。</w:t>
      </w:r>
    </w:p>
    <w:p>
      <w:pPr>
        <w:shd w:val="clear" w:color="auto" w:fill="FFFFFF"/>
        <w:tabs>
          <w:tab w:val="left" w:pos="0"/>
        </w:tabs>
        <w:snapToGrid w:val="0"/>
        <w:spacing w:line="60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（四）验收</w:t>
      </w:r>
    </w:p>
    <w:p>
      <w:pPr>
        <w:shd w:val="clear" w:color="auto" w:fill="FFFFFF"/>
        <w:tabs>
          <w:tab w:val="left" w:pos="0"/>
        </w:tabs>
        <w:snapToGrid w:val="0"/>
        <w:spacing w:line="60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服务</w:t>
      </w:r>
      <w:r>
        <w:rPr>
          <w:rFonts w:hint="eastAsia" w:ascii="宋体" w:hAnsi="宋体" w:eastAsia="宋体" w:cs="宋体"/>
          <w:b/>
          <w:bCs/>
          <w:color w:val="auto"/>
          <w:sz w:val="24"/>
          <w:highlight w:val="none"/>
        </w:rPr>
        <w:t>类：</w:t>
      </w:r>
      <w:r>
        <w:rPr>
          <w:rFonts w:hint="eastAsia" w:ascii="宋体" w:hAnsi="宋体" w:eastAsia="宋体" w:cs="宋体"/>
          <w:b/>
          <w:bCs/>
          <w:color w:val="auto"/>
          <w:sz w:val="24"/>
          <w:highlight w:val="none"/>
          <w:lang w:val="en-US" w:eastAsia="zh-CN"/>
        </w:rPr>
        <w:t>采购人</w:t>
      </w:r>
      <w:r>
        <w:rPr>
          <w:rFonts w:hint="eastAsia" w:ascii="宋体" w:hAnsi="宋体" w:eastAsia="宋体" w:cs="宋体"/>
          <w:b/>
          <w:bCs/>
          <w:color w:val="auto"/>
          <w:sz w:val="24"/>
          <w:highlight w:val="none"/>
          <w:lang w:val="en-US" w:eastAsia="zh-CN"/>
        </w:rPr>
        <w:t>自行验收</w:t>
      </w:r>
      <w:r>
        <w:rPr>
          <w:rFonts w:hint="eastAsia" w:ascii="宋体" w:hAnsi="宋体" w:eastAsia="宋体" w:cs="宋体"/>
          <w:b/>
          <w:bCs/>
          <w:color w:val="auto"/>
          <w:sz w:val="24"/>
          <w:highlight w:val="none"/>
        </w:rPr>
        <w:t>。对不按招标文件、投标承诺及政府采购合同要求供货的供应商，将依据《中华人民共和国政府采购法》、《中华人民共和国政府采购法实施条例》等相关法律法规的规定，由相关部门对其进行处罚。</w:t>
      </w:r>
    </w:p>
    <w:p>
      <w:pPr>
        <w:snapToGrid w:val="0"/>
        <w:spacing w:line="60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（五）质疑和投诉</w:t>
      </w:r>
    </w:p>
    <w:p>
      <w:pPr>
        <w:snapToGrid w:val="0"/>
        <w:spacing w:line="600" w:lineRule="exact"/>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 xml:space="preserve">根据《中华人民共和国政府采购法》和《政府采购质疑和投诉办法》(财政部令第94号)的规定，投标人对政府采购活动事项有疑问的，可以向招标人和招标代理机构提出询问，招标人和招标代理机构应当及时作出答复，但答复的内容不得涉及商业秘密。  </w:t>
      </w:r>
    </w:p>
    <w:p>
      <w:pPr>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snapToGrid w:val="0"/>
          <w:color w:val="auto"/>
          <w:kern w:val="0"/>
          <w:sz w:val="24"/>
          <w:highlight w:val="none"/>
        </w:rPr>
        <w:t>1、</w:t>
      </w:r>
      <w:r>
        <w:rPr>
          <w:rFonts w:hint="eastAsia" w:ascii="宋体" w:hAnsi="宋体" w:eastAsia="宋体" w:cs="宋体"/>
          <w:color w:val="auto"/>
          <w:sz w:val="24"/>
          <w:highlight w:val="none"/>
        </w:rPr>
        <w:t>供应商认为招标文件、采购过程和成交、成交结果使自己的权益受到损害的，可以在知道或者应知其权益受到损害之日起七个工作日内，以书面形式向采购人、采购代理机构提出质疑。</w:t>
      </w:r>
    </w:p>
    <w:p>
      <w:pPr>
        <w:snapToGrid w:val="0"/>
        <w:spacing w:line="600" w:lineRule="exact"/>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（1）对可以质疑的招标文件提出质疑的，为收到招标文件之日或者招标文件公告期限届满之日；</w:t>
      </w:r>
    </w:p>
    <w:p>
      <w:pPr>
        <w:snapToGrid w:val="0"/>
        <w:spacing w:line="600" w:lineRule="exact"/>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（2）对采购过程提出质疑的，为各采购程序环节结束之日；</w:t>
      </w:r>
    </w:p>
    <w:p>
      <w:pPr>
        <w:snapToGrid w:val="0"/>
        <w:spacing w:line="600" w:lineRule="exact"/>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（3）对成交结果提出质疑的，为成交结果公告期限届满之日。</w:t>
      </w:r>
    </w:p>
    <w:p>
      <w:pPr>
        <w:snapToGrid w:val="0"/>
        <w:spacing w:line="600" w:lineRule="exact"/>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2、采购人或者采购代理机构应当在3个工作日内对供应商依法提出的询问作出答复。</w:t>
      </w:r>
    </w:p>
    <w:p>
      <w:pPr>
        <w:snapToGrid w:val="0"/>
        <w:spacing w:line="600" w:lineRule="exact"/>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供应商提出的询问或者质疑超出采购人对采购代理机构委托授权范围的，采购代理机构应当告知供应商向采购人提出。</w:t>
      </w:r>
    </w:p>
    <w:p>
      <w:pPr>
        <w:snapToGrid w:val="0"/>
        <w:spacing w:line="600" w:lineRule="exact"/>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政府采购评审专家应当配合采购人或者采购代理机构答复供应商的询问和质疑。</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snapToGrid w:val="0"/>
          <w:color w:val="auto"/>
          <w:kern w:val="0"/>
          <w:sz w:val="24"/>
          <w:highlight w:val="none"/>
        </w:rPr>
        <w:t>3、</w:t>
      </w:r>
      <w:r>
        <w:rPr>
          <w:rFonts w:hint="eastAsia" w:ascii="宋体" w:hAnsi="宋体" w:eastAsia="宋体" w:cs="宋体"/>
          <w:color w:val="auto"/>
          <w:sz w:val="24"/>
          <w:highlight w:val="none"/>
        </w:rPr>
        <w:t>质疑供应商对采购人、采购代理机构的答复不满意或者采购人、采购代理机构未在规定时间内作出答复的，可以在答复期满后十五个工作日内向同级政府采购监管部门投诉。</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4、要求投标人在法定质疑期内一次性提出针对同一招标程序环节的质疑。</w:t>
      </w:r>
    </w:p>
    <w:p>
      <w:pPr>
        <w:shd w:val="clear" w:color="auto" w:fill="FFFFFF"/>
        <w:snapToGrid w:val="0"/>
        <w:spacing w:line="600" w:lineRule="exact"/>
        <w:rPr>
          <w:rFonts w:hint="eastAsia" w:ascii="宋体" w:hAnsi="宋体" w:eastAsia="宋体" w:cs="宋体"/>
          <w:b/>
          <w:bCs/>
          <w:color w:val="auto"/>
          <w:sz w:val="24"/>
          <w:highlight w:val="none"/>
        </w:rPr>
      </w:pPr>
      <w:r>
        <w:rPr>
          <w:rFonts w:hint="eastAsia" w:ascii="宋体" w:hAnsi="宋体" w:eastAsia="宋体" w:cs="宋体"/>
          <w:b/>
          <w:bCs/>
          <w:color w:val="auto"/>
          <w:kern w:val="0"/>
          <w:sz w:val="24"/>
          <w:highlight w:val="none"/>
          <w:lang w:val="zh-CN"/>
        </w:rPr>
        <w:t>（六）</w:t>
      </w:r>
      <w:r>
        <w:rPr>
          <w:rFonts w:hint="eastAsia" w:ascii="宋体" w:hAnsi="宋体" w:eastAsia="宋体" w:cs="宋体"/>
          <w:b/>
          <w:bCs/>
          <w:color w:val="auto"/>
          <w:sz w:val="24"/>
          <w:highlight w:val="none"/>
        </w:rPr>
        <w:t>解释权</w:t>
      </w:r>
    </w:p>
    <w:p>
      <w:pPr>
        <w:shd w:val="clear" w:color="auto" w:fill="FFFFFF"/>
        <w:snapToGrid w:val="0"/>
        <w:spacing w:line="600" w:lineRule="exact"/>
        <w:ind w:firstLine="480" w:firstLineChars="200"/>
        <w:rPr>
          <w:rFonts w:hint="eastAsia" w:ascii="宋体" w:hAnsi="宋体" w:eastAsia="宋体" w:cs="宋体"/>
          <w:color w:val="auto"/>
          <w:spacing w:val="-11"/>
          <w:sz w:val="24"/>
          <w:highlight w:val="none"/>
        </w:rPr>
      </w:pPr>
      <w:r>
        <w:rPr>
          <w:rFonts w:hint="eastAsia" w:ascii="宋体" w:hAnsi="宋体" w:eastAsia="宋体" w:cs="宋体"/>
          <w:color w:val="auto"/>
          <w:sz w:val="24"/>
          <w:highlight w:val="none"/>
        </w:rPr>
        <w:t>招标文件的解释权均属于</w:t>
      </w:r>
      <w:r>
        <w:rPr>
          <w:rFonts w:hint="eastAsia" w:ascii="宋体" w:hAnsi="宋体" w:eastAsia="宋体" w:cs="宋体"/>
          <w:color w:val="auto"/>
          <w:sz w:val="24"/>
          <w:highlight w:val="none"/>
          <w:lang w:eastAsia="zh-CN"/>
        </w:rPr>
        <w:t>杭州市余杭区人民政府余杭街道办事处</w:t>
      </w:r>
      <w:r>
        <w:rPr>
          <w:rFonts w:hint="eastAsia" w:ascii="宋体" w:hAnsi="宋体" w:eastAsia="宋体" w:cs="宋体"/>
          <w:color w:val="auto"/>
          <w:sz w:val="24"/>
          <w:highlight w:val="none"/>
        </w:rPr>
        <w:t>和杭州瑞拓工程咨询有限公司</w:t>
      </w:r>
      <w:r>
        <w:rPr>
          <w:rFonts w:hint="eastAsia" w:ascii="宋体" w:hAnsi="宋体" w:eastAsia="宋体" w:cs="宋体"/>
          <w:color w:val="auto"/>
          <w:sz w:val="24"/>
          <w:highlight w:val="none"/>
          <w:lang w:val="en-US" w:eastAsia="zh-CN"/>
        </w:rPr>
        <w:t>所有</w:t>
      </w:r>
      <w:r>
        <w:rPr>
          <w:rFonts w:hint="eastAsia" w:ascii="宋体" w:hAnsi="宋体" w:eastAsia="宋体" w:cs="宋体"/>
          <w:color w:val="auto"/>
          <w:spacing w:val="-11"/>
          <w:sz w:val="24"/>
          <w:highlight w:val="none"/>
        </w:rPr>
        <w:t>。</w:t>
      </w:r>
    </w:p>
    <w:p>
      <w:pPr>
        <w:spacing w:before="120" w:beforeLines="50" w:after="120" w:afterLines="50"/>
        <w:jc w:val="center"/>
        <w:rPr>
          <w:rFonts w:hint="eastAsia" w:ascii="宋体" w:hAnsi="宋体" w:eastAsia="宋体" w:cs="宋体"/>
          <w:b/>
          <w:bCs/>
          <w:color w:val="auto"/>
          <w:sz w:val="28"/>
          <w:szCs w:val="28"/>
          <w:highlight w:val="none"/>
        </w:rPr>
        <w:sectPr>
          <w:pgSz w:w="11906" w:h="16838"/>
          <w:pgMar w:top="1531" w:right="1304" w:bottom="1531" w:left="1361" w:header="851" w:footer="1304" w:gutter="0"/>
          <w:paperSrc/>
          <w:pgBorders>
            <w:top w:val="none" w:sz="0" w:space="0"/>
            <w:left w:val="none" w:sz="0" w:space="0"/>
            <w:bottom w:val="none" w:sz="0" w:space="0"/>
            <w:right w:val="none" w:sz="0" w:space="0"/>
          </w:pgBorders>
          <w:cols w:space="720" w:num="1"/>
          <w:rtlGutter w:val="0"/>
          <w:docGrid w:linePitch="312" w:charSpace="0"/>
        </w:sectPr>
      </w:pPr>
      <w:bookmarkStart w:id="72" w:name="_Toc33194400"/>
    </w:p>
    <w:p>
      <w:pPr>
        <w:spacing w:before="120" w:beforeLines="50" w:after="120" w:afterLines="50"/>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第三部分  项目技术规范和服务要求</w:t>
      </w:r>
      <w:bookmarkEnd w:id="72"/>
    </w:p>
    <w:p>
      <w:pPr>
        <w:keepNext w:val="0"/>
        <w:keepLines w:val="0"/>
        <w:pageBreakBefore w:val="0"/>
        <w:widowControl w:val="0"/>
        <w:kinsoku/>
        <w:wordWrap/>
        <w:overflowPunct/>
        <w:topLinePunct w:val="0"/>
        <w:autoSpaceDE/>
        <w:autoSpaceDN/>
        <w:bidi w:val="0"/>
        <w:adjustRightInd/>
        <w:snapToGrid/>
        <w:spacing w:line="600" w:lineRule="exact"/>
        <w:ind w:firstLine="482" w:firstLineChars="200"/>
        <w:textAlignment w:val="auto"/>
        <w:rPr>
          <w:rFonts w:hint="eastAsia" w:ascii="宋体" w:hAnsi="宋体" w:eastAsia="宋体" w:cs="宋体"/>
          <w:b/>
          <w:color w:val="auto"/>
          <w:sz w:val="24"/>
          <w:highlight w:val="none"/>
        </w:rPr>
      </w:pPr>
      <w:bookmarkStart w:id="73" w:name="_Toc86217003"/>
      <w:bookmarkStart w:id="74" w:name="_Toc233618986"/>
      <w:bookmarkStart w:id="75" w:name="_Toc354996706"/>
      <w:r>
        <w:rPr>
          <w:rFonts w:hint="eastAsia" w:ascii="宋体" w:hAnsi="宋体" w:eastAsia="宋体" w:cs="宋体"/>
          <w:b/>
          <w:color w:val="auto"/>
          <w:sz w:val="24"/>
          <w:highlight w:val="none"/>
        </w:rPr>
        <w:t xml:space="preserve">采购需求中带“●”条款为实质性内容，投标人须在投标文件中提供《采购需求实质性内容响应表》（格式见第五部分 </w:t>
      </w:r>
      <w:r>
        <w:rPr>
          <w:rFonts w:hint="eastAsia" w:ascii="宋体" w:hAnsi="宋体" w:eastAsia="宋体" w:cs="宋体"/>
          <w:b/>
          <w:color w:val="auto"/>
          <w:sz w:val="24"/>
          <w:highlight w:val="none"/>
          <w:lang w:val="en-US" w:eastAsia="zh-CN"/>
        </w:rPr>
        <w:t xml:space="preserve"> </w:t>
      </w:r>
      <w:r>
        <w:rPr>
          <w:rFonts w:hint="eastAsia" w:ascii="宋体" w:hAnsi="宋体" w:eastAsia="宋体" w:cs="宋体"/>
          <w:b/>
          <w:color w:val="auto"/>
          <w:sz w:val="24"/>
          <w:highlight w:val="none"/>
        </w:rPr>
        <w:t>应提交的有关格式范例），如有任意一条未响应或不满足，将被视为无效。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bCs w:val="0"/>
          <w:color w:val="auto"/>
          <w:sz w:val="24"/>
          <w:highlight w:val="none"/>
        </w:rPr>
      </w:pPr>
      <w:r>
        <w:rPr>
          <w:rFonts w:hint="eastAsia" w:ascii="宋体" w:hAnsi="宋体" w:eastAsia="宋体" w:cs="宋体"/>
          <w:b/>
          <w:bCs w:val="0"/>
          <w:color w:val="auto"/>
          <w:sz w:val="24"/>
          <w:highlight w:val="none"/>
          <w:lang w:val="en-US" w:eastAsia="zh-CN"/>
        </w:rPr>
        <w:t>一、</w:t>
      </w:r>
      <w:r>
        <w:rPr>
          <w:rFonts w:hint="eastAsia" w:ascii="宋体" w:hAnsi="宋体" w:eastAsia="宋体" w:cs="宋体"/>
          <w:b/>
          <w:bCs w:val="0"/>
          <w:color w:val="auto"/>
          <w:sz w:val="24"/>
          <w:highlight w:val="none"/>
        </w:rPr>
        <w:t>项目概况：</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本项目为“交钥匙”项目，本项目采购内容为</w:t>
      </w:r>
      <w:r>
        <w:rPr>
          <w:rFonts w:hint="eastAsia" w:ascii="宋体" w:hAnsi="宋体" w:eastAsia="宋体" w:cs="宋体"/>
          <w:b w:val="0"/>
          <w:bCs/>
          <w:color w:val="auto"/>
          <w:sz w:val="24"/>
          <w:highlight w:val="none"/>
          <w:lang w:val="en-US" w:eastAsia="zh-CN"/>
        </w:rPr>
        <w:t>余杭街道城区道路交通设施零星维护项目</w:t>
      </w:r>
      <w:r>
        <w:rPr>
          <w:rFonts w:hint="eastAsia" w:ascii="宋体" w:hAnsi="宋体" w:eastAsia="宋体" w:cs="宋体"/>
          <w:b w:val="0"/>
          <w:bCs/>
          <w:color w:val="auto"/>
          <w:sz w:val="24"/>
          <w:highlight w:val="none"/>
          <w:lang w:eastAsia="zh-CN"/>
        </w:rPr>
        <w:t>；</w:t>
      </w:r>
      <w:r>
        <w:rPr>
          <w:rFonts w:hint="eastAsia" w:ascii="宋体" w:hAnsi="宋体" w:eastAsia="宋体" w:cs="宋体"/>
          <w:b w:val="0"/>
          <w:bCs/>
          <w:color w:val="auto"/>
          <w:sz w:val="24"/>
          <w:highlight w:val="none"/>
          <w:lang w:val="en-US" w:eastAsia="zh-CN"/>
        </w:rPr>
        <w:t>投标报价（费率报价）包括人工费、材料费、机械使用费、管理、利润、规费、税金、招标代理费、有关部门的验收费、政策性文件规定及合同包含的所有风险、责任及其他因本项目而产生的一切费用。</w:t>
      </w:r>
      <w:r>
        <w:rPr>
          <w:rFonts w:hint="eastAsia" w:ascii="宋体" w:hAnsi="宋体" w:eastAsia="宋体" w:cs="宋体"/>
          <w:b w:val="0"/>
          <w:bCs/>
          <w:color w:val="auto"/>
          <w:sz w:val="24"/>
          <w:highlight w:val="none"/>
        </w:rPr>
        <w:t>本项目包含设施破损维修及部分新增交通安全设施设备（以各相关部门联系单、抄告单及任务单描述作为依据。包括原受损设施的拆除、运输和处理</w:t>
      </w:r>
      <w:r>
        <w:rPr>
          <w:rFonts w:hint="eastAsia" w:ascii="宋体" w:hAnsi="宋体" w:eastAsia="宋体" w:cs="宋体"/>
          <w:b w:val="0"/>
          <w:bCs/>
          <w:color w:val="auto"/>
          <w:sz w:val="24"/>
          <w:highlight w:val="none"/>
          <w:lang w:eastAsia="zh-CN"/>
        </w:rPr>
        <w:t>、</w:t>
      </w:r>
      <w:r>
        <w:rPr>
          <w:rFonts w:hint="eastAsia" w:ascii="宋体" w:hAnsi="宋体" w:eastAsia="宋体" w:cs="宋体"/>
          <w:b w:val="0"/>
          <w:bCs/>
          <w:color w:val="auto"/>
          <w:sz w:val="24"/>
          <w:highlight w:val="none"/>
        </w:rPr>
        <w:t>新设施的采购、运输、仓储、安装、调试、税金、质保期内的售后服务等。</w:t>
      </w:r>
    </w:p>
    <w:p>
      <w:pPr>
        <w:pStyle w:val="3"/>
        <w:wordWrap/>
        <w:spacing w:line="600" w:lineRule="exact"/>
        <w:ind w:left="0" w:leftChars="0" w:firstLine="0" w:firstLineChars="0"/>
        <w:rPr>
          <w:rFonts w:hint="eastAsia" w:ascii="宋体" w:hAnsi="宋体" w:eastAsia="宋体" w:cs="宋体"/>
          <w:b/>
          <w:bCs w:val="0"/>
          <w:color w:val="auto"/>
          <w:spacing w:val="0"/>
          <w:kern w:val="2"/>
          <w:sz w:val="24"/>
          <w:szCs w:val="24"/>
          <w:highlight w:val="none"/>
          <w:lang w:val="en-US" w:eastAsia="zh-CN" w:bidi="ar-SA"/>
        </w:rPr>
      </w:pPr>
      <w:r>
        <w:rPr>
          <w:rFonts w:hint="eastAsia" w:ascii="宋体" w:hAnsi="宋体" w:eastAsia="宋体" w:cs="宋体"/>
          <w:b/>
          <w:bCs w:val="0"/>
          <w:color w:val="auto"/>
          <w:spacing w:val="0"/>
          <w:kern w:val="2"/>
          <w:sz w:val="24"/>
          <w:szCs w:val="24"/>
          <w:highlight w:val="none"/>
          <w:lang w:val="en-US" w:eastAsia="zh-CN" w:bidi="ar-SA"/>
        </w:rPr>
        <w:t>二、服务要求</w:t>
      </w:r>
    </w:p>
    <w:p>
      <w:pPr>
        <w:wordWrap/>
        <w:adjustRightInd w:val="0"/>
        <w:snapToGrid w:val="0"/>
        <w:spacing w:line="600" w:lineRule="exact"/>
        <w:ind w:firstLine="480" w:firstLineChars="200"/>
        <w:jc w:val="left"/>
        <w:outlineLvl w:val="0"/>
        <w:rPr>
          <w:rFonts w:hint="eastAsia" w:ascii="宋体" w:hAnsi="宋体" w:eastAsia="宋体" w:cs="宋体"/>
          <w:b w:val="0"/>
          <w:bCs/>
          <w:snapToGrid/>
          <w:color w:val="auto"/>
          <w:kern w:val="2"/>
          <w:sz w:val="24"/>
          <w:szCs w:val="24"/>
          <w:highlight w:val="none"/>
        </w:rPr>
      </w:pPr>
      <w:r>
        <w:rPr>
          <w:rFonts w:hint="eastAsia" w:ascii="宋体" w:hAnsi="宋体" w:eastAsia="宋体" w:cs="宋体"/>
          <w:b w:val="0"/>
          <w:bCs/>
          <w:snapToGrid/>
          <w:color w:val="auto"/>
          <w:kern w:val="2"/>
          <w:sz w:val="24"/>
          <w:szCs w:val="24"/>
          <w:highlight w:val="none"/>
          <w:lang w:eastAsia="zh-CN"/>
        </w:rPr>
        <w:t>（</w:t>
      </w:r>
      <w:r>
        <w:rPr>
          <w:rFonts w:hint="eastAsia" w:ascii="宋体" w:hAnsi="宋体" w:eastAsia="宋体" w:cs="宋体"/>
          <w:b w:val="0"/>
          <w:bCs/>
          <w:snapToGrid/>
          <w:color w:val="auto"/>
          <w:kern w:val="2"/>
          <w:sz w:val="24"/>
          <w:szCs w:val="24"/>
          <w:highlight w:val="none"/>
          <w:lang w:val="en-US" w:eastAsia="zh-CN"/>
        </w:rPr>
        <w:t>一）</w:t>
      </w:r>
      <w:r>
        <w:rPr>
          <w:rFonts w:hint="eastAsia" w:ascii="宋体" w:hAnsi="宋体" w:eastAsia="宋体" w:cs="宋体"/>
          <w:b w:val="0"/>
          <w:bCs/>
          <w:snapToGrid/>
          <w:color w:val="auto"/>
          <w:kern w:val="2"/>
          <w:sz w:val="24"/>
          <w:szCs w:val="24"/>
          <w:highlight w:val="none"/>
        </w:rPr>
        <w:t>日常维护主要内容：</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b w:val="0"/>
          <w:bCs/>
          <w:snapToGrid w:val="0"/>
          <w:color w:val="auto"/>
          <w:kern w:val="0"/>
          <w:sz w:val="24"/>
          <w:szCs w:val="24"/>
          <w:highlight w:val="none"/>
        </w:rPr>
      </w:pPr>
      <w:r>
        <w:rPr>
          <w:rFonts w:hint="eastAsia" w:ascii="宋体" w:hAnsi="宋体" w:eastAsia="宋体" w:cs="宋体"/>
          <w:b w:val="0"/>
          <w:bCs/>
          <w:snapToGrid w:val="0"/>
          <w:color w:val="auto"/>
          <w:kern w:val="0"/>
          <w:sz w:val="24"/>
          <w:szCs w:val="24"/>
          <w:highlight w:val="none"/>
          <w:lang w:val="en-US" w:eastAsia="zh-CN"/>
        </w:rPr>
        <w:t>1、</w:t>
      </w:r>
      <w:r>
        <w:rPr>
          <w:rFonts w:hint="eastAsia" w:ascii="宋体" w:hAnsi="宋体" w:eastAsia="宋体" w:cs="宋体"/>
          <w:b w:val="0"/>
          <w:bCs/>
          <w:snapToGrid w:val="0"/>
          <w:color w:val="auto"/>
          <w:kern w:val="0"/>
          <w:sz w:val="24"/>
          <w:szCs w:val="24"/>
          <w:highlight w:val="none"/>
        </w:rPr>
        <w:t>交通监视设施：</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1.1</w:t>
      </w:r>
      <w:r>
        <w:rPr>
          <w:rFonts w:hint="eastAsia" w:ascii="宋体" w:hAnsi="宋体" w:eastAsia="宋体" w:cs="宋体"/>
          <w:snapToGrid w:val="0"/>
          <w:color w:val="auto"/>
          <w:kern w:val="0"/>
          <w:sz w:val="24"/>
          <w:szCs w:val="24"/>
          <w:highlight w:val="none"/>
        </w:rPr>
        <w:t>建立完善的维护机制，使之具有调度、协调、监督、培训等管理功能，具体包括：</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a.委派会管理、有经验的人员担任调度员；</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b.制定维修维护操作规程及工作要求；</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c.做好详细维修记录台帐，定期汇总向采购人书面汇报；</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d.调度人员实时了解维修维护情况，进行指导、协调，督察维护进展。</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1.2</w:t>
      </w:r>
      <w:r>
        <w:rPr>
          <w:rFonts w:hint="eastAsia" w:ascii="宋体" w:hAnsi="宋体" w:eastAsia="宋体" w:cs="宋体"/>
          <w:snapToGrid w:val="0"/>
          <w:color w:val="auto"/>
          <w:kern w:val="0"/>
          <w:sz w:val="24"/>
          <w:szCs w:val="24"/>
          <w:highlight w:val="none"/>
        </w:rPr>
        <w:t>确保招标范围内维护点7×24小时正常运行，数据的安全存储、备份。</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1.3</w:t>
      </w:r>
      <w:r>
        <w:rPr>
          <w:rFonts w:hint="eastAsia" w:ascii="宋体" w:hAnsi="宋体" w:eastAsia="宋体" w:cs="宋体"/>
          <w:snapToGrid w:val="0"/>
          <w:color w:val="auto"/>
          <w:kern w:val="0"/>
          <w:sz w:val="24"/>
          <w:szCs w:val="24"/>
          <w:highlight w:val="none"/>
        </w:rPr>
        <w:t>招标范围内点位平台上运行情况每天巡检一次并建立巡检台帐，路口点每月至少巡检一次，并建立巡检台帐，每周上报一次，供甲方随时检查。巡检内容为：</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a.清洁工作，保证内外场设备及机房的安全、整洁、干净。</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b.统计遮挡物，如树枝等遮挡设备的情况，并每周统计上报，协助清理。</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C</w:t>
      </w:r>
      <w:r>
        <w:rPr>
          <w:rFonts w:hint="eastAsia"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rPr>
        <w:t>安全检查，保证外场设备用电、防雷、防锈、防水等设施安全。</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d.调整光圈、焦距、白平衡等参数，保证图像清晰。</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e.检查外场设备的完整性和牢固性，消除人为或自然原因影响安全和功能使用的隐患。</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f.对监控设备选型、安装、调试、维修等情况进行全面汇总研究，定期提出建议和改进意见。</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g.做好基础资料编辑修改工作,编写基础资料电子资料库。</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1.4</w:t>
      </w:r>
      <w:r>
        <w:rPr>
          <w:rFonts w:hint="eastAsia" w:ascii="宋体" w:hAnsi="宋体" w:eastAsia="宋体" w:cs="宋体"/>
          <w:snapToGrid w:val="0"/>
          <w:color w:val="auto"/>
          <w:kern w:val="0"/>
          <w:sz w:val="24"/>
          <w:szCs w:val="24"/>
          <w:highlight w:val="none"/>
        </w:rPr>
        <w:t>遇灾害天气，应提前检查加固外场设备，确保外场设备的安全。因灾害天气造成的损失以及后果，由中标人承担。</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1.5</w:t>
      </w:r>
      <w:r>
        <w:rPr>
          <w:rFonts w:hint="eastAsia" w:ascii="宋体" w:hAnsi="宋体" w:eastAsia="宋体" w:cs="宋体"/>
          <w:snapToGrid w:val="0"/>
          <w:color w:val="auto"/>
          <w:kern w:val="0"/>
          <w:sz w:val="24"/>
          <w:szCs w:val="24"/>
          <w:highlight w:val="none"/>
        </w:rPr>
        <w:t>每年重要节假日（“五一”、“十一”等）、大型活动期间，特定巡检、维修、维护、清洁、保养。重大活动现场保障人员定期到采购人中心机房培训。</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1.6</w:t>
      </w:r>
      <w:r>
        <w:rPr>
          <w:rFonts w:hint="eastAsia" w:ascii="宋体" w:hAnsi="宋体" w:eastAsia="宋体" w:cs="宋体"/>
          <w:snapToGrid w:val="0"/>
          <w:color w:val="auto"/>
          <w:kern w:val="0"/>
          <w:sz w:val="24"/>
          <w:szCs w:val="24"/>
          <w:highlight w:val="none"/>
        </w:rPr>
        <w:t>日常维护故障点维修时间要求：外场点位系统故障，须5分钟响应，1小时内到达现场，12小时恢复系统正常运行。</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1.7</w:t>
      </w:r>
      <w:r>
        <w:rPr>
          <w:rFonts w:hint="eastAsia" w:ascii="宋体" w:hAnsi="宋体" w:eastAsia="宋体" w:cs="宋体"/>
          <w:snapToGrid w:val="0"/>
          <w:color w:val="auto"/>
          <w:kern w:val="0"/>
          <w:sz w:val="24"/>
          <w:szCs w:val="24"/>
          <w:highlight w:val="none"/>
        </w:rPr>
        <w:t>外场设施遇偷盗、人为破坏等外力因素，造成设备丢失或无法继续使用，应及时报警备案（属地***）。</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b w:val="0"/>
          <w:bCs/>
          <w:snapToGrid w:val="0"/>
          <w:color w:val="auto"/>
          <w:kern w:val="0"/>
          <w:sz w:val="24"/>
          <w:szCs w:val="24"/>
          <w:highlight w:val="none"/>
        </w:rPr>
      </w:pPr>
      <w:r>
        <w:rPr>
          <w:rFonts w:hint="eastAsia" w:ascii="宋体" w:hAnsi="宋体" w:eastAsia="宋体" w:cs="宋体"/>
          <w:b w:val="0"/>
          <w:bCs/>
          <w:snapToGrid w:val="0"/>
          <w:color w:val="auto"/>
          <w:kern w:val="0"/>
          <w:sz w:val="24"/>
          <w:szCs w:val="24"/>
          <w:highlight w:val="none"/>
          <w:lang w:val="en-US" w:eastAsia="zh-CN"/>
        </w:rPr>
        <w:t>2、</w:t>
      </w:r>
      <w:r>
        <w:rPr>
          <w:rFonts w:hint="eastAsia" w:ascii="宋体" w:hAnsi="宋体" w:eastAsia="宋体" w:cs="宋体"/>
          <w:b w:val="0"/>
          <w:bCs/>
          <w:snapToGrid w:val="0"/>
          <w:color w:val="auto"/>
          <w:kern w:val="0"/>
          <w:sz w:val="24"/>
          <w:szCs w:val="24"/>
          <w:highlight w:val="none"/>
        </w:rPr>
        <w:t>交通非现场执法设施：</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2.1</w:t>
      </w:r>
      <w:r>
        <w:rPr>
          <w:rFonts w:hint="eastAsia" w:ascii="宋体" w:hAnsi="宋体" w:eastAsia="宋体" w:cs="宋体"/>
          <w:snapToGrid w:val="0"/>
          <w:color w:val="auto"/>
          <w:kern w:val="0"/>
          <w:sz w:val="24"/>
          <w:szCs w:val="24"/>
          <w:highlight w:val="none"/>
        </w:rPr>
        <w:t>建立完善的维护机制，使之具有调度、协调、监督、培训等管理功能，具体包括：</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a.委派会管理、有经验的人员担任调度员；</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b.制定维修维护操作规程及工作要求；</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c.做好详细维修记录台帐，定期汇总向采购人书面汇报；</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d.调度人员实时了解维修维护情况，进行指导、协调，督察维护进展。</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2.2</w:t>
      </w:r>
      <w:r>
        <w:rPr>
          <w:rFonts w:hint="eastAsia" w:ascii="宋体" w:hAnsi="宋体" w:eastAsia="宋体" w:cs="宋体"/>
          <w:snapToGrid w:val="0"/>
          <w:color w:val="auto"/>
          <w:kern w:val="0"/>
          <w:sz w:val="24"/>
          <w:szCs w:val="24"/>
          <w:highlight w:val="none"/>
        </w:rPr>
        <w:t>招标范围内维护点7×24小时正常运行，违法数据的安全存储、备份。</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2.3</w:t>
      </w:r>
      <w:r>
        <w:rPr>
          <w:rFonts w:hint="eastAsia" w:ascii="宋体" w:hAnsi="宋体" w:eastAsia="宋体" w:cs="宋体"/>
          <w:snapToGrid w:val="0"/>
          <w:color w:val="auto"/>
          <w:kern w:val="0"/>
          <w:sz w:val="24"/>
          <w:szCs w:val="24"/>
          <w:highlight w:val="none"/>
        </w:rPr>
        <w:t>招标范围内点位平台上运行情况每天巡检一次并建立巡检台帐，招标范围内路口点每月至少巡检一次，并建立巡检台帐，每周上报一次，供采购人随时检查。巡检内容为：</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 xml:space="preserve">a.清洁设备，保证外场设备安全、整洁、干净。  </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b.安全检查，保证外场设备用电、防雷、防锈、防水等设施安全。</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c.统计遮挡物，如树枝等遮挡设备的情况，并每周统计上报，协助清理。</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d.调整光圈、焦距、白平衡等参数，保证图像清晰。</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e.检查外场设备的完整性和牢固性，消除人为或自然原因影响安全和功能使用的隐患。</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f.做好基础资料编辑修改工作,编写基础资料电子资料库。</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2.4</w:t>
      </w:r>
      <w:r>
        <w:rPr>
          <w:rFonts w:hint="eastAsia" w:ascii="宋体" w:hAnsi="宋体" w:eastAsia="宋体" w:cs="宋体"/>
          <w:snapToGrid w:val="0"/>
          <w:color w:val="auto"/>
          <w:kern w:val="0"/>
          <w:sz w:val="24"/>
          <w:szCs w:val="24"/>
          <w:highlight w:val="none"/>
        </w:rPr>
        <w:t>接采购人通知后在十个工作日能完成指定路口的调整改造任务。</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2.5</w:t>
      </w:r>
      <w:r>
        <w:rPr>
          <w:rFonts w:hint="eastAsia" w:ascii="宋体" w:hAnsi="宋体" w:eastAsia="宋体" w:cs="宋体"/>
          <w:snapToGrid w:val="0"/>
          <w:color w:val="auto"/>
          <w:kern w:val="0"/>
          <w:sz w:val="24"/>
          <w:szCs w:val="24"/>
          <w:highlight w:val="none"/>
        </w:rPr>
        <w:t>遇灾害天气，应提前检查加固外场设备，确保外场设备的安全。因灾害天气造成的损失以及后果，由中标人承担。</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2.6</w:t>
      </w:r>
      <w:r>
        <w:rPr>
          <w:rFonts w:hint="eastAsia" w:ascii="宋体" w:hAnsi="宋体" w:eastAsia="宋体" w:cs="宋体"/>
          <w:snapToGrid w:val="0"/>
          <w:color w:val="auto"/>
          <w:kern w:val="0"/>
          <w:sz w:val="24"/>
          <w:szCs w:val="24"/>
          <w:highlight w:val="none"/>
        </w:rPr>
        <w:t>每年重要节假日（“五一”、“十一”等）、大型活动期间，特定巡检、维修、维护、清洁、保养。</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2.7</w:t>
      </w:r>
      <w:r>
        <w:rPr>
          <w:rFonts w:hint="eastAsia" w:ascii="宋体" w:hAnsi="宋体" w:eastAsia="宋体" w:cs="宋体"/>
          <w:snapToGrid w:val="0"/>
          <w:color w:val="auto"/>
          <w:kern w:val="0"/>
          <w:sz w:val="24"/>
          <w:szCs w:val="24"/>
          <w:highlight w:val="none"/>
        </w:rPr>
        <w:t>日常维护故障点维修时间要求：外场点位系统故障，须5分钟响应，1小时到达现场， 48小时内恢复系统正常运行。</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2.8</w:t>
      </w:r>
      <w:r>
        <w:rPr>
          <w:rFonts w:hint="eastAsia" w:ascii="宋体" w:hAnsi="宋体" w:eastAsia="宋体" w:cs="宋体"/>
          <w:snapToGrid w:val="0"/>
          <w:color w:val="auto"/>
          <w:kern w:val="0"/>
          <w:sz w:val="24"/>
          <w:szCs w:val="24"/>
          <w:highlight w:val="none"/>
        </w:rPr>
        <w:t>外场设施遇偷盗、人为破坏等外力因素，造成设备丢失或无法继续使用，应及时报警备案（属地***）。</w:t>
      </w:r>
    </w:p>
    <w:p>
      <w:pPr>
        <w:wordWrap/>
        <w:adjustRightInd w:val="0"/>
        <w:snapToGrid w:val="0"/>
        <w:spacing w:line="600" w:lineRule="exact"/>
        <w:ind w:firstLine="480" w:firstLineChars="200"/>
        <w:jc w:val="left"/>
        <w:outlineLvl w:val="0"/>
        <w:rPr>
          <w:rFonts w:hint="eastAsia" w:ascii="宋体" w:hAnsi="宋体" w:eastAsia="宋体" w:cs="宋体"/>
          <w:b w:val="0"/>
          <w:bCs/>
          <w:snapToGrid/>
          <w:color w:val="auto"/>
          <w:kern w:val="2"/>
          <w:sz w:val="24"/>
          <w:szCs w:val="24"/>
          <w:highlight w:val="none"/>
        </w:rPr>
      </w:pPr>
      <w:r>
        <w:rPr>
          <w:rFonts w:hint="eastAsia" w:ascii="宋体" w:hAnsi="宋体" w:eastAsia="宋体" w:cs="宋体"/>
          <w:b w:val="0"/>
          <w:bCs/>
          <w:snapToGrid/>
          <w:color w:val="auto"/>
          <w:kern w:val="2"/>
          <w:sz w:val="24"/>
          <w:szCs w:val="24"/>
          <w:highlight w:val="none"/>
          <w:lang w:val="en-US" w:eastAsia="zh-CN"/>
        </w:rPr>
        <w:t>3、</w:t>
      </w:r>
      <w:r>
        <w:rPr>
          <w:rFonts w:hint="eastAsia" w:ascii="宋体" w:hAnsi="宋体" w:eastAsia="宋体" w:cs="宋体"/>
          <w:b w:val="0"/>
          <w:bCs/>
          <w:snapToGrid/>
          <w:color w:val="auto"/>
          <w:kern w:val="2"/>
          <w:sz w:val="24"/>
          <w:szCs w:val="24"/>
          <w:highlight w:val="none"/>
        </w:rPr>
        <w:t>交通诱导设施：</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3.1</w:t>
      </w:r>
      <w:r>
        <w:rPr>
          <w:rFonts w:hint="eastAsia" w:ascii="宋体" w:hAnsi="宋体" w:eastAsia="宋体" w:cs="宋体"/>
          <w:bCs/>
          <w:snapToGrid/>
          <w:color w:val="auto"/>
          <w:kern w:val="2"/>
          <w:sz w:val="24"/>
          <w:szCs w:val="24"/>
          <w:highlight w:val="none"/>
        </w:rPr>
        <w:t>建立完善的维护机制，使之具有调度、协调、监督、培训等管理功能，具体包括：</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a.委派会管理、有经验的人员担任调度员；</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b.制定维修维护操作规程及工作要求；</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c.做好详细维修记录台帐，定期汇总向采购人书面汇报；</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d.调度人员实时了解维修维护情况，进行指导、协调，督察维护进展。</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3.2</w:t>
      </w:r>
      <w:r>
        <w:rPr>
          <w:rFonts w:hint="eastAsia" w:ascii="宋体" w:hAnsi="宋体" w:eastAsia="宋体" w:cs="宋体"/>
          <w:bCs/>
          <w:snapToGrid/>
          <w:color w:val="auto"/>
          <w:kern w:val="2"/>
          <w:sz w:val="24"/>
          <w:szCs w:val="24"/>
          <w:highlight w:val="none"/>
        </w:rPr>
        <w:t>确保招标范围内维护点7×24小时正常运行，数据的安全存储、备份。</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3.3</w:t>
      </w:r>
      <w:r>
        <w:rPr>
          <w:rFonts w:hint="eastAsia" w:ascii="宋体" w:hAnsi="宋体" w:eastAsia="宋体" w:cs="宋体"/>
          <w:bCs/>
          <w:snapToGrid/>
          <w:color w:val="auto"/>
          <w:kern w:val="2"/>
          <w:sz w:val="24"/>
          <w:szCs w:val="24"/>
          <w:highlight w:val="none"/>
        </w:rPr>
        <w:t>招标范围内点位平台上运行情况每天巡检一次并建立巡检台帐，招标范围内路口点要求定期巡检，并建立巡检台帐，每周上报一次，供甲方随时检查。巡检内容为：</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a.清洁设备，保证外场设备安全、整洁、干净。</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b.安全检查，保证外场设备用电、防雷、防锈、防水等设施安全。</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c.统计遮挡物，如树枝等遮挡设备的情况，并每周统计上报，协助清理。</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d.检查情报板的工作情况。</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e.检查外场设备的完整性和牢固性，消除人为或自然原因影响安全和功能使用的隐患。</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f.做好基础资料编辑修改工作,编写基础资料电子资料库。</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3.4</w:t>
      </w:r>
      <w:r>
        <w:rPr>
          <w:rFonts w:hint="eastAsia" w:ascii="宋体" w:hAnsi="宋体" w:eastAsia="宋体" w:cs="宋体"/>
          <w:bCs/>
          <w:snapToGrid/>
          <w:color w:val="auto"/>
          <w:kern w:val="2"/>
          <w:sz w:val="24"/>
          <w:szCs w:val="24"/>
          <w:highlight w:val="none"/>
        </w:rPr>
        <w:t>遇灾害天气，应提前检查加固外场设备，确保外场设备的安全。因灾害天气造成的损失以及后果，由中标人承担。</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3.5</w:t>
      </w:r>
      <w:r>
        <w:rPr>
          <w:rFonts w:hint="eastAsia" w:ascii="宋体" w:hAnsi="宋体" w:eastAsia="宋体" w:cs="宋体"/>
          <w:bCs/>
          <w:snapToGrid/>
          <w:color w:val="auto"/>
          <w:kern w:val="2"/>
          <w:sz w:val="24"/>
          <w:szCs w:val="24"/>
          <w:highlight w:val="none"/>
        </w:rPr>
        <w:t>每年重要节假日（“五一”、“十一”等）、大型活动期间，特定巡检、维修、维护、清洁、保养。</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3.6</w:t>
      </w:r>
      <w:r>
        <w:rPr>
          <w:rFonts w:hint="eastAsia" w:ascii="宋体" w:hAnsi="宋体" w:eastAsia="宋体" w:cs="宋体"/>
          <w:bCs/>
          <w:snapToGrid/>
          <w:color w:val="auto"/>
          <w:kern w:val="2"/>
          <w:sz w:val="24"/>
          <w:szCs w:val="24"/>
          <w:highlight w:val="none"/>
        </w:rPr>
        <w:t>日常维护故障点维修时间要求：外场点位系统故障，须5分钟响应，24小时天内恢复系统正常运行；</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3.7</w:t>
      </w:r>
      <w:r>
        <w:rPr>
          <w:rFonts w:hint="eastAsia" w:ascii="宋体" w:hAnsi="宋体" w:eastAsia="宋体" w:cs="宋体"/>
          <w:bCs/>
          <w:snapToGrid/>
          <w:color w:val="auto"/>
          <w:kern w:val="2"/>
          <w:sz w:val="24"/>
          <w:szCs w:val="24"/>
          <w:highlight w:val="none"/>
        </w:rPr>
        <w:t>外场设施遇偷盗、人为破坏等外力因素，造成设备丢失或无法继续使用，应及时报警备案（属地***）。</w:t>
      </w:r>
    </w:p>
    <w:p>
      <w:pPr>
        <w:wordWrap/>
        <w:adjustRightInd w:val="0"/>
        <w:snapToGrid w:val="0"/>
        <w:spacing w:line="600" w:lineRule="exact"/>
        <w:ind w:firstLine="480" w:firstLineChars="200"/>
        <w:jc w:val="left"/>
        <w:outlineLvl w:val="0"/>
        <w:rPr>
          <w:rFonts w:hint="eastAsia" w:ascii="宋体" w:hAnsi="宋体" w:eastAsia="宋体" w:cs="宋体"/>
          <w:b w:val="0"/>
          <w:bCs/>
          <w:snapToGrid/>
          <w:color w:val="auto"/>
          <w:kern w:val="2"/>
          <w:sz w:val="24"/>
          <w:szCs w:val="24"/>
          <w:highlight w:val="none"/>
        </w:rPr>
      </w:pPr>
      <w:r>
        <w:rPr>
          <w:rFonts w:hint="eastAsia" w:ascii="宋体" w:hAnsi="宋体" w:eastAsia="宋体" w:cs="宋体"/>
          <w:b w:val="0"/>
          <w:bCs/>
          <w:snapToGrid/>
          <w:color w:val="auto"/>
          <w:kern w:val="2"/>
          <w:sz w:val="24"/>
          <w:szCs w:val="24"/>
          <w:highlight w:val="none"/>
          <w:lang w:val="en-US" w:eastAsia="zh-CN"/>
        </w:rPr>
        <w:t>4、</w:t>
      </w:r>
      <w:r>
        <w:rPr>
          <w:rFonts w:hint="eastAsia" w:ascii="宋体" w:hAnsi="宋体" w:eastAsia="宋体" w:cs="宋体"/>
          <w:b w:val="0"/>
          <w:bCs/>
          <w:snapToGrid/>
          <w:color w:val="auto"/>
          <w:kern w:val="2"/>
          <w:sz w:val="24"/>
          <w:szCs w:val="24"/>
          <w:highlight w:val="none"/>
        </w:rPr>
        <w:t>智能卡口设施：</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4.1</w:t>
      </w:r>
      <w:r>
        <w:rPr>
          <w:rFonts w:hint="eastAsia" w:ascii="宋体" w:hAnsi="宋体" w:eastAsia="宋体" w:cs="宋体"/>
          <w:bCs/>
          <w:snapToGrid/>
          <w:color w:val="auto"/>
          <w:kern w:val="2"/>
          <w:sz w:val="24"/>
          <w:szCs w:val="24"/>
          <w:highlight w:val="none"/>
        </w:rPr>
        <w:t>建立完善的维护机制，使之具有调度、协调、监督、培训等管理功能，具体包括：</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a.委派会管理、有经验的人员担任调度员；</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b.制定维修维护操作规程及工作要求；</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c.做好详细维修记录台帐，定期汇总向采购人书面汇报；</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d.调度人员实时了解维修维护情况，进行指导、协调，督察维护进展。</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4.2</w:t>
      </w:r>
      <w:r>
        <w:rPr>
          <w:rFonts w:hint="eastAsia" w:ascii="宋体" w:hAnsi="宋体" w:eastAsia="宋体" w:cs="宋体"/>
          <w:bCs/>
          <w:snapToGrid/>
          <w:color w:val="auto"/>
          <w:kern w:val="2"/>
          <w:sz w:val="24"/>
          <w:szCs w:val="24"/>
          <w:highlight w:val="none"/>
        </w:rPr>
        <w:t>确保维护点7×24小时正常运行，数据的安全存储、备份。</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4.3</w:t>
      </w:r>
      <w:r>
        <w:rPr>
          <w:rFonts w:hint="eastAsia" w:ascii="宋体" w:hAnsi="宋体" w:eastAsia="宋体" w:cs="宋体"/>
          <w:bCs/>
          <w:snapToGrid/>
          <w:color w:val="auto"/>
          <w:kern w:val="2"/>
          <w:sz w:val="24"/>
          <w:szCs w:val="24"/>
          <w:highlight w:val="none"/>
        </w:rPr>
        <w:t>招标范围内点位平台上运行情况每天巡检一次并建立巡检台帐，招标范围内路口点每月所有点巡检一次，并建立巡检台帐，每周上报一次，供采购人随时检查。巡检内容为：</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a.清洁设备，保证外场设备安全、整洁、干净。</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b.安全检查，保证外场设备用电、防雷、防锈、防水等设施安全。</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c.统计遮挡物，如树枝等遮挡设备的情况，并每月上报一次。</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d.调整光圈、焦距、白平衡等参数，保证图像清晰。</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e.检查外场设备的完整性和牢固性，消除人为或自然原因影响安全和功能使用的隐患。</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f.做好基础资料编辑修改工作,编写基础资料电子资料库。</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g.全力配合好各建设单位新建点位的接入和接入点位是否符合交警要求的检查工作。同时在不影响现系统正常运行前题下，中标人必须对现有系统进行调整、修改、增加，确保新建点位的及时完成接入。</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4.4</w:t>
      </w:r>
      <w:r>
        <w:rPr>
          <w:rFonts w:hint="eastAsia" w:ascii="宋体" w:hAnsi="宋体" w:eastAsia="宋体" w:cs="宋体"/>
          <w:bCs/>
          <w:snapToGrid/>
          <w:color w:val="auto"/>
          <w:kern w:val="2"/>
          <w:sz w:val="24"/>
          <w:szCs w:val="24"/>
          <w:highlight w:val="none"/>
        </w:rPr>
        <w:t>遇灾害天气，应提前检查加固外场设备，确保外场设备的安全。因灾害天气造成的损失以及后果，由中标人承担。</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4.5</w:t>
      </w:r>
      <w:r>
        <w:rPr>
          <w:rFonts w:hint="eastAsia" w:ascii="宋体" w:hAnsi="宋体" w:eastAsia="宋体" w:cs="宋体"/>
          <w:bCs/>
          <w:snapToGrid/>
          <w:color w:val="auto"/>
          <w:kern w:val="2"/>
          <w:sz w:val="24"/>
          <w:szCs w:val="24"/>
          <w:highlight w:val="none"/>
        </w:rPr>
        <w:t>每年重要节假日（“五一”、“十一”等）、大型活动期间，特定巡检、维修、维护、清洁、保养。</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4.6</w:t>
      </w:r>
      <w:r>
        <w:rPr>
          <w:rFonts w:hint="eastAsia" w:ascii="宋体" w:hAnsi="宋体" w:eastAsia="宋体" w:cs="宋体"/>
          <w:bCs/>
          <w:snapToGrid/>
          <w:color w:val="auto"/>
          <w:kern w:val="2"/>
          <w:sz w:val="24"/>
          <w:szCs w:val="24"/>
          <w:highlight w:val="none"/>
        </w:rPr>
        <w:t>日常维护故障点维修时间要求：外场点位系统故障，须5分钟响应，1小时内到现场，24小时恢复系统常运行；</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4.7</w:t>
      </w:r>
      <w:r>
        <w:rPr>
          <w:rFonts w:hint="eastAsia" w:ascii="宋体" w:hAnsi="宋体" w:eastAsia="宋体" w:cs="宋体"/>
          <w:bCs/>
          <w:snapToGrid/>
          <w:color w:val="auto"/>
          <w:kern w:val="2"/>
          <w:sz w:val="24"/>
          <w:szCs w:val="24"/>
          <w:highlight w:val="none"/>
        </w:rPr>
        <w:t>外场设施遇偷盗、人为破坏等外力因素，造成设备丢失或无法继续使用，应及时报警备案（属地***）。</w:t>
      </w:r>
    </w:p>
    <w:p>
      <w:pPr>
        <w:pStyle w:val="76"/>
        <w:numPr>
          <w:ilvl w:val="0"/>
          <w:numId w:val="0"/>
        </w:numPr>
        <w:wordWrap/>
        <w:spacing w:line="600" w:lineRule="exact"/>
        <w:ind w:leftChars="200"/>
        <w:rPr>
          <w:rFonts w:hint="eastAsia" w:ascii="宋体" w:hAnsi="宋体" w:eastAsia="宋体" w:cs="宋体"/>
          <w:b w:val="0"/>
          <w:bCs/>
          <w:snapToGrid/>
          <w:color w:val="auto"/>
          <w:kern w:val="2"/>
          <w:sz w:val="24"/>
          <w:szCs w:val="24"/>
          <w:highlight w:val="none"/>
          <w:lang w:val="en-US" w:eastAsia="zh-CN"/>
        </w:rPr>
      </w:pPr>
      <w:r>
        <w:rPr>
          <w:rFonts w:hint="eastAsia" w:ascii="宋体" w:hAnsi="宋体" w:cs="宋体"/>
          <w:b w:val="0"/>
          <w:bCs/>
          <w:snapToGrid/>
          <w:color w:val="auto"/>
          <w:kern w:val="2"/>
          <w:sz w:val="24"/>
          <w:szCs w:val="24"/>
          <w:highlight w:val="none"/>
          <w:lang w:val="en-US" w:eastAsia="zh-CN"/>
        </w:rPr>
        <w:t>5</w:t>
      </w:r>
      <w:r>
        <w:rPr>
          <w:rFonts w:hint="eastAsia" w:ascii="宋体" w:hAnsi="宋体" w:eastAsia="宋体" w:cs="宋体"/>
          <w:b w:val="0"/>
          <w:bCs/>
          <w:snapToGrid/>
          <w:color w:val="auto"/>
          <w:kern w:val="2"/>
          <w:sz w:val="24"/>
          <w:szCs w:val="24"/>
          <w:highlight w:val="none"/>
          <w:lang w:val="en-US" w:eastAsia="zh-CN"/>
        </w:rPr>
        <w:t>、其他零星设施：绿化护栏、临时围档、围护、花箱、城市小品等维护。</w:t>
      </w:r>
    </w:p>
    <w:p>
      <w:pPr>
        <w:pStyle w:val="76"/>
        <w:numPr>
          <w:ilvl w:val="0"/>
          <w:numId w:val="0"/>
        </w:numPr>
        <w:wordWrap/>
        <w:spacing w:line="600" w:lineRule="exact"/>
        <w:ind w:leftChars="200"/>
        <w:rPr>
          <w:rFonts w:hint="eastAsia" w:ascii="宋体" w:hAnsi="宋体" w:eastAsia="宋体" w:cs="宋体"/>
          <w:b w:val="0"/>
          <w:bCs/>
          <w:snapToGrid/>
          <w:color w:val="auto"/>
          <w:kern w:val="2"/>
          <w:sz w:val="24"/>
          <w:szCs w:val="24"/>
          <w:highlight w:val="none"/>
          <w:lang w:val="en-US" w:eastAsia="zh-CN"/>
        </w:rPr>
      </w:pPr>
      <w:r>
        <w:rPr>
          <w:rFonts w:hint="eastAsia" w:ascii="宋体" w:hAnsi="宋体" w:cs="宋体"/>
          <w:b w:val="0"/>
          <w:bCs/>
          <w:snapToGrid/>
          <w:color w:val="auto"/>
          <w:kern w:val="2"/>
          <w:sz w:val="24"/>
          <w:szCs w:val="24"/>
          <w:highlight w:val="none"/>
          <w:lang w:val="en-US" w:eastAsia="zh-CN"/>
        </w:rPr>
        <w:t>6</w:t>
      </w:r>
      <w:r>
        <w:rPr>
          <w:rFonts w:hint="eastAsia" w:ascii="宋体" w:hAnsi="宋体" w:eastAsia="宋体" w:cs="宋体"/>
          <w:b w:val="0"/>
          <w:bCs/>
          <w:snapToGrid/>
          <w:color w:val="auto"/>
          <w:kern w:val="2"/>
          <w:sz w:val="24"/>
          <w:szCs w:val="24"/>
          <w:highlight w:val="none"/>
          <w:lang w:val="en-US" w:eastAsia="zh-CN"/>
        </w:rPr>
        <w:t>、拟投入本项目的人员不少于</w:t>
      </w:r>
      <w:r>
        <w:rPr>
          <w:rFonts w:hint="eastAsia" w:ascii="宋体" w:hAnsi="宋体" w:cs="宋体"/>
          <w:b w:val="0"/>
          <w:bCs/>
          <w:snapToGrid/>
          <w:color w:val="auto"/>
          <w:kern w:val="2"/>
          <w:sz w:val="24"/>
          <w:szCs w:val="24"/>
          <w:highlight w:val="none"/>
          <w:lang w:val="en-US" w:eastAsia="zh-CN"/>
        </w:rPr>
        <w:t>10</w:t>
      </w:r>
      <w:r>
        <w:rPr>
          <w:rFonts w:hint="eastAsia" w:ascii="宋体" w:hAnsi="宋体" w:eastAsia="宋体" w:cs="宋体"/>
          <w:b w:val="0"/>
          <w:bCs/>
          <w:snapToGrid/>
          <w:color w:val="auto"/>
          <w:kern w:val="2"/>
          <w:sz w:val="24"/>
          <w:szCs w:val="24"/>
          <w:highlight w:val="none"/>
          <w:lang w:val="en-US" w:eastAsia="zh-CN"/>
        </w:rPr>
        <w:t>人。</w:t>
      </w:r>
    </w:p>
    <w:p>
      <w:pPr>
        <w:wordWrap/>
        <w:adjustRightInd w:val="0"/>
        <w:snapToGrid w:val="0"/>
        <w:spacing w:line="600" w:lineRule="exact"/>
        <w:ind w:firstLine="480" w:firstLineChars="200"/>
        <w:jc w:val="left"/>
        <w:outlineLvl w:val="0"/>
        <w:rPr>
          <w:rFonts w:hint="eastAsia" w:ascii="宋体" w:hAnsi="宋体" w:eastAsia="宋体" w:cs="宋体"/>
          <w:b w:val="0"/>
          <w:bCs/>
          <w:snapToGrid/>
          <w:color w:val="auto"/>
          <w:kern w:val="2"/>
          <w:sz w:val="24"/>
          <w:szCs w:val="24"/>
          <w:highlight w:val="none"/>
        </w:rPr>
      </w:pPr>
      <w:r>
        <w:rPr>
          <w:rFonts w:hint="eastAsia" w:ascii="宋体" w:hAnsi="宋体" w:eastAsia="宋体" w:cs="宋体"/>
          <w:b w:val="0"/>
          <w:bCs/>
          <w:snapToGrid/>
          <w:color w:val="auto"/>
          <w:kern w:val="2"/>
          <w:sz w:val="24"/>
          <w:szCs w:val="24"/>
          <w:highlight w:val="none"/>
          <w:lang w:val="en-US" w:eastAsia="zh-CN"/>
        </w:rPr>
        <w:t>7、</w:t>
      </w:r>
      <w:r>
        <w:rPr>
          <w:rFonts w:hint="eastAsia" w:ascii="宋体" w:hAnsi="宋体" w:eastAsia="宋体" w:cs="宋体"/>
          <w:b w:val="0"/>
          <w:bCs/>
          <w:snapToGrid/>
          <w:color w:val="auto"/>
          <w:kern w:val="2"/>
          <w:sz w:val="24"/>
          <w:szCs w:val="24"/>
          <w:highlight w:val="none"/>
        </w:rPr>
        <w:t>抢修工作主要内容为：</w:t>
      </w:r>
    </w:p>
    <w:p>
      <w:pPr>
        <w:wordWrap/>
        <w:adjustRightInd w:val="0"/>
        <w:snapToGrid w:val="0"/>
        <w:spacing w:line="600" w:lineRule="exact"/>
        <w:ind w:firstLine="480" w:firstLineChars="200"/>
        <w:jc w:val="left"/>
        <w:outlineLvl w:val="0"/>
        <w:rPr>
          <w:rFonts w:hint="eastAsia" w:ascii="宋体" w:hAnsi="宋体" w:eastAsia="宋体" w:cs="宋体"/>
          <w:b w:val="0"/>
          <w:bCs/>
          <w:snapToGrid/>
          <w:color w:val="auto"/>
          <w:kern w:val="2"/>
          <w:sz w:val="24"/>
          <w:szCs w:val="24"/>
          <w:highlight w:val="none"/>
        </w:rPr>
      </w:pPr>
      <w:r>
        <w:rPr>
          <w:rFonts w:hint="eastAsia" w:ascii="宋体" w:hAnsi="宋体" w:eastAsia="宋体" w:cs="宋体"/>
          <w:bCs/>
          <w:snapToGrid/>
          <w:color w:val="auto"/>
          <w:kern w:val="2"/>
          <w:sz w:val="24"/>
          <w:szCs w:val="24"/>
          <w:highlight w:val="none"/>
        </w:rPr>
        <w:t>中标人须设立7×24小时服务专用电话，接受采购人的维修指令，抢修各种原因引起的故障。接到抢修指令后，要求 5分钟响应，中标人规定时间内到达故障点位现场。</w:t>
      </w:r>
    </w:p>
    <w:p>
      <w:pPr>
        <w:wordWrap/>
        <w:adjustRightInd w:val="0"/>
        <w:snapToGrid w:val="0"/>
        <w:spacing w:line="600" w:lineRule="exact"/>
        <w:ind w:firstLine="480" w:firstLineChars="200"/>
        <w:jc w:val="left"/>
        <w:outlineLvl w:val="0"/>
        <w:rPr>
          <w:rFonts w:hint="eastAsia" w:ascii="宋体" w:hAnsi="宋体" w:eastAsia="宋体" w:cs="宋体"/>
          <w:b w:val="0"/>
          <w:bCs/>
          <w:snapToGrid/>
          <w:color w:val="auto"/>
          <w:kern w:val="2"/>
          <w:sz w:val="24"/>
          <w:szCs w:val="24"/>
          <w:highlight w:val="none"/>
        </w:rPr>
      </w:pPr>
      <w:r>
        <w:rPr>
          <w:rFonts w:hint="eastAsia" w:ascii="宋体" w:hAnsi="宋体" w:eastAsia="宋体" w:cs="宋体"/>
          <w:b w:val="0"/>
          <w:bCs/>
          <w:snapToGrid/>
          <w:color w:val="auto"/>
          <w:kern w:val="2"/>
          <w:sz w:val="24"/>
          <w:szCs w:val="24"/>
          <w:highlight w:val="none"/>
          <w:lang w:val="en-US" w:eastAsia="zh-CN"/>
        </w:rPr>
        <w:t>8、</w:t>
      </w:r>
      <w:r>
        <w:rPr>
          <w:rFonts w:hint="eastAsia" w:ascii="宋体" w:hAnsi="宋体" w:eastAsia="宋体" w:cs="宋体"/>
          <w:b w:val="0"/>
          <w:bCs/>
          <w:snapToGrid/>
          <w:color w:val="auto"/>
          <w:kern w:val="2"/>
          <w:sz w:val="24"/>
          <w:szCs w:val="24"/>
          <w:highlight w:val="none"/>
        </w:rPr>
        <w:t>调整、优化、改造工作内容为：</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bookmarkStart w:id="76" w:name="_Hlk509839108"/>
      <w:bookmarkStart w:id="77" w:name="_Hlk509839793"/>
      <w:r>
        <w:rPr>
          <w:rFonts w:hint="eastAsia" w:ascii="宋体" w:hAnsi="宋体" w:eastAsia="宋体" w:cs="宋体"/>
          <w:bCs/>
          <w:snapToGrid/>
          <w:color w:val="auto"/>
          <w:kern w:val="2"/>
          <w:sz w:val="24"/>
          <w:szCs w:val="24"/>
          <w:highlight w:val="none"/>
        </w:rPr>
        <w:t>采购人根据交通管理、重要保障任务以及事故撞毁恢复等工作需要，对系统的功能进行调整、优化和改造，包括外场设备的位置调整、配时优化、设备优化、事故撞毁恢复、</w:t>
      </w:r>
      <w:bookmarkStart w:id="78" w:name="_Hlk509481684"/>
      <w:r>
        <w:rPr>
          <w:rFonts w:hint="eastAsia" w:ascii="宋体" w:hAnsi="宋体" w:eastAsia="宋体" w:cs="宋体"/>
          <w:bCs/>
          <w:snapToGrid/>
          <w:color w:val="auto"/>
          <w:kern w:val="2"/>
          <w:sz w:val="24"/>
          <w:szCs w:val="24"/>
          <w:highlight w:val="none"/>
        </w:rPr>
        <w:t>重要保障任务临时拉线设点</w:t>
      </w:r>
      <w:bookmarkEnd w:id="78"/>
      <w:r>
        <w:rPr>
          <w:rFonts w:hint="eastAsia" w:ascii="宋体" w:hAnsi="宋体" w:eastAsia="宋体" w:cs="宋体"/>
          <w:bCs/>
          <w:snapToGrid/>
          <w:color w:val="auto"/>
          <w:kern w:val="2"/>
          <w:sz w:val="24"/>
          <w:szCs w:val="24"/>
          <w:highlight w:val="none"/>
        </w:rPr>
        <w:t>、移动信号灯更新等。</w:t>
      </w:r>
      <w:bookmarkEnd w:id="76"/>
    </w:p>
    <w:bookmarkEnd w:id="77"/>
    <w:p>
      <w:pPr>
        <w:wordWrap/>
        <w:adjustRightInd w:val="0"/>
        <w:snapToGrid w:val="0"/>
        <w:spacing w:line="600" w:lineRule="exact"/>
        <w:ind w:firstLine="480" w:firstLineChars="200"/>
        <w:jc w:val="left"/>
        <w:outlineLvl w:val="0"/>
        <w:rPr>
          <w:rFonts w:hint="eastAsia" w:ascii="宋体" w:hAnsi="宋体" w:eastAsia="宋体" w:cs="宋体"/>
          <w:b w:val="0"/>
          <w:bCs/>
          <w:snapToGrid/>
          <w:color w:val="auto"/>
          <w:kern w:val="2"/>
          <w:sz w:val="24"/>
          <w:szCs w:val="24"/>
          <w:highlight w:val="none"/>
        </w:rPr>
      </w:pPr>
      <w:r>
        <w:rPr>
          <w:rFonts w:hint="eastAsia" w:ascii="宋体" w:hAnsi="宋体" w:eastAsia="宋体" w:cs="宋体"/>
          <w:b w:val="0"/>
          <w:bCs/>
          <w:snapToGrid/>
          <w:color w:val="auto"/>
          <w:kern w:val="2"/>
          <w:sz w:val="24"/>
          <w:szCs w:val="24"/>
          <w:highlight w:val="none"/>
          <w:lang w:val="en-US" w:eastAsia="zh-CN"/>
        </w:rPr>
        <w:t>9、</w:t>
      </w:r>
      <w:r>
        <w:rPr>
          <w:rFonts w:hint="eastAsia" w:ascii="宋体" w:hAnsi="宋体" w:eastAsia="宋体" w:cs="宋体"/>
          <w:b w:val="0"/>
          <w:bCs/>
          <w:snapToGrid/>
          <w:color w:val="auto"/>
          <w:kern w:val="2"/>
          <w:sz w:val="24"/>
          <w:szCs w:val="24"/>
          <w:highlight w:val="none"/>
        </w:rPr>
        <w:t>其它内容：</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中标人做好</w:t>
      </w:r>
      <w:r>
        <w:rPr>
          <w:rFonts w:hint="eastAsia" w:ascii="宋体" w:hAnsi="宋体" w:eastAsia="宋体" w:cs="宋体"/>
          <w:bCs/>
          <w:snapToGrid/>
          <w:color w:val="auto"/>
          <w:kern w:val="2"/>
          <w:sz w:val="24"/>
          <w:szCs w:val="24"/>
          <w:highlight w:val="none"/>
          <w:lang w:val="en-US" w:eastAsia="zh-CN"/>
        </w:rPr>
        <w:t>业主</w:t>
      </w:r>
      <w:r>
        <w:rPr>
          <w:rFonts w:hint="eastAsia" w:ascii="宋体" w:hAnsi="宋体" w:eastAsia="宋体" w:cs="宋体"/>
          <w:bCs/>
          <w:snapToGrid/>
          <w:color w:val="auto"/>
          <w:kern w:val="2"/>
          <w:sz w:val="24"/>
          <w:szCs w:val="24"/>
          <w:highlight w:val="none"/>
        </w:rPr>
        <w:t>指派的针对本系统的其它工作，包括基础排查、系统接入、情况调查等。全力配合好</w:t>
      </w:r>
      <w:r>
        <w:rPr>
          <w:rFonts w:hint="eastAsia" w:ascii="宋体" w:hAnsi="宋体" w:eastAsia="宋体" w:cs="宋体"/>
          <w:bCs/>
          <w:snapToGrid/>
          <w:color w:val="auto"/>
          <w:kern w:val="2"/>
          <w:sz w:val="24"/>
          <w:szCs w:val="24"/>
          <w:highlight w:val="none"/>
          <w:lang w:val="en-US" w:eastAsia="zh-CN"/>
        </w:rPr>
        <w:t>业主</w:t>
      </w:r>
      <w:r>
        <w:rPr>
          <w:rFonts w:hint="eastAsia" w:ascii="宋体" w:hAnsi="宋体" w:eastAsia="宋体" w:cs="宋体"/>
          <w:bCs/>
          <w:snapToGrid/>
          <w:color w:val="auto"/>
          <w:kern w:val="2"/>
          <w:sz w:val="24"/>
          <w:szCs w:val="24"/>
          <w:highlight w:val="none"/>
        </w:rPr>
        <w:t>新建点位的接入和接入点位是否符合交警</w:t>
      </w:r>
      <w:r>
        <w:rPr>
          <w:rFonts w:hint="eastAsia" w:ascii="宋体" w:hAnsi="宋体" w:eastAsia="宋体" w:cs="宋体"/>
          <w:bCs/>
          <w:snapToGrid/>
          <w:color w:val="auto"/>
          <w:kern w:val="2"/>
          <w:sz w:val="24"/>
          <w:szCs w:val="24"/>
          <w:highlight w:val="none"/>
          <w:lang w:eastAsia="zh-CN"/>
        </w:rPr>
        <w:t>、</w:t>
      </w:r>
      <w:r>
        <w:rPr>
          <w:rFonts w:hint="eastAsia" w:ascii="宋体" w:hAnsi="宋体" w:eastAsia="宋体" w:cs="宋体"/>
          <w:bCs/>
          <w:snapToGrid/>
          <w:color w:val="auto"/>
          <w:kern w:val="2"/>
          <w:sz w:val="24"/>
          <w:szCs w:val="24"/>
          <w:highlight w:val="none"/>
          <w:lang w:val="en-US" w:eastAsia="zh-CN"/>
        </w:rPr>
        <w:t>业主</w:t>
      </w:r>
      <w:r>
        <w:rPr>
          <w:rFonts w:hint="eastAsia" w:ascii="宋体" w:hAnsi="宋体" w:eastAsia="宋体" w:cs="宋体"/>
          <w:bCs/>
          <w:snapToGrid/>
          <w:color w:val="auto"/>
          <w:kern w:val="2"/>
          <w:sz w:val="24"/>
          <w:szCs w:val="24"/>
          <w:highlight w:val="none"/>
        </w:rPr>
        <w:t>要求的检查工作。</w:t>
      </w:r>
    </w:p>
    <w:p>
      <w:pPr>
        <w:wordWrap/>
        <w:spacing w:line="600" w:lineRule="exact"/>
        <w:ind w:firstLine="480" w:firstLineChars="200"/>
        <w:jc w:val="left"/>
        <w:rPr>
          <w:rFonts w:hint="eastAsia" w:ascii="宋体" w:hAnsi="宋体" w:eastAsia="宋体" w:cs="宋体"/>
          <w:b w:val="0"/>
          <w:bCs/>
          <w:color w:val="auto"/>
          <w:sz w:val="24"/>
          <w:szCs w:val="24"/>
          <w:highlight w:val="none"/>
        </w:rPr>
      </w:pPr>
      <w:r>
        <w:rPr>
          <w:rFonts w:hint="eastAsia" w:ascii="宋体" w:hAnsi="宋体" w:eastAsia="宋体" w:cs="宋体"/>
          <w:b w:val="0"/>
          <w:bCs/>
          <w:snapToGrid/>
          <w:color w:val="auto"/>
          <w:kern w:val="2"/>
          <w:sz w:val="24"/>
          <w:szCs w:val="24"/>
          <w:highlight w:val="none"/>
          <w:lang w:eastAsia="zh-CN"/>
        </w:rPr>
        <w:t>（</w:t>
      </w:r>
      <w:r>
        <w:rPr>
          <w:rFonts w:hint="eastAsia" w:ascii="宋体" w:hAnsi="宋体" w:eastAsia="宋体" w:cs="宋体"/>
          <w:b w:val="0"/>
          <w:bCs/>
          <w:snapToGrid/>
          <w:color w:val="auto"/>
          <w:kern w:val="2"/>
          <w:sz w:val="24"/>
          <w:szCs w:val="24"/>
          <w:highlight w:val="none"/>
          <w:lang w:val="en-US" w:eastAsia="zh-CN"/>
        </w:rPr>
        <w:t>二）、</w:t>
      </w:r>
      <w:r>
        <w:rPr>
          <w:rFonts w:hint="eastAsia" w:ascii="宋体" w:hAnsi="宋体" w:eastAsia="宋体" w:cs="宋体"/>
          <w:b w:val="0"/>
          <w:bCs/>
          <w:color w:val="auto"/>
          <w:sz w:val="24"/>
          <w:szCs w:val="24"/>
          <w:highlight w:val="none"/>
          <w:lang w:val="en-US" w:eastAsia="zh-CN"/>
        </w:rPr>
        <w:t>服务的</w:t>
      </w:r>
      <w:r>
        <w:rPr>
          <w:rFonts w:hint="eastAsia" w:ascii="宋体" w:hAnsi="宋体" w:eastAsia="宋体" w:cs="宋体"/>
          <w:b w:val="0"/>
          <w:bCs/>
          <w:color w:val="auto"/>
          <w:sz w:val="24"/>
          <w:szCs w:val="24"/>
          <w:highlight w:val="none"/>
        </w:rPr>
        <w:t>职责、权限</w:t>
      </w:r>
    </w:p>
    <w:p>
      <w:pPr>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w:t>
      </w:r>
      <w:r>
        <w:rPr>
          <w:rFonts w:hint="eastAsia" w:ascii="宋体" w:hAnsi="宋体" w:eastAsia="宋体" w:cs="宋体"/>
          <w:bCs/>
          <w:color w:val="auto"/>
          <w:sz w:val="24"/>
          <w:szCs w:val="24"/>
          <w:highlight w:val="none"/>
        </w:rPr>
        <w:t>提供交通设施图并按有关技术规范进行施工，确保项目质量。</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rPr>
        <w:t>服从采购人、监理工作的进程安排，及时进场并保证工期。</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接到采购人更改通知时，按更改要求进行工程项目更改，并向监理报备。</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w:t>
      </w:r>
      <w:r>
        <w:rPr>
          <w:rFonts w:hint="eastAsia" w:ascii="宋体" w:hAnsi="宋体" w:eastAsia="宋体" w:cs="宋体"/>
          <w:bCs/>
          <w:color w:val="auto"/>
          <w:sz w:val="24"/>
          <w:szCs w:val="24"/>
          <w:highlight w:val="none"/>
        </w:rPr>
        <w:t xml:space="preserve">保证每日上路巡查交通安全设施，确保完好率达到98%以上，与去年同比数字城管抄送案卷稳中下降，并做好巡查记录，建立节假日及24小时值班制度。 </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w:t>
      </w:r>
      <w:r>
        <w:rPr>
          <w:rFonts w:hint="eastAsia" w:ascii="宋体" w:hAnsi="宋体" w:eastAsia="宋体" w:cs="宋体"/>
          <w:bCs/>
          <w:color w:val="auto"/>
          <w:sz w:val="24"/>
          <w:szCs w:val="24"/>
          <w:highlight w:val="none"/>
        </w:rPr>
        <w:t>应严格按本次招投标的规定要求履行并承担自己的职责。</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rPr>
        <w:t>按采购人审定的图纸要求、合同条款、技术规范和工程量清单和材料的要求，承担项目的施工、建成及其缺陷修复工作。</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7、</w:t>
      </w:r>
      <w:r>
        <w:rPr>
          <w:rFonts w:hint="eastAsia" w:ascii="宋体" w:hAnsi="宋体" w:eastAsia="宋体" w:cs="宋体"/>
          <w:bCs/>
          <w:color w:val="auto"/>
          <w:sz w:val="24"/>
          <w:szCs w:val="24"/>
          <w:highlight w:val="none"/>
        </w:rPr>
        <w:t>所使用的主要原材料均需要提供检测报告或质量保证单。</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8、</w:t>
      </w:r>
      <w:r>
        <w:rPr>
          <w:rFonts w:hint="eastAsia" w:ascii="宋体" w:hAnsi="宋体" w:eastAsia="宋体" w:cs="宋体"/>
          <w:bCs/>
          <w:color w:val="auto"/>
          <w:sz w:val="24"/>
          <w:szCs w:val="24"/>
          <w:highlight w:val="none"/>
        </w:rPr>
        <w:t>接受采购人的各项工作业务指导。</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9、</w:t>
      </w:r>
      <w:r>
        <w:rPr>
          <w:rFonts w:hint="eastAsia" w:ascii="宋体" w:hAnsi="宋体" w:eastAsia="宋体" w:cs="宋体"/>
          <w:bCs/>
          <w:color w:val="auto"/>
          <w:sz w:val="24"/>
          <w:szCs w:val="24"/>
          <w:highlight w:val="none"/>
        </w:rPr>
        <w:t>负责施工场地的安全文明生产。</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w:t>
      </w:r>
      <w:r>
        <w:rPr>
          <w:rFonts w:hint="eastAsia" w:ascii="宋体" w:hAnsi="宋体" w:eastAsia="宋体" w:cs="宋体"/>
          <w:bCs/>
          <w:color w:val="auto"/>
          <w:sz w:val="24"/>
          <w:szCs w:val="24"/>
          <w:highlight w:val="none"/>
        </w:rPr>
        <w:t>建立项目施工的质量保证体系。</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11、</w:t>
      </w:r>
      <w:r>
        <w:rPr>
          <w:rFonts w:hint="eastAsia" w:ascii="宋体" w:hAnsi="宋体" w:eastAsia="宋体" w:cs="宋体"/>
          <w:bCs/>
          <w:color w:val="auto"/>
          <w:sz w:val="24"/>
          <w:szCs w:val="24"/>
          <w:highlight w:val="none"/>
        </w:rPr>
        <w:t>负责交通安全设施施工场地、车辆、机械设备、原材料等施工保障。</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12、</w:t>
      </w:r>
      <w:r>
        <w:rPr>
          <w:rFonts w:hint="eastAsia" w:ascii="宋体" w:hAnsi="宋体" w:eastAsia="宋体" w:cs="宋体"/>
          <w:bCs/>
          <w:color w:val="auto"/>
          <w:sz w:val="24"/>
          <w:szCs w:val="24"/>
          <w:highlight w:val="none"/>
        </w:rPr>
        <w:t>每月向采购人上报当月的工作量、工作数据、工作小结等。</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13、</w:t>
      </w:r>
      <w:r>
        <w:rPr>
          <w:rFonts w:hint="eastAsia" w:ascii="宋体" w:hAnsi="宋体" w:eastAsia="宋体" w:cs="宋体"/>
          <w:bCs/>
          <w:color w:val="auto"/>
          <w:sz w:val="24"/>
          <w:szCs w:val="24"/>
          <w:highlight w:val="none"/>
        </w:rPr>
        <w:t>对</w:t>
      </w:r>
      <w:r>
        <w:rPr>
          <w:rFonts w:hint="eastAsia" w:ascii="宋体" w:hAnsi="宋体" w:eastAsia="宋体" w:cs="宋体"/>
          <w:bCs/>
          <w:color w:val="auto"/>
          <w:sz w:val="24"/>
          <w:szCs w:val="24"/>
          <w:highlight w:val="none"/>
          <w:lang w:val="en-US" w:eastAsia="zh-CN"/>
        </w:rPr>
        <w:t>辖区</w:t>
      </w:r>
      <w:r>
        <w:rPr>
          <w:rFonts w:hint="eastAsia" w:ascii="宋体" w:hAnsi="宋体" w:eastAsia="宋体" w:cs="宋体"/>
          <w:bCs/>
          <w:color w:val="auto"/>
          <w:sz w:val="24"/>
          <w:szCs w:val="24"/>
          <w:highlight w:val="none"/>
        </w:rPr>
        <w:t>内的交通安全设施无权自行增设与调整。</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14、</w:t>
      </w:r>
      <w:r>
        <w:rPr>
          <w:rFonts w:hint="eastAsia" w:ascii="宋体" w:hAnsi="宋体" w:eastAsia="宋体" w:cs="宋体"/>
          <w:bCs/>
          <w:color w:val="auto"/>
          <w:sz w:val="24"/>
          <w:szCs w:val="24"/>
          <w:highlight w:val="none"/>
        </w:rPr>
        <w:t xml:space="preserve">负责对其管辖范围所有设施检查、维护，发现不安全因素和隐患须及时排除，确保管辖范围的所有设施的正常安全使用。 </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15、</w:t>
      </w:r>
      <w:r>
        <w:rPr>
          <w:rFonts w:hint="eastAsia" w:ascii="宋体" w:hAnsi="宋体" w:eastAsia="宋体" w:cs="宋体"/>
          <w:bCs/>
          <w:color w:val="auto"/>
          <w:sz w:val="24"/>
          <w:szCs w:val="24"/>
          <w:highlight w:val="none"/>
        </w:rPr>
        <w:t>接受采购人、监理对文明施工、安全施工、质量、施工时效等的监管。</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16、</w:t>
      </w:r>
      <w:r>
        <w:rPr>
          <w:rFonts w:hint="eastAsia" w:ascii="宋体" w:hAnsi="宋体" w:eastAsia="宋体" w:cs="宋体"/>
          <w:bCs/>
          <w:color w:val="auto"/>
          <w:sz w:val="24"/>
          <w:szCs w:val="24"/>
          <w:highlight w:val="none"/>
        </w:rPr>
        <w:t>接受应急抢修任务，正常情况下三十分钟内到达现场处置。</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17、</w:t>
      </w:r>
      <w:r>
        <w:rPr>
          <w:rFonts w:hint="eastAsia" w:ascii="宋体" w:hAnsi="宋体" w:eastAsia="宋体" w:cs="宋体"/>
          <w:bCs/>
          <w:color w:val="auto"/>
          <w:sz w:val="24"/>
          <w:szCs w:val="24"/>
          <w:highlight w:val="none"/>
        </w:rPr>
        <w:t>及时反馈联系单。</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18、</w:t>
      </w:r>
      <w:r>
        <w:rPr>
          <w:rFonts w:hint="eastAsia" w:ascii="宋体" w:hAnsi="宋体" w:eastAsia="宋体" w:cs="宋体"/>
          <w:bCs/>
          <w:color w:val="auto"/>
          <w:sz w:val="24"/>
          <w:szCs w:val="24"/>
          <w:highlight w:val="none"/>
        </w:rPr>
        <w:t>负责中标辖区交通设施的安全检查，消除安全隐患。</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19、</w:t>
      </w:r>
      <w:r>
        <w:rPr>
          <w:rFonts w:hint="eastAsia" w:ascii="宋体" w:hAnsi="宋体" w:eastAsia="宋体" w:cs="宋体"/>
          <w:bCs/>
          <w:color w:val="auto"/>
          <w:sz w:val="24"/>
          <w:szCs w:val="24"/>
          <w:highlight w:val="none"/>
        </w:rPr>
        <w:t>维护费包括每日正常道路巡查、维护、2米以上的交通设施的保洁、中标区域内基础、标志、标杆、标牌的安全检查、设施排查、统计及登记造册，对存在安全隐患的设施提出书面建议及所有人工费、汽车台班费、施工占道费用等；</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20、</w:t>
      </w:r>
      <w:r>
        <w:rPr>
          <w:rFonts w:hint="eastAsia" w:ascii="宋体" w:hAnsi="宋体" w:eastAsia="宋体" w:cs="宋体"/>
          <w:bCs/>
          <w:color w:val="auto"/>
          <w:sz w:val="24"/>
          <w:szCs w:val="24"/>
          <w:highlight w:val="none"/>
        </w:rPr>
        <w:t>主要巡查、维护内容为：</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A、标志类：每日需车辆上路巡查、维护，标志牌的整修、拆除、移位、更换、信息内容纠错、设置纠错等；可变标志牌、待行区诱导显示屏、警示灯及其它电子设施的维护、整修、拆除、移位、更换（更换材料款另计）等；</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B、标线类：每日需上路检查交通标线不规范、缺失淡化或错误，标志、标线信息不一致、矛盾冲突等，及时做好维护、修复；复线施工必须重新放样，老线厚度超出标准需打磨处理尤其人行横道线两端。</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C、其它安全设施类：每日需车辆上路巡查、维护，保洁、护栏、隔离墩、警示桩、</w:t>
      </w:r>
      <w:r>
        <w:rPr>
          <w:rFonts w:hint="eastAsia" w:ascii="宋体" w:hAnsi="宋体" w:eastAsia="宋体" w:cs="宋体"/>
          <w:bCs/>
          <w:color w:val="auto"/>
          <w:sz w:val="24"/>
          <w:szCs w:val="24"/>
          <w:highlight w:val="none"/>
          <w:lang w:val="en-US" w:eastAsia="zh-CN"/>
        </w:rPr>
        <w:t>围档、围护、花箱、城市小品、</w:t>
      </w:r>
      <w:r>
        <w:rPr>
          <w:rFonts w:hint="eastAsia" w:ascii="宋体" w:hAnsi="宋体" w:eastAsia="宋体" w:cs="宋体"/>
          <w:bCs/>
          <w:color w:val="auto"/>
          <w:sz w:val="24"/>
          <w:szCs w:val="24"/>
          <w:highlight w:val="none"/>
        </w:rPr>
        <w:t>橡胶缓冲带的维护拆除、移位、更换等；</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D、安全检查。负责中标区域的交通杆件安全隐患排查，交通设施的安全性能进行检查，消除安全隐患，确保交通设施安全可靠。</w:t>
      </w:r>
    </w:p>
    <w:p>
      <w:pPr>
        <w:wordWrap/>
        <w:spacing w:line="600" w:lineRule="exact"/>
        <w:ind w:firstLine="600" w:firstLineChars="250"/>
        <w:jc w:val="left"/>
        <w:rPr>
          <w:rFonts w:hint="eastAsia" w:ascii="宋体" w:hAnsi="宋体" w:eastAsia="宋体" w:cs="宋体"/>
          <w:b w:val="0"/>
          <w:bCs/>
          <w:color w:val="auto"/>
          <w:sz w:val="24"/>
          <w:szCs w:val="24"/>
          <w:highlight w:val="none"/>
        </w:rPr>
      </w:pPr>
      <w:r>
        <w:rPr>
          <w:rFonts w:hint="eastAsia" w:ascii="宋体" w:hAnsi="宋体" w:eastAsia="宋体" w:cs="宋体"/>
          <w:bCs/>
          <w:color w:val="auto"/>
          <w:sz w:val="24"/>
          <w:szCs w:val="24"/>
          <w:highlight w:val="none"/>
        </w:rPr>
        <w:t>E、规范交通设施设置：对重复设置、擅自设置、妨碍安全、不符合规范设置的交通设施进行清理。</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21、</w:t>
      </w:r>
      <w:r>
        <w:rPr>
          <w:rFonts w:hint="eastAsia" w:ascii="宋体" w:hAnsi="宋体" w:eastAsia="宋体" w:cs="宋体"/>
          <w:bCs/>
          <w:color w:val="auto"/>
          <w:sz w:val="24"/>
          <w:szCs w:val="24"/>
          <w:highlight w:val="none"/>
        </w:rPr>
        <w:t>必须建立24小时值班制度，并配备相应的人员、车辆及必要的维护工具，接到采购人紧急抢修任务必须30分钟内至现场进行应急处置；</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22、</w:t>
      </w:r>
      <w:r>
        <w:rPr>
          <w:rFonts w:hint="eastAsia" w:ascii="宋体" w:hAnsi="宋体" w:eastAsia="宋体" w:cs="宋体"/>
          <w:bCs/>
          <w:color w:val="auto"/>
          <w:sz w:val="24"/>
          <w:szCs w:val="24"/>
          <w:highlight w:val="none"/>
        </w:rPr>
        <w:t>中标人只承担日常维护、抢修及采购人的施工许可的内容任务，中标人不得自行增设、调整各类交通安全设施，如发现上述情形采购人有权终止合同，并责令施工单位自行恢复。</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23、</w:t>
      </w:r>
      <w:r>
        <w:rPr>
          <w:rFonts w:hint="eastAsia" w:ascii="宋体" w:hAnsi="宋体" w:eastAsia="宋体" w:cs="宋体"/>
          <w:bCs/>
          <w:color w:val="auto"/>
          <w:sz w:val="24"/>
          <w:szCs w:val="24"/>
          <w:highlight w:val="none"/>
        </w:rPr>
        <w:t>采购人、监理在巡查过程中发现中标人在施工中不按国家有关标准设置，责令返工；</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24、</w:t>
      </w:r>
      <w:r>
        <w:rPr>
          <w:rFonts w:hint="eastAsia" w:ascii="宋体" w:hAnsi="宋体" w:eastAsia="宋体" w:cs="宋体"/>
          <w:bCs/>
          <w:color w:val="auto"/>
          <w:sz w:val="24"/>
          <w:szCs w:val="24"/>
          <w:highlight w:val="none"/>
        </w:rPr>
        <w:t>交通设施安装完成结束后由中标人提供完工清单，并经监理、采购人各级相关管理人员验收签字；</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25、</w:t>
      </w:r>
      <w:r>
        <w:rPr>
          <w:rFonts w:hint="eastAsia" w:ascii="宋体" w:hAnsi="宋体" w:eastAsia="宋体" w:cs="宋体"/>
          <w:bCs/>
          <w:color w:val="auto"/>
          <w:sz w:val="24"/>
          <w:szCs w:val="24"/>
          <w:highlight w:val="none"/>
        </w:rPr>
        <w:t>中标人有下列行为之一的，采购人有权终止合同。</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A、不符合工程技术标准的；</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B、偷工减料的；</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C、不按图施工的；</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D、造成重特大责任事故的；</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E、不文明安全施工的；</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F、未按规定申报擅自增设或变更交通安全设施的；</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26、</w:t>
      </w:r>
      <w:r>
        <w:rPr>
          <w:rFonts w:hint="eastAsia" w:ascii="宋体" w:hAnsi="宋体" w:eastAsia="宋体" w:cs="宋体"/>
          <w:bCs/>
          <w:color w:val="auto"/>
          <w:sz w:val="24"/>
          <w:szCs w:val="24"/>
          <w:highlight w:val="none"/>
        </w:rPr>
        <w:t>中标人在交通设施安装过程中应先制定完善的实施方案，自行办理道路挖掘手续的审批（含相关费用），尽可能减小因施工对道路通行带来的影响，施工时应服从现场交警的管理及指挥；</w:t>
      </w:r>
    </w:p>
    <w:p>
      <w:pPr>
        <w:wordWrap/>
        <w:snapToGrid/>
        <w:spacing w:line="600" w:lineRule="exact"/>
        <w:ind w:firstLine="600" w:firstLineChars="250"/>
        <w:jc w:val="left"/>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27、</w:t>
      </w:r>
      <w:r>
        <w:rPr>
          <w:rFonts w:hint="eastAsia" w:ascii="宋体" w:hAnsi="宋体" w:eastAsia="宋体" w:cs="宋体"/>
          <w:bCs/>
          <w:color w:val="auto"/>
          <w:sz w:val="24"/>
          <w:szCs w:val="24"/>
          <w:highlight w:val="none"/>
        </w:rPr>
        <w:t>中标人对抢修、维修、巡查不及时造成后果除进行赔偿外，并根据产生的</w:t>
      </w:r>
      <w:r>
        <w:rPr>
          <w:rFonts w:hint="eastAsia" w:ascii="宋体" w:hAnsi="宋体" w:eastAsia="宋体" w:cs="宋体"/>
          <w:bCs/>
          <w:color w:val="auto"/>
          <w:sz w:val="24"/>
          <w:szCs w:val="24"/>
          <w:highlight w:val="none"/>
          <w:lang w:val="en-US" w:eastAsia="zh-CN"/>
        </w:rPr>
        <w:t>后果作相应的处罚；</w:t>
      </w:r>
    </w:p>
    <w:p>
      <w:pPr>
        <w:spacing w:line="600" w:lineRule="exact"/>
        <w:ind w:firstLine="600" w:firstLineChars="250"/>
        <w:rPr>
          <w:rFonts w:hint="eastAsia" w:ascii="宋体" w:hAnsi="宋体" w:eastAsia="宋体" w:cs="宋体"/>
          <w:b/>
          <w:bCs w:val="0"/>
          <w:color w:val="auto"/>
          <w:kern w:val="0"/>
          <w:szCs w:val="28"/>
          <w:highlight w:val="none"/>
          <w:lang w:val="en-US" w:eastAsia="zh-CN"/>
        </w:rPr>
      </w:pPr>
      <w:r>
        <w:rPr>
          <w:rFonts w:hint="eastAsia" w:ascii="宋体" w:hAnsi="宋体" w:eastAsia="宋体" w:cs="宋体"/>
          <w:b w:val="0"/>
          <w:bCs/>
          <w:color w:val="auto"/>
          <w:kern w:val="2"/>
          <w:sz w:val="24"/>
          <w:szCs w:val="24"/>
          <w:highlight w:val="none"/>
          <w:lang w:val="en-US" w:eastAsia="zh-CN" w:bidi="ar-SA"/>
        </w:rPr>
        <w:t>28、采购人有权对维护实施的内容进行抽查检测。检测由采购人委托第三方专业机构。</w:t>
      </w:r>
    </w:p>
    <w:p>
      <w:pPr>
        <w:wordWrap/>
        <w:spacing w:line="600" w:lineRule="exact"/>
        <w:ind w:firstLine="0" w:firstLineChars="0"/>
        <w:jc w:val="left"/>
        <w:rPr>
          <w:rFonts w:hint="eastAsia" w:ascii="宋体" w:hAnsi="宋体" w:eastAsia="宋体" w:cs="宋体"/>
          <w:b/>
          <w:bCs w:val="0"/>
          <w:color w:val="auto"/>
          <w:sz w:val="24"/>
          <w:highlight w:val="none"/>
          <w:lang w:val="en-US" w:eastAsia="zh-CN"/>
        </w:rPr>
      </w:pPr>
      <w:r>
        <w:rPr>
          <w:rFonts w:hint="eastAsia" w:ascii="宋体" w:hAnsi="宋体" w:eastAsia="宋体" w:cs="宋体"/>
          <w:b/>
          <w:bCs w:val="0"/>
          <w:color w:val="auto"/>
          <w:sz w:val="24"/>
          <w:highlight w:val="none"/>
        </w:rPr>
        <w:t>●</w:t>
      </w:r>
      <w:r>
        <w:rPr>
          <w:rFonts w:hint="eastAsia" w:ascii="宋体" w:hAnsi="宋体" w:eastAsia="宋体" w:cs="宋体"/>
          <w:b/>
          <w:bCs w:val="0"/>
          <w:color w:val="auto"/>
          <w:sz w:val="24"/>
          <w:highlight w:val="none"/>
          <w:lang w:eastAsia="zh-CN"/>
        </w:rPr>
        <w:t>三</w:t>
      </w:r>
      <w:r>
        <w:rPr>
          <w:rFonts w:hint="eastAsia" w:ascii="宋体" w:hAnsi="宋体" w:eastAsia="宋体" w:cs="宋体"/>
          <w:b/>
          <w:bCs w:val="0"/>
          <w:color w:val="auto"/>
          <w:sz w:val="24"/>
          <w:highlight w:val="none"/>
          <w:lang w:val="en-US" w:eastAsia="zh-CN"/>
        </w:rPr>
        <w:t>、服务期限及范围</w:t>
      </w:r>
    </w:p>
    <w:p>
      <w:pPr>
        <w:wordWrap/>
        <w:spacing w:line="600" w:lineRule="exact"/>
        <w:ind w:firstLine="600" w:firstLineChars="250"/>
        <w:jc w:val="lef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1、服务期限：自合同生效之日起两年</w:t>
      </w:r>
      <w:r>
        <w:rPr>
          <w:rFonts w:hint="eastAsia" w:ascii="宋体" w:hAnsi="宋体" w:eastAsia="宋体" w:cs="宋体"/>
          <w:b w:val="0"/>
          <w:bCs/>
          <w:color w:val="auto"/>
          <w:sz w:val="24"/>
          <w:highlight w:val="none"/>
          <w:lang w:eastAsia="zh-CN"/>
        </w:rPr>
        <w:t>（中标后累计合同金额不得超过</w:t>
      </w:r>
      <w:r>
        <w:rPr>
          <w:rFonts w:hint="eastAsia" w:ascii="宋体" w:hAnsi="宋体" w:eastAsia="宋体" w:cs="宋体"/>
          <w:b w:val="0"/>
          <w:bCs/>
          <w:color w:val="auto"/>
          <w:sz w:val="24"/>
          <w:highlight w:val="none"/>
          <w:lang w:val="en-US" w:eastAsia="zh-CN"/>
        </w:rPr>
        <w:t>1000</w:t>
      </w:r>
      <w:r>
        <w:rPr>
          <w:rFonts w:hint="eastAsia" w:ascii="宋体" w:hAnsi="宋体" w:eastAsia="宋体" w:cs="宋体"/>
          <w:b w:val="0"/>
          <w:bCs/>
          <w:color w:val="auto"/>
          <w:sz w:val="24"/>
          <w:highlight w:val="none"/>
          <w:lang w:eastAsia="zh-CN"/>
        </w:rPr>
        <w:t>万元）</w:t>
      </w:r>
    </w:p>
    <w:p>
      <w:pPr>
        <w:wordWrap/>
        <w:spacing w:line="600" w:lineRule="exact"/>
        <w:ind w:firstLine="600" w:firstLineChars="250"/>
        <w:jc w:val="left"/>
        <w:rPr>
          <w:rFonts w:hint="eastAsia" w:ascii="宋体" w:hAnsi="宋体" w:eastAsia="宋体" w:cs="宋体"/>
          <w:b w:val="0"/>
          <w:bCs/>
          <w:color w:val="auto"/>
          <w:sz w:val="24"/>
          <w:highlight w:val="none"/>
        </w:rPr>
      </w:pPr>
      <w:r>
        <w:rPr>
          <w:rFonts w:hint="eastAsia" w:ascii="宋体" w:hAnsi="宋体" w:eastAsia="宋体" w:cs="宋体"/>
          <w:bCs/>
          <w:color w:val="auto"/>
          <w:sz w:val="24"/>
          <w:highlight w:val="none"/>
        </w:rPr>
        <w:t>2、服务</w:t>
      </w:r>
      <w:r>
        <w:rPr>
          <w:rFonts w:hint="eastAsia" w:ascii="宋体" w:hAnsi="宋体" w:eastAsia="宋体" w:cs="宋体"/>
          <w:bCs/>
          <w:color w:val="auto"/>
          <w:sz w:val="24"/>
          <w:highlight w:val="none"/>
          <w:lang w:val="en-US" w:eastAsia="zh-CN"/>
        </w:rPr>
        <w:t>范围</w:t>
      </w:r>
      <w:r>
        <w:rPr>
          <w:rFonts w:hint="eastAsia" w:ascii="宋体" w:hAnsi="宋体" w:eastAsia="宋体" w:cs="宋体"/>
          <w:bCs/>
          <w:color w:val="auto"/>
          <w:sz w:val="24"/>
          <w:highlight w:val="none"/>
        </w:rPr>
        <w:t>：杭州市余杭区人民政府</w:t>
      </w:r>
      <w:r>
        <w:rPr>
          <w:rFonts w:hint="eastAsia" w:ascii="宋体" w:hAnsi="宋体" w:eastAsia="宋体" w:cs="宋体"/>
          <w:bCs/>
          <w:color w:val="auto"/>
          <w:sz w:val="24"/>
          <w:highlight w:val="none"/>
          <w:lang w:val="en-US" w:eastAsia="zh-CN"/>
        </w:rPr>
        <w:t>余杭</w:t>
      </w:r>
      <w:r>
        <w:rPr>
          <w:rFonts w:hint="eastAsia" w:ascii="宋体" w:hAnsi="宋体" w:eastAsia="宋体" w:cs="宋体"/>
          <w:bCs/>
          <w:color w:val="auto"/>
          <w:sz w:val="24"/>
          <w:highlight w:val="none"/>
        </w:rPr>
        <w:t>街道</w:t>
      </w:r>
      <w:r>
        <w:rPr>
          <w:rFonts w:hint="eastAsia" w:ascii="宋体" w:hAnsi="宋体" w:eastAsia="宋体" w:cs="宋体"/>
          <w:bCs/>
          <w:color w:val="auto"/>
          <w:sz w:val="24"/>
          <w:highlight w:val="none"/>
          <w:lang w:val="en-US" w:eastAsia="zh-CN"/>
        </w:rPr>
        <w:t>范围内城区道路</w:t>
      </w:r>
      <w:r>
        <w:rPr>
          <w:rFonts w:hint="eastAsia" w:ascii="宋体" w:hAnsi="宋体" w:eastAsia="宋体" w:cs="宋体"/>
          <w:bCs/>
          <w:color w:val="auto"/>
          <w:sz w:val="24"/>
          <w:highlight w:val="none"/>
        </w:rPr>
        <w:t>；</w:t>
      </w:r>
    </w:p>
    <w:p>
      <w:pPr>
        <w:wordWrap/>
        <w:spacing w:line="600" w:lineRule="exact"/>
        <w:ind w:firstLine="0" w:firstLineChars="0"/>
        <w:rPr>
          <w:rFonts w:hint="eastAsia" w:ascii="宋体" w:hAnsi="宋体" w:eastAsia="宋体" w:cs="宋体"/>
          <w:b/>
          <w:bCs w:val="0"/>
          <w:color w:val="auto"/>
          <w:sz w:val="24"/>
          <w:highlight w:val="none"/>
        </w:rPr>
      </w:pPr>
      <w:r>
        <w:rPr>
          <w:rFonts w:hint="eastAsia" w:ascii="宋体" w:hAnsi="宋体" w:eastAsia="宋体" w:cs="宋体"/>
          <w:b/>
          <w:bCs w:val="0"/>
          <w:color w:val="auto"/>
          <w:sz w:val="24"/>
          <w:highlight w:val="none"/>
        </w:rPr>
        <w:t>●</w:t>
      </w:r>
      <w:r>
        <w:rPr>
          <w:rFonts w:hint="eastAsia" w:ascii="宋体" w:hAnsi="宋体" w:eastAsia="宋体" w:cs="宋体"/>
          <w:b/>
          <w:bCs w:val="0"/>
          <w:color w:val="auto"/>
          <w:sz w:val="24"/>
          <w:highlight w:val="none"/>
          <w:lang w:val="en-US" w:eastAsia="zh-CN"/>
        </w:rPr>
        <w:t>四</w:t>
      </w:r>
      <w:r>
        <w:rPr>
          <w:rFonts w:hint="eastAsia" w:ascii="宋体" w:hAnsi="宋体" w:eastAsia="宋体" w:cs="宋体"/>
          <w:b/>
          <w:bCs w:val="0"/>
          <w:color w:val="auto"/>
          <w:sz w:val="24"/>
          <w:highlight w:val="none"/>
        </w:rPr>
        <w:t>、</w:t>
      </w:r>
      <w:r>
        <w:rPr>
          <w:rFonts w:hint="eastAsia" w:ascii="宋体" w:hAnsi="宋体" w:eastAsia="宋体" w:cs="宋体"/>
          <w:b/>
          <w:bCs w:val="0"/>
          <w:color w:val="auto"/>
          <w:sz w:val="24"/>
          <w:highlight w:val="none"/>
          <w:lang w:eastAsia="zh-CN"/>
        </w:rPr>
        <w:t>交通设施零星</w:t>
      </w:r>
      <w:r>
        <w:rPr>
          <w:rFonts w:hint="eastAsia" w:ascii="宋体" w:hAnsi="宋体" w:eastAsia="宋体" w:cs="宋体"/>
          <w:b/>
          <w:bCs w:val="0"/>
          <w:snapToGrid/>
          <w:color w:val="auto"/>
          <w:kern w:val="2"/>
          <w:sz w:val="24"/>
          <w:highlight w:val="none"/>
        </w:rPr>
        <w:t>工程价款结算：</w:t>
      </w:r>
    </w:p>
    <w:p>
      <w:pPr>
        <w:wordWrap/>
        <w:snapToGrid w:val="0"/>
        <w:spacing w:line="600" w:lineRule="exact"/>
        <w:ind w:firstLine="480" w:firstLineChars="200"/>
        <w:rPr>
          <w:rFonts w:hint="eastAsia" w:ascii="宋体" w:hAnsi="宋体" w:eastAsia="宋体" w:cs="宋体"/>
          <w:bCs/>
          <w:snapToGrid/>
          <w:color w:val="auto"/>
          <w:kern w:val="2"/>
          <w:sz w:val="24"/>
          <w:highlight w:val="none"/>
        </w:rPr>
      </w:pPr>
      <w:r>
        <w:rPr>
          <w:rFonts w:hint="eastAsia" w:ascii="宋体" w:hAnsi="宋体" w:eastAsia="宋体" w:cs="宋体"/>
          <w:bCs/>
          <w:snapToGrid/>
          <w:color w:val="auto"/>
          <w:kern w:val="2"/>
          <w:sz w:val="24"/>
          <w:highlight w:val="none"/>
          <w:lang w:val="en-US" w:eastAsia="zh-CN"/>
        </w:rPr>
        <w:t>1、</w:t>
      </w:r>
      <w:r>
        <w:rPr>
          <w:rFonts w:hint="eastAsia" w:ascii="宋体" w:hAnsi="宋体" w:eastAsia="宋体" w:cs="宋体"/>
          <w:bCs/>
          <w:snapToGrid/>
          <w:color w:val="auto"/>
          <w:kern w:val="2"/>
          <w:sz w:val="24"/>
          <w:highlight w:val="none"/>
        </w:rPr>
        <w:t>结算方式：工程量按实计算，本工程基价套用《浙江省市政设施养护维修定额》（2018版）相应定额子目、如《浙江省市政设施养护维修定额》（2018版）无相应定额子目的可套用《浙江省市政工程预算定额（2018版）》相应定额子目，相应取费按《浙江省建设工程计价规则》2018版，</w:t>
      </w:r>
      <w:r>
        <w:rPr>
          <w:rFonts w:hint="eastAsia" w:ascii="宋体" w:hAnsi="宋体" w:eastAsia="宋体" w:cs="宋体"/>
          <w:bCs/>
          <w:snapToGrid/>
          <w:color w:val="auto"/>
          <w:kern w:val="2"/>
          <w:sz w:val="24"/>
          <w:highlight w:val="none"/>
          <w:lang w:val="en-US" w:eastAsia="zh-CN"/>
        </w:rPr>
        <w:t>套用</w:t>
      </w:r>
      <w:r>
        <w:rPr>
          <w:rFonts w:hint="eastAsia" w:ascii="宋体" w:hAnsi="宋体" w:eastAsia="宋体" w:cs="宋体"/>
          <w:bCs/>
          <w:snapToGrid/>
          <w:color w:val="auto"/>
          <w:kern w:val="2"/>
          <w:sz w:val="24"/>
          <w:highlight w:val="none"/>
        </w:rPr>
        <w:t>定额</w:t>
      </w:r>
      <w:r>
        <w:rPr>
          <w:rFonts w:hint="eastAsia" w:ascii="宋体" w:hAnsi="宋体" w:eastAsia="宋体" w:cs="宋体"/>
          <w:bCs/>
          <w:snapToGrid/>
          <w:color w:val="auto"/>
          <w:kern w:val="2"/>
          <w:sz w:val="24"/>
          <w:highlight w:val="none"/>
          <w:lang w:val="en-US" w:eastAsia="zh-CN"/>
        </w:rPr>
        <w:t>子目的</w:t>
      </w:r>
      <w:r>
        <w:rPr>
          <w:rFonts w:hint="eastAsia" w:ascii="宋体" w:hAnsi="宋体" w:eastAsia="宋体" w:cs="宋体"/>
          <w:bCs/>
          <w:snapToGrid/>
          <w:color w:val="auto"/>
          <w:kern w:val="2"/>
          <w:sz w:val="24"/>
          <w:highlight w:val="none"/>
        </w:rPr>
        <w:t>结算价=基价*投标报价（%）*实际工程量。2、无定额价的</w:t>
      </w:r>
      <w:r>
        <w:rPr>
          <w:rFonts w:hint="eastAsia" w:ascii="宋体" w:hAnsi="宋体" w:eastAsia="宋体" w:cs="宋体"/>
          <w:bCs/>
          <w:snapToGrid/>
          <w:color w:val="auto"/>
          <w:kern w:val="2"/>
          <w:sz w:val="24"/>
          <w:highlight w:val="none"/>
          <w:lang w:val="en-US" w:eastAsia="zh-CN"/>
        </w:rPr>
        <w:t>子目</w:t>
      </w:r>
      <w:r>
        <w:rPr>
          <w:rFonts w:hint="eastAsia" w:ascii="宋体" w:hAnsi="宋体" w:eastAsia="宋体" w:cs="宋体"/>
          <w:bCs/>
          <w:snapToGrid/>
          <w:color w:val="auto"/>
          <w:kern w:val="2"/>
          <w:sz w:val="24"/>
          <w:highlight w:val="none"/>
        </w:rPr>
        <w:t>：结算按浙江省造价信息当年当月信息价下浮15%结算。3、没有造价信息的，按市场价下浮20%结算。</w:t>
      </w:r>
    </w:p>
    <w:p>
      <w:pPr>
        <w:wordWrap/>
        <w:snapToGrid w:val="0"/>
        <w:spacing w:line="600" w:lineRule="exact"/>
        <w:ind w:firstLine="480" w:firstLineChars="200"/>
        <w:rPr>
          <w:rFonts w:hint="eastAsia" w:ascii="宋体" w:hAnsi="宋体" w:eastAsia="宋体" w:cs="宋体"/>
          <w:bCs/>
          <w:snapToGrid/>
          <w:color w:val="auto"/>
          <w:kern w:val="2"/>
          <w:sz w:val="24"/>
          <w:highlight w:val="none"/>
        </w:rPr>
      </w:pPr>
      <w:r>
        <w:rPr>
          <w:rFonts w:hint="eastAsia" w:ascii="宋体" w:hAnsi="宋体" w:eastAsia="宋体" w:cs="宋体"/>
          <w:b w:val="0"/>
          <w:bCs/>
          <w:snapToGrid/>
          <w:color w:val="auto"/>
          <w:kern w:val="2"/>
          <w:sz w:val="24"/>
          <w:highlight w:val="none"/>
          <w:lang w:val="en-US" w:eastAsia="zh-CN"/>
        </w:rPr>
        <w:t>2、</w:t>
      </w:r>
      <w:r>
        <w:rPr>
          <w:rFonts w:hint="eastAsia" w:ascii="宋体" w:hAnsi="宋体" w:eastAsia="宋体" w:cs="宋体"/>
          <w:bCs/>
          <w:snapToGrid/>
          <w:color w:val="auto"/>
          <w:kern w:val="2"/>
          <w:sz w:val="24"/>
          <w:highlight w:val="none"/>
        </w:rPr>
        <w:t>工程量及工程价款结算最终以审计部门的审计结果为准；除按上级规定应由施工单位承担的审计费用外，审计核减资金占送审结算造价的5%之内，施工单位不承担核减额的10%上交款，超过5%以上部分的核减资金按10%上交街道财政所，审计费及审计核减额的10%上缴款由承包人承担。</w:t>
      </w:r>
    </w:p>
    <w:p>
      <w:pPr>
        <w:numPr>
          <w:ilvl w:val="0"/>
          <w:numId w:val="8"/>
        </w:numPr>
        <w:wordWrap/>
        <w:spacing w:line="600" w:lineRule="exact"/>
        <w:ind w:left="150" w:leftChars="0" w:firstLine="480" w:firstLineChars="0"/>
        <w:rPr>
          <w:rFonts w:hint="eastAsia" w:ascii="宋体" w:hAnsi="宋体" w:eastAsia="宋体" w:cs="宋体"/>
          <w:bCs/>
          <w:color w:val="auto"/>
          <w:sz w:val="24"/>
          <w:highlight w:val="none"/>
        </w:rPr>
      </w:pPr>
      <w:r>
        <w:rPr>
          <w:rFonts w:hint="eastAsia" w:ascii="宋体" w:hAnsi="宋体" w:eastAsia="宋体" w:cs="宋体"/>
          <w:bCs/>
          <w:snapToGrid/>
          <w:color w:val="auto"/>
          <w:kern w:val="2"/>
          <w:sz w:val="24"/>
          <w:szCs w:val="24"/>
          <w:highlight w:val="none"/>
          <w:lang w:val="en-US" w:eastAsia="zh-CN"/>
        </w:rPr>
        <w:t>当月完成的项目（工程），需在次月进行结算送审，否则不予结算。</w:t>
      </w:r>
    </w:p>
    <w:p>
      <w:pPr>
        <w:wordWrap/>
        <w:spacing w:line="600" w:lineRule="exact"/>
        <w:rPr>
          <w:rFonts w:hint="eastAsia" w:ascii="宋体" w:hAnsi="宋体" w:eastAsia="宋体" w:cs="宋体"/>
          <w:b/>
          <w:bCs w:val="0"/>
          <w:color w:val="auto"/>
          <w:sz w:val="24"/>
          <w:highlight w:val="none"/>
        </w:rPr>
      </w:pPr>
      <w:r>
        <w:rPr>
          <w:rFonts w:hint="eastAsia" w:ascii="宋体" w:hAnsi="宋体" w:eastAsia="宋体" w:cs="宋体"/>
          <w:b/>
          <w:bCs w:val="0"/>
          <w:color w:val="auto"/>
          <w:sz w:val="24"/>
          <w:highlight w:val="none"/>
        </w:rPr>
        <w:t>●</w:t>
      </w:r>
      <w:r>
        <w:rPr>
          <w:rFonts w:hint="eastAsia" w:ascii="宋体" w:hAnsi="宋体" w:eastAsia="宋体" w:cs="宋体"/>
          <w:b/>
          <w:bCs w:val="0"/>
          <w:color w:val="auto"/>
          <w:sz w:val="24"/>
          <w:highlight w:val="none"/>
          <w:lang w:val="en-US" w:eastAsia="zh-CN"/>
        </w:rPr>
        <w:t>五</w:t>
      </w:r>
      <w:r>
        <w:rPr>
          <w:rFonts w:hint="eastAsia" w:ascii="宋体" w:hAnsi="宋体" w:eastAsia="宋体" w:cs="宋体"/>
          <w:b/>
          <w:bCs w:val="0"/>
          <w:color w:val="auto"/>
          <w:sz w:val="24"/>
          <w:highlight w:val="none"/>
        </w:rPr>
        <w:t>、</w:t>
      </w:r>
      <w:r>
        <w:rPr>
          <w:rFonts w:hint="eastAsia" w:ascii="宋体" w:hAnsi="宋体" w:eastAsia="宋体" w:cs="宋体"/>
          <w:b/>
          <w:bCs w:val="0"/>
          <w:color w:val="auto"/>
          <w:sz w:val="24"/>
          <w:highlight w:val="none"/>
          <w:lang w:val="en-US" w:eastAsia="zh-CN"/>
        </w:rPr>
        <w:t>其他</w:t>
      </w:r>
      <w:r>
        <w:rPr>
          <w:rFonts w:hint="eastAsia" w:ascii="宋体" w:hAnsi="宋体" w:eastAsia="宋体" w:cs="宋体"/>
          <w:b/>
          <w:bCs w:val="0"/>
          <w:color w:val="auto"/>
          <w:sz w:val="24"/>
          <w:highlight w:val="none"/>
        </w:rPr>
        <w:t>要求：</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1、设施必须是符合GB5768-2009等标准的合格产品。</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2、包装应符合国家标准，以保证设备在运输过程中不受损伤，由于包装不当造成设施在运输过程中有任何损坏或丢失，由中标单位负责。</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3、设施由中标单位负责送到施工现场，由中标单位负责运输、卸车。</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4、设施到达现场，采购人、中标单位双方均须在场并确认包装的完好性后，由采购人验货。中标单位应按采购人安排的时间派人到现场，配合采购人完成对货物进行清点验收，双方签字确认。若发现货物与装箱单不符，中标单位负责补齐或收回。如中标单位不能按时到达，采购人有权开箱检验，并对缺件，损坏做出记录，中标单位应认可并负责解决。</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5、中标单位负责设施安装及调试，直至设施正常运行或使用。</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6、中标单位应自带用以安装、调试过程中所需的各种工具、仪器仪表及易损件。</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7、所供货物不会侵犯任何第三方知识产权。</w:t>
      </w:r>
    </w:p>
    <w:p>
      <w:pPr>
        <w:wordWrap/>
        <w:spacing w:line="600" w:lineRule="exact"/>
        <w:ind w:firstLine="470" w:firstLineChars="196"/>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8、施工必须按照现行国家标准执行。</w:t>
      </w:r>
    </w:p>
    <w:p>
      <w:pPr>
        <w:wordWrap/>
        <w:spacing w:line="600" w:lineRule="exact"/>
        <w:rPr>
          <w:rFonts w:hint="eastAsia" w:ascii="宋体" w:hAnsi="宋体" w:eastAsia="宋体" w:cs="宋体"/>
          <w:b/>
          <w:bCs w:val="0"/>
          <w:color w:val="auto"/>
          <w:sz w:val="24"/>
          <w:highlight w:val="none"/>
        </w:rPr>
      </w:pPr>
      <w:r>
        <w:rPr>
          <w:rFonts w:hint="eastAsia" w:ascii="宋体" w:hAnsi="宋体" w:eastAsia="宋体" w:cs="宋体"/>
          <w:b/>
          <w:bCs w:val="0"/>
          <w:color w:val="auto"/>
          <w:sz w:val="24"/>
          <w:highlight w:val="none"/>
        </w:rPr>
        <w:t>●</w:t>
      </w:r>
      <w:r>
        <w:rPr>
          <w:rFonts w:hint="eastAsia" w:ascii="宋体" w:hAnsi="宋体" w:eastAsia="宋体" w:cs="宋体"/>
          <w:b/>
          <w:bCs w:val="0"/>
          <w:color w:val="auto"/>
          <w:sz w:val="24"/>
          <w:highlight w:val="none"/>
          <w:lang w:val="en-US" w:eastAsia="zh-CN"/>
        </w:rPr>
        <w:t>六</w:t>
      </w:r>
      <w:r>
        <w:rPr>
          <w:rFonts w:hint="eastAsia" w:ascii="宋体" w:hAnsi="宋体" w:eastAsia="宋体" w:cs="宋体"/>
          <w:b/>
          <w:bCs w:val="0"/>
          <w:color w:val="auto"/>
          <w:sz w:val="24"/>
          <w:highlight w:val="none"/>
        </w:rPr>
        <w:t>、履约保证金的缴纳和退付：</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1</w:t>
      </w:r>
      <w:r>
        <w:rPr>
          <w:rFonts w:hint="eastAsia" w:ascii="宋体" w:hAnsi="宋体" w:eastAsia="宋体" w:cs="宋体"/>
          <w:bCs/>
          <w:snapToGrid/>
          <w:color w:val="auto"/>
          <w:kern w:val="2"/>
          <w:sz w:val="24"/>
          <w:szCs w:val="24"/>
          <w:highlight w:val="none"/>
          <w:lang w:val="en-US" w:eastAsia="zh-CN"/>
        </w:rPr>
        <w:t>、</w:t>
      </w:r>
      <w:r>
        <w:rPr>
          <w:rFonts w:hint="eastAsia" w:ascii="宋体" w:hAnsi="宋体" w:eastAsia="宋体" w:cs="宋体"/>
          <w:bCs/>
          <w:snapToGrid/>
          <w:color w:val="auto"/>
          <w:kern w:val="2"/>
          <w:sz w:val="24"/>
          <w:szCs w:val="24"/>
          <w:highlight w:val="none"/>
        </w:rPr>
        <w:t>中标人在签订作业合同时需向招标人提交</w:t>
      </w:r>
      <w:r>
        <w:rPr>
          <w:rFonts w:hint="eastAsia" w:ascii="宋体" w:hAnsi="宋体" w:eastAsia="宋体" w:cs="宋体"/>
          <w:bCs/>
          <w:snapToGrid/>
          <w:color w:val="auto"/>
          <w:kern w:val="2"/>
          <w:sz w:val="24"/>
          <w:szCs w:val="24"/>
          <w:highlight w:val="none"/>
          <w:lang w:val="en-US" w:eastAsia="zh-CN"/>
        </w:rPr>
        <w:t>20</w:t>
      </w:r>
      <w:r>
        <w:rPr>
          <w:rFonts w:hint="eastAsia" w:ascii="宋体" w:hAnsi="宋体" w:eastAsia="宋体" w:cs="宋体"/>
          <w:bCs/>
          <w:snapToGrid/>
          <w:color w:val="auto"/>
          <w:kern w:val="2"/>
          <w:sz w:val="24"/>
          <w:szCs w:val="24"/>
          <w:highlight w:val="none"/>
        </w:rPr>
        <w:t>万元合同履约保证金；在承包期满后三十天内退还（无息）。如承包期内，中标人没按要求履行合同则保证金不予归还。</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lang w:eastAsia="zh-CN"/>
        </w:rPr>
      </w:pPr>
      <w:r>
        <w:rPr>
          <w:rFonts w:hint="eastAsia" w:ascii="宋体" w:hAnsi="宋体" w:eastAsia="宋体" w:cs="宋体"/>
          <w:bCs/>
          <w:snapToGrid/>
          <w:color w:val="auto"/>
          <w:kern w:val="2"/>
          <w:sz w:val="24"/>
          <w:szCs w:val="24"/>
          <w:highlight w:val="none"/>
        </w:rPr>
        <w:t>2</w:t>
      </w:r>
      <w:r>
        <w:rPr>
          <w:rFonts w:hint="eastAsia" w:ascii="宋体" w:hAnsi="宋体" w:eastAsia="宋体" w:cs="宋体"/>
          <w:bCs/>
          <w:snapToGrid/>
          <w:color w:val="auto"/>
          <w:kern w:val="2"/>
          <w:sz w:val="24"/>
          <w:szCs w:val="24"/>
          <w:highlight w:val="none"/>
          <w:lang w:eastAsia="zh-CN"/>
        </w:rPr>
        <w:t>、</w:t>
      </w:r>
      <w:r>
        <w:rPr>
          <w:rFonts w:hint="eastAsia" w:ascii="宋体" w:hAnsi="宋体" w:eastAsia="宋体" w:cs="宋体"/>
          <w:bCs/>
          <w:snapToGrid/>
          <w:color w:val="auto"/>
          <w:kern w:val="2"/>
          <w:sz w:val="24"/>
          <w:szCs w:val="24"/>
          <w:highlight w:val="none"/>
        </w:rPr>
        <w:t>在承包期内如因承包人原因造成招标人财产损失的，招标人有权酌情扣去履约保证金</w:t>
      </w:r>
      <w:r>
        <w:rPr>
          <w:rFonts w:hint="eastAsia" w:ascii="宋体" w:hAnsi="宋体" w:eastAsia="宋体" w:cs="宋体"/>
          <w:bCs/>
          <w:snapToGrid/>
          <w:color w:val="auto"/>
          <w:kern w:val="2"/>
          <w:sz w:val="24"/>
          <w:szCs w:val="24"/>
          <w:highlight w:val="none"/>
          <w:lang w:eastAsia="zh-CN"/>
        </w:rPr>
        <w:t>。</w:t>
      </w:r>
    </w:p>
    <w:p>
      <w:pPr>
        <w:wordWrap/>
        <w:snapToGrid w:val="0"/>
        <w:spacing w:line="600" w:lineRule="exact"/>
        <w:ind w:firstLine="0" w:firstLineChars="0"/>
        <w:rPr>
          <w:rFonts w:hint="eastAsia" w:ascii="宋体" w:hAnsi="宋体" w:eastAsia="宋体" w:cs="宋体"/>
          <w:b w:val="0"/>
          <w:bCs/>
          <w:snapToGrid/>
          <w:color w:val="auto"/>
          <w:kern w:val="2"/>
          <w:sz w:val="24"/>
          <w:highlight w:val="none"/>
        </w:rPr>
      </w:pPr>
      <w:r>
        <w:rPr>
          <w:rFonts w:hint="eastAsia" w:ascii="宋体" w:hAnsi="宋体" w:eastAsia="宋体" w:cs="宋体"/>
          <w:b/>
          <w:bCs w:val="0"/>
          <w:snapToGrid/>
          <w:color w:val="auto"/>
          <w:kern w:val="2"/>
          <w:sz w:val="24"/>
          <w:szCs w:val="24"/>
          <w:highlight w:val="none"/>
          <w:lang w:val="en-US" w:eastAsia="zh-CN"/>
        </w:rPr>
        <w:t>七、</w:t>
      </w:r>
      <w:r>
        <w:rPr>
          <w:rFonts w:hint="eastAsia" w:ascii="宋体" w:hAnsi="宋体" w:eastAsia="宋体" w:cs="宋体"/>
          <w:b/>
          <w:bCs w:val="0"/>
          <w:snapToGrid/>
          <w:color w:val="auto"/>
          <w:kern w:val="2"/>
          <w:sz w:val="24"/>
          <w:highlight w:val="none"/>
        </w:rPr>
        <w:t>付款方式：</w:t>
      </w:r>
    </w:p>
    <w:p>
      <w:pPr>
        <w:wordWrap/>
        <w:snapToGrid w:val="0"/>
        <w:spacing w:line="600" w:lineRule="exact"/>
        <w:ind w:firstLine="480" w:firstLineChars="200"/>
        <w:rPr>
          <w:rFonts w:hint="eastAsia" w:ascii="宋体" w:hAnsi="宋体" w:eastAsia="宋体" w:cs="宋体"/>
          <w:bCs/>
          <w:snapToGrid/>
          <w:color w:val="auto"/>
          <w:kern w:val="2"/>
          <w:sz w:val="24"/>
          <w:szCs w:val="24"/>
          <w:highlight w:val="none"/>
          <w:lang w:val="en-US" w:eastAsia="zh-CN"/>
        </w:rPr>
      </w:pPr>
      <w:r>
        <w:rPr>
          <w:rFonts w:hint="eastAsia" w:ascii="宋体" w:hAnsi="宋体" w:eastAsia="宋体" w:cs="宋体"/>
          <w:bCs/>
          <w:snapToGrid/>
          <w:color w:val="auto"/>
          <w:kern w:val="2"/>
          <w:sz w:val="24"/>
          <w:highlight w:val="none"/>
        </w:rPr>
        <w:t>根据每月度实际完成工程量，经验收合格后，乙方凭甲方签字认可的工作联系单原件和施工联系单、竣工验收证书等相关结算凭证准确按时上报甲方。经审计审定后，按照招投标文件中标报价下浮后支付工程款的97.5%，剩余2.5%作为质量保修金。剩余</w:t>
      </w:r>
      <w:r>
        <w:rPr>
          <w:rFonts w:hint="eastAsia" w:ascii="宋体" w:hAnsi="宋体" w:eastAsia="宋体" w:cs="宋体"/>
          <w:bCs/>
          <w:snapToGrid/>
          <w:color w:val="auto"/>
          <w:kern w:val="2"/>
          <w:sz w:val="24"/>
          <w:highlight w:val="none"/>
          <w:lang w:val="en-US" w:eastAsia="zh-CN"/>
        </w:rPr>
        <w:t>2.</w:t>
      </w:r>
      <w:r>
        <w:rPr>
          <w:rFonts w:hint="eastAsia" w:ascii="宋体" w:hAnsi="宋体" w:eastAsia="宋体" w:cs="宋体"/>
          <w:bCs/>
          <w:snapToGrid/>
          <w:color w:val="auto"/>
          <w:kern w:val="2"/>
          <w:sz w:val="24"/>
          <w:highlight w:val="none"/>
        </w:rPr>
        <w:t>5%的应付款项须待合同期满时，招标人对承包方的修复管理项目进行总体考核并验收合格后，在十五日内付清（无息）。乙方凭有效发票到甲方处领取工程款。</w:t>
      </w:r>
    </w:p>
    <w:p>
      <w:pPr>
        <w:numPr>
          <w:ilvl w:val="0"/>
          <w:numId w:val="0"/>
        </w:numPr>
        <w:wordWrap/>
        <w:adjustRightInd w:val="0"/>
        <w:snapToGrid w:val="0"/>
        <w:spacing w:line="600" w:lineRule="exact"/>
        <w:ind w:left="0" w:leftChars="0"/>
        <w:jc w:val="left"/>
        <w:outlineLvl w:val="0"/>
        <w:rPr>
          <w:rFonts w:hint="eastAsia" w:ascii="宋体" w:hAnsi="宋体" w:eastAsia="宋体" w:cs="宋体"/>
          <w:b/>
          <w:bCs w:val="0"/>
          <w:color w:val="auto"/>
          <w:sz w:val="24"/>
          <w:highlight w:val="none"/>
          <w:lang w:val="en-US" w:eastAsia="zh-CN"/>
        </w:rPr>
      </w:pPr>
      <w:r>
        <w:rPr>
          <w:rFonts w:hint="eastAsia" w:ascii="宋体" w:hAnsi="宋体" w:eastAsia="宋体" w:cs="宋体"/>
          <w:b/>
          <w:bCs w:val="0"/>
          <w:color w:val="auto"/>
          <w:sz w:val="24"/>
          <w:highlight w:val="none"/>
          <w:lang w:val="en-US" w:eastAsia="zh-CN"/>
        </w:rPr>
        <w:t>八、特别说明：</w:t>
      </w:r>
    </w:p>
    <w:p>
      <w:pPr>
        <w:wordWrap/>
        <w:spacing w:line="600" w:lineRule="exact"/>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1、中标通知书发出后15天内，中标单位须向采购人出具以下资料，否则视为自动放弃中标资格，不予签订合同：</w:t>
      </w:r>
    </w:p>
    <w:p>
      <w:pPr>
        <w:wordWrap/>
        <w:adjustRightInd w:val="0"/>
        <w:snapToGrid w:val="0"/>
        <w:spacing w:line="600" w:lineRule="exact"/>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2</w:t>
      </w:r>
      <w:r>
        <w:rPr>
          <w:rFonts w:hint="eastAsia" w:ascii="宋体" w:hAnsi="宋体" w:eastAsia="宋体" w:cs="宋体"/>
          <w:bCs/>
          <w:color w:val="auto"/>
          <w:sz w:val="24"/>
          <w:highlight w:val="none"/>
        </w:rPr>
        <w:t>、中标单位必须在</w:t>
      </w:r>
      <w:r>
        <w:rPr>
          <w:rFonts w:hint="eastAsia" w:ascii="宋体" w:hAnsi="宋体" w:eastAsia="宋体" w:cs="宋体"/>
          <w:bCs/>
          <w:color w:val="auto"/>
          <w:sz w:val="24"/>
          <w:highlight w:val="none"/>
          <w:lang w:val="en-US" w:eastAsia="zh-CN"/>
        </w:rPr>
        <w:t>余杭街道</w:t>
      </w:r>
      <w:r>
        <w:rPr>
          <w:rFonts w:hint="eastAsia" w:ascii="宋体" w:hAnsi="宋体" w:eastAsia="宋体" w:cs="宋体"/>
          <w:bCs/>
          <w:color w:val="auto"/>
          <w:sz w:val="24"/>
          <w:highlight w:val="none"/>
        </w:rPr>
        <w:t>内拥有</w:t>
      </w:r>
      <w:r>
        <w:rPr>
          <w:rFonts w:hint="eastAsia" w:ascii="宋体" w:hAnsi="宋体" w:eastAsia="宋体" w:cs="宋体"/>
          <w:bCs/>
          <w:color w:val="auto"/>
          <w:sz w:val="24"/>
          <w:highlight w:val="none"/>
          <w:lang w:val="en-US" w:eastAsia="zh-CN"/>
        </w:rPr>
        <w:t>1</w:t>
      </w:r>
      <w:r>
        <w:rPr>
          <w:rFonts w:hint="eastAsia" w:ascii="宋体" w:hAnsi="宋体" w:eastAsia="宋体" w:cs="宋体"/>
          <w:bCs/>
          <w:color w:val="auto"/>
          <w:sz w:val="24"/>
          <w:highlight w:val="none"/>
        </w:rPr>
        <w:t>00</w:t>
      </w:r>
      <w:r>
        <w:rPr>
          <w:rFonts w:hint="eastAsia" w:ascii="宋体" w:hAnsi="宋体" w:eastAsia="宋体" w:cs="宋体"/>
          <w:bCs/>
          <w:color w:val="auto"/>
          <w:sz w:val="24"/>
          <w:highlight w:val="none"/>
          <w:lang w:val="en-US" w:eastAsia="zh-CN"/>
        </w:rPr>
        <w:t>-300</w:t>
      </w:r>
      <w:r>
        <w:rPr>
          <w:rFonts w:hint="eastAsia" w:ascii="宋体" w:hAnsi="宋体" w:eastAsia="宋体" w:cs="宋体"/>
          <w:bCs/>
          <w:color w:val="auto"/>
          <w:sz w:val="24"/>
          <w:highlight w:val="none"/>
        </w:rPr>
        <w:t>平方米以上的固定场办公与仓储场所。必须在投标文件中作出承诺（格式自拟）</w:t>
      </w:r>
    </w:p>
    <w:p>
      <w:pPr>
        <w:wordWrap/>
        <w:adjustRightInd w:val="0"/>
        <w:snapToGrid w:val="0"/>
        <w:spacing w:line="600" w:lineRule="exact"/>
        <w:ind w:firstLine="480" w:firstLineChars="200"/>
        <w:rPr>
          <w:rFonts w:hint="eastAsia" w:ascii="宋体" w:hAnsi="宋体" w:eastAsia="宋体" w:cs="宋体"/>
          <w:b w:val="0"/>
          <w:bCs/>
          <w:snapToGrid/>
          <w:color w:val="auto"/>
          <w:kern w:val="2"/>
          <w:sz w:val="24"/>
          <w:szCs w:val="24"/>
          <w:highlight w:val="none"/>
        </w:rPr>
      </w:pPr>
      <w:r>
        <w:rPr>
          <w:rFonts w:hint="eastAsia" w:ascii="宋体" w:hAnsi="宋体" w:eastAsia="宋体" w:cs="宋体"/>
          <w:bCs/>
          <w:color w:val="auto"/>
          <w:sz w:val="24"/>
          <w:highlight w:val="none"/>
          <w:lang w:val="en-US" w:eastAsia="zh-CN"/>
        </w:rPr>
        <w:t>3、</w:t>
      </w:r>
      <w:r>
        <w:rPr>
          <w:rFonts w:hint="eastAsia" w:ascii="宋体" w:hAnsi="宋体" w:eastAsia="宋体" w:cs="宋体"/>
          <w:bCs/>
          <w:color w:val="auto"/>
          <w:sz w:val="24"/>
          <w:highlight w:val="none"/>
        </w:rPr>
        <w:t>中标单位所提供资料，经查实为虚假材料的，或经成本核算达不到额定标准的，或经发现中标单位转包给其他企业的，或违规有关养护合同约定的，采购人有权不予签订合同或终止合同。</w:t>
      </w:r>
    </w:p>
    <w:p>
      <w:pPr>
        <w:numPr>
          <w:ilvl w:val="0"/>
          <w:numId w:val="0"/>
        </w:numPr>
        <w:adjustRightInd/>
        <w:snapToGrid w:val="0"/>
        <w:spacing w:line="600" w:lineRule="exact"/>
        <w:ind w:firstLine="0" w:firstLineChars="0"/>
        <w:jc w:val="left"/>
        <w:outlineLvl w:val="9"/>
        <w:rPr>
          <w:rFonts w:hint="eastAsia" w:ascii="宋体" w:hAnsi="宋体" w:eastAsia="宋体" w:cs="宋体"/>
          <w:b/>
          <w:bCs w:val="0"/>
          <w:snapToGrid/>
          <w:color w:val="auto"/>
          <w:sz w:val="24"/>
          <w:szCs w:val="24"/>
          <w:highlight w:val="none"/>
          <w:lang w:eastAsia="zh-CN"/>
        </w:rPr>
      </w:pPr>
      <w:r>
        <w:rPr>
          <w:rFonts w:hint="eastAsia" w:ascii="宋体" w:hAnsi="宋体" w:eastAsia="宋体" w:cs="宋体"/>
          <w:b/>
          <w:bCs w:val="0"/>
          <w:color w:val="auto"/>
          <w:sz w:val="24"/>
          <w:szCs w:val="24"/>
          <w:highlight w:val="none"/>
          <w:lang w:val="en-US" w:eastAsia="zh-CN"/>
        </w:rPr>
        <w:t>九、考核标准：</w:t>
      </w:r>
    </w:p>
    <w:p>
      <w:pPr>
        <w:shd w:val="clear" w:color="auto" w:fill="auto"/>
        <w:wordWrap/>
        <w:snapToGrid w:val="0"/>
        <w:spacing w:line="600" w:lineRule="exact"/>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考核以百分制的方式进行，时间为</w:t>
      </w:r>
      <w:r>
        <w:rPr>
          <w:rFonts w:hint="eastAsia" w:ascii="宋体" w:hAnsi="宋体" w:eastAsia="宋体" w:cs="宋体"/>
          <w:bCs/>
          <w:color w:val="auto"/>
          <w:sz w:val="24"/>
          <w:highlight w:val="none"/>
          <w:lang w:val="en-US" w:eastAsia="zh-CN"/>
        </w:rPr>
        <w:t>本项目</w:t>
      </w:r>
      <w:r>
        <w:rPr>
          <w:rFonts w:hint="eastAsia" w:ascii="宋体" w:hAnsi="宋体" w:eastAsia="宋体" w:cs="宋体"/>
          <w:bCs/>
          <w:color w:val="auto"/>
          <w:sz w:val="24"/>
          <w:highlight w:val="none"/>
        </w:rPr>
        <w:t>合同期内每月进行考核。月度总得分100分，得分在</w:t>
      </w:r>
      <w:r>
        <w:rPr>
          <w:rFonts w:hint="eastAsia" w:ascii="宋体" w:hAnsi="宋体" w:eastAsia="宋体" w:cs="宋体"/>
          <w:bCs/>
          <w:color w:val="auto"/>
          <w:sz w:val="24"/>
          <w:highlight w:val="none"/>
          <w:lang w:val="en-US" w:eastAsia="zh-CN"/>
        </w:rPr>
        <w:t>92分</w:t>
      </w:r>
      <w:r>
        <w:rPr>
          <w:rFonts w:hint="eastAsia" w:ascii="宋体" w:hAnsi="宋体" w:eastAsia="宋体" w:cs="宋体"/>
          <w:bCs/>
          <w:color w:val="auto"/>
          <w:sz w:val="24"/>
          <w:highlight w:val="none"/>
        </w:rPr>
        <w:t>（含）</w:t>
      </w:r>
      <w:r>
        <w:rPr>
          <w:rFonts w:hint="eastAsia" w:ascii="宋体" w:hAnsi="宋体" w:eastAsia="宋体" w:cs="宋体"/>
          <w:bCs/>
          <w:color w:val="auto"/>
          <w:sz w:val="24"/>
          <w:highlight w:val="none"/>
          <w:lang w:val="en-US" w:eastAsia="zh-CN"/>
        </w:rPr>
        <w:t>及以上</w:t>
      </w:r>
      <w:r>
        <w:rPr>
          <w:rFonts w:hint="eastAsia" w:ascii="宋体" w:hAnsi="宋体" w:eastAsia="宋体" w:cs="宋体"/>
          <w:bCs/>
          <w:color w:val="auto"/>
          <w:sz w:val="24"/>
          <w:highlight w:val="none"/>
        </w:rPr>
        <w:t>为</w:t>
      </w:r>
      <w:r>
        <w:rPr>
          <w:rFonts w:hint="eastAsia" w:ascii="宋体" w:hAnsi="宋体" w:eastAsia="宋体" w:cs="宋体"/>
          <w:bCs/>
          <w:color w:val="auto"/>
          <w:sz w:val="24"/>
          <w:highlight w:val="none"/>
          <w:lang w:val="en-US" w:eastAsia="zh-CN"/>
        </w:rPr>
        <w:t>合格</w:t>
      </w:r>
      <w:r>
        <w:rPr>
          <w:rFonts w:hint="eastAsia" w:ascii="宋体" w:hAnsi="宋体" w:eastAsia="宋体" w:cs="宋体"/>
          <w:bCs/>
          <w:color w:val="auto"/>
          <w:sz w:val="24"/>
          <w:highlight w:val="none"/>
        </w:rPr>
        <w:t>单位</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日常</w:t>
      </w:r>
      <w:r>
        <w:rPr>
          <w:rFonts w:hint="eastAsia" w:ascii="宋体" w:hAnsi="宋体" w:eastAsia="宋体" w:cs="宋体"/>
          <w:bCs/>
          <w:color w:val="auto"/>
          <w:sz w:val="24"/>
          <w:highlight w:val="none"/>
          <w:lang w:val="en-US" w:eastAsia="zh-CN"/>
        </w:rPr>
        <w:t>维</w:t>
      </w:r>
      <w:r>
        <w:rPr>
          <w:rFonts w:hint="eastAsia" w:ascii="宋体" w:hAnsi="宋体" w:eastAsia="宋体" w:cs="宋体"/>
          <w:bCs/>
          <w:color w:val="auto"/>
          <w:sz w:val="24"/>
          <w:highlight w:val="none"/>
        </w:rPr>
        <w:t>护费用根据月度考核成绩</w:t>
      </w:r>
      <w:r>
        <w:rPr>
          <w:rFonts w:hint="eastAsia" w:ascii="宋体" w:hAnsi="宋体" w:eastAsia="宋体" w:cs="宋体"/>
          <w:bCs/>
          <w:color w:val="auto"/>
          <w:sz w:val="24"/>
          <w:highlight w:val="none"/>
          <w:lang w:val="en-US" w:eastAsia="zh-CN"/>
        </w:rPr>
        <w:t>和经审核后的维修费用</w:t>
      </w:r>
      <w:r>
        <w:rPr>
          <w:rFonts w:hint="eastAsia" w:ascii="宋体" w:hAnsi="宋体" w:eastAsia="宋体" w:cs="宋体"/>
          <w:bCs/>
          <w:color w:val="auto"/>
          <w:sz w:val="24"/>
          <w:highlight w:val="none"/>
        </w:rPr>
        <w:t>发放，要求</w:t>
      </w:r>
      <w:r>
        <w:rPr>
          <w:rFonts w:hint="eastAsia" w:ascii="宋体" w:hAnsi="宋体" w:eastAsia="宋体" w:cs="宋体"/>
          <w:bCs/>
          <w:color w:val="auto"/>
          <w:sz w:val="24"/>
          <w:highlight w:val="none"/>
          <w:lang w:val="en-US" w:eastAsia="zh-CN"/>
        </w:rPr>
        <w:t>城区道路交通设施零星维护</w:t>
      </w:r>
      <w:r>
        <w:rPr>
          <w:rFonts w:hint="eastAsia" w:ascii="宋体" w:hAnsi="宋体" w:eastAsia="宋体" w:cs="宋体"/>
          <w:bCs/>
          <w:color w:val="auto"/>
          <w:sz w:val="24"/>
          <w:highlight w:val="none"/>
        </w:rPr>
        <w:t>考核得分在92分（含92分）以上，全额支付当月</w:t>
      </w:r>
      <w:r>
        <w:rPr>
          <w:rFonts w:hint="eastAsia" w:ascii="宋体" w:hAnsi="宋体" w:eastAsia="宋体" w:cs="宋体"/>
          <w:bCs/>
          <w:color w:val="auto"/>
          <w:sz w:val="24"/>
          <w:highlight w:val="none"/>
          <w:lang w:val="en-US" w:eastAsia="zh-CN"/>
        </w:rPr>
        <w:t>经审核后的维修费用</w:t>
      </w:r>
      <w:r>
        <w:rPr>
          <w:rFonts w:hint="eastAsia" w:ascii="宋体" w:hAnsi="宋体" w:eastAsia="宋体" w:cs="宋体"/>
          <w:bCs/>
          <w:color w:val="auto"/>
          <w:sz w:val="24"/>
          <w:highlight w:val="none"/>
        </w:rPr>
        <w:t>；得分在92分以下，每下降0.1分扣除当月</w:t>
      </w:r>
      <w:r>
        <w:rPr>
          <w:rFonts w:hint="eastAsia" w:ascii="宋体" w:hAnsi="宋体" w:eastAsia="宋体" w:cs="宋体"/>
          <w:bCs/>
          <w:color w:val="auto"/>
          <w:sz w:val="24"/>
          <w:highlight w:val="none"/>
          <w:lang w:val="en-US" w:eastAsia="zh-CN"/>
        </w:rPr>
        <w:t>维修</w:t>
      </w:r>
      <w:r>
        <w:rPr>
          <w:rFonts w:hint="eastAsia" w:ascii="宋体" w:hAnsi="宋体" w:eastAsia="宋体" w:cs="宋体"/>
          <w:bCs/>
          <w:color w:val="auto"/>
          <w:sz w:val="24"/>
          <w:highlight w:val="none"/>
        </w:rPr>
        <w:t>款500元，以</w:t>
      </w:r>
      <w:r>
        <w:rPr>
          <w:rFonts w:hint="eastAsia" w:ascii="宋体" w:hAnsi="宋体" w:eastAsia="宋体" w:cs="宋体"/>
          <w:bCs/>
          <w:color w:val="auto"/>
          <w:sz w:val="24"/>
          <w:highlight w:val="none"/>
          <w:lang w:val="en-US" w:eastAsia="zh-CN"/>
        </w:rPr>
        <w:t>此类推；得分在90以下，每下降0.1分扣除当月度维修款750元，以此类推，不足0.1分按0.1分计算，扣款在当月一次性扣除；如在当月维修费用中扣除不足的，在履约保证金中予以扣除。在连</w:t>
      </w:r>
      <w:r>
        <w:rPr>
          <w:rFonts w:hint="eastAsia" w:ascii="宋体" w:hAnsi="宋体" w:eastAsia="宋体" w:cs="宋体"/>
          <w:bCs/>
          <w:color w:val="auto"/>
          <w:sz w:val="24"/>
          <w:highlight w:val="none"/>
        </w:rPr>
        <w:t>续三次月度考核在85分以下，终止</w:t>
      </w:r>
      <w:r>
        <w:rPr>
          <w:rFonts w:hint="eastAsia" w:ascii="宋体" w:hAnsi="宋体" w:eastAsia="宋体" w:cs="宋体"/>
          <w:bCs/>
          <w:color w:val="auto"/>
          <w:sz w:val="24"/>
          <w:highlight w:val="none"/>
          <w:lang w:val="en-US" w:eastAsia="zh-CN"/>
        </w:rPr>
        <w:t>城区道路交通设施零星维护</w:t>
      </w:r>
      <w:r>
        <w:rPr>
          <w:rFonts w:hint="eastAsia" w:ascii="宋体" w:hAnsi="宋体" w:eastAsia="宋体" w:cs="宋体"/>
          <w:bCs/>
          <w:color w:val="auto"/>
          <w:sz w:val="24"/>
          <w:highlight w:val="none"/>
        </w:rPr>
        <w:t>合同。</w:t>
      </w:r>
    </w:p>
    <w:tbl>
      <w:tblPr>
        <w:tblStyle w:val="77"/>
        <w:tblpPr w:leftFromText="180" w:rightFromText="180" w:vertAnchor="text" w:horzAnchor="margin" w:tblpY="495"/>
        <w:tblW w:w="89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5"/>
        <w:gridCol w:w="933"/>
        <w:gridCol w:w="1069"/>
        <w:gridCol w:w="2826"/>
        <w:gridCol w:w="2809"/>
        <w:gridCol w:w="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序号</w:t>
            </w:r>
          </w:p>
        </w:tc>
        <w:tc>
          <w:tcPr>
            <w:tcW w:w="933" w:type="dxa"/>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考核分类</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考核项目</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考核内容描述</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分值设定条件</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93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工作质量</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完好率</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rPr>
              <w:t>各系统完好率情况</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按照采购人要求，低于98%扣0.1分、低于97%扣0.2分、低于96%扣0.3分，以此类推，每天最高扣2分截止（即完好率低于78%截止）</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2"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维护（优化）质量</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外场设施修复后，现场检查发现：窨井、手孔井未封闭；线缆裸露或未提前报备；原有完好设备维修过程中造成损坏；使用不合格的配件和材料；维修后达不到原有标准等情况</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存在以上情况扣2分。以上情况造成事故维护单位负全责，并扣5分。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重复故障</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外场设施故障排查不仔细，修复不彻底</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每个工单造成7天内2次故障扣1分，7天内3次故障扣2分，以次类推，5分截止。</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4</w:t>
            </w:r>
          </w:p>
        </w:tc>
        <w:tc>
          <w:tcPr>
            <w:tcW w:w="93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时间要求</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响应时间</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按照</w:t>
            </w:r>
            <w:r>
              <w:rPr>
                <w:rFonts w:hint="eastAsia" w:ascii="宋体" w:hAnsi="宋体" w:eastAsia="宋体" w:cs="宋体"/>
                <w:color w:val="auto"/>
                <w:kern w:val="0"/>
                <w:sz w:val="21"/>
                <w:szCs w:val="21"/>
                <w:highlight w:val="none"/>
                <w:lang w:val="en-US" w:eastAsia="zh-CN"/>
              </w:rPr>
              <w:t>招标文件</w:t>
            </w:r>
            <w:r>
              <w:rPr>
                <w:rFonts w:hint="eastAsia" w:ascii="宋体" w:hAnsi="宋体" w:eastAsia="宋体" w:cs="宋体"/>
                <w:color w:val="auto"/>
                <w:kern w:val="0"/>
                <w:sz w:val="21"/>
                <w:szCs w:val="21"/>
                <w:highlight w:val="none"/>
              </w:rPr>
              <w:t>要求的响应时间</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每个工单响应超时扣0.2分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5</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修复时间</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按照</w:t>
            </w:r>
            <w:r>
              <w:rPr>
                <w:rFonts w:hint="eastAsia" w:ascii="宋体" w:hAnsi="宋体" w:eastAsia="宋体" w:cs="宋体"/>
                <w:color w:val="auto"/>
                <w:kern w:val="0"/>
                <w:sz w:val="21"/>
                <w:szCs w:val="21"/>
                <w:highlight w:val="none"/>
                <w:lang w:val="en-US" w:eastAsia="zh-CN"/>
              </w:rPr>
              <w:t>招标文件</w:t>
            </w:r>
            <w:r>
              <w:rPr>
                <w:rFonts w:hint="eastAsia" w:ascii="宋体" w:hAnsi="宋体" w:eastAsia="宋体" w:cs="宋体"/>
                <w:color w:val="auto"/>
                <w:kern w:val="0"/>
                <w:sz w:val="21"/>
                <w:szCs w:val="21"/>
                <w:highlight w:val="none"/>
              </w:rPr>
              <w:t>要求的修复</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每个工单未按时修复扣1分未修复的下个周期可重复扣分。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2"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6</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申请延期</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遇电力故障、链路故障、道路施工、交通事故客观外力原因导致暂时无法修复（优化），可申请延期。</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申请的延期时间需监理或相关责任人审定。若2次延期扣</w:t>
            </w: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分，3次延期扣5分，3次后仍未修复不得延期.直接扣除10分。如在允许延期申请后仍修复超时的按照修复时间扣分执行。</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7</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数字城管</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数字城管以</w:t>
            </w:r>
            <w:r>
              <w:rPr>
                <w:rFonts w:hint="eastAsia" w:ascii="宋体" w:hAnsi="宋体" w:eastAsia="宋体" w:cs="宋体"/>
                <w:color w:val="auto"/>
                <w:kern w:val="0"/>
                <w:sz w:val="21"/>
                <w:szCs w:val="21"/>
                <w:highlight w:val="none"/>
                <w:lang w:val="en-US" w:eastAsia="zh-CN"/>
              </w:rPr>
              <w:t>业主</w:t>
            </w:r>
            <w:r>
              <w:rPr>
                <w:rFonts w:hint="eastAsia" w:ascii="宋体" w:hAnsi="宋体" w:eastAsia="宋体" w:cs="宋体"/>
                <w:color w:val="auto"/>
                <w:kern w:val="0"/>
                <w:sz w:val="21"/>
                <w:szCs w:val="21"/>
                <w:highlight w:val="none"/>
              </w:rPr>
              <w:t>工单为准</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数字城管超期1次扣0.5分，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8</w:t>
            </w:r>
          </w:p>
        </w:tc>
        <w:tc>
          <w:tcPr>
            <w:tcW w:w="93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作业安全</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维护现场安全操作规范</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所有外场设施抢修、维护、优化期间，地面根据主干道、次干道、支路分别做好100米、50米、30米全方位维护，应有导向车道牌、路锥桶，夜间导向车道牌需为LED导向牌，主次干道应有应急闪光灯。</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低于上诉要求扣</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分、低于上诉要求造成事故扣</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1"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9</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维护人员安全要求</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维护单位外场维护人员着装规范，应穿戴印有本单位名称或LOGO的反光衣、高空作业应系安全带、戴好安全帽、穿戴电工胶鞋</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每人次未达标准扣1分；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2"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10</w:t>
            </w:r>
          </w:p>
        </w:tc>
        <w:tc>
          <w:tcPr>
            <w:tcW w:w="93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资料信息</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文档资料</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根据招标文件或合同在规定时间内提交的文档资料、领导交办的文档资料、监理单位出具监理工程师通知单需要维护单位配合完成的文档资料等，维护单位应按时完成，</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超时完成扣1分；不配合、不主动完成扣5分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11</w:t>
            </w:r>
          </w:p>
        </w:tc>
        <w:tc>
          <w:tcPr>
            <w:tcW w:w="933" w:type="dxa"/>
            <w:vMerge w:val="continue"/>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维护材料登记</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维护中产生材料，不按规定登记造册的</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一次扣1分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w:t>
            </w:r>
          </w:p>
        </w:tc>
        <w:tc>
          <w:tcPr>
            <w:tcW w:w="93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重大过错</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被投诉或曝光</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收到采购人约谈、被社会媒体曝光、收到多方投诉情况、被采购人领导点名批评、造成事故或不良影响等。</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扣</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保密工作</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擅自将智能交通系统的操作管理权限、视频影像资料、数据及分析应用成果、电脑截图或照片等泄露外传</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发现以上情况扣5分，产生后果扣15分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14</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工作差错</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出现工作疏漏或差错，对大型会议等保障活动造成影响的</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扣10分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设备管理</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维护单位私自拆除智能交通系统外场设施</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有偷梁换柱、监守自盗的情况扣1</w:t>
            </w:r>
            <w:r>
              <w:rPr>
                <w:rFonts w:hint="eastAsia" w:ascii="宋体" w:hAnsi="宋体" w:eastAsia="宋体" w:cs="宋体"/>
                <w:color w:val="auto"/>
                <w:kern w:val="0"/>
                <w:sz w:val="21"/>
                <w:szCs w:val="21"/>
                <w:highlight w:val="none"/>
                <w:lang w:val="en-US" w:eastAsia="zh-CN"/>
              </w:rPr>
              <w:t>0</w:t>
            </w:r>
            <w:r>
              <w:rPr>
                <w:rFonts w:hint="eastAsia" w:ascii="宋体" w:hAnsi="宋体" w:eastAsia="宋体" w:cs="宋体"/>
                <w:color w:val="auto"/>
                <w:kern w:val="0"/>
                <w:sz w:val="21"/>
                <w:szCs w:val="21"/>
                <w:highlight w:val="none"/>
              </w:rPr>
              <w:t>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w:t>
            </w:r>
          </w:p>
        </w:tc>
        <w:tc>
          <w:tcPr>
            <w:tcW w:w="93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保障力量</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人员、车辆</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根据招标文件及合同，维护单位应配备相应的人员及车辆。</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维护单位中标后每少一人或一车扣5分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人员、车辆</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维护单位更换维护车辆或人员变更，应提前申请和报备</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未报备进行更换扣2分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人员、车辆</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维护单位未经允许更换项目负责人</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扣5分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19</w:t>
            </w:r>
          </w:p>
        </w:tc>
        <w:tc>
          <w:tcPr>
            <w:tcW w:w="93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管理工作</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外建项目</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做好外建项目的接入、移交、反移交等现场检查工作，形成整改报告提交采购人及监理单位，</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现场检查后5天内未出具整改报告扣2分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外场巡查</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每半年对辖区内设施点位进行巡查并完成记录，一年两次，分别在6-7月和11-12月完成。</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未在规定时间进行巡检扣3分，未形成巡检报告或记录不全的扣5分，巡检报告弄虚作假的扣10分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巡查人数</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巡查和应急力量总人数不少于5人。</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少于5人</w:t>
            </w:r>
            <w:r>
              <w:rPr>
                <w:rFonts w:hint="eastAsia" w:ascii="宋体" w:hAnsi="宋体" w:eastAsia="宋体" w:cs="宋体"/>
                <w:color w:val="auto"/>
                <w:kern w:val="0"/>
                <w:sz w:val="21"/>
                <w:szCs w:val="21"/>
                <w:highlight w:val="none"/>
              </w:rPr>
              <w:t>扣5分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交办工作</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因交办的事情不落实，不反馈。</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一次扣5分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w:t>
            </w:r>
          </w:p>
        </w:tc>
      </w:tr>
    </w:tbl>
    <w:p>
      <w:pPr>
        <w:spacing w:line="600" w:lineRule="exact"/>
        <w:jc w:val="left"/>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十、养护要求：</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w:t>
      </w:r>
      <w:r>
        <w:rPr>
          <w:rFonts w:hint="eastAsia" w:ascii="宋体" w:hAnsi="宋体" w:eastAsia="宋体" w:cs="宋体"/>
          <w:bCs/>
          <w:color w:val="auto"/>
          <w:sz w:val="24"/>
          <w:szCs w:val="24"/>
          <w:highlight w:val="none"/>
        </w:rPr>
        <w:t>常温型标线</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1.1</w:t>
      </w:r>
      <w:r>
        <w:rPr>
          <w:rFonts w:hint="eastAsia" w:ascii="宋体" w:hAnsi="宋体" w:eastAsia="宋体" w:cs="宋体"/>
          <w:bCs/>
          <w:color w:val="auto"/>
          <w:sz w:val="24"/>
          <w:szCs w:val="24"/>
          <w:highlight w:val="none"/>
        </w:rPr>
        <w:t>粘度（KU 值）: ≥60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1.2</w:t>
      </w:r>
      <w:r>
        <w:rPr>
          <w:rFonts w:hint="eastAsia" w:ascii="宋体" w:hAnsi="宋体" w:eastAsia="宋体" w:cs="宋体"/>
          <w:bCs/>
          <w:color w:val="auto"/>
          <w:sz w:val="24"/>
          <w:szCs w:val="24"/>
          <w:highlight w:val="none"/>
        </w:rPr>
        <w:t>密度（g/cm3）:≥1.6</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1.3</w:t>
      </w:r>
      <w:r>
        <w:rPr>
          <w:rFonts w:hint="eastAsia" w:ascii="宋体" w:hAnsi="宋体" w:eastAsia="宋体" w:cs="宋体"/>
          <w:bCs/>
          <w:color w:val="auto"/>
          <w:sz w:val="24"/>
          <w:szCs w:val="24"/>
          <w:highlight w:val="none"/>
        </w:rPr>
        <w:t>标线涂层厚度0.3~0.5mm</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1.4</w:t>
      </w:r>
      <w:r>
        <w:rPr>
          <w:rFonts w:hint="eastAsia" w:ascii="宋体" w:hAnsi="宋体" w:eastAsia="宋体" w:cs="宋体"/>
          <w:bCs/>
          <w:color w:val="auto"/>
          <w:sz w:val="24"/>
          <w:szCs w:val="24"/>
          <w:highlight w:val="none"/>
        </w:rPr>
        <w:t>不粘胎干燥时间≤15min，开放交通干燥时间≤20min</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1.5</w:t>
      </w:r>
      <w:r>
        <w:rPr>
          <w:rFonts w:hint="eastAsia" w:ascii="宋体" w:hAnsi="宋体" w:eastAsia="宋体" w:cs="宋体"/>
          <w:bCs/>
          <w:color w:val="auto"/>
          <w:sz w:val="24"/>
          <w:szCs w:val="24"/>
          <w:highlight w:val="none"/>
        </w:rPr>
        <w:t>耐磨性（mg）:200 转/1000g 后减重≤40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1.6</w:t>
      </w:r>
      <w:r>
        <w:rPr>
          <w:rFonts w:hint="eastAsia" w:ascii="宋体" w:hAnsi="宋体" w:eastAsia="宋体" w:cs="宋体"/>
          <w:bCs/>
          <w:color w:val="auto"/>
          <w:sz w:val="24"/>
          <w:szCs w:val="24"/>
          <w:highlight w:val="none"/>
        </w:rPr>
        <w:t>固体含量（%）:≥60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1.7</w:t>
      </w:r>
      <w:r>
        <w:rPr>
          <w:rFonts w:hint="eastAsia" w:ascii="宋体" w:hAnsi="宋体" w:eastAsia="宋体" w:cs="宋体"/>
          <w:bCs/>
          <w:color w:val="auto"/>
          <w:sz w:val="24"/>
          <w:szCs w:val="24"/>
          <w:highlight w:val="none"/>
        </w:rPr>
        <w:t xml:space="preserve"> 遮盖率（g/㎡）：白色≤190；黄色≤200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rPr>
        <w:t>一级反光热熔标线</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2.1</w:t>
      </w:r>
      <w:r>
        <w:rPr>
          <w:rFonts w:hint="eastAsia" w:ascii="宋体" w:hAnsi="宋体" w:eastAsia="宋体" w:cs="宋体"/>
          <w:bCs/>
          <w:color w:val="auto"/>
          <w:sz w:val="24"/>
          <w:szCs w:val="24"/>
          <w:highlight w:val="none"/>
        </w:rPr>
        <w:t>涂料内总有机物含量不低于15%，钛白含量＞6%，软化点＞110，耐磨（200转）＜20毫克；</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2.2</w:t>
      </w:r>
      <w:r>
        <w:rPr>
          <w:rFonts w:hint="eastAsia" w:ascii="宋体" w:hAnsi="宋体" w:eastAsia="宋体" w:cs="宋体"/>
          <w:bCs/>
          <w:color w:val="auto"/>
          <w:sz w:val="24"/>
          <w:szCs w:val="24"/>
          <w:highlight w:val="none"/>
        </w:rPr>
        <w:t>亮度因数（白色）≥0.75，亮度因数（黄色）≥0.45；</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2.3</w:t>
      </w:r>
      <w:r>
        <w:rPr>
          <w:rFonts w:hint="eastAsia" w:ascii="宋体" w:hAnsi="宋体" w:eastAsia="宋体" w:cs="宋体"/>
          <w:bCs/>
          <w:color w:val="auto"/>
          <w:sz w:val="24"/>
          <w:szCs w:val="24"/>
          <w:highlight w:val="none"/>
        </w:rPr>
        <w:t>抗压强度（Mpa）≥20；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2.4</w:t>
      </w:r>
      <w:r>
        <w:rPr>
          <w:rFonts w:hint="eastAsia" w:ascii="宋体" w:hAnsi="宋体" w:eastAsia="宋体" w:cs="宋体"/>
          <w:bCs/>
          <w:color w:val="auto"/>
          <w:sz w:val="24"/>
          <w:szCs w:val="24"/>
          <w:highlight w:val="none"/>
        </w:rPr>
        <w:t>内混玻璃珠总含量（涂料质量比）≥25%（其中粒径0.85-1.4mm不低于50%，成圆率不低于90%，其它50%应符合GB/T24722《路面标线用玻璃珠》要求）；</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2.5</w:t>
      </w:r>
      <w:r>
        <w:rPr>
          <w:rFonts w:hint="eastAsia" w:ascii="宋体" w:hAnsi="宋体" w:eastAsia="宋体" w:cs="宋体"/>
          <w:bCs/>
          <w:color w:val="auto"/>
          <w:sz w:val="24"/>
          <w:szCs w:val="24"/>
          <w:highlight w:val="none"/>
        </w:rPr>
        <w:t>内混玻璃珠总成圆率≥85%</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2.6</w:t>
      </w:r>
      <w:r>
        <w:rPr>
          <w:rFonts w:hint="eastAsia" w:ascii="宋体" w:hAnsi="宋体" w:eastAsia="宋体" w:cs="宋体"/>
          <w:bCs/>
          <w:color w:val="auto"/>
          <w:sz w:val="24"/>
          <w:szCs w:val="24"/>
          <w:highlight w:val="none"/>
        </w:rPr>
        <w:t>初始（通车路段14天后测试、非通车路段交工验收前测试）白色反光标线逆反射亮度系数RL干态≥150 mcd • m-2• lx-1，RL湿态≥50 mcd • m-2• lx-1；黄色反光标线逆反射亮度系数RL干态≥100 mcd • m-2• lx-1；</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2.7</w:t>
      </w:r>
      <w:r>
        <w:rPr>
          <w:rFonts w:hint="eastAsia" w:ascii="宋体" w:hAnsi="宋体" w:eastAsia="宋体" w:cs="宋体"/>
          <w:bCs/>
          <w:color w:val="auto"/>
          <w:sz w:val="24"/>
          <w:szCs w:val="24"/>
          <w:highlight w:val="none"/>
        </w:rPr>
        <w:t>缺陷责任期满检测的逆反射亮度系数应满足《公路工程质量检验评定标准》（JTG F80/1-2017）要求，白色反光标线逆反射亮度系数RL干态≥80 mcd • m-2 • lx-1，黄色反光标线逆反射亮度系数RL干态≥50 mcd • m-2 • lx-1；</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2.8</w:t>
      </w:r>
      <w:r>
        <w:rPr>
          <w:rFonts w:hint="eastAsia" w:ascii="宋体" w:hAnsi="宋体" w:eastAsia="宋体" w:cs="宋体"/>
          <w:bCs/>
          <w:color w:val="auto"/>
          <w:sz w:val="24"/>
          <w:szCs w:val="24"/>
          <w:highlight w:val="none"/>
        </w:rPr>
        <w:t>面撒玻璃珠必须采用双撒播工艺，面撒量≥0.5kg/m2，应先撒布0.85-1.4mm玻璃珠，后撒布1号玻璃珠，两种玻璃珠各占50%。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2.9</w:t>
      </w:r>
      <w:r>
        <w:rPr>
          <w:rFonts w:hint="eastAsia" w:ascii="宋体" w:hAnsi="宋体" w:eastAsia="宋体" w:cs="宋体"/>
          <w:bCs/>
          <w:color w:val="auto"/>
          <w:sz w:val="24"/>
          <w:szCs w:val="24"/>
          <w:highlight w:val="none"/>
        </w:rPr>
        <w:t>反光涂料加热熔融温度：≥2100C；</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2.10</w:t>
      </w:r>
      <w:r>
        <w:rPr>
          <w:rFonts w:hint="eastAsia" w:ascii="宋体" w:hAnsi="宋体" w:eastAsia="宋体" w:cs="宋体"/>
          <w:bCs/>
          <w:color w:val="auto"/>
          <w:sz w:val="24"/>
          <w:szCs w:val="24"/>
          <w:highlight w:val="none"/>
        </w:rPr>
        <w:t>下涂剂应为清澈透明（微黄色）状态，并且固体含量≥30%。对新施工完成无污染沥青路面，建议不使用下涂剂，其它路面下涂剂宜≥0.15kg/m2，待下涂剂干燥后方可标线施划。</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2.11</w:t>
      </w:r>
      <w:r>
        <w:rPr>
          <w:rFonts w:hint="eastAsia" w:ascii="宋体" w:hAnsi="宋体" w:eastAsia="宋体" w:cs="宋体"/>
          <w:bCs/>
          <w:color w:val="auto"/>
          <w:sz w:val="24"/>
          <w:szCs w:val="24"/>
          <w:highlight w:val="none"/>
        </w:rPr>
        <w:t>其它性能指标应符合JT/T280《路面标线涂料》的要求。</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三级反光热熔标线</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3.1</w:t>
      </w:r>
      <w:r>
        <w:rPr>
          <w:rFonts w:hint="eastAsia" w:ascii="宋体" w:hAnsi="宋体" w:eastAsia="宋体" w:cs="宋体"/>
          <w:bCs/>
          <w:color w:val="auto"/>
          <w:sz w:val="24"/>
          <w:szCs w:val="24"/>
          <w:highlight w:val="none"/>
        </w:rPr>
        <w:t>涂料内总有机物含量不低于15%，钛白含量＞6%，软化点＞110，耐磨（200转）＜20毫克；</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3.2</w:t>
      </w:r>
      <w:r>
        <w:rPr>
          <w:rFonts w:hint="eastAsia" w:ascii="宋体" w:hAnsi="宋体" w:eastAsia="宋体" w:cs="宋体"/>
          <w:bCs/>
          <w:color w:val="auto"/>
          <w:sz w:val="24"/>
          <w:szCs w:val="24"/>
          <w:highlight w:val="none"/>
        </w:rPr>
        <w:t>亮度因数（白色）≥0.8，亮度因数（黄色）≥0.5；</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3.3</w:t>
      </w:r>
      <w:r>
        <w:rPr>
          <w:rFonts w:hint="eastAsia" w:ascii="宋体" w:hAnsi="宋体" w:eastAsia="宋体" w:cs="宋体"/>
          <w:bCs/>
          <w:color w:val="auto"/>
          <w:sz w:val="24"/>
          <w:szCs w:val="24"/>
          <w:highlight w:val="none"/>
        </w:rPr>
        <w:t>抗压强度（Mpa）≥20；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3.4</w:t>
      </w:r>
      <w:r>
        <w:rPr>
          <w:rFonts w:hint="eastAsia" w:ascii="宋体" w:hAnsi="宋体" w:eastAsia="宋体" w:cs="宋体"/>
          <w:bCs/>
          <w:color w:val="auto"/>
          <w:sz w:val="24"/>
          <w:szCs w:val="24"/>
          <w:highlight w:val="none"/>
        </w:rPr>
        <w:t>内混玻璃珠总含量（涂料质量比）≥30%（其中粒径0.85-1.4mm不低于50%，成圆率不低于90%，其它50%应符合GB/T24722《路面标线用玻璃珠》要求）；</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3.5</w:t>
      </w:r>
      <w:r>
        <w:rPr>
          <w:rFonts w:hint="eastAsia" w:ascii="宋体" w:hAnsi="宋体" w:eastAsia="宋体" w:cs="宋体"/>
          <w:bCs/>
          <w:color w:val="auto"/>
          <w:sz w:val="24"/>
          <w:szCs w:val="24"/>
          <w:highlight w:val="none"/>
        </w:rPr>
        <w:t>内混玻璃珠总成圆率≥85%</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3.6</w:t>
      </w:r>
      <w:r>
        <w:rPr>
          <w:rFonts w:hint="eastAsia" w:ascii="宋体" w:hAnsi="宋体" w:eastAsia="宋体" w:cs="宋体"/>
          <w:bCs/>
          <w:color w:val="auto"/>
          <w:sz w:val="24"/>
          <w:szCs w:val="24"/>
          <w:highlight w:val="none"/>
        </w:rPr>
        <w:t>初始（通车路段14天后测试、非通车路段交工验收前测试）白色反光标线逆反射亮度系数RL干态≥350 mcd • m-2• lx-1，RL湿态≥100 mcd • m-2• lx-1；黄色反光标线逆反射亮度系数RL干态≥150 mcd • m-2• lx-1，RL湿态≥75 mcd • m-2• lx-1；</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3.7</w:t>
      </w:r>
      <w:r>
        <w:rPr>
          <w:rFonts w:hint="eastAsia" w:ascii="宋体" w:hAnsi="宋体" w:eastAsia="宋体" w:cs="宋体"/>
          <w:bCs/>
          <w:color w:val="auto"/>
          <w:sz w:val="24"/>
          <w:szCs w:val="24"/>
          <w:highlight w:val="none"/>
        </w:rPr>
        <w:t>缺陷责任期满检测的逆反射亮度系数应满足《公路工程质量检验评定标准》（JTG F80/1-2017）要求，白色反光标线逆反射亮度系数RL干态≥150 mcd • m-2 • lx-1，RL湿态≥50 mcd • m-2 • lx-1；</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3.8</w:t>
      </w:r>
      <w:r>
        <w:rPr>
          <w:rFonts w:hint="eastAsia" w:ascii="宋体" w:hAnsi="宋体" w:eastAsia="宋体" w:cs="宋体"/>
          <w:bCs/>
          <w:color w:val="auto"/>
          <w:sz w:val="24"/>
          <w:szCs w:val="24"/>
          <w:highlight w:val="none"/>
        </w:rPr>
        <w:t>面撒玻璃珠必须采用双撒播工艺，面撒量≥0.5kg/m2，应先撒布0.85-1.4mm玻璃珠，后撒布1号玻璃珠，两种玻璃珠各占50%。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3.9</w:t>
      </w:r>
      <w:r>
        <w:rPr>
          <w:rFonts w:hint="eastAsia" w:ascii="宋体" w:hAnsi="宋体" w:eastAsia="宋体" w:cs="宋体"/>
          <w:bCs/>
          <w:color w:val="auto"/>
          <w:sz w:val="24"/>
          <w:szCs w:val="24"/>
          <w:highlight w:val="none"/>
        </w:rPr>
        <w:t>反光涂料加热熔融温度：≥2100C；</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3.10</w:t>
      </w:r>
      <w:r>
        <w:rPr>
          <w:rFonts w:hint="eastAsia" w:ascii="宋体" w:hAnsi="宋体" w:eastAsia="宋体" w:cs="宋体"/>
          <w:bCs/>
          <w:color w:val="auto"/>
          <w:sz w:val="24"/>
          <w:szCs w:val="24"/>
          <w:highlight w:val="none"/>
        </w:rPr>
        <w:t>下涂剂应为清澈透明（微黄色）状态，并且固体含量≥30%。对新施工完成无污染沥青路面，建议不使用下涂剂，其它路面下涂剂宜≥0.15kg/m2，待下涂剂干燥后方可标线施划；</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3.11</w:t>
      </w:r>
      <w:r>
        <w:rPr>
          <w:rFonts w:hint="eastAsia" w:ascii="宋体" w:hAnsi="宋体" w:eastAsia="宋体" w:cs="宋体"/>
          <w:bCs/>
          <w:color w:val="auto"/>
          <w:sz w:val="24"/>
          <w:szCs w:val="24"/>
          <w:highlight w:val="none"/>
        </w:rPr>
        <w:t>其它性能指标应符合JT/T280《路面标线涂料》的要求。</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w:t>
      </w:r>
      <w:r>
        <w:rPr>
          <w:rFonts w:hint="eastAsia" w:ascii="宋体" w:hAnsi="宋体" w:eastAsia="宋体" w:cs="宋体"/>
          <w:bCs/>
          <w:color w:val="auto"/>
          <w:sz w:val="24"/>
          <w:szCs w:val="24"/>
          <w:highlight w:val="none"/>
        </w:rPr>
        <w:t>反光水性标线</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4.1</w:t>
      </w:r>
      <w:r>
        <w:rPr>
          <w:rFonts w:hint="eastAsia" w:ascii="宋体" w:hAnsi="宋体" w:eastAsia="宋体" w:cs="宋体"/>
          <w:bCs/>
          <w:color w:val="auto"/>
          <w:sz w:val="24"/>
          <w:szCs w:val="24"/>
          <w:highlight w:val="none"/>
        </w:rPr>
        <w:t>粘度（KU 值）:80～120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4.2</w:t>
      </w:r>
      <w:r>
        <w:rPr>
          <w:rFonts w:hint="eastAsia" w:ascii="宋体" w:hAnsi="宋体" w:eastAsia="宋体" w:cs="宋体"/>
          <w:bCs/>
          <w:color w:val="auto"/>
          <w:sz w:val="24"/>
          <w:szCs w:val="24"/>
          <w:highlight w:val="none"/>
        </w:rPr>
        <w:t>密度（g/cm3）:≥1.6</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4.3</w:t>
      </w:r>
      <w:r>
        <w:rPr>
          <w:rFonts w:hint="eastAsia" w:ascii="宋体" w:hAnsi="宋体" w:eastAsia="宋体" w:cs="宋体"/>
          <w:bCs/>
          <w:color w:val="auto"/>
          <w:sz w:val="24"/>
          <w:szCs w:val="24"/>
          <w:highlight w:val="none"/>
        </w:rPr>
        <w:t>选用环保型水性标线涂料</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4.4</w:t>
      </w:r>
      <w:r>
        <w:rPr>
          <w:rFonts w:hint="eastAsia" w:ascii="宋体" w:hAnsi="宋体" w:eastAsia="宋体" w:cs="宋体"/>
          <w:bCs/>
          <w:color w:val="auto"/>
          <w:sz w:val="24"/>
          <w:szCs w:val="24"/>
          <w:highlight w:val="none"/>
        </w:rPr>
        <w:t>施划时面撒反光微珠</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4.5</w:t>
      </w:r>
      <w:r>
        <w:rPr>
          <w:rFonts w:hint="eastAsia" w:ascii="宋体" w:hAnsi="宋体" w:eastAsia="宋体" w:cs="宋体"/>
          <w:bCs/>
          <w:color w:val="auto"/>
          <w:sz w:val="24"/>
          <w:szCs w:val="24"/>
          <w:highlight w:val="none"/>
        </w:rPr>
        <w:t>初始施划时逆反射系数：白色≥200，黄色≥150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4.6</w:t>
      </w:r>
      <w:r>
        <w:rPr>
          <w:rFonts w:hint="eastAsia" w:ascii="宋体" w:hAnsi="宋体" w:eastAsia="宋体" w:cs="宋体"/>
          <w:bCs/>
          <w:color w:val="auto"/>
          <w:sz w:val="24"/>
          <w:szCs w:val="24"/>
          <w:highlight w:val="none"/>
        </w:rPr>
        <w:t>标线厚度≥0.7mm</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4.7</w:t>
      </w:r>
      <w:r>
        <w:rPr>
          <w:rFonts w:hint="eastAsia" w:ascii="宋体" w:hAnsi="宋体" w:eastAsia="宋体" w:cs="宋体"/>
          <w:bCs/>
          <w:color w:val="auto"/>
          <w:sz w:val="24"/>
          <w:szCs w:val="24"/>
          <w:highlight w:val="none"/>
        </w:rPr>
        <w:t>不粘胎干燥时间≤10min，开放交通干燥时间≤20min</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4.8</w:t>
      </w:r>
      <w:r>
        <w:rPr>
          <w:rFonts w:hint="eastAsia" w:ascii="宋体" w:hAnsi="宋体" w:eastAsia="宋体" w:cs="宋体"/>
          <w:bCs/>
          <w:color w:val="auto"/>
          <w:sz w:val="24"/>
          <w:szCs w:val="24"/>
          <w:highlight w:val="none"/>
        </w:rPr>
        <w:t>耐磨性（mg）:200 转/1000g 后减重≤40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4.9</w:t>
      </w:r>
      <w:r>
        <w:rPr>
          <w:rFonts w:hint="eastAsia" w:ascii="宋体" w:hAnsi="宋体" w:eastAsia="宋体" w:cs="宋体"/>
          <w:bCs/>
          <w:color w:val="auto"/>
          <w:sz w:val="24"/>
          <w:szCs w:val="24"/>
          <w:highlight w:val="none"/>
        </w:rPr>
        <w:t>固体含量（%）:≥75</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4.10</w:t>
      </w:r>
      <w:r>
        <w:rPr>
          <w:rFonts w:hint="eastAsia" w:ascii="宋体" w:hAnsi="宋体" w:eastAsia="宋体" w:cs="宋体"/>
          <w:bCs/>
          <w:color w:val="auto"/>
          <w:sz w:val="24"/>
          <w:szCs w:val="24"/>
          <w:highlight w:val="none"/>
        </w:rPr>
        <w:t>主干道质保：≥1年；其它道路使用寿命：≥1.5年</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w:t>
      </w:r>
      <w:r>
        <w:rPr>
          <w:rFonts w:hint="eastAsia" w:ascii="宋体" w:hAnsi="宋体" w:eastAsia="宋体" w:cs="宋体"/>
          <w:bCs/>
          <w:color w:val="auto"/>
          <w:sz w:val="24"/>
          <w:szCs w:val="24"/>
          <w:highlight w:val="none"/>
        </w:rPr>
        <w:t>双组份反光型涂料</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5.1</w:t>
      </w:r>
      <w:r>
        <w:rPr>
          <w:rFonts w:hint="eastAsia" w:ascii="宋体" w:hAnsi="宋体" w:eastAsia="宋体" w:cs="宋体"/>
          <w:bCs/>
          <w:color w:val="auto"/>
          <w:sz w:val="24"/>
          <w:szCs w:val="24"/>
          <w:highlight w:val="none"/>
        </w:rPr>
        <w:t>密度（g/cm3）:1.5~2.0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5.2</w:t>
      </w:r>
      <w:r>
        <w:rPr>
          <w:rFonts w:hint="eastAsia" w:ascii="宋体" w:hAnsi="宋体" w:eastAsia="宋体" w:cs="宋体"/>
          <w:bCs/>
          <w:color w:val="auto"/>
          <w:sz w:val="24"/>
          <w:szCs w:val="24"/>
          <w:highlight w:val="none"/>
        </w:rPr>
        <w:t>选用双组份反光涂料，内含反光微珠必须≥20%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5.3</w:t>
      </w:r>
      <w:r>
        <w:rPr>
          <w:rFonts w:hint="eastAsia" w:ascii="宋体" w:hAnsi="宋体" w:eastAsia="宋体" w:cs="宋体"/>
          <w:bCs/>
          <w:color w:val="auto"/>
          <w:sz w:val="24"/>
          <w:szCs w:val="24"/>
          <w:highlight w:val="none"/>
        </w:rPr>
        <w:t>初始施划时逆反射系数：白色≥350，黄色≥200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5.4</w:t>
      </w:r>
      <w:r>
        <w:rPr>
          <w:rFonts w:hint="eastAsia" w:ascii="宋体" w:hAnsi="宋体" w:eastAsia="宋体" w:cs="宋体"/>
          <w:bCs/>
          <w:color w:val="auto"/>
          <w:sz w:val="24"/>
          <w:szCs w:val="24"/>
          <w:highlight w:val="none"/>
        </w:rPr>
        <w:t>不粘胎干燥时间≤35min</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5.5</w:t>
      </w:r>
      <w:r>
        <w:rPr>
          <w:rFonts w:hint="eastAsia" w:ascii="宋体" w:hAnsi="宋体" w:eastAsia="宋体" w:cs="宋体"/>
          <w:bCs/>
          <w:color w:val="auto"/>
          <w:sz w:val="24"/>
          <w:szCs w:val="24"/>
          <w:highlight w:val="none"/>
        </w:rPr>
        <w:t>耐磨性（mg）:200 转/1000g 后减重≤30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5.6</w:t>
      </w:r>
      <w:r>
        <w:rPr>
          <w:rFonts w:hint="eastAsia" w:ascii="宋体" w:hAnsi="宋体" w:eastAsia="宋体" w:cs="宋体"/>
          <w:bCs/>
          <w:color w:val="auto"/>
          <w:sz w:val="24"/>
          <w:szCs w:val="24"/>
          <w:highlight w:val="none"/>
        </w:rPr>
        <w:t>标线厚度≥0.5mm</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5.7</w:t>
      </w:r>
      <w:r>
        <w:rPr>
          <w:rFonts w:hint="eastAsia" w:ascii="宋体" w:hAnsi="宋体" w:eastAsia="宋体" w:cs="宋体"/>
          <w:bCs/>
          <w:color w:val="auto"/>
          <w:sz w:val="24"/>
          <w:szCs w:val="24"/>
          <w:highlight w:val="none"/>
        </w:rPr>
        <w:t>主干道质保：≥1.5年；其它道路使用寿命：≥2年</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rPr>
        <w:t>双组份突起型反光涂料</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6.1</w:t>
      </w:r>
      <w:r>
        <w:rPr>
          <w:rFonts w:hint="eastAsia" w:ascii="宋体" w:hAnsi="宋体" w:eastAsia="宋体" w:cs="宋体"/>
          <w:bCs/>
          <w:color w:val="auto"/>
          <w:sz w:val="24"/>
          <w:szCs w:val="24"/>
          <w:highlight w:val="none"/>
        </w:rPr>
        <w:t>密度（g/cm3）:1.5~2.0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6.2</w:t>
      </w:r>
      <w:r>
        <w:rPr>
          <w:rFonts w:hint="eastAsia" w:ascii="宋体" w:hAnsi="宋体" w:eastAsia="宋体" w:cs="宋体"/>
          <w:bCs/>
          <w:color w:val="auto"/>
          <w:sz w:val="24"/>
          <w:szCs w:val="24"/>
          <w:highlight w:val="none"/>
        </w:rPr>
        <w:t>选用双组份突起型反光涂料，内含反光微珠必须≥20%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6.3</w:t>
      </w:r>
      <w:r>
        <w:rPr>
          <w:rFonts w:hint="eastAsia" w:ascii="宋体" w:hAnsi="宋体" w:eastAsia="宋体" w:cs="宋体"/>
          <w:bCs/>
          <w:color w:val="auto"/>
          <w:sz w:val="24"/>
          <w:szCs w:val="24"/>
          <w:highlight w:val="none"/>
        </w:rPr>
        <w:t>初始施划时逆反射系数：白色≥350，黄色≥200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6.4</w:t>
      </w:r>
      <w:r>
        <w:rPr>
          <w:rFonts w:hint="eastAsia" w:ascii="宋体" w:hAnsi="宋体" w:eastAsia="宋体" w:cs="宋体"/>
          <w:bCs/>
          <w:color w:val="auto"/>
          <w:sz w:val="24"/>
          <w:szCs w:val="24"/>
          <w:highlight w:val="none"/>
        </w:rPr>
        <w:t>不粘胎干燥时间≤35min</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6.5</w:t>
      </w:r>
      <w:r>
        <w:rPr>
          <w:rFonts w:hint="eastAsia" w:ascii="宋体" w:hAnsi="宋体" w:eastAsia="宋体" w:cs="宋体"/>
          <w:bCs/>
          <w:color w:val="auto"/>
          <w:sz w:val="24"/>
          <w:szCs w:val="24"/>
          <w:highlight w:val="none"/>
        </w:rPr>
        <w:t>耐磨性（mg）:200 转/1000g 后减重≤30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6.6</w:t>
      </w:r>
      <w:r>
        <w:rPr>
          <w:rFonts w:hint="eastAsia" w:ascii="宋体" w:hAnsi="宋体" w:eastAsia="宋体" w:cs="宋体"/>
          <w:bCs/>
          <w:color w:val="auto"/>
          <w:sz w:val="24"/>
          <w:szCs w:val="24"/>
          <w:highlight w:val="none"/>
        </w:rPr>
        <w:t>标线厚度≥5mm</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6.7</w:t>
      </w:r>
      <w:r>
        <w:rPr>
          <w:rFonts w:hint="eastAsia" w:ascii="宋体" w:hAnsi="宋体" w:eastAsia="宋体" w:cs="宋体"/>
          <w:bCs/>
          <w:color w:val="auto"/>
          <w:sz w:val="24"/>
          <w:szCs w:val="24"/>
          <w:highlight w:val="none"/>
        </w:rPr>
        <w:t xml:space="preserve">主干道质保：≥2年；其它道路使用寿命：≥3年 </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7、</w:t>
      </w:r>
      <w:r>
        <w:rPr>
          <w:rFonts w:hint="eastAsia" w:ascii="宋体" w:hAnsi="宋体" w:eastAsia="宋体" w:cs="宋体"/>
          <w:bCs/>
          <w:color w:val="auto"/>
          <w:sz w:val="24"/>
          <w:szCs w:val="24"/>
          <w:highlight w:val="none"/>
        </w:rPr>
        <w:t>地下管线：包括地下管道的费用与破路和恢复路面等施工费用。横穿管需采用∮89钢管或PE管，接头处需用套管，采用PE管时需用钢筋砼加围；人行道或绿化带下的管道允许采用∮50以上（含）PE管直埋。</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8、</w:t>
      </w:r>
      <w:r>
        <w:rPr>
          <w:rFonts w:hint="eastAsia" w:ascii="宋体" w:hAnsi="宋体" w:eastAsia="宋体" w:cs="宋体"/>
          <w:bCs/>
          <w:color w:val="auto"/>
          <w:sz w:val="24"/>
          <w:szCs w:val="24"/>
          <w:highlight w:val="none"/>
        </w:rPr>
        <w:t>为确保道路美观，所有交通安全设施基座均应埋入地面以下，不外露。如标志在绿化带中，其上必须有40cm的覆土；如基座在人行道上，其上应满足铺设地砖的厚度要求，标志杆立柱钢管在制作时应相应加长，确保道路净空满足规范要求。</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9、</w:t>
      </w:r>
      <w:r>
        <w:rPr>
          <w:rFonts w:hint="eastAsia" w:ascii="宋体" w:hAnsi="宋体" w:eastAsia="宋体" w:cs="宋体"/>
          <w:bCs/>
          <w:color w:val="auto"/>
          <w:sz w:val="24"/>
          <w:szCs w:val="24"/>
          <w:highlight w:val="none"/>
        </w:rPr>
        <w:t>所有标线施划均应先放样后漆划（除标线要求覆盖外）。</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w:t>
      </w:r>
      <w:r>
        <w:rPr>
          <w:rFonts w:hint="eastAsia" w:ascii="宋体" w:hAnsi="宋体" w:eastAsia="宋体" w:cs="宋体"/>
          <w:bCs/>
          <w:color w:val="auto"/>
          <w:sz w:val="24"/>
          <w:szCs w:val="24"/>
          <w:highlight w:val="none"/>
        </w:rPr>
        <w:t>、LED光学要求：</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10.1</w:t>
      </w:r>
      <w:r>
        <w:rPr>
          <w:rFonts w:hint="eastAsia" w:ascii="宋体" w:hAnsi="宋体" w:eastAsia="宋体" w:cs="宋体"/>
          <w:bCs/>
          <w:color w:val="auto"/>
          <w:sz w:val="24"/>
          <w:szCs w:val="24"/>
          <w:highlight w:val="none"/>
        </w:rPr>
        <w:t>发光单元使用的LED芯片必须是四元素技术制造；</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10.2</w:t>
      </w:r>
      <w:r>
        <w:rPr>
          <w:rFonts w:hint="eastAsia" w:ascii="宋体" w:hAnsi="宋体" w:eastAsia="宋体" w:cs="宋体"/>
          <w:bCs/>
          <w:color w:val="auto"/>
          <w:sz w:val="24"/>
          <w:szCs w:val="24"/>
          <w:highlight w:val="none"/>
        </w:rPr>
        <w:t>发光单元的光强度（无图案警示灯标准），大于800cd；</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10.3</w:t>
      </w:r>
      <w:r>
        <w:rPr>
          <w:rFonts w:hint="eastAsia" w:ascii="宋体" w:hAnsi="宋体" w:eastAsia="宋体" w:cs="宋体"/>
          <w:bCs/>
          <w:color w:val="auto"/>
          <w:sz w:val="24"/>
          <w:szCs w:val="24"/>
          <w:highlight w:val="none"/>
        </w:rPr>
        <w:t>发光单元使用的LED基准波长：红色625±5nm，蓝色460±5nm，其色度应符合交通信号灯坐标的规定范围；</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10.4</w:t>
      </w:r>
      <w:r>
        <w:rPr>
          <w:rFonts w:hint="eastAsia" w:ascii="宋体" w:hAnsi="宋体" w:eastAsia="宋体" w:cs="宋体"/>
          <w:bCs/>
          <w:color w:val="auto"/>
          <w:sz w:val="24"/>
          <w:szCs w:val="24"/>
          <w:highlight w:val="none"/>
        </w:rPr>
        <w:t>发光单元应有良好的配光设计及反光聚光套碗，其水平（垂直）视角不小于以白炽灯为光源的灯具；</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10.5</w:t>
      </w:r>
      <w:r>
        <w:rPr>
          <w:rFonts w:hint="eastAsia" w:ascii="宋体" w:hAnsi="宋体" w:eastAsia="宋体" w:cs="宋体"/>
          <w:bCs/>
          <w:color w:val="auto"/>
          <w:sz w:val="24"/>
          <w:szCs w:val="24"/>
          <w:highlight w:val="none"/>
        </w:rPr>
        <w:t>在规定照射区域内，发光强度应均匀，即在该区域内任一方向上的发光强度不应低于该方向相邻有数值规定方向中的最小值；</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10.6</w:t>
      </w:r>
      <w:r>
        <w:rPr>
          <w:rFonts w:hint="eastAsia" w:ascii="宋体" w:hAnsi="宋体" w:eastAsia="宋体" w:cs="宋体"/>
          <w:bCs/>
          <w:color w:val="auto"/>
          <w:sz w:val="24"/>
          <w:szCs w:val="24"/>
          <w:highlight w:val="none"/>
        </w:rPr>
        <w:t>LED交通警示灯发光单元的光强度衰减六十个月后大于400cd；在正常工作条件下无故障工作时间大于六十个月；</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10.7</w:t>
      </w:r>
      <w:r>
        <w:rPr>
          <w:rFonts w:hint="eastAsia" w:ascii="宋体" w:hAnsi="宋体" w:eastAsia="宋体" w:cs="宋体"/>
          <w:bCs/>
          <w:color w:val="auto"/>
          <w:sz w:val="24"/>
          <w:szCs w:val="24"/>
          <w:highlight w:val="none"/>
        </w:rPr>
        <w:t>每只LED应被安排在小于五个串联的单元电路中；</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10.8</w:t>
      </w:r>
      <w:r>
        <w:rPr>
          <w:rFonts w:hint="eastAsia" w:ascii="宋体" w:hAnsi="宋体" w:eastAsia="宋体" w:cs="宋体"/>
          <w:bCs/>
          <w:color w:val="auto"/>
          <w:sz w:val="24"/>
          <w:szCs w:val="24"/>
          <w:highlight w:val="none"/>
        </w:rPr>
        <w:t>每只发光单元的电源引线，应采取符合国家电工标准的导线，线经不小于0.75mm2，红、黄、绿色的三种发光单元除回路线外应分别用红、黄、绿色的导线；</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11、</w:t>
      </w:r>
      <w:r>
        <w:rPr>
          <w:rFonts w:hint="eastAsia" w:ascii="宋体" w:hAnsi="宋体" w:eastAsia="宋体" w:cs="宋体"/>
          <w:bCs/>
          <w:color w:val="auto"/>
          <w:sz w:val="24"/>
          <w:szCs w:val="24"/>
          <w:highlight w:val="none"/>
        </w:rPr>
        <w:t>其它国家相关规定与标准。</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12、</w:t>
      </w:r>
      <w:r>
        <w:rPr>
          <w:rFonts w:hint="eastAsia" w:ascii="宋体" w:hAnsi="宋体" w:eastAsia="宋体" w:cs="宋体"/>
          <w:bCs/>
          <w:color w:val="auto"/>
          <w:sz w:val="24"/>
          <w:szCs w:val="24"/>
          <w:highlight w:val="none"/>
        </w:rPr>
        <w:t>反光膜、涂料、钢材、铝材、LED等材料必须提供出厂合格证及相关部门产品检测证（其中反光膜、涂料必须提供厂家品牌），产品质量必须达到国家行业标准。</w:t>
      </w:r>
    </w:p>
    <w:p>
      <w:pPr>
        <w:pStyle w:val="74"/>
        <w:rPr>
          <w:rFonts w:hint="eastAsia" w:ascii="宋体" w:hAnsi="宋体" w:eastAsia="宋体" w:cs="宋体"/>
          <w:color w:val="auto"/>
          <w:sz w:val="44"/>
          <w:szCs w:val="44"/>
          <w:highlight w:val="none"/>
        </w:rPr>
      </w:pPr>
    </w:p>
    <w:p>
      <w:pPr>
        <w:rPr>
          <w:rFonts w:hint="eastAsia" w:ascii="宋体" w:hAnsi="宋体" w:eastAsia="宋体" w:cs="宋体"/>
          <w:color w:val="auto"/>
          <w:highlight w:val="none"/>
        </w:rPr>
      </w:pPr>
    </w:p>
    <w:p>
      <w:pPr>
        <w:pStyle w:val="74"/>
        <w:rPr>
          <w:rFonts w:hint="eastAsia" w:ascii="宋体" w:hAnsi="宋体" w:eastAsia="宋体" w:cs="宋体"/>
          <w:color w:val="auto"/>
          <w:sz w:val="28"/>
          <w:highlight w:val="none"/>
        </w:rPr>
        <w:sectPr>
          <w:pgSz w:w="11906" w:h="16838"/>
          <w:pgMar w:top="1531" w:right="1304" w:bottom="1531" w:left="1361" w:header="851" w:footer="1304" w:gutter="0"/>
          <w:paperSrc/>
          <w:pgBorders>
            <w:top w:val="none" w:sz="0" w:space="0"/>
            <w:left w:val="none" w:sz="0" w:space="0"/>
            <w:bottom w:val="none" w:sz="0" w:space="0"/>
            <w:right w:val="none" w:sz="0" w:space="0"/>
          </w:pgBorders>
          <w:cols w:space="720" w:num="1"/>
          <w:rtlGutter w:val="0"/>
          <w:docGrid w:linePitch="315" w:charSpace="0"/>
        </w:sectPr>
      </w:pPr>
    </w:p>
    <w:p>
      <w:pPr>
        <w:pStyle w:val="74"/>
        <w:rPr>
          <w:rFonts w:hint="eastAsia" w:ascii="宋体" w:hAnsi="宋体" w:eastAsia="宋体" w:cs="宋体"/>
          <w:color w:val="auto"/>
          <w:sz w:val="28"/>
          <w:highlight w:val="none"/>
        </w:rPr>
      </w:pPr>
      <w:r>
        <w:rPr>
          <w:rFonts w:hint="eastAsia" w:ascii="宋体" w:hAnsi="宋体" w:eastAsia="宋体" w:cs="宋体"/>
          <w:color w:val="auto"/>
          <w:sz w:val="28"/>
          <w:highlight w:val="none"/>
        </w:rPr>
        <w:t>第四部分  合同样本</w:t>
      </w:r>
    </w:p>
    <w:p>
      <w:pPr>
        <w:pStyle w:val="42"/>
        <w:wordWrap w:val="0"/>
        <w:snapToGrid w:val="0"/>
        <w:spacing w:line="600" w:lineRule="exact"/>
        <w:jc w:val="right"/>
        <w:rPr>
          <w:rFonts w:hint="eastAsia" w:ascii="宋体" w:hAnsi="宋体" w:eastAsia="宋体" w:cs="宋体"/>
          <w:b/>
          <w:color w:val="auto"/>
          <w:sz w:val="28"/>
          <w:szCs w:val="28"/>
          <w:highlight w:val="none"/>
        </w:rPr>
      </w:pPr>
      <w:r>
        <w:rPr>
          <w:rFonts w:hint="eastAsia" w:ascii="宋体" w:hAnsi="宋体" w:eastAsia="宋体" w:cs="宋体"/>
          <w:color w:val="auto"/>
          <w:sz w:val="24"/>
          <w:szCs w:val="24"/>
          <w:highlight w:val="none"/>
        </w:rPr>
        <w:t xml:space="preserve">合同编号：            </w:t>
      </w:r>
    </w:p>
    <w:p>
      <w:pPr>
        <w:pStyle w:val="42"/>
        <w:snapToGrid w:val="0"/>
        <w:spacing w:line="6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甲方：（买方）</w:t>
      </w:r>
    </w:p>
    <w:p>
      <w:pPr>
        <w:pStyle w:val="42"/>
        <w:snapToGrid w:val="0"/>
        <w:spacing w:line="6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乙方：（卖方）</w:t>
      </w:r>
    </w:p>
    <w:p>
      <w:pPr>
        <w:pStyle w:val="42"/>
        <w:snapToGrid w:val="0"/>
        <w:spacing w:line="6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鉴证方：</w:t>
      </w:r>
    </w:p>
    <w:p>
      <w:pPr>
        <w:pStyle w:val="42"/>
        <w:snapToGrid w:val="0"/>
        <w:spacing w:line="6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w:t>
      </w:r>
      <w:r>
        <w:rPr>
          <w:rFonts w:hint="eastAsia" w:ascii="宋体" w:hAnsi="宋体" w:eastAsia="宋体" w:cs="宋体"/>
          <w:color w:val="auto"/>
          <w:sz w:val="24"/>
          <w:szCs w:val="24"/>
          <w:highlight w:val="none"/>
        </w:rPr>
        <w:t>甲、乙双方根据</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项目（项目编号：</w:t>
      </w:r>
      <w:r>
        <w:rPr>
          <w:rFonts w:hint="eastAsia" w:ascii="宋体" w:hAnsi="宋体" w:eastAsia="宋体" w:cs="宋体"/>
          <w:color w:val="auto"/>
          <w:sz w:val="24"/>
          <w:highlight w:val="none"/>
          <w:lang w:eastAsia="zh-CN"/>
        </w:rPr>
        <w:t>RTZFCG-2021-</w:t>
      </w:r>
      <w:r>
        <w:rPr>
          <w:rFonts w:hint="eastAsia" w:ascii="宋体" w:hAnsi="宋体" w:eastAsia="宋体" w:cs="宋体"/>
          <w:color w:val="auto"/>
          <w:sz w:val="24"/>
          <w:highlight w:val="none"/>
        </w:rPr>
        <w:t xml:space="preserve">  </w:t>
      </w:r>
      <w:r>
        <w:rPr>
          <w:rFonts w:hint="eastAsia" w:ascii="宋体" w:hAnsi="宋体" w:eastAsia="宋体" w:cs="宋体"/>
          <w:color w:val="auto"/>
          <w:sz w:val="24"/>
          <w:szCs w:val="24"/>
          <w:highlight w:val="none"/>
        </w:rPr>
        <w:t>）公开招标的结果，签署本合同。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bCs w:val="0"/>
          <w:color w:val="auto"/>
          <w:sz w:val="24"/>
          <w:highlight w:val="none"/>
        </w:rPr>
      </w:pPr>
      <w:r>
        <w:rPr>
          <w:rFonts w:hint="eastAsia" w:ascii="宋体" w:hAnsi="宋体" w:eastAsia="宋体" w:cs="宋体"/>
          <w:b/>
          <w:bCs w:val="0"/>
          <w:color w:val="auto"/>
          <w:sz w:val="24"/>
          <w:highlight w:val="none"/>
          <w:lang w:val="en-US" w:eastAsia="zh-CN"/>
        </w:rPr>
        <w:t>一、</w:t>
      </w:r>
      <w:r>
        <w:rPr>
          <w:rFonts w:hint="eastAsia" w:ascii="宋体" w:hAnsi="宋体" w:eastAsia="宋体" w:cs="宋体"/>
          <w:b/>
          <w:bCs w:val="0"/>
          <w:color w:val="auto"/>
          <w:sz w:val="24"/>
          <w:highlight w:val="none"/>
        </w:rPr>
        <w:t>项目概况：</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本项目为“交钥匙”项目，本项目采购内容为</w:t>
      </w:r>
      <w:r>
        <w:rPr>
          <w:rFonts w:hint="eastAsia" w:ascii="宋体" w:hAnsi="宋体" w:eastAsia="宋体" w:cs="宋体"/>
          <w:b w:val="0"/>
          <w:bCs/>
          <w:color w:val="auto"/>
          <w:sz w:val="24"/>
          <w:highlight w:val="none"/>
          <w:lang w:val="en-US" w:eastAsia="zh-CN"/>
        </w:rPr>
        <w:t>余杭街道城区道路交通设施零星维护项目</w:t>
      </w:r>
      <w:r>
        <w:rPr>
          <w:rFonts w:hint="eastAsia" w:ascii="宋体" w:hAnsi="宋体" w:eastAsia="宋体" w:cs="宋体"/>
          <w:b w:val="0"/>
          <w:bCs/>
          <w:color w:val="auto"/>
          <w:sz w:val="24"/>
          <w:highlight w:val="none"/>
          <w:lang w:eastAsia="zh-CN"/>
        </w:rPr>
        <w:t>；</w:t>
      </w:r>
      <w:r>
        <w:rPr>
          <w:rFonts w:hint="eastAsia" w:ascii="宋体" w:hAnsi="宋体" w:eastAsia="宋体" w:cs="宋体"/>
          <w:b w:val="0"/>
          <w:bCs/>
          <w:color w:val="auto"/>
          <w:sz w:val="24"/>
          <w:highlight w:val="none"/>
          <w:lang w:val="en-US" w:eastAsia="zh-CN"/>
        </w:rPr>
        <w:t>投标报价（费率报价）包括人工费、材料费、机械使用费、管理、利润、规费、税金、招标代理费、有关部门的验收费、政策性文件规定及合同包含的所有风险、责任及其他因本项目而产生的一切费用。</w:t>
      </w:r>
      <w:r>
        <w:rPr>
          <w:rFonts w:hint="eastAsia" w:ascii="宋体" w:hAnsi="宋体" w:eastAsia="宋体" w:cs="宋体"/>
          <w:b w:val="0"/>
          <w:bCs/>
          <w:color w:val="auto"/>
          <w:sz w:val="24"/>
          <w:highlight w:val="none"/>
        </w:rPr>
        <w:t>本项目包含设施破损维修及部分新增交通安全设施设备（以各相关部门联系单、抄告单及任务单描述作为依据。包括原受损设施的拆除、运输和处理</w:t>
      </w:r>
      <w:r>
        <w:rPr>
          <w:rFonts w:hint="eastAsia" w:ascii="宋体" w:hAnsi="宋体" w:eastAsia="宋体" w:cs="宋体"/>
          <w:b w:val="0"/>
          <w:bCs/>
          <w:color w:val="auto"/>
          <w:sz w:val="24"/>
          <w:highlight w:val="none"/>
          <w:lang w:eastAsia="zh-CN"/>
        </w:rPr>
        <w:t>、</w:t>
      </w:r>
      <w:r>
        <w:rPr>
          <w:rFonts w:hint="eastAsia" w:ascii="宋体" w:hAnsi="宋体" w:eastAsia="宋体" w:cs="宋体"/>
          <w:b w:val="0"/>
          <w:bCs/>
          <w:color w:val="auto"/>
          <w:sz w:val="24"/>
          <w:highlight w:val="none"/>
        </w:rPr>
        <w:t>新设施的采购、运输、仓储、安装、调试、税金、质保期内的售后服务等。</w:t>
      </w:r>
    </w:p>
    <w:p>
      <w:pPr>
        <w:pStyle w:val="3"/>
        <w:wordWrap/>
        <w:spacing w:line="600" w:lineRule="exact"/>
        <w:ind w:left="0" w:leftChars="0" w:firstLine="0" w:firstLineChars="0"/>
        <w:rPr>
          <w:rFonts w:hint="eastAsia" w:ascii="宋体" w:hAnsi="宋体" w:eastAsia="宋体" w:cs="宋体"/>
          <w:b/>
          <w:bCs w:val="0"/>
          <w:color w:val="auto"/>
          <w:spacing w:val="0"/>
          <w:kern w:val="2"/>
          <w:sz w:val="24"/>
          <w:szCs w:val="24"/>
          <w:highlight w:val="none"/>
          <w:lang w:val="en-US" w:eastAsia="zh-CN" w:bidi="ar-SA"/>
        </w:rPr>
      </w:pPr>
      <w:r>
        <w:rPr>
          <w:rFonts w:hint="eastAsia" w:ascii="宋体" w:hAnsi="宋体" w:eastAsia="宋体" w:cs="宋体"/>
          <w:b/>
          <w:bCs w:val="0"/>
          <w:color w:val="auto"/>
          <w:spacing w:val="0"/>
          <w:kern w:val="2"/>
          <w:sz w:val="24"/>
          <w:szCs w:val="24"/>
          <w:highlight w:val="none"/>
          <w:lang w:val="en-US" w:eastAsia="zh-CN" w:bidi="ar-SA"/>
        </w:rPr>
        <w:t>二、服务要求</w:t>
      </w:r>
    </w:p>
    <w:p>
      <w:pPr>
        <w:wordWrap/>
        <w:adjustRightInd w:val="0"/>
        <w:snapToGrid w:val="0"/>
        <w:spacing w:line="600" w:lineRule="exact"/>
        <w:ind w:firstLine="480" w:firstLineChars="200"/>
        <w:jc w:val="left"/>
        <w:outlineLvl w:val="0"/>
        <w:rPr>
          <w:rFonts w:hint="eastAsia" w:ascii="宋体" w:hAnsi="宋体" w:eastAsia="宋体" w:cs="宋体"/>
          <w:b w:val="0"/>
          <w:bCs/>
          <w:snapToGrid/>
          <w:color w:val="auto"/>
          <w:kern w:val="2"/>
          <w:sz w:val="24"/>
          <w:szCs w:val="24"/>
          <w:highlight w:val="none"/>
        </w:rPr>
      </w:pPr>
      <w:r>
        <w:rPr>
          <w:rFonts w:hint="eastAsia" w:ascii="宋体" w:hAnsi="宋体" w:eastAsia="宋体" w:cs="宋体"/>
          <w:b w:val="0"/>
          <w:bCs/>
          <w:snapToGrid/>
          <w:color w:val="auto"/>
          <w:kern w:val="2"/>
          <w:sz w:val="24"/>
          <w:szCs w:val="24"/>
          <w:highlight w:val="none"/>
          <w:lang w:eastAsia="zh-CN"/>
        </w:rPr>
        <w:t>（</w:t>
      </w:r>
      <w:r>
        <w:rPr>
          <w:rFonts w:hint="eastAsia" w:ascii="宋体" w:hAnsi="宋体" w:eastAsia="宋体" w:cs="宋体"/>
          <w:b w:val="0"/>
          <w:bCs/>
          <w:snapToGrid/>
          <w:color w:val="auto"/>
          <w:kern w:val="2"/>
          <w:sz w:val="24"/>
          <w:szCs w:val="24"/>
          <w:highlight w:val="none"/>
          <w:lang w:val="en-US" w:eastAsia="zh-CN"/>
        </w:rPr>
        <w:t>一）</w:t>
      </w:r>
      <w:r>
        <w:rPr>
          <w:rFonts w:hint="eastAsia" w:ascii="宋体" w:hAnsi="宋体" w:eastAsia="宋体" w:cs="宋体"/>
          <w:b w:val="0"/>
          <w:bCs/>
          <w:snapToGrid/>
          <w:color w:val="auto"/>
          <w:kern w:val="2"/>
          <w:sz w:val="24"/>
          <w:szCs w:val="24"/>
          <w:highlight w:val="none"/>
        </w:rPr>
        <w:t>日常维护主要内容：</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b w:val="0"/>
          <w:bCs/>
          <w:snapToGrid w:val="0"/>
          <w:color w:val="auto"/>
          <w:kern w:val="0"/>
          <w:sz w:val="24"/>
          <w:szCs w:val="24"/>
          <w:highlight w:val="none"/>
        </w:rPr>
      </w:pPr>
      <w:r>
        <w:rPr>
          <w:rFonts w:hint="eastAsia" w:ascii="宋体" w:hAnsi="宋体" w:eastAsia="宋体" w:cs="宋体"/>
          <w:b w:val="0"/>
          <w:bCs/>
          <w:snapToGrid w:val="0"/>
          <w:color w:val="auto"/>
          <w:kern w:val="0"/>
          <w:sz w:val="24"/>
          <w:szCs w:val="24"/>
          <w:highlight w:val="none"/>
          <w:lang w:val="en-US" w:eastAsia="zh-CN"/>
        </w:rPr>
        <w:t>1、</w:t>
      </w:r>
      <w:r>
        <w:rPr>
          <w:rFonts w:hint="eastAsia" w:ascii="宋体" w:hAnsi="宋体" w:eastAsia="宋体" w:cs="宋体"/>
          <w:b w:val="0"/>
          <w:bCs/>
          <w:snapToGrid w:val="0"/>
          <w:color w:val="auto"/>
          <w:kern w:val="0"/>
          <w:sz w:val="24"/>
          <w:szCs w:val="24"/>
          <w:highlight w:val="none"/>
        </w:rPr>
        <w:t>交通监视设施：</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1.1</w:t>
      </w:r>
      <w:r>
        <w:rPr>
          <w:rFonts w:hint="eastAsia" w:ascii="宋体" w:hAnsi="宋体" w:eastAsia="宋体" w:cs="宋体"/>
          <w:snapToGrid w:val="0"/>
          <w:color w:val="auto"/>
          <w:kern w:val="0"/>
          <w:sz w:val="24"/>
          <w:szCs w:val="24"/>
          <w:highlight w:val="none"/>
        </w:rPr>
        <w:t>建立完善的维护机制，使之具有调度、协调、监督、培训等管理功能，具体包括：</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a.委派会管理、有经验的人员担任调度员；</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b.制定维修维护操作规程及工作要求；</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c.做好详细维修记录台帐，定期汇总向采购人书面汇报；</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d.调度人员实时了解维修维护情况，进行指导、协调，督察维护进展。</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1.2</w:t>
      </w:r>
      <w:r>
        <w:rPr>
          <w:rFonts w:hint="eastAsia" w:ascii="宋体" w:hAnsi="宋体" w:eastAsia="宋体" w:cs="宋体"/>
          <w:snapToGrid w:val="0"/>
          <w:color w:val="auto"/>
          <w:kern w:val="0"/>
          <w:sz w:val="24"/>
          <w:szCs w:val="24"/>
          <w:highlight w:val="none"/>
        </w:rPr>
        <w:t>确保招标范围内维护点7×24小时正常运行，数据的安全存储、备份。</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1.3</w:t>
      </w:r>
      <w:r>
        <w:rPr>
          <w:rFonts w:hint="eastAsia" w:ascii="宋体" w:hAnsi="宋体" w:eastAsia="宋体" w:cs="宋体"/>
          <w:snapToGrid w:val="0"/>
          <w:color w:val="auto"/>
          <w:kern w:val="0"/>
          <w:sz w:val="24"/>
          <w:szCs w:val="24"/>
          <w:highlight w:val="none"/>
        </w:rPr>
        <w:t>招标范围内点位平台上运行情况每天巡检一次并建立巡检台帐，路口点每月至少巡检一次，并建立巡检台帐，每周上报一次，供甲方随时检查。巡检内容为：</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a.清洁工作，保证内外场设备及机房的安全、整洁、干净。</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b.统计遮挡物，如树枝等遮挡设备的情况，并每周统计上报，协助清理。</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C</w:t>
      </w:r>
      <w:r>
        <w:rPr>
          <w:rFonts w:hint="eastAsia"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rPr>
        <w:t>安全检查，保证外场设备用电、防雷、防锈、防水等设施安全。</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d.调整光圈、焦距、白平衡等参数，保证图像清晰。</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e.检查外场设备的完整性和牢固性，消除人为或自然原因影响安全和功能使用的隐患。</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f.对监控设备选型、安装、调试、维修等情况进行全面汇总研究，定期提出建议和改进意见。</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g.做好基础资料编辑修改工作,编写基础资料电子资料库。</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1.4</w:t>
      </w:r>
      <w:r>
        <w:rPr>
          <w:rFonts w:hint="eastAsia" w:ascii="宋体" w:hAnsi="宋体" w:eastAsia="宋体" w:cs="宋体"/>
          <w:snapToGrid w:val="0"/>
          <w:color w:val="auto"/>
          <w:kern w:val="0"/>
          <w:sz w:val="24"/>
          <w:szCs w:val="24"/>
          <w:highlight w:val="none"/>
        </w:rPr>
        <w:t>遇灾害天气，应提前检查加固外场设备，确保外场设备的安全。因灾害天气造成的损失以及后果，由中标人承担。</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1.5</w:t>
      </w:r>
      <w:r>
        <w:rPr>
          <w:rFonts w:hint="eastAsia" w:ascii="宋体" w:hAnsi="宋体" w:eastAsia="宋体" w:cs="宋体"/>
          <w:snapToGrid w:val="0"/>
          <w:color w:val="auto"/>
          <w:kern w:val="0"/>
          <w:sz w:val="24"/>
          <w:szCs w:val="24"/>
          <w:highlight w:val="none"/>
        </w:rPr>
        <w:t>每年重要节假日（“五一”、“十一”等）、大型活动期间，特定巡检、维修、维护、清洁、保养。重大活动现场保障人员定期到采购人中心机房培训。</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1.6</w:t>
      </w:r>
      <w:r>
        <w:rPr>
          <w:rFonts w:hint="eastAsia" w:ascii="宋体" w:hAnsi="宋体" w:eastAsia="宋体" w:cs="宋体"/>
          <w:snapToGrid w:val="0"/>
          <w:color w:val="auto"/>
          <w:kern w:val="0"/>
          <w:sz w:val="24"/>
          <w:szCs w:val="24"/>
          <w:highlight w:val="none"/>
        </w:rPr>
        <w:t>日常维护故障点维修时间要求：外场点位系统故障，须5分钟响应，1小时内到达现场，12小时恢复系统正常运行。</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1.7</w:t>
      </w:r>
      <w:r>
        <w:rPr>
          <w:rFonts w:hint="eastAsia" w:ascii="宋体" w:hAnsi="宋体" w:eastAsia="宋体" w:cs="宋体"/>
          <w:snapToGrid w:val="0"/>
          <w:color w:val="auto"/>
          <w:kern w:val="0"/>
          <w:sz w:val="24"/>
          <w:szCs w:val="24"/>
          <w:highlight w:val="none"/>
        </w:rPr>
        <w:t>外场设施遇偷盗、人为破坏等外力因素，造成设备丢失或无法继续使用，应及时报警备案（属地***）。</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b w:val="0"/>
          <w:bCs/>
          <w:snapToGrid w:val="0"/>
          <w:color w:val="auto"/>
          <w:kern w:val="0"/>
          <w:sz w:val="24"/>
          <w:szCs w:val="24"/>
          <w:highlight w:val="none"/>
        </w:rPr>
      </w:pPr>
      <w:r>
        <w:rPr>
          <w:rFonts w:hint="eastAsia" w:ascii="宋体" w:hAnsi="宋体" w:eastAsia="宋体" w:cs="宋体"/>
          <w:b w:val="0"/>
          <w:bCs/>
          <w:snapToGrid w:val="0"/>
          <w:color w:val="auto"/>
          <w:kern w:val="0"/>
          <w:sz w:val="24"/>
          <w:szCs w:val="24"/>
          <w:highlight w:val="none"/>
          <w:lang w:val="en-US" w:eastAsia="zh-CN"/>
        </w:rPr>
        <w:t>2、</w:t>
      </w:r>
      <w:r>
        <w:rPr>
          <w:rFonts w:hint="eastAsia" w:ascii="宋体" w:hAnsi="宋体" w:eastAsia="宋体" w:cs="宋体"/>
          <w:b w:val="0"/>
          <w:bCs/>
          <w:snapToGrid w:val="0"/>
          <w:color w:val="auto"/>
          <w:kern w:val="0"/>
          <w:sz w:val="24"/>
          <w:szCs w:val="24"/>
          <w:highlight w:val="none"/>
        </w:rPr>
        <w:t>交通非现场执法设施：</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2.1</w:t>
      </w:r>
      <w:r>
        <w:rPr>
          <w:rFonts w:hint="eastAsia" w:ascii="宋体" w:hAnsi="宋体" w:eastAsia="宋体" w:cs="宋体"/>
          <w:snapToGrid w:val="0"/>
          <w:color w:val="auto"/>
          <w:kern w:val="0"/>
          <w:sz w:val="24"/>
          <w:szCs w:val="24"/>
          <w:highlight w:val="none"/>
        </w:rPr>
        <w:t>建立完善的维护机制，使之具有调度、协调、监督、培训等管理功能，具体包括：</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a.委派会管理、有经验的人员担任调度员；</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b.制定维修维护操作规程及工作要求；</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c.做好详细维修记录台帐，定期汇总向采购人书面汇报；</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d.调度人员实时了解维修维护情况，进行指导、协调，督察维护进展。</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2.2</w:t>
      </w:r>
      <w:r>
        <w:rPr>
          <w:rFonts w:hint="eastAsia" w:ascii="宋体" w:hAnsi="宋体" w:eastAsia="宋体" w:cs="宋体"/>
          <w:snapToGrid w:val="0"/>
          <w:color w:val="auto"/>
          <w:kern w:val="0"/>
          <w:sz w:val="24"/>
          <w:szCs w:val="24"/>
          <w:highlight w:val="none"/>
        </w:rPr>
        <w:t>招标范围内维护点7×24小时正常运行，违法数据的安全存储、备份。</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2.3</w:t>
      </w:r>
      <w:r>
        <w:rPr>
          <w:rFonts w:hint="eastAsia" w:ascii="宋体" w:hAnsi="宋体" w:eastAsia="宋体" w:cs="宋体"/>
          <w:snapToGrid w:val="0"/>
          <w:color w:val="auto"/>
          <w:kern w:val="0"/>
          <w:sz w:val="24"/>
          <w:szCs w:val="24"/>
          <w:highlight w:val="none"/>
        </w:rPr>
        <w:t>招标范围内点位平台上运行情况每天巡检一次并建立巡检台帐，招标范围内路口点每月至少巡检一次，并建立巡检台帐，每周上报一次，供采购人随时检查。巡检内容为：</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 xml:space="preserve">a.清洁设备，保证外场设备安全、整洁、干净。  </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b.安全检查，保证外场设备用电、防雷、防锈、防水等设施安全。</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c.统计遮挡物，如树枝等遮挡设备的情况，并每周统计上报，协助清理。</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d.调整光圈、焦距、白平衡等参数，保证图像清晰。</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e.检查外场设备的完整性和牢固性，消除人为或自然原因影响安全和功能使用的隐患。</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f.做好基础资料编辑修改工作,编写基础资料电子资料库。</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2.4</w:t>
      </w:r>
      <w:r>
        <w:rPr>
          <w:rFonts w:hint="eastAsia" w:ascii="宋体" w:hAnsi="宋体" w:eastAsia="宋体" w:cs="宋体"/>
          <w:snapToGrid w:val="0"/>
          <w:color w:val="auto"/>
          <w:kern w:val="0"/>
          <w:sz w:val="24"/>
          <w:szCs w:val="24"/>
          <w:highlight w:val="none"/>
        </w:rPr>
        <w:t>接采购人通知后在十个工作日能完成指定路口的调整改造任务。</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2.5</w:t>
      </w:r>
      <w:r>
        <w:rPr>
          <w:rFonts w:hint="eastAsia" w:ascii="宋体" w:hAnsi="宋体" w:eastAsia="宋体" w:cs="宋体"/>
          <w:snapToGrid w:val="0"/>
          <w:color w:val="auto"/>
          <w:kern w:val="0"/>
          <w:sz w:val="24"/>
          <w:szCs w:val="24"/>
          <w:highlight w:val="none"/>
        </w:rPr>
        <w:t>遇灾害天气，应提前检查加固外场设备，确保外场设备的安全。因灾害天气造成的损失以及后果，由中标人承担。</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2.6</w:t>
      </w:r>
      <w:r>
        <w:rPr>
          <w:rFonts w:hint="eastAsia" w:ascii="宋体" w:hAnsi="宋体" w:eastAsia="宋体" w:cs="宋体"/>
          <w:snapToGrid w:val="0"/>
          <w:color w:val="auto"/>
          <w:kern w:val="0"/>
          <w:sz w:val="24"/>
          <w:szCs w:val="24"/>
          <w:highlight w:val="none"/>
        </w:rPr>
        <w:t>每年重要节假日（“五一”、“十一”等）、大型活动期间，特定巡检、维修、维护、清洁、保养。</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2.7</w:t>
      </w:r>
      <w:r>
        <w:rPr>
          <w:rFonts w:hint="eastAsia" w:ascii="宋体" w:hAnsi="宋体" w:eastAsia="宋体" w:cs="宋体"/>
          <w:snapToGrid w:val="0"/>
          <w:color w:val="auto"/>
          <w:kern w:val="0"/>
          <w:sz w:val="24"/>
          <w:szCs w:val="24"/>
          <w:highlight w:val="none"/>
        </w:rPr>
        <w:t>日常维护故障点维修时间要求：外场点位系统故障，须5分钟响应，1小时到达现场， 48小时内恢复系统正常运行。</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2.8</w:t>
      </w:r>
      <w:r>
        <w:rPr>
          <w:rFonts w:hint="eastAsia" w:ascii="宋体" w:hAnsi="宋体" w:eastAsia="宋体" w:cs="宋体"/>
          <w:snapToGrid w:val="0"/>
          <w:color w:val="auto"/>
          <w:kern w:val="0"/>
          <w:sz w:val="24"/>
          <w:szCs w:val="24"/>
          <w:highlight w:val="none"/>
        </w:rPr>
        <w:t>外场设施遇偷盗、人为破坏等外力因素，造成设备丢失或无法继续使用，应及时报警备案（属地***）。</w:t>
      </w:r>
    </w:p>
    <w:p>
      <w:pPr>
        <w:wordWrap/>
        <w:adjustRightInd w:val="0"/>
        <w:snapToGrid w:val="0"/>
        <w:spacing w:line="600" w:lineRule="exact"/>
        <w:ind w:firstLine="480" w:firstLineChars="200"/>
        <w:jc w:val="left"/>
        <w:outlineLvl w:val="0"/>
        <w:rPr>
          <w:rFonts w:hint="eastAsia" w:ascii="宋体" w:hAnsi="宋体" w:eastAsia="宋体" w:cs="宋体"/>
          <w:b w:val="0"/>
          <w:bCs/>
          <w:snapToGrid/>
          <w:color w:val="auto"/>
          <w:kern w:val="2"/>
          <w:sz w:val="24"/>
          <w:szCs w:val="24"/>
          <w:highlight w:val="none"/>
        </w:rPr>
      </w:pPr>
      <w:r>
        <w:rPr>
          <w:rFonts w:hint="eastAsia" w:ascii="宋体" w:hAnsi="宋体" w:eastAsia="宋体" w:cs="宋体"/>
          <w:b w:val="0"/>
          <w:bCs/>
          <w:snapToGrid/>
          <w:color w:val="auto"/>
          <w:kern w:val="2"/>
          <w:sz w:val="24"/>
          <w:szCs w:val="24"/>
          <w:highlight w:val="none"/>
          <w:lang w:val="en-US" w:eastAsia="zh-CN"/>
        </w:rPr>
        <w:t>3、</w:t>
      </w:r>
      <w:r>
        <w:rPr>
          <w:rFonts w:hint="eastAsia" w:ascii="宋体" w:hAnsi="宋体" w:eastAsia="宋体" w:cs="宋体"/>
          <w:b w:val="0"/>
          <w:bCs/>
          <w:snapToGrid/>
          <w:color w:val="auto"/>
          <w:kern w:val="2"/>
          <w:sz w:val="24"/>
          <w:szCs w:val="24"/>
          <w:highlight w:val="none"/>
        </w:rPr>
        <w:t>交通诱导设施：</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3.1</w:t>
      </w:r>
      <w:r>
        <w:rPr>
          <w:rFonts w:hint="eastAsia" w:ascii="宋体" w:hAnsi="宋体" w:eastAsia="宋体" w:cs="宋体"/>
          <w:bCs/>
          <w:snapToGrid/>
          <w:color w:val="auto"/>
          <w:kern w:val="2"/>
          <w:sz w:val="24"/>
          <w:szCs w:val="24"/>
          <w:highlight w:val="none"/>
        </w:rPr>
        <w:t>建立完善的维护机制，使之具有调度、协调、监督、培训等管理功能，具体包括：</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a.委派会管理、有经验的人员担任调度员；</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b.制定维修维护操作规程及工作要求；</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c.做好详细维修记录台帐，定期汇总向采购人书面汇报；</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d.调度人员实时了解维修维护情况，进行指导、协调，督察维护进展。</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3.2</w:t>
      </w:r>
      <w:r>
        <w:rPr>
          <w:rFonts w:hint="eastAsia" w:ascii="宋体" w:hAnsi="宋体" w:eastAsia="宋体" w:cs="宋体"/>
          <w:bCs/>
          <w:snapToGrid/>
          <w:color w:val="auto"/>
          <w:kern w:val="2"/>
          <w:sz w:val="24"/>
          <w:szCs w:val="24"/>
          <w:highlight w:val="none"/>
        </w:rPr>
        <w:t>确保招标范围内维护点7×24小时正常运行，数据的安全存储、备份。</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3.3</w:t>
      </w:r>
      <w:r>
        <w:rPr>
          <w:rFonts w:hint="eastAsia" w:ascii="宋体" w:hAnsi="宋体" w:eastAsia="宋体" w:cs="宋体"/>
          <w:bCs/>
          <w:snapToGrid/>
          <w:color w:val="auto"/>
          <w:kern w:val="2"/>
          <w:sz w:val="24"/>
          <w:szCs w:val="24"/>
          <w:highlight w:val="none"/>
        </w:rPr>
        <w:t>招标范围内点位平台上运行情况每天巡检一次并建立巡检台帐，招标范围内路口点要求定期巡检，并建立巡检台帐，每周上报一次，供甲方随时检查。巡检内容为：</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a.清洁设备，保证外场设备安全、整洁、干净。</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b.安全检查，保证外场设备用电、防雷、防锈、防水等设施安全。</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c.统计遮挡物，如树枝等遮挡设备的情况，并每周统计上报，协助清理。</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d.检查情报板的工作情况。</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e.检查外场设备的完整性和牢固性，消除人为或自然原因影响安全和功能使用的隐患。</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f.做好基础资料编辑修改工作,编写基础资料电子资料库。</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3.4</w:t>
      </w:r>
      <w:r>
        <w:rPr>
          <w:rFonts w:hint="eastAsia" w:ascii="宋体" w:hAnsi="宋体" w:eastAsia="宋体" w:cs="宋体"/>
          <w:bCs/>
          <w:snapToGrid/>
          <w:color w:val="auto"/>
          <w:kern w:val="2"/>
          <w:sz w:val="24"/>
          <w:szCs w:val="24"/>
          <w:highlight w:val="none"/>
        </w:rPr>
        <w:t>遇灾害天气，应提前检查加固外场设备，确保外场设备的安全。因灾害天气造成的损失以及后果，由中标人承担。</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3.5</w:t>
      </w:r>
      <w:r>
        <w:rPr>
          <w:rFonts w:hint="eastAsia" w:ascii="宋体" w:hAnsi="宋体" w:eastAsia="宋体" w:cs="宋体"/>
          <w:bCs/>
          <w:snapToGrid/>
          <w:color w:val="auto"/>
          <w:kern w:val="2"/>
          <w:sz w:val="24"/>
          <w:szCs w:val="24"/>
          <w:highlight w:val="none"/>
        </w:rPr>
        <w:t>每年重要节假日（“五一”、“十一”等）、大型活动期间，特定巡检、维修、维护、清洁、保养。</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3.6</w:t>
      </w:r>
      <w:r>
        <w:rPr>
          <w:rFonts w:hint="eastAsia" w:ascii="宋体" w:hAnsi="宋体" w:eastAsia="宋体" w:cs="宋体"/>
          <w:bCs/>
          <w:snapToGrid/>
          <w:color w:val="auto"/>
          <w:kern w:val="2"/>
          <w:sz w:val="24"/>
          <w:szCs w:val="24"/>
          <w:highlight w:val="none"/>
        </w:rPr>
        <w:t>日常维护故障点维修时间要求：外场点位系统故障，须5分钟响应，24小时天内恢复系统正常运行；</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3.7</w:t>
      </w:r>
      <w:r>
        <w:rPr>
          <w:rFonts w:hint="eastAsia" w:ascii="宋体" w:hAnsi="宋体" w:eastAsia="宋体" w:cs="宋体"/>
          <w:bCs/>
          <w:snapToGrid/>
          <w:color w:val="auto"/>
          <w:kern w:val="2"/>
          <w:sz w:val="24"/>
          <w:szCs w:val="24"/>
          <w:highlight w:val="none"/>
        </w:rPr>
        <w:t>外场设施遇偷盗、人为破坏等外力因素，造成设备丢失或无法继续使用，应及时报警备案（属地***）。</w:t>
      </w:r>
    </w:p>
    <w:p>
      <w:pPr>
        <w:wordWrap/>
        <w:adjustRightInd w:val="0"/>
        <w:snapToGrid w:val="0"/>
        <w:spacing w:line="600" w:lineRule="exact"/>
        <w:ind w:firstLine="480" w:firstLineChars="200"/>
        <w:jc w:val="left"/>
        <w:outlineLvl w:val="0"/>
        <w:rPr>
          <w:rFonts w:hint="eastAsia" w:ascii="宋体" w:hAnsi="宋体" w:eastAsia="宋体" w:cs="宋体"/>
          <w:b w:val="0"/>
          <w:bCs/>
          <w:snapToGrid/>
          <w:color w:val="auto"/>
          <w:kern w:val="2"/>
          <w:sz w:val="24"/>
          <w:szCs w:val="24"/>
          <w:highlight w:val="none"/>
        </w:rPr>
      </w:pPr>
      <w:r>
        <w:rPr>
          <w:rFonts w:hint="eastAsia" w:ascii="宋体" w:hAnsi="宋体" w:eastAsia="宋体" w:cs="宋体"/>
          <w:b w:val="0"/>
          <w:bCs/>
          <w:snapToGrid/>
          <w:color w:val="auto"/>
          <w:kern w:val="2"/>
          <w:sz w:val="24"/>
          <w:szCs w:val="24"/>
          <w:highlight w:val="none"/>
          <w:lang w:val="en-US" w:eastAsia="zh-CN"/>
        </w:rPr>
        <w:t>4、</w:t>
      </w:r>
      <w:r>
        <w:rPr>
          <w:rFonts w:hint="eastAsia" w:ascii="宋体" w:hAnsi="宋体" w:eastAsia="宋体" w:cs="宋体"/>
          <w:b w:val="0"/>
          <w:bCs/>
          <w:snapToGrid/>
          <w:color w:val="auto"/>
          <w:kern w:val="2"/>
          <w:sz w:val="24"/>
          <w:szCs w:val="24"/>
          <w:highlight w:val="none"/>
        </w:rPr>
        <w:t>智能卡口设施：</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4.1</w:t>
      </w:r>
      <w:r>
        <w:rPr>
          <w:rFonts w:hint="eastAsia" w:ascii="宋体" w:hAnsi="宋体" w:eastAsia="宋体" w:cs="宋体"/>
          <w:bCs/>
          <w:snapToGrid/>
          <w:color w:val="auto"/>
          <w:kern w:val="2"/>
          <w:sz w:val="24"/>
          <w:szCs w:val="24"/>
          <w:highlight w:val="none"/>
        </w:rPr>
        <w:t>建立完善的维护机制，使之具有调度、协调、监督、培训等管理功能，具体包括：</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a.委派会管理、有经验的人员担任调度员；</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b.制定维修维护操作规程及工作要求；</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c.做好详细维修记录台帐，定期汇总向采购人书面汇报；</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d.调度人员实时了解维修维护情况，进行指导、协调，督察维护进展。</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4.2</w:t>
      </w:r>
      <w:r>
        <w:rPr>
          <w:rFonts w:hint="eastAsia" w:ascii="宋体" w:hAnsi="宋体" w:eastAsia="宋体" w:cs="宋体"/>
          <w:bCs/>
          <w:snapToGrid/>
          <w:color w:val="auto"/>
          <w:kern w:val="2"/>
          <w:sz w:val="24"/>
          <w:szCs w:val="24"/>
          <w:highlight w:val="none"/>
        </w:rPr>
        <w:t>确保维护点7×24小时正常运行，数据的安全存储、备份。</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4.3</w:t>
      </w:r>
      <w:r>
        <w:rPr>
          <w:rFonts w:hint="eastAsia" w:ascii="宋体" w:hAnsi="宋体" w:eastAsia="宋体" w:cs="宋体"/>
          <w:bCs/>
          <w:snapToGrid/>
          <w:color w:val="auto"/>
          <w:kern w:val="2"/>
          <w:sz w:val="24"/>
          <w:szCs w:val="24"/>
          <w:highlight w:val="none"/>
        </w:rPr>
        <w:t>招标范围内点位平台上运行情况每天巡检一次并建立巡检台帐，招标范围内路口点每月所有点巡检一次，并建立巡检台帐，每周上报一次，供采购人随时检查。巡检内容为：</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a.清洁设备，保证外场设备安全、整洁、干净。</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b.安全检查，保证外场设备用电、防雷、防锈、防水等设施安全。</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c.统计遮挡物，如树枝等遮挡设备的情况，并每月上报一次。</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d.调整光圈、焦距、白平衡等参数，保证图像清晰。</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e.检查外场设备的完整性和牢固性，消除人为或自然原因影响安全和功能使用的隐患。</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f.做好基础资料编辑修改工作,编写基础资料电子资料库。</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g.全力配合好各建设单位新建点位的接入和接入点位是否符合交警要求的检查工作。同时在不影响现系统正常运行前题下，中标人必须对现有系统进行调整、修改、增加，确保新建点位的及时完成接入。</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4.4</w:t>
      </w:r>
      <w:r>
        <w:rPr>
          <w:rFonts w:hint="eastAsia" w:ascii="宋体" w:hAnsi="宋体" w:eastAsia="宋体" w:cs="宋体"/>
          <w:bCs/>
          <w:snapToGrid/>
          <w:color w:val="auto"/>
          <w:kern w:val="2"/>
          <w:sz w:val="24"/>
          <w:szCs w:val="24"/>
          <w:highlight w:val="none"/>
        </w:rPr>
        <w:t>遇灾害天气，应提前检查加固外场设备，确保外场设备的安全。因灾害天气造成的损失以及后果，由中标人承担。</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4.5</w:t>
      </w:r>
      <w:r>
        <w:rPr>
          <w:rFonts w:hint="eastAsia" w:ascii="宋体" w:hAnsi="宋体" w:eastAsia="宋体" w:cs="宋体"/>
          <w:bCs/>
          <w:snapToGrid/>
          <w:color w:val="auto"/>
          <w:kern w:val="2"/>
          <w:sz w:val="24"/>
          <w:szCs w:val="24"/>
          <w:highlight w:val="none"/>
        </w:rPr>
        <w:t>每年重要节假日（“五一”、“十一”等）、大型活动期间，特定巡检、维修、维护、清洁、保养。</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4.6</w:t>
      </w:r>
      <w:r>
        <w:rPr>
          <w:rFonts w:hint="eastAsia" w:ascii="宋体" w:hAnsi="宋体" w:eastAsia="宋体" w:cs="宋体"/>
          <w:bCs/>
          <w:snapToGrid/>
          <w:color w:val="auto"/>
          <w:kern w:val="2"/>
          <w:sz w:val="24"/>
          <w:szCs w:val="24"/>
          <w:highlight w:val="none"/>
        </w:rPr>
        <w:t>日常维护故障点维修时间要求：外场点位系统故障，须5分钟响应，1小时内到现场，24小时恢复系统常运行；</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lang w:val="en-US" w:eastAsia="zh-CN"/>
        </w:rPr>
        <w:t>4.7</w:t>
      </w:r>
      <w:r>
        <w:rPr>
          <w:rFonts w:hint="eastAsia" w:ascii="宋体" w:hAnsi="宋体" w:eastAsia="宋体" w:cs="宋体"/>
          <w:bCs/>
          <w:snapToGrid/>
          <w:color w:val="auto"/>
          <w:kern w:val="2"/>
          <w:sz w:val="24"/>
          <w:szCs w:val="24"/>
          <w:highlight w:val="none"/>
        </w:rPr>
        <w:t>外场设施遇偷盗、人为破坏等外力因素，造成设备丢失或无法继续使用，应及时报警备案（属地***）。</w:t>
      </w:r>
    </w:p>
    <w:p>
      <w:pPr>
        <w:pStyle w:val="76"/>
        <w:numPr>
          <w:ilvl w:val="0"/>
          <w:numId w:val="0"/>
        </w:numPr>
        <w:wordWrap/>
        <w:spacing w:line="600" w:lineRule="exact"/>
        <w:ind w:leftChars="200"/>
        <w:rPr>
          <w:rFonts w:hint="eastAsia" w:ascii="宋体" w:hAnsi="宋体" w:eastAsia="宋体" w:cs="宋体"/>
          <w:b w:val="0"/>
          <w:bCs/>
          <w:snapToGrid/>
          <w:color w:val="auto"/>
          <w:kern w:val="2"/>
          <w:sz w:val="24"/>
          <w:szCs w:val="24"/>
          <w:highlight w:val="none"/>
          <w:lang w:val="en-US" w:eastAsia="zh-CN"/>
        </w:rPr>
      </w:pPr>
      <w:r>
        <w:rPr>
          <w:rFonts w:hint="eastAsia" w:ascii="宋体" w:hAnsi="宋体" w:cs="宋体"/>
          <w:b w:val="0"/>
          <w:bCs/>
          <w:snapToGrid/>
          <w:color w:val="auto"/>
          <w:kern w:val="2"/>
          <w:sz w:val="24"/>
          <w:szCs w:val="24"/>
          <w:highlight w:val="none"/>
          <w:lang w:val="en-US" w:eastAsia="zh-CN"/>
        </w:rPr>
        <w:t>5</w:t>
      </w:r>
      <w:r>
        <w:rPr>
          <w:rFonts w:hint="eastAsia" w:ascii="宋体" w:hAnsi="宋体" w:eastAsia="宋体" w:cs="宋体"/>
          <w:b w:val="0"/>
          <w:bCs/>
          <w:snapToGrid/>
          <w:color w:val="auto"/>
          <w:kern w:val="2"/>
          <w:sz w:val="24"/>
          <w:szCs w:val="24"/>
          <w:highlight w:val="none"/>
          <w:lang w:val="en-US" w:eastAsia="zh-CN"/>
        </w:rPr>
        <w:t>、其他零星设施：绿化护栏、临时围档、围护、花箱、城市小品等维护。</w:t>
      </w:r>
    </w:p>
    <w:p>
      <w:pPr>
        <w:pStyle w:val="76"/>
        <w:numPr>
          <w:ilvl w:val="0"/>
          <w:numId w:val="0"/>
        </w:numPr>
        <w:wordWrap/>
        <w:spacing w:line="600" w:lineRule="exact"/>
        <w:ind w:leftChars="200"/>
        <w:rPr>
          <w:rFonts w:hint="eastAsia" w:ascii="宋体" w:hAnsi="宋体" w:eastAsia="宋体" w:cs="宋体"/>
          <w:b w:val="0"/>
          <w:bCs/>
          <w:snapToGrid/>
          <w:color w:val="auto"/>
          <w:kern w:val="2"/>
          <w:sz w:val="24"/>
          <w:szCs w:val="24"/>
          <w:highlight w:val="none"/>
          <w:lang w:val="en-US" w:eastAsia="zh-CN"/>
        </w:rPr>
      </w:pPr>
      <w:r>
        <w:rPr>
          <w:rFonts w:hint="eastAsia" w:ascii="宋体" w:hAnsi="宋体" w:cs="宋体"/>
          <w:b w:val="0"/>
          <w:bCs/>
          <w:snapToGrid/>
          <w:color w:val="auto"/>
          <w:kern w:val="2"/>
          <w:sz w:val="24"/>
          <w:szCs w:val="24"/>
          <w:highlight w:val="none"/>
          <w:lang w:val="en-US" w:eastAsia="zh-CN"/>
        </w:rPr>
        <w:t>6</w:t>
      </w:r>
      <w:r>
        <w:rPr>
          <w:rFonts w:hint="eastAsia" w:ascii="宋体" w:hAnsi="宋体" w:eastAsia="宋体" w:cs="宋体"/>
          <w:b w:val="0"/>
          <w:bCs/>
          <w:snapToGrid/>
          <w:color w:val="auto"/>
          <w:kern w:val="2"/>
          <w:sz w:val="24"/>
          <w:szCs w:val="24"/>
          <w:highlight w:val="none"/>
          <w:lang w:val="en-US" w:eastAsia="zh-CN"/>
        </w:rPr>
        <w:t>、拟投入本项目的人员不少于</w:t>
      </w:r>
      <w:r>
        <w:rPr>
          <w:rFonts w:hint="eastAsia" w:ascii="宋体" w:hAnsi="宋体" w:cs="宋体"/>
          <w:b w:val="0"/>
          <w:bCs/>
          <w:snapToGrid/>
          <w:color w:val="auto"/>
          <w:kern w:val="2"/>
          <w:sz w:val="24"/>
          <w:szCs w:val="24"/>
          <w:highlight w:val="none"/>
          <w:lang w:val="en-US" w:eastAsia="zh-CN"/>
        </w:rPr>
        <w:t>10</w:t>
      </w:r>
      <w:r>
        <w:rPr>
          <w:rFonts w:hint="eastAsia" w:ascii="宋体" w:hAnsi="宋体" w:eastAsia="宋体" w:cs="宋体"/>
          <w:b w:val="0"/>
          <w:bCs/>
          <w:snapToGrid/>
          <w:color w:val="auto"/>
          <w:kern w:val="2"/>
          <w:sz w:val="24"/>
          <w:szCs w:val="24"/>
          <w:highlight w:val="none"/>
          <w:lang w:val="en-US" w:eastAsia="zh-CN"/>
        </w:rPr>
        <w:t>人。</w:t>
      </w:r>
    </w:p>
    <w:p>
      <w:pPr>
        <w:wordWrap/>
        <w:adjustRightInd w:val="0"/>
        <w:snapToGrid w:val="0"/>
        <w:spacing w:line="600" w:lineRule="exact"/>
        <w:ind w:firstLine="480" w:firstLineChars="200"/>
        <w:jc w:val="left"/>
        <w:outlineLvl w:val="0"/>
        <w:rPr>
          <w:rFonts w:hint="eastAsia" w:ascii="宋体" w:hAnsi="宋体" w:eastAsia="宋体" w:cs="宋体"/>
          <w:b w:val="0"/>
          <w:bCs/>
          <w:snapToGrid/>
          <w:color w:val="auto"/>
          <w:kern w:val="2"/>
          <w:sz w:val="24"/>
          <w:szCs w:val="24"/>
          <w:highlight w:val="none"/>
        </w:rPr>
      </w:pPr>
      <w:r>
        <w:rPr>
          <w:rFonts w:hint="eastAsia" w:ascii="宋体" w:hAnsi="宋体" w:eastAsia="宋体" w:cs="宋体"/>
          <w:b w:val="0"/>
          <w:bCs/>
          <w:snapToGrid/>
          <w:color w:val="auto"/>
          <w:kern w:val="2"/>
          <w:sz w:val="24"/>
          <w:szCs w:val="24"/>
          <w:highlight w:val="none"/>
          <w:lang w:val="en-US" w:eastAsia="zh-CN"/>
        </w:rPr>
        <w:t>7、</w:t>
      </w:r>
      <w:r>
        <w:rPr>
          <w:rFonts w:hint="eastAsia" w:ascii="宋体" w:hAnsi="宋体" w:eastAsia="宋体" w:cs="宋体"/>
          <w:b w:val="0"/>
          <w:bCs/>
          <w:snapToGrid/>
          <w:color w:val="auto"/>
          <w:kern w:val="2"/>
          <w:sz w:val="24"/>
          <w:szCs w:val="24"/>
          <w:highlight w:val="none"/>
        </w:rPr>
        <w:t>抢修工作主要内容为：</w:t>
      </w:r>
    </w:p>
    <w:p>
      <w:pPr>
        <w:wordWrap/>
        <w:adjustRightInd w:val="0"/>
        <w:snapToGrid w:val="0"/>
        <w:spacing w:line="600" w:lineRule="exact"/>
        <w:ind w:firstLine="480" w:firstLineChars="200"/>
        <w:jc w:val="left"/>
        <w:outlineLvl w:val="0"/>
        <w:rPr>
          <w:rFonts w:hint="eastAsia" w:ascii="宋体" w:hAnsi="宋体" w:eastAsia="宋体" w:cs="宋体"/>
          <w:b w:val="0"/>
          <w:bCs/>
          <w:snapToGrid/>
          <w:color w:val="auto"/>
          <w:kern w:val="2"/>
          <w:sz w:val="24"/>
          <w:szCs w:val="24"/>
          <w:highlight w:val="none"/>
        </w:rPr>
      </w:pPr>
      <w:r>
        <w:rPr>
          <w:rFonts w:hint="eastAsia" w:ascii="宋体" w:hAnsi="宋体" w:eastAsia="宋体" w:cs="宋体"/>
          <w:bCs/>
          <w:snapToGrid/>
          <w:color w:val="auto"/>
          <w:kern w:val="2"/>
          <w:sz w:val="24"/>
          <w:szCs w:val="24"/>
          <w:highlight w:val="none"/>
        </w:rPr>
        <w:t>中标人须设立7×24小时服务专用电话，接受采购人的维修指令，抢修各种原因引起的故障。接到抢修指令后，要求 5分钟响应，中标人规定时间内到达故障点位现场。</w:t>
      </w:r>
    </w:p>
    <w:p>
      <w:pPr>
        <w:wordWrap/>
        <w:adjustRightInd w:val="0"/>
        <w:snapToGrid w:val="0"/>
        <w:spacing w:line="600" w:lineRule="exact"/>
        <w:ind w:firstLine="480" w:firstLineChars="200"/>
        <w:jc w:val="left"/>
        <w:outlineLvl w:val="0"/>
        <w:rPr>
          <w:rFonts w:hint="eastAsia" w:ascii="宋体" w:hAnsi="宋体" w:eastAsia="宋体" w:cs="宋体"/>
          <w:b w:val="0"/>
          <w:bCs/>
          <w:snapToGrid/>
          <w:color w:val="auto"/>
          <w:kern w:val="2"/>
          <w:sz w:val="24"/>
          <w:szCs w:val="24"/>
          <w:highlight w:val="none"/>
        </w:rPr>
      </w:pPr>
      <w:r>
        <w:rPr>
          <w:rFonts w:hint="eastAsia" w:ascii="宋体" w:hAnsi="宋体" w:eastAsia="宋体" w:cs="宋体"/>
          <w:b w:val="0"/>
          <w:bCs/>
          <w:snapToGrid/>
          <w:color w:val="auto"/>
          <w:kern w:val="2"/>
          <w:sz w:val="24"/>
          <w:szCs w:val="24"/>
          <w:highlight w:val="none"/>
          <w:lang w:val="en-US" w:eastAsia="zh-CN"/>
        </w:rPr>
        <w:t>8、</w:t>
      </w:r>
      <w:r>
        <w:rPr>
          <w:rFonts w:hint="eastAsia" w:ascii="宋体" w:hAnsi="宋体" w:eastAsia="宋体" w:cs="宋体"/>
          <w:b w:val="0"/>
          <w:bCs/>
          <w:snapToGrid/>
          <w:color w:val="auto"/>
          <w:kern w:val="2"/>
          <w:sz w:val="24"/>
          <w:szCs w:val="24"/>
          <w:highlight w:val="none"/>
        </w:rPr>
        <w:t>调整、优化、改造工作内容为：</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采购人根据交通管理、重要保障任务以及事故撞毁恢复等工作需要，对系统的功能进行调整、优化和改造，包括外场设备的位置调整、配时优化、设备优化、事故撞毁恢复、重要保障任务临时拉线设点、移动信号灯更新等。</w:t>
      </w:r>
    </w:p>
    <w:p>
      <w:pPr>
        <w:wordWrap/>
        <w:adjustRightInd w:val="0"/>
        <w:snapToGrid w:val="0"/>
        <w:spacing w:line="600" w:lineRule="exact"/>
        <w:ind w:firstLine="480" w:firstLineChars="200"/>
        <w:jc w:val="left"/>
        <w:outlineLvl w:val="0"/>
        <w:rPr>
          <w:rFonts w:hint="eastAsia" w:ascii="宋体" w:hAnsi="宋体" w:eastAsia="宋体" w:cs="宋体"/>
          <w:b w:val="0"/>
          <w:bCs/>
          <w:snapToGrid/>
          <w:color w:val="auto"/>
          <w:kern w:val="2"/>
          <w:sz w:val="24"/>
          <w:szCs w:val="24"/>
          <w:highlight w:val="none"/>
        </w:rPr>
      </w:pPr>
      <w:r>
        <w:rPr>
          <w:rFonts w:hint="eastAsia" w:ascii="宋体" w:hAnsi="宋体" w:eastAsia="宋体" w:cs="宋体"/>
          <w:b w:val="0"/>
          <w:bCs/>
          <w:snapToGrid/>
          <w:color w:val="auto"/>
          <w:kern w:val="2"/>
          <w:sz w:val="24"/>
          <w:szCs w:val="24"/>
          <w:highlight w:val="none"/>
          <w:lang w:val="en-US" w:eastAsia="zh-CN"/>
        </w:rPr>
        <w:t>9、</w:t>
      </w:r>
      <w:r>
        <w:rPr>
          <w:rFonts w:hint="eastAsia" w:ascii="宋体" w:hAnsi="宋体" w:eastAsia="宋体" w:cs="宋体"/>
          <w:b w:val="0"/>
          <w:bCs/>
          <w:snapToGrid/>
          <w:color w:val="auto"/>
          <w:kern w:val="2"/>
          <w:sz w:val="24"/>
          <w:szCs w:val="24"/>
          <w:highlight w:val="none"/>
        </w:rPr>
        <w:t>其它内容：</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中标人做好</w:t>
      </w:r>
      <w:r>
        <w:rPr>
          <w:rFonts w:hint="eastAsia" w:ascii="宋体" w:hAnsi="宋体" w:eastAsia="宋体" w:cs="宋体"/>
          <w:bCs/>
          <w:snapToGrid/>
          <w:color w:val="auto"/>
          <w:kern w:val="2"/>
          <w:sz w:val="24"/>
          <w:szCs w:val="24"/>
          <w:highlight w:val="none"/>
          <w:lang w:val="en-US" w:eastAsia="zh-CN"/>
        </w:rPr>
        <w:t>业主</w:t>
      </w:r>
      <w:r>
        <w:rPr>
          <w:rFonts w:hint="eastAsia" w:ascii="宋体" w:hAnsi="宋体" w:eastAsia="宋体" w:cs="宋体"/>
          <w:bCs/>
          <w:snapToGrid/>
          <w:color w:val="auto"/>
          <w:kern w:val="2"/>
          <w:sz w:val="24"/>
          <w:szCs w:val="24"/>
          <w:highlight w:val="none"/>
        </w:rPr>
        <w:t>指派的针对本系统的其它工作，包括基础排查、系统接入、情况调查等。全力配合好</w:t>
      </w:r>
      <w:r>
        <w:rPr>
          <w:rFonts w:hint="eastAsia" w:ascii="宋体" w:hAnsi="宋体" w:eastAsia="宋体" w:cs="宋体"/>
          <w:bCs/>
          <w:snapToGrid/>
          <w:color w:val="auto"/>
          <w:kern w:val="2"/>
          <w:sz w:val="24"/>
          <w:szCs w:val="24"/>
          <w:highlight w:val="none"/>
          <w:lang w:val="en-US" w:eastAsia="zh-CN"/>
        </w:rPr>
        <w:t>业主</w:t>
      </w:r>
      <w:r>
        <w:rPr>
          <w:rFonts w:hint="eastAsia" w:ascii="宋体" w:hAnsi="宋体" w:eastAsia="宋体" w:cs="宋体"/>
          <w:bCs/>
          <w:snapToGrid/>
          <w:color w:val="auto"/>
          <w:kern w:val="2"/>
          <w:sz w:val="24"/>
          <w:szCs w:val="24"/>
          <w:highlight w:val="none"/>
        </w:rPr>
        <w:t>新建点位的接入和接入点位是否符合交警</w:t>
      </w:r>
      <w:r>
        <w:rPr>
          <w:rFonts w:hint="eastAsia" w:ascii="宋体" w:hAnsi="宋体" w:eastAsia="宋体" w:cs="宋体"/>
          <w:bCs/>
          <w:snapToGrid/>
          <w:color w:val="auto"/>
          <w:kern w:val="2"/>
          <w:sz w:val="24"/>
          <w:szCs w:val="24"/>
          <w:highlight w:val="none"/>
          <w:lang w:eastAsia="zh-CN"/>
        </w:rPr>
        <w:t>、</w:t>
      </w:r>
      <w:r>
        <w:rPr>
          <w:rFonts w:hint="eastAsia" w:ascii="宋体" w:hAnsi="宋体" w:eastAsia="宋体" w:cs="宋体"/>
          <w:bCs/>
          <w:snapToGrid/>
          <w:color w:val="auto"/>
          <w:kern w:val="2"/>
          <w:sz w:val="24"/>
          <w:szCs w:val="24"/>
          <w:highlight w:val="none"/>
          <w:lang w:val="en-US" w:eastAsia="zh-CN"/>
        </w:rPr>
        <w:t>业主</w:t>
      </w:r>
      <w:r>
        <w:rPr>
          <w:rFonts w:hint="eastAsia" w:ascii="宋体" w:hAnsi="宋体" w:eastAsia="宋体" w:cs="宋体"/>
          <w:bCs/>
          <w:snapToGrid/>
          <w:color w:val="auto"/>
          <w:kern w:val="2"/>
          <w:sz w:val="24"/>
          <w:szCs w:val="24"/>
          <w:highlight w:val="none"/>
        </w:rPr>
        <w:t>要求的检查工作。</w:t>
      </w:r>
    </w:p>
    <w:p>
      <w:pPr>
        <w:wordWrap/>
        <w:spacing w:line="600" w:lineRule="exact"/>
        <w:ind w:firstLine="480" w:firstLineChars="200"/>
        <w:jc w:val="left"/>
        <w:rPr>
          <w:rFonts w:hint="eastAsia" w:ascii="宋体" w:hAnsi="宋体" w:eastAsia="宋体" w:cs="宋体"/>
          <w:b w:val="0"/>
          <w:bCs/>
          <w:color w:val="auto"/>
          <w:sz w:val="24"/>
          <w:szCs w:val="24"/>
          <w:highlight w:val="none"/>
        </w:rPr>
      </w:pPr>
      <w:r>
        <w:rPr>
          <w:rFonts w:hint="eastAsia" w:ascii="宋体" w:hAnsi="宋体" w:eastAsia="宋体" w:cs="宋体"/>
          <w:b w:val="0"/>
          <w:bCs/>
          <w:snapToGrid/>
          <w:color w:val="auto"/>
          <w:kern w:val="2"/>
          <w:sz w:val="24"/>
          <w:szCs w:val="24"/>
          <w:highlight w:val="none"/>
          <w:lang w:eastAsia="zh-CN"/>
        </w:rPr>
        <w:t>（</w:t>
      </w:r>
      <w:r>
        <w:rPr>
          <w:rFonts w:hint="eastAsia" w:ascii="宋体" w:hAnsi="宋体" w:eastAsia="宋体" w:cs="宋体"/>
          <w:b w:val="0"/>
          <w:bCs/>
          <w:snapToGrid/>
          <w:color w:val="auto"/>
          <w:kern w:val="2"/>
          <w:sz w:val="24"/>
          <w:szCs w:val="24"/>
          <w:highlight w:val="none"/>
          <w:lang w:val="en-US" w:eastAsia="zh-CN"/>
        </w:rPr>
        <w:t>二）、</w:t>
      </w:r>
      <w:r>
        <w:rPr>
          <w:rFonts w:hint="eastAsia" w:ascii="宋体" w:hAnsi="宋体" w:eastAsia="宋体" w:cs="宋体"/>
          <w:b w:val="0"/>
          <w:bCs/>
          <w:color w:val="auto"/>
          <w:sz w:val="24"/>
          <w:szCs w:val="24"/>
          <w:highlight w:val="none"/>
          <w:lang w:val="en-US" w:eastAsia="zh-CN"/>
        </w:rPr>
        <w:t>服务的</w:t>
      </w:r>
      <w:r>
        <w:rPr>
          <w:rFonts w:hint="eastAsia" w:ascii="宋体" w:hAnsi="宋体" w:eastAsia="宋体" w:cs="宋体"/>
          <w:b w:val="0"/>
          <w:bCs/>
          <w:color w:val="auto"/>
          <w:sz w:val="24"/>
          <w:szCs w:val="24"/>
          <w:highlight w:val="none"/>
        </w:rPr>
        <w:t>职责、权限</w:t>
      </w:r>
    </w:p>
    <w:p>
      <w:pPr>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w:t>
      </w:r>
      <w:r>
        <w:rPr>
          <w:rFonts w:hint="eastAsia" w:ascii="宋体" w:hAnsi="宋体" w:eastAsia="宋体" w:cs="宋体"/>
          <w:bCs/>
          <w:color w:val="auto"/>
          <w:sz w:val="24"/>
          <w:szCs w:val="24"/>
          <w:highlight w:val="none"/>
        </w:rPr>
        <w:t>提供交通设施图并按有关技术规范进行施工，确保项目质量。</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rPr>
        <w:t>服从采购人、监理工作的进程安排，及时进场并保证工期。</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接到采购人更改通知时，按更改要求进行工程项目更改，并向监理报备。</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w:t>
      </w:r>
      <w:r>
        <w:rPr>
          <w:rFonts w:hint="eastAsia" w:ascii="宋体" w:hAnsi="宋体" w:eastAsia="宋体" w:cs="宋体"/>
          <w:bCs/>
          <w:color w:val="auto"/>
          <w:sz w:val="24"/>
          <w:szCs w:val="24"/>
          <w:highlight w:val="none"/>
        </w:rPr>
        <w:t xml:space="preserve">保证每日上路巡查交通安全设施，确保完好率达到98%以上，与去年同比数字城管抄送案卷稳中下降，并做好巡查记录，建立节假日及24小时值班制度。 </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w:t>
      </w:r>
      <w:r>
        <w:rPr>
          <w:rFonts w:hint="eastAsia" w:ascii="宋体" w:hAnsi="宋体" w:eastAsia="宋体" w:cs="宋体"/>
          <w:bCs/>
          <w:color w:val="auto"/>
          <w:sz w:val="24"/>
          <w:szCs w:val="24"/>
          <w:highlight w:val="none"/>
        </w:rPr>
        <w:t>应严格按本次招投标的规定要求履行并承担自己的职责。</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rPr>
        <w:t>按采购人审定的图纸要求、合同条款、技术规范和工程量清单和材料的要求，承担项目的施工、建成及其缺陷修复工作。</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7、</w:t>
      </w:r>
      <w:r>
        <w:rPr>
          <w:rFonts w:hint="eastAsia" w:ascii="宋体" w:hAnsi="宋体" w:eastAsia="宋体" w:cs="宋体"/>
          <w:bCs/>
          <w:color w:val="auto"/>
          <w:sz w:val="24"/>
          <w:szCs w:val="24"/>
          <w:highlight w:val="none"/>
        </w:rPr>
        <w:t>所使用的主要原材料均需要提供检测报告或质量保证单。</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8、</w:t>
      </w:r>
      <w:r>
        <w:rPr>
          <w:rFonts w:hint="eastAsia" w:ascii="宋体" w:hAnsi="宋体" w:eastAsia="宋体" w:cs="宋体"/>
          <w:bCs/>
          <w:color w:val="auto"/>
          <w:sz w:val="24"/>
          <w:szCs w:val="24"/>
          <w:highlight w:val="none"/>
        </w:rPr>
        <w:t>接受采购人的各项工作业务指导。</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9、</w:t>
      </w:r>
      <w:r>
        <w:rPr>
          <w:rFonts w:hint="eastAsia" w:ascii="宋体" w:hAnsi="宋体" w:eastAsia="宋体" w:cs="宋体"/>
          <w:bCs/>
          <w:color w:val="auto"/>
          <w:sz w:val="24"/>
          <w:szCs w:val="24"/>
          <w:highlight w:val="none"/>
        </w:rPr>
        <w:t>负责施工场地的安全文明生产。</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w:t>
      </w:r>
      <w:r>
        <w:rPr>
          <w:rFonts w:hint="eastAsia" w:ascii="宋体" w:hAnsi="宋体" w:eastAsia="宋体" w:cs="宋体"/>
          <w:bCs/>
          <w:color w:val="auto"/>
          <w:sz w:val="24"/>
          <w:szCs w:val="24"/>
          <w:highlight w:val="none"/>
        </w:rPr>
        <w:t>建立项目施工的质量保证体系。</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11、</w:t>
      </w:r>
      <w:r>
        <w:rPr>
          <w:rFonts w:hint="eastAsia" w:ascii="宋体" w:hAnsi="宋体" w:eastAsia="宋体" w:cs="宋体"/>
          <w:bCs/>
          <w:color w:val="auto"/>
          <w:sz w:val="24"/>
          <w:szCs w:val="24"/>
          <w:highlight w:val="none"/>
        </w:rPr>
        <w:t>负责交通安全设施施工场地、车辆、机械设备、原材料等施工保障。</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12、</w:t>
      </w:r>
      <w:r>
        <w:rPr>
          <w:rFonts w:hint="eastAsia" w:ascii="宋体" w:hAnsi="宋体" w:eastAsia="宋体" w:cs="宋体"/>
          <w:bCs/>
          <w:color w:val="auto"/>
          <w:sz w:val="24"/>
          <w:szCs w:val="24"/>
          <w:highlight w:val="none"/>
        </w:rPr>
        <w:t>每月向采购人上报当月的工作量、工作数据、工作小结等。</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13、</w:t>
      </w:r>
      <w:r>
        <w:rPr>
          <w:rFonts w:hint="eastAsia" w:ascii="宋体" w:hAnsi="宋体" w:eastAsia="宋体" w:cs="宋体"/>
          <w:bCs/>
          <w:color w:val="auto"/>
          <w:sz w:val="24"/>
          <w:szCs w:val="24"/>
          <w:highlight w:val="none"/>
        </w:rPr>
        <w:t>对</w:t>
      </w:r>
      <w:r>
        <w:rPr>
          <w:rFonts w:hint="eastAsia" w:ascii="宋体" w:hAnsi="宋体" w:eastAsia="宋体" w:cs="宋体"/>
          <w:bCs/>
          <w:color w:val="auto"/>
          <w:sz w:val="24"/>
          <w:szCs w:val="24"/>
          <w:highlight w:val="none"/>
          <w:lang w:val="en-US" w:eastAsia="zh-CN"/>
        </w:rPr>
        <w:t>辖区</w:t>
      </w:r>
      <w:r>
        <w:rPr>
          <w:rFonts w:hint="eastAsia" w:ascii="宋体" w:hAnsi="宋体" w:eastAsia="宋体" w:cs="宋体"/>
          <w:bCs/>
          <w:color w:val="auto"/>
          <w:sz w:val="24"/>
          <w:szCs w:val="24"/>
          <w:highlight w:val="none"/>
        </w:rPr>
        <w:t>内的交通安全设施无权自行增设与调整。</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14、</w:t>
      </w:r>
      <w:r>
        <w:rPr>
          <w:rFonts w:hint="eastAsia" w:ascii="宋体" w:hAnsi="宋体" w:eastAsia="宋体" w:cs="宋体"/>
          <w:bCs/>
          <w:color w:val="auto"/>
          <w:sz w:val="24"/>
          <w:szCs w:val="24"/>
          <w:highlight w:val="none"/>
        </w:rPr>
        <w:t xml:space="preserve">负责对其管辖范围所有设施检查、维护，发现不安全因素和隐患须及时排除，确保管辖范围的所有设施的正常安全使用。 </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15、</w:t>
      </w:r>
      <w:r>
        <w:rPr>
          <w:rFonts w:hint="eastAsia" w:ascii="宋体" w:hAnsi="宋体" w:eastAsia="宋体" w:cs="宋体"/>
          <w:bCs/>
          <w:color w:val="auto"/>
          <w:sz w:val="24"/>
          <w:szCs w:val="24"/>
          <w:highlight w:val="none"/>
        </w:rPr>
        <w:t>接受采购人、监理对文明施工、安全施工、质量、施工时效等的监管。</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16、</w:t>
      </w:r>
      <w:r>
        <w:rPr>
          <w:rFonts w:hint="eastAsia" w:ascii="宋体" w:hAnsi="宋体" w:eastAsia="宋体" w:cs="宋体"/>
          <w:bCs/>
          <w:color w:val="auto"/>
          <w:sz w:val="24"/>
          <w:szCs w:val="24"/>
          <w:highlight w:val="none"/>
        </w:rPr>
        <w:t>接受应急抢修任务，正常情况下三十分钟内到达现场处置。</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17、</w:t>
      </w:r>
      <w:r>
        <w:rPr>
          <w:rFonts w:hint="eastAsia" w:ascii="宋体" w:hAnsi="宋体" w:eastAsia="宋体" w:cs="宋体"/>
          <w:bCs/>
          <w:color w:val="auto"/>
          <w:sz w:val="24"/>
          <w:szCs w:val="24"/>
          <w:highlight w:val="none"/>
        </w:rPr>
        <w:t>及时反馈联系单。</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18、</w:t>
      </w:r>
      <w:r>
        <w:rPr>
          <w:rFonts w:hint="eastAsia" w:ascii="宋体" w:hAnsi="宋体" w:eastAsia="宋体" w:cs="宋体"/>
          <w:bCs/>
          <w:color w:val="auto"/>
          <w:sz w:val="24"/>
          <w:szCs w:val="24"/>
          <w:highlight w:val="none"/>
        </w:rPr>
        <w:t>负责中标辖区交通设施的安全检查，消除安全隐患。</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19、</w:t>
      </w:r>
      <w:r>
        <w:rPr>
          <w:rFonts w:hint="eastAsia" w:ascii="宋体" w:hAnsi="宋体" w:eastAsia="宋体" w:cs="宋体"/>
          <w:bCs/>
          <w:color w:val="auto"/>
          <w:sz w:val="24"/>
          <w:szCs w:val="24"/>
          <w:highlight w:val="none"/>
        </w:rPr>
        <w:t>维护费包括每日正常道路巡查、维护、2米以上的交通设施的保洁、中标区域内基础、标志、标杆、标牌的安全检查、设施排查、统计及登记造册，对存在安全隐患的设施提出书面建议及所有人工费、汽车台班费、施工占道费用等；</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20、</w:t>
      </w:r>
      <w:r>
        <w:rPr>
          <w:rFonts w:hint="eastAsia" w:ascii="宋体" w:hAnsi="宋体" w:eastAsia="宋体" w:cs="宋体"/>
          <w:bCs/>
          <w:color w:val="auto"/>
          <w:sz w:val="24"/>
          <w:szCs w:val="24"/>
          <w:highlight w:val="none"/>
        </w:rPr>
        <w:t>主要巡查、维护内容为：</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A、标志类：每日需车辆上路巡查、维护，标志牌的整修、拆除、移位、更换、信息内容纠错、设置纠错等；可变标志牌、待行区诱导显示屏、警示灯及其它电子设施的维护、整修、拆除、移位、更换（更换材料款另计）等；</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B、标线类：每日需上路检查交通标线不规范、缺失淡化或错误，标志、标线信息不一致、矛盾冲突等，及时做好维护、修复；复线施工必须重新放样，老线厚度超出标准需打磨处理尤其人行横道线两端。</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C、其它安全设施类：每日需车辆上路巡查、维护，保洁、护栏、隔离墩、警示桩、</w:t>
      </w:r>
      <w:r>
        <w:rPr>
          <w:rFonts w:hint="eastAsia" w:ascii="宋体" w:hAnsi="宋体" w:eastAsia="宋体" w:cs="宋体"/>
          <w:bCs/>
          <w:color w:val="auto"/>
          <w:sz w:val="24"/>
          <w:szCs w:val="24"/>
          <w:highlight w:val="none"/>
          <w:lang w:val="en-US" w:eastAsia="zh-CN"/>
        </w:rPr>
        <w:t>围档、围护、花箱、城市小品、</w:t>
      </w:r>
      <w:r>
        <w:rPr>
          <w:rFonts w:hint="eastAsia" w:ascii="宋体" w:hAnsi="宋体" w:eastAsia="宋体" w:cs="宋体"/>
          <w:bCs/>
          <w:color w:val="auto"/>
          <w:sz w:val="24"/>
          <w:szCs w:val="24"/>
          <w:highlight w:val="none"/>
        </w:rPr>
        <w:t>橡胶缓冲带的维护拆除、移位、更换等；</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D、安全检查。负责中标区域的交通杆件安全隐患排查，交通设施的安全性能进行检查，消除安全隐患，确保交通设施安全可靠。</w:t>
      </w:r>
    </w:p>
    <w:p>
      <w:pPr>
        <w:wordWrap/>
        <w:spacing w:line="600" w:lineRule="exact"/>
        <w:ind w:firstLine="600" w:firstLineChars="250"/>
        <w:jc w:val="left"/>
        <w:rPr>
          <w:rFonts w:hint="eastAsia" w:ascii="宋体" w:hAnsi="宋体" w:eastAsia="宋体" w:cs="宋体"/>
          <w:b w:val="0"/>
          <w:bCs/>
          <w:color w:val="auto"/>
          <w:sz w:val="24"/>
          <w:szCs w:val="24"/>
          <w:highlight w:val="none"/>
        </w:rPr>
      </w:pPr>
      <w:r>
        <w:rPr>
          <w:rFonts w:hint="eastAsia" w:ascii="宋体" w:hAnsi="宋体" w:eastAsia="宋体" w:cs="宋体"/>
          <w:bCs/>
          <w:color w:val="auto"/>
          <w:sz w:val="24"/>
          <w:szCs w:val="24"/>
          <w:highlight w:val="none"/>
        </w:rPr>
        <w:t>E、规范交通设施设置：对重复设置、擅自设置、妨碍安全、不符合规范设置的交通设施进行清理。</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21、</w:t>
      </w:r>
      <w:r>
        <w:rPr>
          <w:rFonts w:hint="eastAsia" w:ascii="宋体" w:hAnsi="宋体" w:eastAsia="宋体" w:cs="宋体"/>
          <w:bCs/>
          <w:color w:val="auto"/>
          <w:sz w:val="24"/>
          <w:szCs w:val="24"/>
          <w:highlight w:val="none"/>
        </w:rPr>
        <w:t>必须建立24小时值班制度，并配备相应的人员、车辆及必要的维护工具，接到采购人紧急抢修任务必须30分钟内至现场进行应急处置；</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22、</w:t>
      </w:r>
      <w:r>
        <w:rPr>
          <w:rFonts w:hint="eastAsia" w:ascii="宋体" w:hAnsi="宋体" w:eastAsia="宋体" w:cs="宋体"/>
          <w:bCs/>
          <w:color w:val="auto"/>
          <w:sz w:val="24"/>
          <w:szCs w:val="24"/>
          <w:highlight w:val="none"/>
        </w:rPr>
        <w:t>中标人只承担日常维护、抢修及采购人的施工许可的内容任务，中标人不得自行增设、调整各类交通安全设施，如发现上述情形采购人有权终止合同，并责令施工单位自行恢复。</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23、</w:t>
      </w:r>
      <w:r>
        <w:rPr>
          <w:rFonts w:hint="eastAsia" w:ascii="宋体" w:hAnsi="宋体" w:eastAsia="宋体" w:cs="宋体"/>
          <w:bCs/>
          <w:color w:val="auto"/>
          <w:sz w:val="24"/>
          <w:szCs w:val="24"/>
          <w:highlight w:val="none"/>
        </w:rPr>
        <w:t>采购人、监理在巡查过程中发现中标人在施工中不按国家有关标准设置，责令返工；</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24、</w:t>
      </w:r>
      <w:r>
        <w:rPr>
          <w:rFonts w:hint="eastAsia" w:ascii="宋体" w:hAnsi="宋体" w:eastAsia="宋体" w:cs="宋体"/>
          <w:bCs/>
          <w:color w:val="auto"/>
          <w:sz w:val="24"/>
          <w:szCs w:val="24"/>
          <w:highlight w:val="none"/>
        </w:rPr>
        <w:t>交通设施安装完成结束后由中标人提供完工清单，并经监理、采购人各级相关管理人员验收签字；</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25、</w:t>
      </w:r>
      <w:r>
        <w:rPr>
          <w:rFonts w:hint="eastAsia" w:ascii="宋体" w:hAnsi="宋体" w:eastAsia="宋体" w:cs="宋体"/>
          <w:bCs/>
          <w:color w:val="auto"/>
          <w:sz w:val="24"/>
          <w:szCs w:val="24"/>
          <w:highlight w:val="none"/>
        </w:rPr>
        <w:t>中标人有下列行为之一的，采购人有权终止合同。</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A、不符合工程技术标准的；</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B、偷工减料的；</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C、不按图施工的；</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D、造成重特大责任事故的；</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E、不文明安全施工的；</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F、未按规定申报擅自增设或变更交通安全设施的；</w:t>
      </w:r>
    </w:p>
    <w:p>
      <w:pPr>
        <w:wordWrap/>
        <w:spacing w:line="600" w:lineRule="exact"/>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26、</w:t>
      </w:r>
      <w:r>
        <w:rPr>
          <w:rFonts w:hint="eastAsia" w:ascii="宋体" w:hAnsi="宋体" w:eastAsia="宋体" w:cs="宋体"/>
          <w:bCs/>
          <w:color w:val="auto"/>
          <w:sz w:val="24"/>
          <w:szCs w:val="24"/>
          <w:highlight w:val="none"/>
        </w:rPr>
        <w:t>中标人在交通设施安装过程中应先制定完善的实施方案，自行办理道路挖掘手续的审批（含相关费用），尽可能减小因施工对道路通行带来的影响，施工时应服从现场交警的管理及指挥；</w:t>
      </w:r>
    </w:p>
    <w:p>
      <w:pPr>
        <w:wordWrap/>
        <w:snapToGrid/>
        <w:spacing w:line="600" w:lineRule="exact"/>
        <w:ind w:firstLine="600" w:firstLineChars="250"/>
        <w:jc w:val="left"/>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27、</w:t>
      </w:r>
      <w:r>
        <w:rPr>
          <w:rFonts w:hint="eastAsia" w:ascii="宋体" w:hAnsi="宋体" w:eastAsia="宋体" w:cs="宋体"/>
          <w:bCs/>
          <w:color w:val="auto"/>
          <w:sz w:val="24"/>
          <w:szCs w:val="24"/>
          <w:highlight w:val="none"/>
        </w:rPr>
        <w:t>中标人对抢修、维修、巡查不及时造成后果除进行赔偿外，并根据产生的</w:t>
      </w:r>
      <w:r>
        <w:rPr>
          <w:rFonts w:hint="eastAsia" w:ascii="宋体" w:hAnsi="宋体" w:eastAsia="宋体" w:cs="宋体"/>
          <w:bCs/>
          <w:color w:val="auto"/>
          <w:sz w:val="24"/>
          <w:szCs w:val="24"/>
          <w:highlight w:val="none"/>
          <w:lang w:val="en-US" w:eastAsia="zh-CN"/>
        </w:rPr>
        <w:t>后果作相应的处罚；</w:t>
      </w:r>
    </w:p>
    <w:p>
      <w:pPr>
        <w:spacing w:line="600" w:lineRule="exact"/>
        <w:ind w:firstLine="600" w:firstLineChars="250"/>
        <w:rPr>
          <w:rFonts w:hint="eastAsia" w:ascii="宋体" w:hAnsi="宋体" w:eastAsia="宋体" w:cs="宋体"/>
          <w:b/>
          <w:bCs w:val="0"/>
          <w:color w:val="auto"/>
          <w:kern w:val="0"/>
          <w:szCs w:val="28"/>
          <w:highlight w:val="none"/>
          <w:lang w:val="en-US" w:eastAsia="zh-CN"/>
        </w:rPr>
      </w:pPr>
      <w:r>
        <w:rPr>
          <w:rFonts w:hint="eastAsia" w:ascii="宋体" w:hAnsi="宋体" w:eastAsia="宋体" w:cs="宋体"/>
          <w:b w:val="0"/>
          <w:bCs/>
          <w:color w:val="auto"/>
          <w:kern w:val="2"/>
          <w:sz w:val="24"/>
          <w:szCs w:val="24"/>
          <w:highlight w:val="none"/>
          <w:lang w:val="en-US" w:eastAsia="zh-CN" w:bidi="ar-SA"/>
        </w:rPr>
        <w:t>28、采购人有权对维护实施的内容进行抽查检测。检测由采购人委托第三方专业机构。</w:t>
      </w:r>
    </w:p>
    <w:p>
      <w:pPr>
        <w:wordWrap/>
        <w:spacing w:line="600" w:lineRule="exact"/>
        <w:ind w:firstLine="0" w:firstLineChars="0"/>
        <w:jc w:val="left"/>
        <w:rPr>
          <w:rFonts w:hint="eastAsia" w:ascii="宋体" w:hAnsi="宋体" w:eastAsia="宋体" w:cs="宋体"/>
          <w:b/>
          <w:bCs w:val="0"/>
          <w:color w:val="auto"/>
          <w:sz w:val="24"/>
          <w:highlight w:val="none"/>
          <w:lang w:val="en-US" w:eastAsia="zh-CN"/>
        </w:rPr>
      </w:pPr>
      <w:r>
        <w:rPr>
          <w:rFonts w:hint="eastAsia" w:ascii="宋体" w:hAnsi="宋体" w:eastAsia="宋体" w:cs="宋体"/>
          <w:b/>
          <w:bCs w:val="0"/>
          <w:color w:val="auto"/>
          <w:sz w:val="24"/>
          <w:highlight w:val="none"/>
          <w:lang w:eastAsia="zh-CN"/>
        </w:rPr>
        <w:t>三</w:t>
      </w:r>
      <w:r>
        <w:rPr>
          <w:rFonts w:hint="eastAsia" w:ascii="宋体" w:hAnsi="宋体" w:eastAsia="宋体" w:cs="宋体"/>
          <w:b/>
          <w:bCs w:val="0"/>
          <w:color w:val="auto"/>
          <w:sz w:val="24"/>
          <w:highlight w:val="none"/>
          <w:lang w:val="en-US" w:eastAsia="zh-CN"/>
        </w:rPr>
        <w:t>、服务期限及范围</w:t>
      </w:r>
    </w:p>
    <w:p>
      <w:pPr>
        <w:wordWrap/>
        <w:spacing w:line="600" w:lineRule="exact"/>
        <w:ind w:firstLine="600" w:firstLineChars="250"/>
        <w:jc w:val="lef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1、服务期限：自合同生效之日起两年</w:t>
      </w:r>
      <w:r>
        <w:rPr>
          <w:rFonts w:hint="eastAsia" w:ascii="宋体" w:hAnsi="宋体" w:eastAsia="宋体" w:cs="宋体"/>
          <w:b w:val="0"/>
          <w:bCs/>
          <w:color w:val="auto"/>
          <w:sz w:val="24"/>
          <w:highlight w:val="none"/>
          <w:lang w:eastAsia="zh-CN"/>
        </w:rPr>
        <w:t>（中标后累计合同金额不得超过</w:t>
      </w:r>
      <w:r>
        <w:rPr>
          <w:rFonts w:hint="eastAsia" w:ascii="宋体" w:hAnsi="宋体" w:eastAsia="宋体" w:cs="宋体"/>
          <w:b w:val="0"/>
          <w:bCs/>
          <w:color w:val="auto"/>
          <w:sz w:val="24"/>
          <w:highlight w:val="none"/>
          <w:lang w:val="en-US" w:eastAsia="zh-CN"/>
        </w:rPr>
        <w:t>1000</w:t>
      </w:r>
      <w:r>
        <w:rPr>
          <w:rFonts w:hint="eastAsia" w:ascii="宋体" w:hAnsi="宋体" w:eastAsia="宋体" w:cs="宋体"/>
          <w:b w:val="0"/>
          <w:bCs/>
          <w:color w:val="auto"/>
          <w:sz w:val="24"/>
          <w:highlight w:val="none"/>
          <w:lang w:eastAsia="zh-CN"/>
        </w:rPr>
        <w:t>万元）</w:t>
      </w:r>
      <w:r>
        <w:rPr>
          <w:rFonts w:hint="eastAsia" w:ascii="宋体" w:hAnsi="宋体" w:eastAsia="宋体" w:cs="宋体"/>
          <w:b w:val="0"/>
          <w:bCs/>
          <w:color w:val="auto"/>
          <w:sz w:val="24"/>
          <w:highlight w:val="none"/>
        </w:rPr>
        <w:t>，中标单位根据采购人下派的任务单将设施运输至指定地点，在设施的安装保养周期（安装保养周期是指水泥混凝土基础等的制作时间+保养周期+设施安装时间）内完成安装（或拆除）工作。</w:t>
      </w:r>
    </w:p>
    <w:p>
      <w:pPr>
        <w:wordWrap/>
        <w:spacing w:line="600" w:lineRule="exact"/>
        <w:ind w:firstLine="600" w:firstLineChars="250"/>
        <w:jc w:val="left"/>
        <w:rPr>
          <w:rFonts w:hint="eastAsia" w:ascii="宋体" w:hAnsi="宋体" w:eastAsia="宋体" w:cs="宋体"/>
          <w:b w:val="0"/>
          <w:bCs/>
          <w:color w:val="auto"/>
          <w:sz w:val="24"/>
          <w:highlight w:val="none"/>
        </w:rPr>
      </w:pPr>
      <w:r>
        <w:rPr>
          <w:rFonts w:hint="eastAsia" w:ascii="宋体" w:hAnsi="宋体" w:eastAsia="宋体" w:cs="宋体"/>
          <w:bCs/>
          <w:color w:val="auto"/>
          <w:sz w:val="24"/>
          <w:highlight w:val="none"/>
        </w:rPr>
        <w:t>2、服务</w:t>
      </w:r>
      <w:r>
        <w:rPr>
          <w:rFonts w:hint="eastAsia" w:ascii="宋体" w:hAnsi="宋体" w:eastAsia="宋体" w:cs="宋体"/>
          <w:bCs/>
          <w:color w:val="auto"/>
          <w:sz w:val="24"/>
          <w:highlight w:val="none"/>
          <w:lang w:val="en-US" w:eastAsia="zh-CN"/>
        </w:rPr>
        <w:t>范围</w:t>
      </w:r>
      <w:r>
        <w:rPr>
          <w:rFonts w:hint="eastAsia" w:ascii="宋体" w:hAnsi="宋体" w:eastAsia="宋体" w:cs="宋体"/>
          <w:bCs/>
          <w:color w:val="auto"/>
          <w:sz w:val="24"/>
          <w:highlight w:val="none"/>
        </w:rPr>
        <w:t>：杭州市余杭区人民政府</w:t>
      </w:r>
      <w:r>
        <w:rPr>
          <w:rFonts w:hint="eastAsia" w:ascii="宋体" w:hAnsi="宋体" w:eastAsia="宋体" w:cs="宋体"/>
          <w:bCs/>
          <w:color w:val="auto"/>
          <w:sz w:val="24"/>
          <w:highlight w:val="none"/>
          <w:lang w:val="en-US" w:eastAsia="zh-CN"/>
        </w:rPr>
        <w:t>余杭</w:t>
      </w:r>
      <w:r>
        <w:rPr>
          <w:rFonts w:hint="eastAsia" w:ascii="宋体" w:hAnsi="宋体" w:eastAsia="宋体" w:cs="宋体"/>
          <w:bCs/>
          <w:color w:val="auto"/>
          <w:sz w:val="24"/>
          <w:highlight w:val="none"/>
        </w:rPr>
        <w:t>街道</w:t>
      </w:r>
      <w:r>
        <w:rPr>
          <w:rFonts w:hint="eastAsia" w:ascii="宋体" w:hAnsi="宋体" w:eastAsia="宋体" w:cs="宋体"/>
          <w:bCs/>
          <w:color w:val="auto"/>
          <w:sz w:val="24"/>
          <w:highlight w:val="none"/>
          <w:lang w:val="en-US" w:eastAsia="zh-CN"/>
        </w:rPr>
        <w:t>范围内城区道路</w:t>
      </w:r>
      <w:r>
        <w:rPr>
          <w:rFonts w:hint="eastAsia" w:ascii="宋体" w:hAnsi="宋体" w:eastAsia="宋体" w:cs="宋体"/>
          <w:bCs/>
          <w:color w:val="auto"/>
          <w:sz w:val="24"/>
          <w:highlight w:val="none"/>
        </w:rPr>
        <w:t>；</w:t>
      </w:r>
    </w:p>
    <w:p>
      <w:pPr>
        <w:wordWrap/>
        <w:spacing w:line="600" w:lineRule="exact"/>
        <w:ind w:firstLine="0" w:firstLineChars="0"/>
        <w:rPr>
          <w:rFonts w:hint="eastAsia" w:ascii="宋体" w:hAnsi="宋体" w:eastAsia="宋体" w:cs="宋体"/>
          <w:b/>
          <w:bCs w:val="0"/>
          <w:color w:val="auto"/>
          <w:sz w:val="24"/>
          <w:highlight w:val="none"/>
        </w:rPr>
      </w:pPr>
      <w:r>
        <w:rPr>
          <w:rFonts w:hint="eastAsia" w:ascii="宋体" w:hAnsi="宋体" w:eastAsia="宋体" w:cs="宋体"/>
          <w:b/>
          <w:bCs w:val="0"/>
          <w:color w:val="auto"/>
          <w:sz w:val="24"/>
          <w:highlight w:val="none"/>
          <w:lang w:val="en-US" w:eastAsia="zh-CN"/>
        </w:rPr>
        <w:t>四</w:t>
      </w:r>
      <w:r>
        <w:rPr>
          <w:rFonts w:hint="eastAsia" w:ascii="宋体" w:hAnsi="宋体" w:eastAsia="宋体" w:cs="宋体"/>
          <w:b/>
          <w:bCs w:val="0"/>
          <w:color w:val="auto"/>
          <w:sz w:val="24"/>
          <w:highlight w:val="none"/>
        </w:rPr>
        <w:t>、</w:t>
      </w:r>
      <w:r>
        <w:rPr>
          <w:rFonts w:hint="eastAsia" w:ascii="宋体" w:hAnsi="宋体" w:eastAsia="宋体" w:cs="宋体"/>
          <w:b/>
          <w:bCs w:val="0"/>
          <w:snapToGrid/>
          <w:color w:val="auto"/>
          <w:kern w:val="2"/>
          <w:sz w:val="24"/>
          <w:highlight w:val="none"/>
        </w:rPr>
        <w:t>市政设施零星维修工程价款结算：</w:t>
      </w:r>
    </w:p>
    <w:p>
      <w:pPr>
        <w:wordWrap/>
        <w:snapToGrid w:val="0"/>
        <w:spacing w:line="600" w:lineRule="exact"/>
        <w:ind w:firstLine="480" w:firstLineChars="200"/>
        <w:rPr>
          <w:rFonts w:hint="eastAsia" w:ascii="宋体" w:hAnsi="宋体" w:eastAsia="宋体" w:cs="宋体"/>
          <w:bCs/>
          <w:snapToGrid/>
          <w:color w:val="auto"/>
          <w:kern w:val="2"/>
          <w:sz w:val="24"/>
          <w:highlight w:val="none"/>
        </w:rPr>
      </w:pPr>
      <w:r>
        <w:rPr>
          <w:rFonts w:hint="eastAsia" w:ascii="宋体" w:hAnsi="宋体" w:eastAsia="宋体" w:cs="宋体"/>
          <w:bCs/>
          <w:snapToGrid/>
          <w:color w:val="auto"/>
          <w:kern w:val="2"/>
          <w:sz w:val="24"/>
          <w:highlight w:val="none"/>
          <w:lang w:val="en-US" w:eastAsia="zh-CN"/>
        </w:rPr>
        <w:t>1、</w:t>
      </w:r>
      <w:r>
        <w:rPr>
          <w:rFonts w:hint="eastAsia" w:ascii="宋体" w:hAnsi="宋体" w:eastAsia="宋体" w:cs="宋体"/>
          <w:bCs/>
          <w:snapToGrid/>
          <w:color w:val="auto"/>
          <w:kern w:val="2"/>
          <w:sz w:val="24"/>
          <w:highlight w:val="none"/>
        </w:rPr>
        <w:t>结算方式：工程量按实计算，本工程基价套用《浙江省市政设施养护维修定额》（2018版）相应定额子目、如《浙江省市政设施养护维修定额》（2018版）无相应定额子目的可套用《浙江省市政工程预算定额（2018版）》相应定额子目，相应取费按《浙江省建设工程计价规则》2018版，</w:t>
      </w:r>
      <w:r>
        <w:rPr>
          <w:rFonts w:hint="eastAsia" w:ascii="宋体" w:hAnsi="宋体" w:eastAsia="宋体" w:cs="宋体"/>
          <w:bCs/>
          <w:snapToGrid/>
          <w:color w:val="auto"/>
          <w:kern w:val="2"/>
          <w:sz w:val="24"/>
          <w:highlight w:val="none"/>
          <w:lang w:val="en-US" w:eastAsia="zh-CN"/>
        </w:rPr>
        <w:t>套用</w:t>
      </w:r>
      <w:r>
        <w:rPr>
          <w:rFonts w:hint="eastAsia" w:ascii="宋体" w:hAnsi="宋体" w:eastAsia="宋体" w:cs="宋体"/>
          <w:bCs/>
          <w:snapToGrid/>
          <w:color w:val="auto"/>
          <w:kern w:val="2"/>
          <w:sz w:val="24"/>
          <w:highlight w:val="none"/>
        </w:rPr>
        <w:t>定额</w:t>
      </w:r>
      <w:r>
        <w:rPr>
          <w:rFonts w:hint="eastAsia" w:ascii="宋体" w:hAnsi="宋体" w:eastAsia="宋体" w:cs="宋体"/>
          <w:bCs/>
          <w:snapToGrid/>
          <w:color w:val="auto"/>
          <w:kern w:val="2"/>
          <w:sz w:val="24"/>
          <w:highlight w:val="none"/>
          <w:lang w:val="en-US" w:eastAsia="zh-CN"/>
        </w:rPr>
        <w:t>子目的</w:t>
      </w:r>
      <w:r>
        <w:rPr>
          <w:rFonts w:hint="eastAsia" w:ascii="宋体" w:hAnsi="宋体" w:eastAsia="宋体" w:cs="宋体"/>
          <w:bCs/>
          <w:snapToGrid/>
          <w:color w:val="auto"/>
          <w:kern w:val="2"/>
          <w:sz w:val="24"/>
          <w:highlight w:val="none"/>
        </w:rPr>
        <w:t>结算价=基价*投标报价（%）*实际工程量。2、无定额价的</w:t>
      </w:r>
      <w:r>
        <w:rPr>
          <w:rFonts w:hint="eastAsia" w:ascii="宋体" w:hAnsi="宋体" w:eastAsia="宋体" w:cs="宋体"/>
          <w:bCs/>
          <w:snapToGrid/>
          <w:color w:val="auto"/>
          <w:kern w:val="2"/>
          <w:sz w:val="24"/>
          <w:highlight w:val="none"/>
          <w:lang w:val="en-US" w:eastAsia="zh-CN"/>
        </w:rPr>
        <w:t>子目</w:t>
      </w:r>
      <w:r>
        <w:rPr>
          <w:rFonts w:hint="eastAsia" w:ascii="宋体" w:hAnsi="宋体" w:eastAsia="宋体" w:cs="宋体"/>
          <w:bCs/>
          <w:snapToGrid/>
          <w:color w:val="auto"/>
          <w:kern w:val="2"/>
          <w:sz w:val="24"/>
          <w:highlight w:val="none"/>
        </w:rPr>
        <w:t>：结算按浙江省造价信息当年当月信息价下浮15%结算。3、没有造价信息的，按市场价下浮20%结算。</w:t>
      </w:r>
    </w:p>
    <w:p>
      <w:pPr>
        <w:wordWrap/>
        <w:snapToGrid w:val="0"/>
        <w:spacing w:line="600" w:lineRule="exact"/>
        <w:ind w:firstLine="480" w:firstLineChars="200"/>
        <w:rPr>
          <w:rFonts w:hint="eastAsia" w:ascii="宋体" w:hAnsi="宋体" w:eastAsia="宋体" w:cs="宋体"/>
          <w:bCs/>
          <w:snapToGrid/>
          <w:color w:val="auto"/>
          <w:kern w:val="2"/>
          <w:sz w:val="24"/>
          <w:highlight w:val="none"/>
        </w:rPr>
      </w:pPr>
      <w:r>
        <w:rPr>
          <w:rFonts w:hint="eastAsia" w:ascii="宋体" w:hAnsi="宋体" w:eastAsia="宋体" w:cs="宋体"/>
          <w:b w:val="0"/>
          <w:bCs/>
          <w:snapToGrid/>
          <w:color w:val="auto"/>
          <w:kern w:val="2"/>
          <w:sz w:val="24"/>
          <w:highlight w:val="none"/>
          <w:lang w:val="en-US" w:eastAsia="zh-CN"/>
        </w:rPr>
        <w:t>2、</w:t>
      </w:r>
      <w:r>
        <w:rPr>
          <w:rFonts w:hint="eastAsia" w:ascii="宋体" w:hAnsi="宋体" w:eastAsia="宋体" w:cs="宋体"/>
          <w:bCs/>
          <w:snapToGrid/>
          <w:color w:val="auto"/>
          <w:kern w:val="2"/>
          <w:sz w:val="24"/>
          <w:highlight w:val="none"/>
        </w:rPr>
        <w:t>工程量及工程价款结算最终以审计部门的审计结果为准；除按上级规定应由施工单位承担的审计费用外，审计核减资金占送审结算造价的5%之内，施工单位不承担核减额的10%上交款，超过5%以上部分的核减资金按10%上交街道财政所，审计费及审计核减额的10%上缴款由承包人承担。</w:t>
      </w:r>
    </w:p>
    <w:p>
      <w:pPr>
        <w:numPr>
          <w:ilvl w:val="0"/>
          <w:numId w:val="8"/>
        </w:numPr>
        <w:wordWrap/>
        <w:spacing w:line="600" w:lineRule="exact"/>
        <w:ind w:left="150" w:leftChars="0" w:firstLine="480" w:firstLineChars="0"/>
        <w:rPr>
          <w:rFonts w:hint="eastAsia" w:ascii="宋体" w:hAnsi="宋体" w:eastAsia="宋体" w:cs="宋体"/>
          <w:bCs/>
          <w:color w:val="auto"/>
          <w:sz w:val="24"/>
          <w:highlight w:val="none"/>
        </w:rPr>
      </w:pPr>
      <w:r>
        <w:rPr>
          <w:rFonts w:hint="eastAsia" w:ascii="宋体" w:hAnsi="宋体" w:eastAsia="宋体" w:cs="宋体"/>
          <w:bCs/>
          <w:snapToGrid/>
          <w:color w:val="auto"/>
          <w:kern w:val="2"/>
          <w:sz w:val="24"/>
          <w:szCs w:val="24"/>
          <w:highlight w:val="none"/>
          <w:lang w:val="en-US" w:eastAsia="zh-CN"/>
        </w:rPr>
        <w:t>当月完成的项目（工程），需在次月进行结算送审，否则不予结算。</w:t>
      </w:r>
    </w:p>
    <w:p>
      <w:pPr>
        <w:wordWrap/>
        <w:spacing w:line="600" w:lineRule="exact"/>
        <w:rPr>
          <w:rFonts w:hint="eastAsia" w:ascii="宋体" w:hAnsi="宋体" w:eastAsia="宋体" w:cs="宋体"/>
          <w:b/>
          <w:bCs w:val="0"/>
          <w:color w:val="auto"/>
          <w:sz w:val="24"/>
          <w:highlight w:val="none"/>
        </w:rPr>
      </w:pPr>
      <w:r>
        <w:rPr>
          <w:rFonts w:hint="eastAsia" w:ascii="宋体" w:hAnsi="宋体" w:eastAsia="宋体" w:cs="宋体"/>
          <w:b/>
          <w:bCs w:val="0"/>
          <w:color w:val="auto"/>
          <w:sz w:val="24"/>
          <w:highlight w:val="none"/>
          <w:lang w:val="en-US" w:eastAsia="zh-CN"/>
        </w:rPr>
        <w:t>五</w:t>
      </w:r>
      <w:r>
        <w:rPr>
          <w:rFonts w:hint="eastAsia" w:ascii="宋体" w:hAnsi="宋体" w:eastAsia="宋体" w:cs="宋体"/>
          <w:b/>
          <w:bCs w:val="0"/>
          <w:color w:val="auto"/>
          <w:sz w:val="24"/>
          <w:highlight w:val="none"/>
        </w:rPr>
        <w:t>、</w:t>
      </w:r>
      <w:r>
        <w:rPr>
          <w:rFonts w:hint="eastAsia" w:ascii="宋体" w:hAnsi="宋体" w:eastAsia="宋体" w:cs="宋体"/>
          <w:b/>
          <w:bCs w:val="0"/>
          <w:color w:val="auto"/>
          <w:sz w:val="24"/>
          <w:highlight w:val="none"/>
          <w:lang w:val="en-US" w:eastAsia="zh-CN"/>
        </w:rPr>
        <w:t>其他</w:t>
      </w:r>
      <w:r>
        <w:rPr>
          <w:rFonts w:hint="eastAsia" w:ascii="宋体" w:hAnsi="宋体" w:eastAsia="宋体" w:cs="宋体"/>
          <w:b/>
          <w:bCs w:val="0"/>
          <w:color w:val="auto"/>
          <w:sz w:val="24"/>
          <w:highlight w:val="none"/>
        </w:rPr>
        <w:t>要求：</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1、设施必须是符合GB5768-2009等标准的合格产品。</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2、包装应符合国家标准，以保证设备在运输过程中不受损伤，由于包装不当造成设施在运输过程中有任何损坏或丢失，由中标单位负责。</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3、设施由中标单位负责送到施工现场，由中标单位负责运输、卸车。</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4、设施到达现场，采购人、中标单位双方均须在场并确认包装的完好性后，由采购人验货。中标单位应按采购人安排的时间派人到现场，配合采购人完成对货物进行清点验收，双方签字确认。若发现货物与装箱单不符，中标单位负责补齐或收回。如中标单位不能按时到达，采购人有权开箱检验，并对缺件，损坏做出记录，中标单位应认可并负责解决。</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5、中标单位负责设施安装及调试，直至设施正常运行或使用。</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6、中标单位应自带用以安装、调试过程中所需的各种工具、仪器仪表及易损件。</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7、所供货物不会侵犯任何第三方知识产权。</w:t>
      </w:r>
    </w:p>
    <w:p>
      <w:pPr>
        <w:wordWrap/>
        <w:spacing w:line="600" w:lineRule="exact"/>
        <w:ind w:firstLine="470" w:firstLineChars="196"/>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8、施工必须按照现行国家标准执行。</w:t>
      </w:r>
    </w:p>
    <w:p>
      <w:pPr>
        <w:wordWrap/>
        <w:spacing w:line="600" w:lineRule="exact"/>
        <w:rPr>
          <w:rFonts w:hint="eastAsia" w:ascii="宋体" w:hAnsi="宋体" w:eastAsia="宋体" w:cs="宋体"/>
          <w:b/>
          <w:bCs w:val="0"/>
          <w:color w:val="auto"/>
          <w:sz w:val="24"/>
          <w:highlight w:val="none"/>
        </w:rPr>
      </w:pPr>
      <w:r>
        <w:rPr>
          <w:rFonts w:hint="eastAsia" w:ascii="宋体" w:hAnsi="宋体" w:eastAsia="宋体" w:cs="宋体"/>
          <w:b/>
          <w:bCs w:val="0"/>
          <w:color w:val="auto"/>
          <w:sz w:val="24"/>
          <w:highlight w:val="none"/>
          <w:lang w:val="en-US" w:eastAsia="zh-CN"/>
        </w:rPr>
        <w:t>六</w:t>
      </w:r>
      <w:r>
        <w:rPr>
          <w:rFonts w:hint="eastAsia" w:ascii="宋体" w:hAnsi="宋体" w:eastAsia="宋体" w:cs="宋体"/>
          <w:b/>
          <w:bCs w:val="0"/>
          <w:color w:val="auto"/>
          <w:sz w:val="24"/>
          <w:highlight w:val="none"/>
        </w:rPr>
        <w:t>、履约保证金的缴纳和退付：</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rPr>
      </w:pPr>
      <w:r>
        <w:rPr>
          <w:rFonts w:hint="eastAsia" w:ascii="宋体" w:hAnsi="宋体" w:eastAsia="宋体" w:cs="宋体"/>
          <w:bCs/>
          <w:snapToGrid/>
          <w:color w:val="auto"/>
          <w:kern w:val="2"/>
          <w:sz w:val="24"/>
          <w:szCs w:val="24"/>
          <w:highlight w:val="none"/>
        </w:rPr>
        <w:t>1</w:t>
      </w:r>
      <w:r>
        <w:rPr>
          <w:rFonts w:hint="eastAsia" w:ascii="宋体" w:hAnsi="宋体" w:eastAsia="宋体" w:cs="宋体"/>
          <w:bCs/>
          <w:snapToGrid/>
          <w:color w:val="auto"/>
          <w:kern w:val="2"/>
          <w:sz w:val="24"/>
          <w:szCs w:val="24"/>
          <w:highlight w:val="none"/>
          <w:lang w:val="en-US" w:eastAsia="zh-CN"/>
        </w:rPr>
        <w:t>、</w:t>
      </w:r>
      <w:r>
        <w:rPr>
          <w:rFonts w:hint="eastAsia" w:ascii="宋体" w:hAnsi="宋体" w:eastAsia="宋体" w:cs="宋体"/>
          <w:bCs/>
          <w:snapToGrid/>
          <w:color w:val="auto"/>
          <w:kern w:val="2"/>
          <w:sz w:val="24"/>
          <w:szCs w:val="24"/>
          <w:highlight w:val="none"/>
        </w:rPr>
        <w:t>中标人在签订作业合同时需向招标人提交</w:t>
      </w:r>
      <w:r>
        <w:rPr>
          <w:rFonts w:hint="eastAsia" w:ascii="宋体" w:hAnsi="宋体" w:eastAsia="宋体" w:cs="宋体"/>
          <w:bCs/>
          <w:snapToGrid/>
          <w:color w:val="auto"/>
          <w:kern w:val="2"/>
          <w:sz w:val="24"/>
          <w:szCs w:val="24"/>
          <w:highlight w:val="none"/>
          <w:lang w:val="en-US" w:eastAsia="zh-CN"/>
        </w:rPr>
        <w:t>10</w:t>
      </w:r>
      <w:r>
        <w:rPr>
          <w:rFonts w:hint="eastAsia" w:ascii="宋体" w:hAnsi="宋体" w:eastAsia="宋体" w:cs="宋体"/>
          <w:bCs/>
          <w:snapToGrid/>
          <w:color w:val="auto"/>
          <w:kern w:val="2"/>
          <w:sz w:val="24"/>
          <w:szCs w:val="24"/>
          <w:highlight w:val="none"/>
        </w:rPr>
        <w:t>万元合同履约保证金；在承包期满后三十天内退还（无息）。如承包期内，中标人没按要求履行合同则保证金不予归还。</w:t>
      </w:r>
    </w:p>
    <w:p>
      <w:pPr>
        <w:wordWrap/>
        <w:adjustRightInd w:val="0"/>
        <w:snapToGrid w:val="0"/>
        <w:spacing w:line="600" w:lineRule="exact"/>
        <w:ind w:firstLine="480" w:firstLineChars="200"/>
        <w:jc w:val="left"/>
        <w:outlineLvl w:val="0"/>
        <w:rPr>
          <w:rFonts w:hint="eastAsia" w:ascii="宋体" w:hAnsi="宋体" w:eastAsia="宋体" w:cs="宋体"/>
          <w:bCs/>
          <w:snapToGrid/>
          <w:color w:val="auto"/>
          <w:kern w:val="2"/>
          <w:sz w:val="24"/>
          <w:szCs w:val="24"/>
          <w:highlight w:val="none"/>
          <w:lang w:eastAsia="zh-CN"/>
        </w:rPr>
      </w:pPr>
      <w:r>
        <w:rPr>
          <w:rFonts w:hint="eastAsia" w:ascii="宋体" w:hAnsi="宋体" w:eastAsia="宋体" w:cs="宋体"/>
          <w:bCs/>
          <w:snapToGrid/>
          <w:color w:val="auto"/>
          <w:kern w:val="2"/>
          <w:sz w:val="24"/>
          <w:szCs w:val="24"/>
          <w:highlight w:val="none"/>
        </w:rPr>
        <w:t>2</w:t>
      </w:r>
      <w:r>
        <w:rPr>
          <w:rFonts w:hint="eastAsia" w:ascii="宋体" w:hAnsi="宋体" w:eastAsia="宋体" w:cs="宋体"/>
          <w:bCs/>
          <w:snapToGrid/>
          <w:color w:val="auto"/>
          <w:kern w:val="2"/>
          <w:sz w:val="24"/>
          <w:szCs w:val="24"/>
          <w:highlight w:val="none"/>
          <w:lang w:eastAsia="zh-CN"/>
        </w:rPr>
        <w:t>、</w:t>
      </w:r>
      <w:r>
        <w:rPr>
          <w:rFonts w:hint="eastAsia" w:ascii="宋体" w:hAnsi="宋体" w:eastAsia="宋体" w:cs="宋体"/>
          <w:bCs/>
          <w:snapToGrid/>
          <w:color w:val="auto"/>
          <w:kern w:val="2"/>
          <w:sz w:val="24"/>
          <w:szCs w:val="24"/>
          <w:highlight w:val="none"/>
        </w:rPr>
        <w:t>在承包期内如因承包人原因造成招标人财产损失的，招标人有权酌情扣去履约保证金</w:t>
      </w:r>
      <w:r>
        <w:rPr>
          <w:rFonts w:hint="eastAsia" w:ascii="宋体" w:hAnsi="宋体" w:eastAsia="宋体" w:cs="宋体"/>
          <w:bCs/>
          <w:snapToGrid/>
          <w:color w:val="auto"/>
          <w:kern w:val="2"/>
          <w:sz w:val="24"/>
          <w:szCs w:val="24"/>
          <w:highlight w:val="none"/>
          <w:lang w:eastAsia="zh-CN"/>
        </w:rPr>
        <w:t>。</w:t>
      </w:r>
    </w:p>
    <w:p>
      <w:pPr>
        <w:wordWrap/>
        <w:snapToGrid w:val="0"/>
        <w:spacing w:line="600" w:lineRule="exact"/>
        <w:ind w:firstLine="0" w:firstLineChars="0"/>
        <w:rPr>
          <w:rFonts w:hint="eastAsia" w:ascii="宋体" w:hAnsi="宋体" w:eastAsia="宋体" w:cs="宋体"/>
          <w:b w:val="0"/>
          <w:bCs/>
          <w:snapToGrid/>
          <w:color w:val="auto"/>
          <w:kern w:val="2"/>
          <w:sz w:val="24"/>
          <w:highlight w:val="none"/>
        </w:rPr>
      </w:pPr>
      <w:r>
        <w:rPr>
          <w:rFonts w:hint="eastAsia" w:ascii="宋体" w:hAnsi="宋体" w:eastAsia="宋体" w:cs="宋体"/>
          <w:b/>
          <w:bCs w:val="0"/>
          <w:snapToGrid/>
          <w:color w:val="auto"/>
          <w:kern w:val="2"/>
          <w:sz w:val="24"/>
          <w:szCs w:val="24"/>
          <w:highlight w:val="none"/>
          <w:lang w:val="en-US" w:eastAsia="zh-CN"/>
        </w:rPr>
        <w:t>七、</w:t>
      </w:r>
      <w:r>
        <w:rPr>
          <w:rFonts w:hint="eastAsia" w:ascii="宋体" w:hAnsi="宋体" w:eastAsia="宋体" w:cs="宋体"/>
          <w:b/>
          <w:bCs w:val="0"/>
          <w:snapToGrid/>
          <w:color w:val="auto"/>
          <w:kern w:val="2"/>
          <w:sz w:val="24"/>
          <w:highlight w:val="none"/>
        </w:rPr>
        <w:t>付款方式：</w:t>
      </w:r>
    </w:p>
    <w:p>
      <w:pPr>
        <w:wordWrap/>
        <w:snapToGrid w:val="0"/>
        <w:spacing w:line="600" w:lineRule="exact"/>
        <w:ind w:firstLine="480" w:firstLineChars="200"/>
        <w:rPr>
          <w:rFonts w:hint="eastAsia" w:ascii="宋体" w:hAnsi="宋体" w:eastAsia="宋体" w:cs="宋体"/>
          <w:bCs/>
          <w:snapToGrid/>
          <w:color w:val="auto"/>
          <w:kern w:val="2"/>
          <w:sz w:val="24"/>
          <w:szCs w:val="24"/>
          <w:highlight w:val="none"/>
          <w:lang w:val="en-US" w:eastAsia="zh-CN"/>
        </w:rPr>
      </w:pPr>
      <w:r>
        <w:rPr>
          <w:rFonts w:hint="eastAsia" w:ascii="宋体" w:hAnsi="宋体" w:eastAsia="宋体" w:cs="宋体"/>
          <w:bCs/>
          <w:snapToGrid/>
          <w:color w:val="auto"/>
          <w:kern w:val="2"/>
          <w:sz w:val="24"/>
          <w:highlight w:val="none"/>
        </w:rPr>
        <w:t>根据每月度实际完成工程量，经验收合格后，乙方凭甲方签字认可的工作联系单原件和施工联系单、竣工验收证书等相关结算凭证准确按时上报甲方。经审计审定后，按照招投标文件中标报价下浮后支付工程款的97.5%，剩余2.5%作为质量保修金。剩余</w:t>
      </w:r>
      <w:r>
        <w:rPr>
          <w:rFonts w:hint="eastAsia" w:ascii="宋体" w:hAnsi="宋体" w:eastAsia="宋体" w:cs="宋体"/>
          <w:bCs/>
          <w:snapToGrid/>
          <w:color w:val="auto"/>
          <w:kern w:val="2"/>
          <w:sz w:val="24"/>
          <w:highlight w:val="none"/>
          <w:lang w:val="en-US" w:eastAsia="zh-CN"/>
        </w:rPr>
        <w:t>2.</w:t>
      </w:r>
      <w:r>
        <w:rPr>
          <w:rFonts w:hint="eastAsia" w:ascii="宋体" w:hAnsi="宋体" w:eastAsia="宋体" w:cs="宋体"/>
          <w:bCs/>
          <w:snapToGrid/>
          <w:color w:val="auto"/>
          <w:kern w:val="2"/>
          <w:sz w:val="24"/>
          <w:highlight w:val="none"/>
        </w:rPr>
        <w:t>5%的应付款项须待合同期满时，招标人对承包方的修复管理项目进行总体考核并验收合格后，在十五日内付清（无息）。乙方凭有效发票到甲方处领取工程款。</w:t>
      </w:r>
    </w:p>
    <w:p>
      <w:pPr>
        <w:numPr>
          <w:ilvl w:val="0"/>
          <w:numId w:val="0"/>
        </w:numPr>
        <w:wordWrap/>
        <w:adjustRightInd w:val="0"/>
        <w:snapToGrid w:val="0"/>
        <w:spacing w:line="600" w:lineRule="exact"/>
        <w:ind w:left="0" w:leftChars="0"/>
        <w:jc w:val="left"/>
        <w:outlineLvl w:val="0"/>
        <w:rPr>
          <w:rFonts w:hint="eastAsia" w:ascii="宋体" w:hAnsi="宋体" w:eastAsia="宋体" w:cs="宋体"/>
          <w:b/>
          <w:bCs w:val="0"/>
          <w:color w:val="auto"/>
          <w:sz w:val="24"/>
          <w:highlight w:val="none"/>
          <w:lang w:val="en-US" w:eastAsia="zh-CN"/>
        </w:rPr>
      </w:pPr>
      <w:r>
        <w:rPr>
          <w:rFonts w:hint="eastAsia" w:ascii="宋体" w:hAnsi="宋体" w:eastAsia="宋体" w:cs="宋体"/>
          <w:b/>
          <w:bCs w:val="0"/>
          <w:color w:val="auto"/>
          <w:sz w:val="24"/>
          <w:highlight w:val="none"/>
          <w:lang w:val="en-US" w:eastAsia="zh-CN"/>
        </w:rPr>
        <w:t>八、特别说明：</w:t>
      </w:r>
    </w:p>
    <w:p>
      <w:pPr>
        <w:wordWrap/>
        <w:spacing w:line="600" w:lineRule="exact"/>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1、中标通知书发出后15天内，中标单位须向采购人出具以下资料，否则视为自动放弃中标资格，不予签订合同：</w:t>
      </w:r>
    </w:p>
    <w:p>
      <w:pPr>
        <w:wordWrap/>
        <w:spacing w:line="600" w:lineRule="exact"/>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2、中标单位必须在</w:t>
      </w:r>
      <w:r>
        <w:rPr>
          <w:rFonts w:hint="eastAsia" w:ascii="宋体" w:hAnsi="宋体" w:eastAsia="宋体" w:cs="宋体"/>
          <w:bCs/>
          <w:color w:val="auto"/>
          <w:sz w:val="24"/>
          <w:highlight w:val="none"/>
          <w:lang w:val="en-US" w:eastAsia="zh-CN"/>
        </w:rPr>
        <w:t>余杭街道</w:t>
      </w:r>
      <w:r>
        <w:rPr>
          <w:rFonts w:hint="eastAsia" w:ascii="宋体" w:hAnsi="宋体" w:eastAsia="宋体" w:cs="宋体"/>
          <w:bCs/>
          <w:color w:val="auto"/>
          <w:sz w:val="24"/>
          <w:highlight w:val="none"/>
        </w:rPr>
        <w:t>内拥有</w:t>
      </w:r>
      <w:r>
        <w:rPr>
          <w:rFonts w:hint="eastAsia" w:ascii="宋体" w:hAnsi="宋体" w:eastAsia="宋体" w:cs="宋体"/>
          <w:bCs/>
          <w:color w:val="auto"/>
          <w:sz w:val="24"/>
          <w:highlight w:val="none"/>
          <w:lang w:val="en-US" w:eastAsia="zh-CN"/>
        </w:rPr>
        <w:t>1</w:t>
      </w:r>
      <w:r>
        <w:rPr>
          <w:rFonts w:hint="eastAsia" w:ascii="宋体" w:hAnsi="宋体" w:eastAsia="宋体" w:cs="宋体"/>
          <w:bCs/>
          <w:color w:val="auto"/>
          <w:sz w:val="24"/>
          <w:highlight w:val="none"/>
        </w:rPr>
        <w:t>00</w:t>
      </w:r>
      <w:r>
        <w:rPr>
          <w:rFonts w:hint="eastAsia" w:ascii="宋体" w:hAnsi="宋体" w:eastAsia="宋体" w:cs="宋体"/>
          <w:bCs/>
          <w:color w:val="auto"/>
          <w:sz w:val="24"/>
          <w:highlight w:val="none"/>
          <w:lang w:val="en-US" w:eastAsia="zh-CN"/>
        </w:rPr>
        <w:t>-500</w:t>
      </w:r>
      <w:r>
        <w:rPr>
          <w:rFonts w:hint="eastAsia" w:ascii="宋体" w:hAnsi="宋体" w:eastAsia="宋体" w:cs="宋体"/>
          <w:bCs/>
          <w:color w:val="auto"/>
          <w:sz w:val="24"/>
          <w:highlight w:val="none"/>
        </w:rPr>
        <w:t>平方米以上的固定场办公与仓储场所。必须在投标文件中作出承诺（格式自拟）。</w:t>
      </w:r>
    </w:p>
    <w:p>
      <w:pPr>
        <w:wordWrap/>
        <w:adjustRightInd w:val="0"/>
        <w:snapToGrid w:val="0"/>
        <w:spacing w:line="600" w:lineRule="exact"/>
        <w:ind w:firstLine="480" w:firstLineChars="200"/>
        <w:rPr>
          <w:rFonts w:hint="eastAsia" w:ascii="宋体" w:hAnsi="宋体" w:eastAsia="宋体" w:cs="宋体"/>
          <w:b w:val="0"/>
          <w:bCs/>
          <w:snapToGrid/>
          <w:color w:val="auto"/>
          <w:kern w:val="2"/>
          <w:sz w:val="24"/>
          <w:szCs w:val="24"/>
          <w:highlight w:val="none"/>
        </w:rPr>
      </w:pPr>
      <w:r>
        <w:rPr>
          <w:rFonts w:hint="eastAsia" w:ascii="宋体" w:hAnsi="宋体" w:eastAsia="宋体" w:cs="宋体"/>
          <w:bCs/>
          <w:color w:val="auto"/>
          <w:sz w:val="24"/>
          <w:highlight w:val="none"/>
        </w:rPr>
        <w:t>3、中标单位所提供资料，经查实为虚假材料的，或经成本核算达不到额定标准的，或经发现中标单位转包给其他企业的，或违规有关养护合同约定的，采购人有权不予签订合同或终止合同。</w:t>
      </w:r>
    </w:p>
    <w:p>
      <w:pPr>
        <w:numPr>
          <w:ilvl w:val="0"/>
          <w:numId w:val="0"/>
        </w:numPr>
        <w:adjustRightInd/>
        <w:snapToGrid w:val="0"/>
        <w:spacing w:line="600" w:lineRule="exact"/>
        <w:ind w:firstLine="0" w:firstLineChars="0"/>
        <w:jc w:val="left"/>
        <w:outlineLvl w:val="9"/>
        <w:rPr>
          <w:rFonts w:hint="eastAsia" w:ascii="宋体" w:hAnsi="宋体" w:eastAsia="宋体" w:cs="宋体"/>
          <w:b/>
          <w:bCs w:val="0"/>
          <w:snapToGrid/>
          <w:color w:val="auto"/>
          <w:sz w:val="24"/>
          <w:szCs w:val="24"/>
          <w:highlight w:val="none"/>
          <w:lang w:eastAsia="zh-CN"/>
        </w:rPr>
      </w:pPr>
      <w:r>
        <w:rPr>
          <w:rFonts w:hint="eastAsia" w:ascii="宋体" w:hAnsi="宋体" w:eastAsia="宋体" w:cs="宋体"/>
          <w:b/>
          <w:bCs w:val="0"/>
          <w:color w:val="auto"/>
          <w:sz w:val="24"/>
          <w:szCs w:val="24"/>
          <w:highlight w:val="none"/>
          <w:lang w:val="en-US" w:eastAsia="zh-CN"/>
        </w:rPr>
        <w:t>九、考核标准：</w:t>
      </w:r>
    </w:p>
    <w:p>
      <w:pPr>
        <w:shd w:val="clear" w:color="auto" w:fill="auto"/>
        <w:wordWrap/>
        <w:snapToGrid w:val="0"/>
        <w:spacing w:line="600" w:lineRule="exact"/>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考核以百分制的方式进行，时间为</w:t>
      </w:r>
      <w:r>
        <w:rPr>
          <w:rFonts w:hint="eastAsia" w:ascii="宋体" w:hAnsi="宋体" w:eastAsia="宋体" w:cs="宋体"/>
          <w:bCs/>
          <w:color w:val="auto"/>
          <w:sz w:val="24"/>
          <w:highlight w:val="none"/>
          <w:lang w:val="en-US" w:eastAsia="zh-CN"/>
        </w:rPr>
        <w:t>本项目</w:t>
      </w:r>
      <w:r>
        <w:rPr>
          <w:rFonts w:hint="eastAsia" w:ascii="宋体" w:hAnsi="宋体" w:eastAsia="宋体" w:cs="宋体"/>
          <w:bCs/>
          <w:color w:val="auto"/>
          <w:sz w:val="24"/>
          <w:highlight w:val="none"/>
        </w:rPr>
        <w:t>合同期内每月进行考核。月度总得分100分，得分在</w:t>
      </w:r>
      <w:r>
        <w:rPr>
          <w:rFonts w:hint="eastAsia" w:ascii="宋体" w:hAnsi="宋体" w:eastAsia="宋体" w:cs="宋体"/>
          <w:bCs/>
          <w:color w:val="auto"/>
          <w:sz w:val="24"/>
          <w:highlight w:val="none"/>
          <w:lang w:val="en-US" w:eastAsia="zh-CN"/>
        </w:rPr>
        <w:t>92分</w:t>
      </w:r>
      <w:r>
        <w:rPr>
          <w:rFonts w:hint="eastAsia" w:ascii="宋体" w:hAnsi="宋体" w:eastAsia="宋体" w:cs="宋体"/>
          <w:bCs/>
          <w:color w:val="auto"/>
          <w:sz w:val="24"/>
          <w:highlight w:val="none"/>
        </w:rPr>
        <w:t>（含）</w:t>
      </w:r>
      <w:r>
        <w:rPr>
          <w:rFonts w:hint="eastAsia" w:ascii="宋体" w:hAnsi="宋体" w:eastAsia="宋体" w:cs="宋体"/>
          <w:bCs/>
          <w:color w:val="auto"/>
          <w:sz w:val="24"/>
          <w:highlight w:val="none"/>
          <w:lang w:val="en-US" w:eastAsia="zh-CN"/>
        </w:rPr>
        <w:t>及以上</w:t>
      </w:r>
      <w:r>
        <w:rPr>
          <w:rFonts w:hint="eastAsia" w:ascii="宋体" w:hAnsi="宋体" w:eastAsia="宋体" w:cs="宋体"/>
          <w:bCs/>
          <w:color w:val="auto"/>
          <w:sz w:val="24"/>
          <w:highlight w:val="none"/>
        </w:rPr>
        <w:t>为</w:t>
      </w:r>
      <w:r>
        <w:rPr>
          <w:rFonts w:hint="eastAsia" w:ascii="宋体" w:hAnsi="宋体" w:eastAsia="宋体" w:cs="宋体"/>
          <w:bCs/>
          <w:color w:val="auto"/>
          <w:sz w:val="24"/>
          <w:highlight w:val="none"/>
          <w:lang w:val="en-US" w:eastAsia="zh-CN"/>
        </w:rPr>
        <w:t>合格</w:t>
      </w:r>
      <w:r>
        <w:rPr>
          <w:rFonts w:hint="eastAsia" w:ascii="宋体" w:hAnsi="宋体" w:eastAsia="宋体" w:cs="宋体"/>
          <w:bCs/>
          <w:color w:val="auto"/>
          <w:sz w:val="24"/>
          <w:highlight w:val="none"/>
        </w:rPr>
        <w:t>单位</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日常</w:t>
      </w:r>
      <w:r>
        <w:rPr>
          <w:rFonts w:hint="eastAsia" w:ascii="宋体" w:hAnsi="宋体" w:eastAsia="宋体" w:cs="宋体"/>
          <w:bCs/>
          <w:color w:val="auto"/>
          <w:sz w:val="24"/>
          <w:highlight w:val="none"/>
          <w:lang w:val="en-US" w:eastAsia="zh-CN"/>
        </w:rPr>
        <w:t>维</w:t>
      </w:r>
      <w:r>
        <w:rPr>
          <w:rFonts w:hint="eastAsia" w:ascii="宋体" w:hAnsi="宋体" w:eastAsia="宋体" w:cs="宋体"/>
          <w:bCs/>
          <w:color w:val="auto"/>
          <w:sz w:val="24"/>
          <w:highlight w:val="none"/>
        </w:rPr>
        <w:t>护费用根据月度考核成绩</w:t>
      </w:r>
      <w:r>
        <w:rPr>
          <w:rFonts w:hint="eastAsia" w:ascii="宋体" w:hAnsi="宋体" w:eastAsia="宋体" w:cs="宋体"/>
          <w:bCs/>
          <w:color w:val="auto"/>
          <w:sz w:val="24"/>
          <w:highlight w:val="none"/>
          <w:lang w:val="en-US" w:eastAsia="zh-CN"/>
        </w:rPr>
        <w:t>和经审核后的维修费用</w:t>
      </w:r>
      <w:r>
        <w:rPr>
          <w:rFonts w:hint="eastAsia" w:ascii="宋体" w:hAnsi="宋体" w:eastAsia="宋体" w:cs="宋体"/>
          <w:bCs/>
          <w:color w:val="auto"/>
          <w:sz w:val="24"/>
          <w:highlight w:val="none"/>
        </w:rPr>
        <w:t>发放，要求</w:t>
      </w:r>
      <w:r>
        <w:rPr>
          <w:rFonts w:hint="eastAsia" w:ascii="宋体" w:hAnsi="宋体" w:eastAsia="宋体" w:cs="宋体"/>
          <w:bCs/>
          <w:color w:val="auto"/>
          <w:sz w:val="24"/>
          <w:highlight w:val="none"/>
          <w:lang w:val="en-US" w:eastAsia="zh-CN"/>
        </w:rPr>
        <w:t>城区道路交通设施零星维护</w:t>
      </w:r>
      <w:r>
        <w:rPr>
          <w:rFonts w:hint="eastAsia" w:ascii="宋体" w:hAnsi="宋体" w:eastAsia="宋体" w:cs="宋体"/>
          <w:bCs/>
          <w:color w:val="auto"/>
          <w:sz w:val="24"/>
          <w:highlight w:val="none"/>
        </w:rPr>
        <w:t>考核得分在92分（含92分）以上，全额支付当月</w:t>
      </w:r>
      <w:r>
        <w:rPr>
          <w:rFonts w:hint="eastAsia" w:ascii="宋体" w:hAnsi="宋体" w:eastAsia="宋体" w:cs="宋体"/>
          <w:bCs/>
          <w:color w:val="auto"/>
          <w:sz w:val="24"/>
          <w:highlight w:val="none"/>
          <w:lang w:val="en-US" w:eastAsia="zh-CN"/>
        </w:rPr>
        <w:t>经审核后的维修费用</w:t>
      </w:r>
      <w:r>
        <w:rPr>
          <w:rFonts w:hint="eastAsia" w:ascii="宋体" w:hAnsi="宋体" w:eastAsia="宋体" w:cs="宋体"/>
          <w:bCs/>
          <w:color w:val="auto"/>
          <w:sz w:val="24"/>
          <w:highlight w:val="none"/>
        </w:rPr>
        <w:t>；得分在92分以下，每下降0.1分扣除当月</w:t>
      </w:r>
      <w:r>
        <w:rPr>
          <w:rFonts w:hint="eastAsia" w:ascii="宋体" w:hAnsi="宋体" w:eastAsia="宋体" w:cs="宋体"/>
          <w:bCs/>
          <w:color w:val="auto"/>
          <w:sz w:val="24"/>
          <w:highlight w:val="none"/>
          <w:lang w:val="en-US" w:eastAsia="zh-CN"/>
        </w:rPr>
        <w:t>维修</w:t>
      </w:r>
      <w:r>
        <w:rPr>
          <w:rFonts w:hint="eastAsia" w:ascii="宋体" w:hAnsi="宋体" w:eastAsia="宋体" w:cs="宋体"/>
          <w:bCs/>
          <w:color w:val="auto"/>
          <w:sz w:val="24"/>
          <w:highlight w:val="none"/>
        </w:rPr>
        <w:t>款500元，以</w:t>
      </w:r>
      <w:r>
        <w:rPr>
          <w:rFonts w:hint="eastAsia" w:ascii="宋体" w:hAnsi="宋体" w:eastAsia="宋体" w:cs="宋体"/>
          <w:bCs/>
          <w:color w:val="auto"/>
          <w:sz w:val="24"/>
          <w:highlight w:val="none"/>
          <w:lang w:val="en-US" w:eastAsia="zh-CN"/>
        </w:rPr>
        <w:t>此类推；得分在90以下，每下降0.1分扣除当月度维修款750元，以此类推，不足0.1分按0.1分计算，扣款在当月一次性扣除；如在当月维修费用中扣除不足的，在履约保证金中予以扣除。在连</w:t>
      </w:r>
      <w:r>
        <w:rPr>
          <w:rFonts w:hint="eastAsia" w:ascii="宋体" w:hAnsi="宋体" w:eastAsia="宋体" w:cs="宋体"/>
          <w:bCs/>
          <w:color w:val="auto"/>
          <w:sz w:val="24"/>
          <w:highlight w:val="none"/>
        </w:rPr>
        <w:t>续三次月度考核在85分以下，终止</w:t>
      </w:r>
      <w:r>
        <w:rPr>
          <w:rFonts w:hint="eastAsia" w:ascii="宋体" w:hAnsi="宋体" w:eastAsia="宋体" w:cs="宋体"/>
          <w:bCs/>
          <w:color w:val="auto"/>
          <w:sz w:val="24"/>
          <w:highlight w:val="none"/>
          <w:lang w:val="en-US" w:eastAsia="zh-CN"/>
        </w:rPr>
        <w:t>城区道路交通设施零星维护</w:t>
      </w:r>
      <w:r>
        <w:rPr>
          <w:rFonts w:hint="eastAsia" w:ascii="宋体" w:hAnsi="宋体" w:eastAsia="宋体" w:cs="宋体"/>
          <w:bCs/>
          <w:color w:val="auto"/>
          <w:sz w:val="24"/>
          <w:highlight w:val="none"/>
        </w:rPr>
        <w:t>合同。</w:t>
      </w:r>
    </w:p>
    <w:tbl>
      <w:tblPr>
        <w:tblStyle w:val="77"/>
        <w:tblpPr w:leftFromText="180" w:rightFromText="180" w:vertAnchor="text" w:horzAnchor="margin" w:tblpY="495"/>
        <w:tblW w:w="89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5"/>
        <w:gridCol w:w="933"/>
        <w:gridCol w:w="1069"/>
        <w:gridCol w:w="2826"/>
        <w:gridCol w:w="2809"/>
        <w:gridCol w:w="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序号</w:t>
            </w:r>
          </w:p>
        </w:tc>
        <w:tc>
          <w:tcPr>
            <w:tcW w:w="933" w:type="dxa"/>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考核分类</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考核项目</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考核内容描述</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分值设定条件</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93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工作质量</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完好率</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rPr>
              <w:t>各系统完好率情况</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按照采购人要求，低于98%扣0.1分、低于97%扣0.2分、低于96%扣0.3分，以此类推，每天最高扣2分截止（即完好率低于78%截止）</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2"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维护（优化）质量</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外场设施修复后，现场检查发现：窨井、手孔井未封闭；线缆裸露或未提前报备；原有完好设备维修过程中造成损坏；使用不合格的配件和材料；维修后达不到原有标准等情况</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存在以上情况扣2分。以上情况造成事故维护单位负全责，并扣5分。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重复故障</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外场设施故障排查不仔细，修复不彻底</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每个工单造成7天内2次故障扣1分，7天内3次故障扣2分，以次类推，5分截止。</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4</w:t>
            </w:r>
          </w:p>
        </w:tc>
        <w:tc>
          <w:tcPr>
            <w:tcW w:w="93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时间要求</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响应时间</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按照</w:t>
            </w:r>
            <w:r>
              <w:rPr>
                <w:rFonts w:hint="eastAsia" w:ascii="宋体" w:hAnsi="宋体" w:eastAsia="宋体" w:cs="宋体"/>
                <w:color w:val="auto"/>
                <w:kern w:val="0"/>
                <w:sz w:val="21"/>
                <w:szCs w:val="21"/>
                <w:highlight w:val="none"/>
                <w:lang w:val="en-US" w:eastAsia="zh-CN"/>
              </w:rPr>
              <w:t>招标文件</w:t>
            </w:r>
            <w:r>
              <w:rPr>
                <w:rFonts w:hint="eastAsia" w:ascii="宋体" w:hAnsi="宋体" w:eastAsia="宋体" w:cs="宋体"/>
                <w:color w:val="auto"/>
                <w:kern w:val="0"/>
                <w:sz w:val="21"/>
                <w:szCs w:val="21"/>
                <w:highlight w:val="none"/>
              </w:rPr>
              <w:t>要求的响应时间</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每个工单响应超时扣0.2分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5</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修复时间</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按照</w:t>
            </w:r>
            <w:r>
              <w:rPr>
                <w:rFonts w:hint="eastAsia" w:ascii="宋体" w:hAnsi="宋体" w:eastAsia="宋体" w:cs="宋体"/>
                <w:color w:val="auto"/>
                <w:kern w:val="0"/>
                <w:sz w:val="21"/>
                <w:szCs w:val="21"/>
                <w:highlight w:val="none"/>
                <w:lang w:val="en-US" w:eastAsia="zh-CN"/>
              </w:rPr>
              <w:t>招标文件</w:t>
            </w:r>
            <w:r>
              <w:rPr>
                <w:rFonts w:hint="eastAsia" w:ascii="宋体" w:hAnsi="宋体" w:eastAsia="宋体" w:cs="宋体"/>
                <w:color w:val="auto"/>
                <w:kern w:val="0"/>
                <w:sz w:val="21"/>
                <w:szCs w:val="21"/>
                <w:highlight w:val="none"/>
              </w:rPr>
              <w:t>要求的修复</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每个工单未按时修复扣1分未修复的下个周期可重复扣分。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2"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6</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申请延期</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遇电力故障、链路故障、道路施工、交通事故客观外力原因导致暂时无法修复（优化），可申请延期。</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申请的延期时间需监理或相关责任人审定。若2次延期扣</w:t>
            </w: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分，3次延期扣5分，3次后仍未修复不得延期.直接扣除10分。如在允许延期申请后仍修复超时的按照修复时间扣分执行。</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7</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数字城管</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数字城管以</w:t>
            </w:r>
            <w:r>
              <w:rPr>
                <w:rFonts w:hint="eastAsia" w:ascii="宋体" w:hAnsi="宋体" w:eastAsia="宋体" w:cs="宋体"/>
                <w:color w:val="auto"/>
                <w:kern w:val="0"/>
                <w:sz w:val="21"/>
                <w:szCs w:val="21"/>
                <w:highlight w:val="none"/>
                <w:lang w:val="en-US" w:eastAsia="zh-CN"/>
              </w:rPr>
              <w:t>业主</w:t>
            </w:r>
            <w:r>
              <w:rPr>
                <w:rFonts w:hint="eastAsia" w:ascii="宋体" w:hAnsi="宋体" w:eastAsia="宋体" w:cs="宋体"/>
                <w:color w:val="auto"/>
                <w:kern w:val="0"/>
                <w:sz w:val="21"/>
                <w:szCs w:val="21"/>
                <w:highlight w:val="none"/>
              </w:rPr>
              <w:t>工单为准</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数字城管超期1次扣0.5分，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8</w:t>
            </w:r>
          </w:p>
        </w:tc>
        <w:tc>
          <w:tcPr>
            <w:tcW w:w="93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作业安全</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维护现场安全操作规范</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所有外场设施抢修、维护、优化期间，地面根据主干道、次干道、支路分别做好100米、50米、30米全方位维护，应有导向车道牌、路锥桶，夜间导向车道牌需为LED导向牌，主次干道应有应急闪光灯。</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低于上诉要求扣</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分、低于上诉要求造成事故扣</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1"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9</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维护人员安全要求</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维护单位外场维护人员着装规范，应穿戴印有本单位名称或LOGO的反光衣、高空作业应系安全带、戴好安全帽、穿戴电工胶鞋</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每人次未达标准扣1分；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2"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10</w:t>
            </w:r>
          </w:p>
        </w:tc>
        <w:tc>
          <w:tcPr>
            <w:tcW w:w="93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资料信息</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文档资料</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根据招标文件或合同在规定时间内提交的文档资料、领导交办的文档资料、监理单位出具监理工程师通知单需要维护单位配合完成的文档资料等，维护单位应按时完成，</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超时完成扣1分；不配合、不主动完成扣5分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11</w:t>
            </w:r>
          </w:p>
        </w:tc>
        <w:tc>
          <w:tcPr>
            <w:tcW w:w="933" w:type="dxa"/>
            <w:vMerge w:val="continue"/>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维护材料登记</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维护中产生材料，不按规定登记造册的</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一次扣1分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w:t>
            </w:r>
          </w:p>
        </w:tc>
        <w:tc>
          <w:tcPr>
            <w:tcW w:w="93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重大过错</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被投诉或曝光</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收到采购人约谈、被社会媒体曝光、收到多方投诉情况、被采购人领导点名批评、造成事故或不良影响等。</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扣</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保密工作</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擅自将智能交通系统的操作管理权限、视频影像资料、数据及分析应用成果、电脑截图或照片等泄露外传</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发现以上情况扣5分，产生后果扣15分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14</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工作差错</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出现工作疏漏或差错，对大型会议等保障活动造成影响的</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扣10分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设备管理</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维护单位私自拆除智能交通系统外场设施</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有偷梁换柱、监守自盗的情况扣1</w:t>
            </w:r>
            <w:r>
              <w:rPr>
                <w:rFonts w:hint="eastAsia" w:ascii="宋体" w:hAnsi="宋体" w:eastAsia="宋体" w:cs="宋体"/>
                <w:color w:val="auto"/>
                <w:kern w:val="0"/>
                <w:sz w:val="21"/>
                <w:szCs w:val="21"/>
                <w:highlight w:val="none"/>
                <w:lang w:val="en-US" w:eastAsia="zh-CN"/>
              </w:rPr>
              <w:t>0</w:t>
            </w:r>
            <w:r>
              <w:rPr>
                <w:rFonts w:hint="eastAsia" w:ascii="宋体" w:hAnsi="宋体" w:eastAsia="宋体" w:cs="宋体"/>
                <w:color w:val="auto"/>
                <w:kern w:val="0"/>
                <w:sz w:val="21"/>
                <w:szCs w:val="21"/>
                <w:highlight w:val="none"/>
              </w:rPr>
              <w:t>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w:t>
            </w:r>
          </w:p>
        </w:tc>
        <w:tc>
          <w:tcPr>
            <w:tcW w:w="93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保障力量</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人员、车辆</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根据招标文件及合同，维护单位应配备相应的人员及车辆。</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维护单位中标后每少一人或一车扣5分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人员、车辆</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维护单位更换维护车辆或人员变更，应提前申请和报备</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未报备进行更换扣2分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人员、车辆</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维护单位未经允许更换项目负责人</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扣5分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19</w:t>
            </w:r>
          </w:p>
        </w:tc>
        <w:tc>
          <w:tcPr>
            <w:tcW w:w="93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管理工作</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外建项目</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做好外建项目的接入、移交、反移交等现场检查工作，形成整改报告提交采购人及监理单位，</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现场检查后5天内未出具整改报告扣2分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外场巡查</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每半年对辖区内设施点位进行巡查并完成记录，一年两次，分别在6-7月和11-12月完成。</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未在规定时间进行巡检扣3分，未形成巡检报告或记录不全的扣5分，巡检报告弄虚作假的扣10分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巡查人数</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巡查和应急力量总人数不少于5人。</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少于5人</w:t>
            </w:r>
            <w:r>
              <w:rPr>
                <w:rFonts w:hint="eastAsia" w:ascii="宋体" w:hAnsi="宋体" w:eastAsia="宋体" w:cs="宋体"/>
                <w:color w:val="auto"/>
                <w:kern w:val="0"/>
                <w:sz w:val="21"/>
                <w:szCs w:val="21"/>
                <w:highlight w:val="none"/>
              </w:rPr>
              <w:t>扣5分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宋体" w:hAnsi="宋体" w:eastAsia="宋体" w:cs="宋体"/>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交办工作</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因交办的事情不落实，不反馈。</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一次扣5分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w:t>
            </w:r>
          </w:p>
        </w:tc>
      </w:tr>
    </w:tbl>
    <w:p>
      <w:pPr>
        <w:spacing w:line="600" w:lineRule="exact"/>
        <w:jc w:val="left"/>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十、养护要求：</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w:t>
      </w:r>
      <w:r>
        <w:rPr>
          <w:rFonts w:hint="eastAsia" w:ascii="宋体" w:hAnsi="宋体" w:eastAsia="宋体" w:cs="宋体"/>
          <w:bCs/>
          <w:color w:val="auto"/>
          <w:sz w:val="24"/>
          <w:szCs w:val="24"/>
          <w:highlight w:val="none"/>
        </w:rPr>
        <w:t>常温型标线</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1.1</w:t>
      </w:r>
      <w:r>
        <w:rPr>
          <w:rFonts w:hint="eastAsia" w:ascii="宋体" w:hAnsi="宋体" w:eastAsia="宋体" w:cs="宋体"/>
          <w:bCs/>
          <w:color w:val="auto"/>
          <w:sz w:val="24"/>
          <w:szCs w:val="24"/>
          <w:highlight w:val="none"/>
        </w:rPr>
        <w:t>粘度（KU 值）: ≥60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1.2</w:t>
      </w:r>
      <w:r>
        <w:rPr>
          <w:rFonts w:hint="eastAsia" w:ascii="宋体" w:hAnsi="宋体" w:eastAsia="宋体" w:cs="宋体"/>
          <w:bCs/>
          <w:color w:val="auto"/>
          <w:sz w:val="24"/>
          <w:szCs w:val="24"/>
          <w:highlight w:val="none"/>
        </w:rPr>
        <w:t>密度（g/cm3）:≥1.6</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1.3</w:t>
      </w:r>
      <w:r>
        <w:rPr>
          <w:rFonts w:hint="eastAsia" w:ascii="宋体" w:hAnsi="宋体" w:eastAsia="宋体" w:cs="宋体"/>
          <w:bCs/>
          <w:color w:val="auto"/>
          <w:sz w:val="24"/>
          <w:szCs w:val="24"/>
          <w:highlight w:val="none"/>
        </w:rPr>
        <w:t>标线涂层厚度0.3~0.5mm</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1.4</w:t>
      </w:r>
      <w:r>
        <w:rPr>
          <w:rFonts w:hint="eastAsia" w:ascii="宋体" w:hAnsi="宋体" w:eastAsia="宋体" w:cs="宋体"/>
          <w:bCs/>
          <w:color w:val="auto"/>
          <w:sz w:val="24"/>
          <w:szCs w:val="24"/>
          <w:highlight w:val="none"/>
        </w:rPr>
        <w:t>不粘胎干燥时间≤15min，开放交通干燥时间≤20min</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1.5</w:t>
      </w:r>
      <w:r>
        <w:rPr>
          <w:rFonts w:hint="eastAsia" w:ascii="宋体" w:hAnsi="宋体" w:eastAsia="宋体" w:cs="宋体"/>
          <w:bCs/>
          <w:color w:val="auto"/>
          <w:sz w:val="24"/>
          <w:szCs w:val="24"/>
          <w:highlight w:val="none"/>
        </w:rPr>
        <w:t>耐磨性（mg）:200 转/1000g 后减重≤40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1.6</w:t>
      </w:r>
      <w:r>
        <w:rPr>
          <w:rFonts w:hint="eastAsia" w:ascii="宋体" w:hAnsi="宋体" w:eastAsia="宋体" w:cs="宋体"/>
          <w:bCs/>
          <w:color w:val="auto"/>
          <w:sz w:val="24"/>
          <w:szCs w:val="24"/>
          <w:highlight w:val="none"/>
        </w:rPr>
        <w:t>固体含量（%）:≥60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1.7</w:t>
      </w:r>
      <w:r>
        <w:rPr>
          <w:rFonts w:hint="eastAsia" w:ascii="宋体" w:hAnsi="宋体" w:eastAsia="宋体" w:cs="宋体"/>
          <w:bCs/>
          <w:color w:val="auto"/>
          <w:sz w:val="24"/>
          <w:szCs w:val="24"/>
          <w:highlight w:val="none"/>
        </w:rPr>
        <w:t xml:space="preserve"> 遮盖率（g/㎡）：白色≤190；黄色≤200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rPr>
        <w:t>一级反光热熔标线</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2.1</w:t>
      </w:r>
      <w:r>
        <w:rPr>
          <w:rFonts w:hint="eastAsia" w:ascii="宋体" w:hAnsi="宋体" w:eastAsia="宋体" w:cs="宋体"/>
          <w:bCs/>
          <w:color w:val="auto"/>
          <w:sz w:val="24"/>
          <w:szCs w:val="24"/>
          <w:highlight w:val="none"/>
        </w:rPr>
        <w:t>涂料内总有机物含量不低于15%，钛白含量＞6%，软化点＞110，耐磨（200转）＜20毫克；</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2.2</w:t>
      </w:r>
      <w:r>
        <w:rPr>
          <w:rFonts w:hint="eastAsia" w:ascii="宋体" w:hAnsi="宋体" w:eastAsia="宋体" w:cs="宋体"/>
          <w:bCs/>
          <w:color w:val="auto"/>
          <w:sz w:val="24"/>
          <w:szCs w:val="24"/>
          <w:highlight w:val="none"/>
        </w:rPr>
        <w:t>亮度因数（白色）≥0.75，亮度因数（黄色）≥0.45；</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2.3</w:t>
      </w:r>
      <w:r>
        <w:rPr>
          <w:rFonts w:hint="eastAsia" w:ascii="宋体" w:hAnsi="宋体" w:eastAsia="宋体" w:cs="宋体"/>
          <w:bCs/>
          <w:color w:val="auto"/>
          <w:sz w:val="24"/>
          <w:szCs w:val="24"/>
          <w:highlight w:val="none"/>
        </w:rPr>
        <w:t>抗压强度（Mpa）≥20；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2.4</w:t>
      </w:r>
      <w:r>
        <w:rPr>
          <w:rFonts w:hint="eastAsia" w:ascii="宋体" w:hAnsi="宋体" w:eastAsia="宋体" w:cs="宋体"/>
          <w:bCs/>
          <w:color w:val="auto"/>
          <w:sz w:val="24"/>
          <w:szCs w:val="24"/>
          <w:highlight w:val="none"/>
        </w:rPr>
        <w:t>内混玻璃珠总含量（涂料质量比）≥25%（其中粒径0.85-1.4mm不低于50%，成圆率不低于90%，其它50%应符合GB/T24722《路面标线用玻璃珠》要求）；</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2.5</w:t>
      </w:r>
      <w:r>
        <w:rPr>
          <w:rFonts w:hint="eastAsia" w:ascii="宋体" w:hAnsi="宋体" w:eastAsia="宋体" w:cs="宋体"/>
          <w:bCs/>
          <w:color w:val="auto"/>
          <w:sz w:val="24"/>
          <w:szCs w:val="24"/>
          <w:highlight w:val="none"/>
        </w:rPr>
        <w:t>内混玻璃珠总成圆率≥85%</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2.6</w:t>
      </w:r>
      <w:r>
        <w:rPr>
          <w:rFonts w:hint="eastAsia" w:ascii="宋体" w:hAnsi="宋体" w:eastAsia="宋体" w:cs="宋体"/>
          <w:bCs/>
          <w:color w:val="auto"/>
          <w:sz w:val="24"/>
          <w:szCs w:val="24"/>
          <w:highlight w:val="none"/>
        </w:rPr>
        <w:t>初始（通车路段14天后测试、非通车路段交工验收前测试）白色反光标线逆反射亮度系数RL干态≥150 mcd • m-2• lx-1，RL湿态≥50 mcd • m-2• lx-1；黄色反光标线逆反射亮度系数RL干态≥100 mcd • m-2• lx-1；</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2.7</w:t>
      </w:r>
      <w:r>
        <w:rPr>
          <w:rFonts w:hint="eastAsia" w:ascii="宋体" w:hAnsi="宋体" w:eastAsia="宋体" w:cs="宋体"/>
          <w:bCs/>
          <w:color w:val="auto"/>
          <w:sz w:val="24"/>
          <w:szCs w:val="24"/>
          <w:highlight w:val="none"/>
        </w:rPr>
        <w:t>缺陷责任期满检测的逆反射亮度系数应满足《公路工程质量检验评定标准》（JTG F80/1-2017）要求，白色反光标线逆反射亮度系数RL干态≥80 mcd • m-2 • lx-1，黄色反光标线逆反射亮度系数RL干态≥50 mcd • m-2 • lx-1；</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2.8</w:t>
      </w:r>
      <w:r>
        <w:rPr>
          <w:rFonts w:hint="eastAsia" w:ascii="宋体" w:hAnsi="宋体" w:eastAsia="宋体" w:cs="宋体"/>
          <w:bCs/>
          <w:color w:val="auto"/>
          <w:sz w:val="24"/>
          <w:szCs w:val="24"/>
          <w:highlight w:val="none"/>
        </w:rPr>
        <w:t>面撒玻璃珠必须采用双撒播工艺，面撒量≥0.5kg/m2，应先撒布0.85-1.4mm玻璃珠，后撒布1号玻璃珠，两种玻璃珠各占50%。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2.9</w:t>
      </w:r>
      <w:r>
        <w:rPr>
          <w:rFonts w:hint="eastAsia" w:ascii="宋体" w:hAnsi="宋体" w:eastAsia="宋体" w:cs="宋体"/>
          <w:bCs/>
          <w:color w:val="auto"/>
          <w:sz w:val="24"/>
          <w:szCs w:val="24"/>
          <w:highlight w:val="none"/>
        </w:rPr>
        <w:t>反光涂料加热熔融温度：≥2100C；</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2.10</w:t>
      </w:r>
      <w:r>
        <w:rPr>
          <w:rFonts w:hint="eastAsia" w:ascii="宋体" w:hAnsi="宋体" w:eastAsia="宋体" w:cs="宋体"/>
          <w:bCs/>
          <w:color w:val="auto"/>
          <w:sz w:val="24"/>
          <w:szCs w:val="24"/>
          <w:highlight w:val="none"/>
        </w:rPr>
        <w:t>下涂剂应为清澈透明（微黄色）状态，并且固体含量≥30%。对新施工完成无污染沥青路面，建议不使用下涂剂，其它路面下涂剂宜≥0.15kg/m2，待下涂剂干燥后方可标线施划。</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2.11</w:t>
      </w:r>
      <w:r>
        <w:rPr>
          <w:rFonts w:hint="eastAsia" w:ascii="宋体" w:hAnsi="宋体" w:eastAsia="宋体" w:cs="宋体"/>
          <w:bCs/>
          <w:color w:val="auto"/>
          <w:sz w:val="24"/>
          <w:szCs w:val="24"/>
          <w:highlight w:val="none"/>
        </w:rPr>
        <w:t>其它性能指标应符合JT/T280《路面标线涂料》的要求。</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三级反光热熔标线</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3.1</w:t>
      </w:r>
      <w:r>
        <w:rPr>
          <w:rFonts w:hint="eastAsia" w:ascii="宋体" w:hAnsi="宋体" w:eastAsia="宋体" w:cs="宋体"/>
          <w:bCs/>
          <w:color w:val="auto"/>
          <w:sz w:val="24"/>
          <w:szCs w:val="24"/>
          <w:highlight w:val="none"/>
        </w:rPr>
        <w:t>涂料内总有机物含量不低于15%，钛白含量＞6%，软化点＞110，耐磨（200转）＜20毫克；</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3.2</w:t>
      </w:r>
      <w:r>
        <w:rPr>
          <w:rFonts w:hint="eastAsia" w:ascii="宋体" w:hAnsi="宋体" w:eastAsia="宋体" w:cs="宋体"/>
          <w:bCs/>
          <w:color w:val="auto"/>
          <w:sz w:val="24"/>
          <w:szCs w:val="24"/>
          <w:highlight w:val="none"/>
        </w:rPr>
        <w:t>亮度因数（白色）≥0.8，亮度因数（黄色）≥0.5；</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3.3</w:t>
      </w:r>
      <w:r>
        <w:rPr>
          <w:rFonts w:hint="eastAsia" w:ascii="宋体" w:hAnsi="宋体" w:eastAsia="宋体" w:cs="宋体"/>
          <w:bCs/>
          <w:color w:val="auto"/>
          <w:sz w:val="24"/>
          <w:szCs w:val="24"/>
          <w:highlight w:val="none"/>
        </w:rPr>
        <w:t>抗压强度（Mpa）≥20；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3.4</w:t>
      </w:r>
      <w:r>
        <w:rPr>
          <w:rFonts w:hint="eastAsia" w:ascii="宋体" w:hAnsi="宋体" w:eastAsia="宋体" w:cs="宋体"/>
          <w:bCs/>
          <w:color w:val="auto"/>
          <w:sz w:val="24"/>
          <w:szCs w:val="24"/>
          <w:highlight w:val="none"/>
        </w:rPr>
        <w:t>内混玻璃珠总含量（涂料质量比）≥30%（其中粒径0.85-1.4mm不低于50%，成圆率不低于90%，其它50%应符合GB/T24722《路面标线用玻璃珠》要求）；</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3.5</w:t>
      </w:r>
      <w:r>
        <w:rPr>
          <w:rFonts w:hint="eastAsia" w:ascii="宋体" w:hAnsi="宋体" w:eastAsia="宋体" w:cs="宋体"/>
          <w:bCs/>
          <w:color w:val="auto"/>
          <w:sz w:val="24"/>
          <w:szCs w:val="24"/>
          <w:highlight w:val="none"/>
        </w:rPr>
        <w:t>内混玻璃珠总成圆率≥85%</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3.6</w:t>
      </w:r>
      <w:r>
        <w:rPr>
          <w:rFonts w:hint="eastAsia" w:ascii="宋体" w:hAnsi="宋体" w:eastAsia="宋体" w:cs="宋体"/>
          <w:bCs/>
          <w:color w:val="auto"/>
          <w:sz w:val="24"/>
          <w:szCs w:val="24"/>
          <w:highlight w:val="none"/>
        </w:rPr>
        <w:t>初始（通车路段14天后测试、非通车路段交工验收前测试）白色反光标线逆反射亮度系数RL干态≥350 mcd • m-2• lx-1，RL湿态≥100 mcd • m-2• lx-1；黄色反光标线逆反射亮度系数RL干态≥150 mcd • m-2• lx-1，RL湿态≥75 mcd • m-2• lx-1；</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3.7</w:t>
      </w:r>
      <w:r>
        <w:rPr>
          <w:rFonts w:hint="eastAsia" w:ascii="宋体" w:hAnsi="宋体" w:eastAsia="宋体" w:cs="宋体"/>
          <w:bCs/>
          <w:color w:val="auto"/>
          <w:sz w:val="24"/>
          <w:szCs w:val="24"/>
          <w:highlight w:val="none"/>
        </w:rPr>
        <w:t>缺陷责任期满检测的逆反射亮度系数应满足《公路工程质量检验评定标准》（JTG F80/1-2017）要求，白色反光标线逆反射亮度系数RL干态≥150 mcd • m-2 • lx-1，RL湿态≥50 mcd • m-2 • lx-1；</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3.8</w:t>
      </w:r>
      <w:r>
        <w:rPr>
          <w:rFonts w:hint="eastAsia" w:ascii="宋体" w:hAnsi="宋体" w:eastAsia="宋体" w:cs="宋体"/>
          <w:bCs/>
          <w:color w:val="auto"/>
          <w:sz w:val="24"/>
          <w:szCs w:val="24"/>
          <w:highlight w:val="none"/>
        </w:rPr>
        <w:t>面撒玻璃珠必须采用双撒播工艺，面撒量≥0.5kg/m2，应先撒布0.85-1.4mm玻璃珠，后撒布1号玻璃珠，两种玻璃珠各占50%。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3.9</w:t>
      </w:r>
      <w:r>
        <w:rPr>
          <w:rFonts w:hint="eastAsia" w:ascii="宋体" w:hAnsi="宋体" w:eastAsia="宋体" w:cs="宋体"/>
          <w:bCs/>
          <w:color w:val="auto"/>
          <w:sz w:val="24"/>
          <w:szCs w:val="24"/>
          <w:highlight w:val="none"/>
        </w:rPr>
        <w:t>反光涂料加热熔融温度：≥2100C；</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3.10</w:t>
      </w:r>
      <w:r>
        <w:rPr>
          <w:rFonts w:hint="eastAsia" w:ascii="宋体" w:hAnsi="宋体" w:eastAsia="宋体" w:cs="宋体"/>
          <w:bCs/>
          <w:color w:val="auto"/>
          <w:sz w:val="24"/>
          <w:szCs w:val="24"/>
          <w:highlight w:val="none"/>
        </w:rPr>
        <w:t>下涂剂应为清澈透明（微黄色）状态，并且固体含量≥30%。对新施工完成无污染沥青路面，建议不使用下涂剂，其它路面下涂剂宜≥0.15kg/m2，待下涂剂干燥后方可标线施划；</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3.11</w:t>
      </w:r>
      <w:r>
        <w:rPr>
          <w:rFonts w:hint="eastAsia" w:ascii="宋体" w:hAnsi="宋体" w:eastAsia="宋体" w:cs="宋体"/>
          <w:bCs/>
          <w:color w:val="auto"/>
          <w:sz w:val="24"/>
          <w:szCs w:val="24"/>
          <w:highlight w:val="none"/>
        </w:rPr>
        <w:t>其它性能指标应符合JT/T280《路面标线涂料》的要求。</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w:t>
      </w:r>
      <w:r>
        <w:rPr>
          <w:rFonts w:hint="eastAsia" w:ascii="宋体" w:hAnsi="宋体" w:eastAsia="宋体" w:cs="宋体"/>
          <w:bCs/>
          <w:color w:val="auto"/>
          <w:sz w:val="24"/>
          <w:szCs w:val="24"/>
          <w:highlight w:val="none"/>
        </w:rPr>
        <w:t>反光水性标线</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4.1</w:t>
      </w:r>
      <w:r>
        <w:rPr>
          <w:rFonts w:hint="eastAsia" w:ascii="宋体" w:hAnsi="宋体" w:eastAsia="宋体" w:cs="宋体"/>
          <w:bCs/>
          <w:color w:val="auto"/>
          <w:sz w:val="24"/>
          <w:szCs w:val="24"/>
          <w:highlight w:val="none"/>
        </w:rPr>
        <w:t>粘度（KU 值）:80～120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4.2</w:t>
      </w:r>
      <w:r>
        <w:rPr>
          <w:rFonts w:hint="eastAsia" w:ascii="宋体" w:hAnsi="宋体" w:eastAsia="宋体" w:cs="宋体"/>
          <w:bCs/>
          <w:color w:val="auto"/>
          <w:sz w:val="24"/>
          <w:szCs w:val="24"/>
          <w:highlight w:val="none"/>
        </w:rPr>
        <w:t>密度（g/cm3）:≥1.6</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4.3</w:t>
      </w:r>
      <w:r>
        <w:rPr>
          <w:rFonts w:hint="eastAsia" w:ascii="宋体" w:hAnsi="宋体" w:eastAsia="宋体" w:cs="宋体"/>
          <w:bCs/>
          <w:color w:val="auto"/>
          <w:sz w:val="24"/>
          <w:szCs w:val="24"/>
          <w:highlight w:val="none"/>
        </w:rPr>
        <w:t>选用环保型水性标线涂料</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4.4</w:t>
      </w:r>
      <w:r>
        <w:rPr>
          <w:rFonts w:hint="eastAsia" w:ascii="宋体" w:hAnsi="宋体" w:eastAsia="宋体" w:cs="宋体"/>
          <w:bCs/>
          <w:color w:val="auto"/>
          <w:sz w:val="24"/>
          <w:szCs w:val="24"/>
          <w:highlight w:val="none"/>
        </w:rPr>
        <w:t>施划时面撒反光微珠</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4.5</w:t>
      </w:r>
      <w:r>
        <w:rPr>
          <w:rFonts w:hint="eastAsia" w:ascii="宋体" w:hAnsi="宋体" w:eastAsia="宋体" w:cs="宋体"/>
          <w:bCs/>
          <w:color w:val="auto"/>
          <w:sz w:val="24"/>
          <w:szCs w:val="24"/>
          <w:highlight w:val="none"/>
        </w:rPr>
        <w:t>初始施划时逆反射系数：白色≥200，黄色≥150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4.6</w:t>
      </w:r>
      <w:r>
        <w:rPr>
          <w:rFonts w:hint="eastAsia" w:ascii="宋体" w:hAnsi="宋体" w:eastAsia="宋体" w:cs="宋体"/>
          <w:bCs/>
          <w:color w:val="auto"/>
          <w:sz w:val="24"/>
          <w:szCs w:val="24"/>
          <w:highlight w:val="none"/>
        </w:rPr>
        <w:t>标线厚度≥0.7mm</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4.7</w:t>
      </w:r>
      <w:r>
        <w:rPr>
          <w:rFonts w:hint="eastAsia" w:ascii="宋体" w:hAnsi="宋体" w:eastAsia="宋体" w:cs="宋体"/>
          <w:bCs/>
          <w:color w:val="auto"/>
          <w:sz w:val="24"/>
          <w:szCs w:val="24"/>
          <w:highlight w:val="none"/>
        </w:rPr>
        <w:t>不粘胎干燥时间≤10min，开放交通干燥时间≤20min</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4.8</w:t>
      </w:r>
      <w:r>
        <w:rPr>
          <w:rFonts w:hint="eastAsia" w:ascii="宋体" w:hAnsi="宋体" w:eastAsia="宋体" w:cs="宋体"/>
          <w:bCs/>
          <w:color w:val="auto"/>
          <w:sz w:val="24"/>
          <w:szCs w:val="24"/>
          <w:highlight w:val="none"/>
        </w:rPr>
        <w:t>耐磨性（mg）:200 转/1000g 后减重≤40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4.9</w:t>
      </w:r>
      <w:r>
        <w:rPr>
          <w:rFonts w:hint="eastAsia" w:ascii="宋体" w:hAnsi="宋体" w:eastAsia="宋体" w:cs="宋体"/>
          <w:bCs/>
          <w:color w:val="auto"/>
          <w:sz w:val="24"/>
          <w:szCs w:val="24"/>
          <w:highlight w:val="none"/>
        </w:rPr>
        <w:t>固体含量（%）:≥75</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4.10</w:t>
      </w:r>
      <w:r>
        <w:rPr>
          <w:rFonts w:hint="eastAsia" w:ascii="宋体" w:hAnsi="宋体" w:eastAsia="宋体" w:cs="宋体"/>
          <w:bCs/>
          <w:color w:val="auto"/>
          <w:sz w:val="24"/>
          <w:szCs w:val="24"/>
          <w:highlight w:val="none"/>
        </w:rPr>
        <w:t>主干道质保：≥1年；其它道路使用寿命：≥1.5年</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w:t>
      </w:r>
      <w:r>
        <w:rPr>
          <w:rFonts w:hint="eastAsia" w:ascii="宋体" w:hAnsi="宋体" w:eastAsia="宋体" w:cs="宋体"/>
          <w:bCs/>
          <w:color w:val="auto"/>
          <w:sz w:val="24"/>
          <w:szCs w:val="24"/>
          <w:highlight w:val="none"/>
        </w:rPr>
        <w:t>双组份反光型涂料</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5.1</w:t>
      </w:r>
      <w:r>
        <w:rPr>
          <w:rFonts w:hint="eastAsia" w:ascii="宋体" w:hAnsi="宋体" w:eastAsia="宋体" w:cs="宋体"/>
          <w:bCs/>
          <w:color w:val="auto"/>
          <w:sz w:val="24"/>
          <w:szCs w:val="24"/>
          <w:highlight w:val="none"/>
        </w:rPr>
        <w:t>密度（g/cm3）:1.5~2.0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5.2</w:t>
      </w:r>
      <w:r>
        <w:rPr>
          <w:rFonts w:hint="eastAsia" w:ascii="宋体" w:hAnsi="宋体" w:eastAsia="宋体" w:cs="宋体"/>
          <w:bCs/>
          <w:color w:val="auto"/>
          <w:sz w:val="24"/>
          <w:szCs w:val="24"/>
          <w:highlight w:val="none"/>
        </w:rPr>
        <w:t>选用双组份反光涂料，内含反光微珠必须≥20%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5.3</w:t>
      </w:r>
      <w:r>
        <w:rPr>
          <w:rFonts w:hint="eastAsia" w:ascii="宋体" w:hAnsi="宋体" w:eastAsia="宋体" w:cs="宋体"/>
          <w:bCs/>
          <w:color w:val="auto"/>
          <w:sz w:val="24"/>
          <w:szCs w:val="24"/>
          <w:highlight w:val="none"/>
        </w:rPr>
        <w:t>初始施划时逆反射系数：白色≥350，黄色≥200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5.4</w:t>
      </w:r>
      <w:r>
        <w:rPr>
          <w:rFonts w:hint="eastAsia" w:ascii="宋体" w:hAnsi="宋体" w:eastAsia="宋体" w:cs="宋体"/>
          <w:bCs/>
          <w:color w:val="auto"/>
          <w:sz w:val="24"/>
          <w:szCs w:val="24"/>
          <w:highlight w:val="none"/>
        </w:rPr>
        <w:t>不粘胎干燥时间≤35min</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5.5</w:t>
      </w:r>
      <w:r>
        <w:rPr>
          <w:rFonts w:hint="eastAsia" w:ascii="宋体" w:hAnsi="宋体" w:eastAsia="宋体" w:cs="宋体"/>
          <w:bCs/>
          <w:color w:val="auto"/>
          <w:sz w:val="24"/>
          <w:szCs w:val="24"/>
          <w:highlight w:val="none"/>
        </w:rPr>
        <w:t>耐磨性（mg）:200 转/1000g 后减重≤30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5.6</w:t>
      </w:r>
      <w:r>
        <w:rPr>
          <w:rFonts w:hint="eastAsia" w:ascii="宋体" w:hAnsi="宋体" w:eastAsia="宋体" w:cs="宋体"/>
          <w:bCs/>
          <w:color w:val="auto"/>
          <w:sz w:val="24"/>
          <w:szCs w:val="24"/>
          <w:highlight w:val="none"/>
        </w:rPr>
        <w:t>标线厚度≥0.5mm</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5.7</w:t>
      </w:r>
      <w:r>
        <w:rPr>
          <w:rFonts w:hint="eastAsia" w:ascii="宋体" w:hAnsi="宋体" w:eastAsia="宋体" w:cs="宋体"/>
          <w:bCs/>
          <w:color w:val="auto"/>
          <w:sz w:val="24"/>
          <w:szCs w:val="24"/>
          <w:highlight w:val="none"/>
        </w:rPr>
        <w:t>主干道质保：≥1.5年；其它道路使用寿命：≥2年</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rPr>
        <w:t>双组份突起型反光涂料</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6.1</w:t>
      </w:r>
      <w:r>
        <w:rPr>
          <w:rFonts w:hint="eastAsia" w:ascii="宋体" w:hAnsi="宋体" w:eastAsia="宋体" w:cs="宋体"/>
          <w:bCs/>
          <w:color w:val="auto"/>
          <w:sz w:val="24"/>
          <w:szCs w:val="24"/>
          <w:highlight w:val="none"/>
        </w:rPr>
        <w:t>密度（g/cm3）:1.5~2.0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6.2</w:t>
      </w:r>
      <w:r>
        <w:rPr>
          <w:rFonts w:hint="eastAsia" w:ascii="宋体" w:hAnsi="宋体" w:eastAsia="宋体" w:cs="宋体"/>
          <w:bCs/>
          <w:color w:val="auto"/>
          <w:sz w:val="24"/>
          <w:szCs w:val="24"/>
          <w:highlight w:val="none"/>
        </w:rPr>
        <w:t>选用双组份突起型反光涂料，内含反光微珠必须≥20%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6.3</w:t>
      </w:r>
      <w:r>
        <w:rPr>
          <w:rFonts w:hint="eastAsia" w:ascii="宋体" w:hAnsi="宋体" w:eastAsia="宋体" w:cs="宋体"/>
          <w:bCs/>
          <w:color w:val="auto"/>
          <w:sz w:val="24"/>
          <w:szCs w:val="24"/>
          <w:highlight w:val="none"/>
        </w:rPr>
        <w:t>初始施划时逆反射系数：白色≥350，黄色≥200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6.4</w:t>
      </w:r>
      <w:r>
        <w:rPr>
          <w:rFonts w:hint="eastAsia" w:ascii="宋体" w:hAnsi="宋体" w:eastAsia="宋体" w:cs="宋体"/>
          <w:bCs/>
          <w:color w:val="auto"/>
          <w:sz w:val="24"/>
          <w:szCs w:val="24"/>
          <w:highlight w:val="none"/>
        </w:rPr>
        <w:t>不粘胎干燥时间≤35min</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6.5</w:t>
      </w:r>
      <w:r>
        <w:rPr>
          <w:rFonts w:hint="eastAsia" w:ascii="宋体" w:hAnsi="宋体" w:eastAsia="宋体" w:cs="宋体"/>
          <w:bCs/>
          <w:color w:val="auto"/>
          <w:sz w:val="24"/>
          <w:szCs w:val="24"/>
          <w:highlight w:val="none"/>
        </w:rPr>
        <w:t>耐磨性（mg）:200 转/1000g 后减重≤30</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6.6</w:t>
      </w:r>
      <w:r>
        <w:rPr>
          <w:rFonts w:hint="eastAsia" w:ascii="宋体" w:hAnsi="宋体" w:eastAsia="宋体" w:cs="宋体"/>
          <w:bCs/>
          <w:color w:val="auto"/>
          <w:sz w:val="24"/>
          <w:szCs w:val="24"/>
          <w:highlight w:val="none"/>
        </w:rPr>
        <w:t>标线厚度≥5mm</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6.7</w:t>
      </w:r>
      <w:r>
        <w:rPr>
          <w:rFonts w:hint="eastAsia" w:ascii="宋体" w:hAnsi="宋体" w:eastAsia="宋体" w:cs="宋体"/>
          <w:bCs/>
          <w:color w:val="auto"/>
          <w:sz w:val="24"/>
          <w:szCs w:val="24"/>
          <w:highlight w:val="none"/>
        </w:rPr>
        <w:t xml:space="preserve">主干道质保：≥2年；其它道路使用寿命：≥3年 </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7、</w:t>
      </w:r>
      <w:r>
        <w:rPr>
          <w:rFonts w:hint="eastAsia" w:ascii="宋体" w:hAnsi="宋体" w:eastAsia="宋体" w:cs="宋体"/>
          <w:bCs/>
          <w:color w:val="auto"/>
          <w:sz w:val="24"/>
          <w:szCs w:val="24"/>
          <w:highlight w:val="none"/>
        </w:rPr>
        <w:t>地下管线：包括地下管道的费用与破路和恢复路面等施工费用。横穿管需采用∮89钢管或PE管，接头处需用套管，采用PE管时需用钢筋砼加围；人行道或绿化带下的管道允许采用∮50以上（含）PE管直埋。</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8、</w:t>
      </w:r>
      <w:r>
        <w:rPr>
          <w:rFonts w:hint="eastAsia" w:ascii="宋体" w:hAnsi="宋体" w:eastAsia="宋体" w:cs="宋体"/>
          <w:bCs/>
          <w:color w:val="auto"/>
          <w:sz w:val="24"/>
          <w:szCs w:val="24"/>
          <w:highlight w:val="none"/>
        </w:rPr>
        <w:t>为确保道路美观，所有交通安全设施基座均应埋入地面以下，不外露。如标志在绿化带中，其上必须有40cm的覆土；如基座在人行道上，其上应满足铺设地砖的厚度要求，标志杆立柱钢管在制作时应相应加长，确保道路净空满足规范要求。</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9、</w:t>
      </w:r>
      <w:r>
        <w:rPr>
          <w:rFonts w:hint="eastAsia" w:ascii="宋体" w:hAnsi="宋体" w:eastAsia="宋体" w:cs="宋体"/>
          <w:bCs/>
          <w:color w:val="auto"/>
          <w:sz w:val="24"/>
          <w:szCs w:val="24"/>
          <w:highlight w:val="none"/>
        </w:rPr>
        <w:t>所有标线施划均应先放样后漆划（除标线要求覆盖外）。</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w:t>
      </w:r>
      <w:r>
        <w:rPr>
          <w:rFonts w:hint="eastAsia" w:ascii="宋体" w:hAnsi="宋体" w:eastAsia="宋体" w:cs="宋体"/>
          <w:bCs/>
          <w:color w:val="auto"/>
          <w:sz w:val="24"/>
          <w:szCs w:val="24"/>
          <w:highlight w:val="none"/>
        </w:rPr>
        <w:t>、LED光学要求：</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10.1</w:t>
      </w:r>
      <w:r>
        <w:rPr>
          <w:rFonts w:hint="eastAsia" w:ascii="宋体" w:hAnsi="宋体" w:eastAsia="宋体" w:cs="宋体"/>
          <w:bCs/>
          <w:color w:val="auto"/>
          <w:sz w:val="24"/>
          <w:szCs w:val="24"/>
          <w:highlight w:val="none"/>
        </w:rPr>
        <w:t>发光单元使用的LED芯片必须是四元素技术制造；</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10.2</w:t>
      </w:r>
      <w:r>
        <w:rPr>
          <w:rFonts w:hint="eastAsia" w:ascii="宋体" w:hAnsi="宋体" w:eastAsia="宋体" w:cs="宋体"/>
          <w:bCs/>
          <w:color w:val="auto"/>
          <w:sz w:val="24"/>
          <w:szCs w:val="24"/>
          <w:highlight w:val="none"/>
        </w:rPr>
        <w:t>发光单元的光强度（无图案警示灯标准），大于800cd；</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10.3</w:t>
      </w:r>
      <w:r>
        <w:rPr>
          <w:rFonts w:hint="eastAsia" w:ascii="宋体" w:hAnsi="宋体" w:eastAsia="宋体" w:cs="宋体"/>
          <w:bCs/>
          <w:color w:val="auto"/>
          <w:sz w:val="24"/>
          <w:szCs w:val="24"/>
          <w:highlight w:val="none"/>
        </w:rPr>
        <w:t>发光单元使用的LED基准波长：红色625±5nm，蓝色460±5nm，其色度应符合交通信号灯坐标的规定范围；</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10.4</w:t>
      </w:r>
      <w:r>
        <w:rPr>
          <w:rFonts w:hint="eastAsia" w:ascii="宋体" w:hAnsi="宋体" w:eastAsia="宋体" w:cs="宋体"/>
          <w:bCs/>
          <w:color w:val="auto"/>
          <w:sz w:val="24"/>
          <w:szCs w:val="24"/>
          <w:highlight w:val="none"/>
        </w:rPr>
        <w:t>发光单元应有良好的配光设计及反光聚光套碗，其水平（垂直）视角不小于以白炽灯为光源的灯具；</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10.5</w:t>
      </w:r>
      <w:r>
        <w:rPr>
          <w:rFonts w:hint="eastAsia" w:ascii="宋体" w:hAnsi="宋体" w:eastAsia="宋体" w:cs="宋体"/>
          <w:bCs/>
          <w:color w:val="auto"/>
          <w:sz w:val="24"/>
          <w:szCs w:val="24"/>
          <w:highlight w:val="none"/>
        </w:rPr>
        <w:t>在规定照射区域内，发光强度应均匀，即在该区域内任一方向上的发光强度不应低于该方向相邻有数值规定方向中的最小值；</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10.6</w:t>
      </w:r>
      <w:r>
        <w:rPr>
          <w:rFonts w:hint="eastAsia" w:ascii="宋体" w:hAnsi="宋体" w:eastAsia="宋体" w:cs="宋体"/>
          <w:bCs/>
          <w:color w:val="auto"/>
          <w:sz w:val="24"/>
          <w:szCs w:val="24"/>
          <w:highlight w:val="none"/>
        </w:rPr>
        <w:t>LED交通警示灯发光单元的光强度衰减六十个月后大于400cd；在正常工作条件下无故障工作时间大于六十个月；</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10.7</w:t>
      </w:r>
      <w:r>
        <w:rPr>
          <w:rFonts w:hint="eastAsia" w:ascii="宋体" w:hAnsi="宋体" w:eastAsia="宋体" w:cs="宋体"/>
          <w:bCs/>
          <w:color w:val="auto"/>
          <w:sz w:val="24"/>
          <w:szCs w:val="24"/>
          <w:highlight w:val="none"/>
        </w:rPr>
        <w:t>每只LED应被安排在小于五个串联的单元电路中；</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10.8</w:t>
      </w:r>
      <w:r>
        <w:rPr>
          <w:rFonts w:hint="eastAsia" w:ascii="宋体" w:hAnsi="宋体" w:eastAsia="宋体" w:cs="宋体"/>
          <w:bCs/>
          <w:color w:val="auto"/>
          <w:sz w:val="24"/>
          <w:szCs w:val="24"/>
          <w:highlight w:val="none"/>
        </w:rPr>
        <w:t>每只发光单元的电源引线，应采取符合国家电工标准的导线，线经不小于0.75mm2，红、黄、绿色的三种发光单元除回路线外应分别用红、黄、绿色的导线；</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11、</w:t>
      </w:r>
      <w:r>
        <w:rPr>
          <w:rFonts w:hint="eastAsia" w:ascii="宋体" w:hAnsi="宋体" w:eastAsia="宋体" w:cs="宋体"/>
          <w:bCs/>
          <w:color w:val="auto"/>
          <w:sz w:val="24"/>
          <w:szCs w:val="24"/>
          <w:highlight w:val="none"/>
        </w:rPr>
        <w:t>其它国家相关规定与标准。</w:t>
      </w:r>
    </w:p>
    <w:p>
      <w:pPr>
        <w:snapToGrid w:val="0"/>
        <w:spacing w:line="6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12、</w:t>
      </w:r>
      <w:r>
        <w:rPr>
          <w:rFonts w:hint="eastAsia" w:ascii="宋体" w:hAnsi="宋体" w:eastAsia="宋体" w:cs="宋体"/>
          <w:bCs/>
          <w:color w:val="auto"/>
          <w:sz w:val="24"/>
          <w:szCs w:val="24"/>
          <w:highlight w:val="none"/>
        </w:rPr>
        <w:t>反光膜、涂料、钢材、铝材、LED等材料必须提供出厂合格证及相关部门产品检测证（其中反光膜、涂料必须提供厂家品牌），产品质量必须达到国家行业标准。</w:t>
      </w:r>
    </w:p>
    <w:p>
      <w:pPr>
        <w:pStyle w:val="42"/>
        <w:snapToGrid w:val="0"/>
        <w:spacing w:line="600" w:lineRule="exact"/>
        <w:ind w:left="410" w:hanging="410" w:hangingChars="17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十一</w:t>
      </w:r>
      <w:r>
        <w:rPr>
          <w:rFonts w:hint="eastAsia" w:ascii="宋体" w:hAnsi="宋体" w:eastAsia="宋体" w:cs="宋体"/>
          <w:b/>
          <w:color w:val="auto"/>
          <w:sz w:val="24"/>
          <w:szCs w:val="24"/>
          <w:highlight w:val="none"/>
        </w:rPr>
        <w:t>、转包或分包</w:t>
      </w:r>
    </w:p>
    <w:p>
      <w:pPr>
        <w:pStyle w:val="42"/>
        <w:snapToGrid w:val="0"/>
        <w:spacing w:line="600" w:lineRule="exact"/>
        <w:ind w:firstLine="410" w:firstLineChars="17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本合同范围的</w:t>
      </w: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，应由乙方直接供应，不得转让他人供应；</w:t>
      </w:r>
    </w:p>
    <w:p>
      <w:pPr>
        <w:pStyle w:val="42"/>
        <w:snapToGrid w:val="0"/>
        <w:spacing w:line="600" w:lineRule="exact"/>
        <w:ind w:firstLine="410" w:firstLineChars="17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除非得到甲方的书面同意，乙方不得将本合同范围的</w:t>
      </w: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全部或部分分包给他人供应；</w:t>
      </w:r>
    </w:p>
    <w:p>
      <w:pPr>
        <w:pStyle w:val="42"/>
        <w:snapToGrid w:val="0"/>
        <w:spacing w:line="600" w:lineRule="exact"/>
        <w:ind w:firstLine="410" w:firstLineChars="17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如有转让和未经甲方同意的分包行为，甲方有权解除合同，并追究乙方的违约责任。</w:t>
      </w:r>
    </w:p>
    <w:p>
      <w:pPr>
        <w:snapToGrid w:val="0"/>
        <w:spacing w:line="60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十二</w:t>
      </w:r>
      <w:r>
        <w:rPr>
          <w:rFonts w:hint="eastAsia" w:ascii="宋体" w:hAnsi="宋体" w:eastAsia="宋体" w:cs="宋体"/>
          <w:b/>
          <w:color w:val="auto"/>
          <w:sz w:val="24"/>
          <w:highlight w:val="none"/>
        </w:rPr>
        <w:t>、税费</w:t>
      </w:r>
    </w:p>
    <w:p>
      <w:pPr>
        <w:pStyle w:val="42"/>
        <w:snapToGrid w:val="0"/>
        <w:spacing w:line="600" w:lineRule="exact"/>
        <w:ind w:firstLine="410" w:firstLineChars="17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本合同执行中相关的一切税费均由乙方负担。</w:t>
      </w:r>
    </w:p>
    <w:p>
      <w:pPr>
        <w:pStyle w:val="42"/>
        <w:snapToGrid w:val="0"/>
        <w:spacing w:line="6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十三</w:t>
      </w:r>
      <w:r>
        <w:rPr>
          <w:rFonts w:hint="eastAsia" w:ascii="宋体" w:hAnsi="宋体" w:eastAsia="宋体" w:cs="宋体"/>
          <w:b/>
          <w:color w:val="auto"/>
          <w:sz w:val="24"/>
          <w:szCs w:val="24"/>
          <w:highlight w:val="none"/>
        </w:rPr>
        <w:t>、验收</w:t>
      </w:r>
    </w:p>
    <w:p>
      <w:pPr>
        <w:pStyle w:val="42"/>
        <w:snapToGrid w:val="0"/>
        <w:spacing w:line="600" w:lineRule="exact"/>
        <w:ind w:firstLine="41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lang w:eastAsia="zh-CN"/>
        </w:rPr>
        <w:t>采购人有权对本项目的服务进行验收或考核。对不按招标文件、投标承诺及政府采购合同要求提供服务的供应商，政府采购行政监管部门将依据《中华人民共和国政府采购法》、《中华人民共和国政府采购法实施条例》等相关法律法规的规定，列入不良行为记录名单，给予1至3年内禁止参加政府采购活动的处罚，同时将处罚结果上网进行公示。</w:t>
      </w:r>
    </w:p>
    <w:p>
      <w:pPr>
        <w:pStyle w:val="42"/>
        <w:snapToGrid w:val="0"/>
        <w:spacing w:line="6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十</w:t>
      </w:r>
      <w:r>
        <w:rPr>
          <w:rFonts w:hint="eastAsia" w:ascii="宋体" w:hAnsi="宋体" w:eastAsia="宋体" w:cs="宋体"/>
          <w:b/>
          <w:color w:val="auto"/>
          <w:sz w:val="24"/>
          <w:szCs w:val="24"/>
          <w:highlight w:val="none"/>
          <w:lang w:val="en-US" w:eastAsia="zh-CN"/>
        </w:rPr>
        <w:t>四</w:t>
      </w:r>
      <w:r>
        <w:rPr>
          <w:rFonts w:hint="eastAsia" w:ascii="宋体" w:hAnsi="宋体" w:eastAsia="宋体" w:cs="宋体"/>
          <w:b/>
          <w:color w:val="auto"/>
          <w:sz w:val="24"/>
          <w:szCs w:val="24"/>
          <w:highlight w:val="none"/>
        </w:rPr>
        <w:t>、不可抗力事件处理</w:t>
      </w:r>
    </w:p>
    <w:p>
      <w:pPr>
        <w:pStyle w:val="42"/>
        <w:snapToGrid w:val="0"/>
        <w:spacing w:line="600" w:lineRule="exact"/>
        <w:ind w:firstLine="410" w:firstLineChars="17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在合同有效期内，任何一方因不可抗力事件导致不能履行合同，则合同履行期可延长，其延长期与不可抗力影响期相同。</w:t>
      </w:r>
    </w:p>
    <w:p>
      <w:pPr>
        <w:pStyle w:val="42"/>
        <w:snapToGrid w:val="0"/>
        <w:spacing w:line="600" w:lineRule="exact"/>
        <w:ind w:firstLine="410" w:firstLineChars="17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不可抗力事件发生后，应立即通知对方，并寄送有关权威机构出具的证明。</w:t>
      </w:r>
    </w:p>
    <w:p>
      <w:pPr>
        <w:pStyle w:val="42"/>
        <w:snapToGrid w:val="0"/>
        <w:spacing w:line="600" w:lineRule="exact"/>
        <w:ind w:firstLine="410" w:firstLineChars="17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不可抗力事件延续120天以上，双方应通过友好协商，确定是否继续履行合同。</w:t>
      </w:r>
    </w:p>
    <w:p>
      <w:pPr>
        <w:pStyle w:val="42"/>
        <w:snapToGrid w:val="0"/>
        <w:spacing w:line="6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十</w:t>
      </w:r>
      <w:r>
        <w:rPr>
          <w:rFonts w:hint="eastAsia" w:ascii="宋体" w:hAnsi="宋体" w:eastAsia="宋体" w:cs="宋体"/>
          <w:b/>
          <w:color w:val="auto"/>
          <w:sz w:val="24"/>
          <w:szCs w:val="24"/>
          <w:highlight w:val="none"/>
          <w:lang w:val="en-US" w:eastAsia="zh-CN"/>
        </w:rPr>
        <w:t>五</w:t>
      </w:r>
      <w:r>
        <w:rPr>
          <w:rFonts w:hint="eastAsia" w:ascii="宋体" w:hAnsi="宋体" w:eastAsia="宋体" w:cs="宋体"/>
          <w:b/>
          <w:color w:val="auto"/>
          <w:sz w:val="24"/>
          <w:szCs w:val="24"/>
          <w:highlight w:val="none"/>
        </w:rPr>
        <w:t>、诉讼</w:t>
      </w:r>
    </w:p>
    <w:p>
      <w:pPr>
        <w:pStyle w:val="42"/>
        <w:snapToGrid w:val="0"/>
        <w:spacing w:line="600" w:lineRule="exact"/>
        <w:ind w:firstLine="410" w:firstLineChars="17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双方在执行合同中所发生的一切争议，应通过协商解决。如协商不成，可向甲方所在地法院起诉。</w:t>
      </w:r>
    </w:p>
    <w:p>
      <w:pPr>
        <w:pStyle w:val="42"/>
        <w:snapToGrid w:val="0"/>
        <w:spacing w:line="6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十</w:t>
      </w:r>
      <w:r>
        <w:rPr>
          <w:rFonts w:hint="eastAsia" w:ascii="宋体" w:hAnsi="宋体" w:eastAsia="宋体" w:cs="宋体"/>
          <w:b/>
          <w:color w:val="auto"/>
          <w:sz w:val="24"/>
          <w:szCs w:val="24"/>
          <w:highlight w:val="none"/>
          <w:lang w:val="en-US" w:eastAsia="zh-CN"/>
        </w:rPr>
        <w:t>六</w:t>
      </w:r>
      <w:r>
        <w:rPr>
          <w:rFonts w:hint="eastAsia" w:ascii="宋体" w:hAnsi="宋体" w:eastAsia="宋体" w:cs="宋体"/>
          <w:b/>
          <w:color w:val="auto"/>
          <w:sz w:val="24"/>
          <w:szCs w:val="24"/>
          <w:highlight w:val="none"/>
        </w:rPr>
        <w:t>、合同生效及其它</w:t>
      </w:r>
    </w:p>
    <w:p>
      <w:pPr>
        <w:pStyle w:val="42"/>
        <w:snapToGrid w:val="0"/>
        <w:spacing w:line="600" w:lineRule="exact"/>
        <w:ind w:firstLine="410" w:firstLineChars="17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1.招标文件、投标文件、更正公告、中标通知书、承诺函等均作为本合同组成部分，具有同等效力。</w:t>
      </w:r>
    </w:p>
    <w:p>
      <w:pPr>
        <w:pStyle w:val="42"/>
        <w:snapToGrid w:val="0"/>
        <w:spacing w:line="600" w:lineRule="exact"/>
        <w:ind w:firstLine="410" w:firstLineChars="17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2.合同经双方法定代表人或其授权代表签字并加盖单位公章经杭州瑞拓工程咨询有限公司鉴证后方可生效。</w:t>
      </w:r>
    </w:p>
    <w:p>
      <w:pPr>
        <w:pStyle w:val="42"/>
        <w:snapToGrid w:val="0"/>
        <w:spacing w:line="600" w:lineRule="exact"/>
        <w:ind w:firstLine="410" w:firstLineChars="17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3.合同执行中涉及采购资金和采购内容修改或补充的，须经财政部门审批，并签书面补充协议报政府采购监督管理部门备案，作为主合同不可分割的一部分。</w:t>
      </w:r>
    </w:p>
    <w:p>
      <w:pPr>
        <w:pStyle w:val="42"/>
        <w:snapToGrid w:val="0"/>
        <w:spacing w:line="600" w:lineRule="exact"/>
        <w:ind w:firstLine="410" w:firstLineChars="17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4.本合同未尽事宜，遵照《合同法》有关条文执行。</w:t>
      </w:r>
    </w:p>
    <w:p>
      <w:pPr>
        <w:pStyle w:val="42"/>
        <w:snapToGrid w:val="0"/>
        <w:spacing w:line="600" w:lineRule="exact"/>
        <w:ind w:firstLine="410" w:firstLineChars="17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5.本合同一式多份，具有同等法律效力，甲乙双方、杭州瑞拓工程咨询有限公司，各执一份。 </w:t>
      </w:r>
    </w:p>
    <w:p>
      <w:pPr>
        <w:spacing w:line="600" w:lineRule="exact"/>
        <w:rPr>
          <w:rFonts w:hint="eastAsia" w:ascii="宋体" w:hAnsi="宋体" w:eastAsia="宋体" w:cs="宋体"/>
          <w:color w:val="auto"/>
          <w:sz w:val="24"/>
          <w:highlight w:val="none"/>
        </w:rPr>
      </w:pPr>
    </w:p>
    <w:p>
      <w:pPr>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甲方（盖章）：                          乙方（盖章）：                 </w:t>
      </w:r>
    </w:p>
    <w:p>
      <w:pPr>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法定代表人：                           法定代表人：                </w:t>
      </w:r>
    </w:p>
    <w:p>
      <w:pPr>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或授权代表（签字）：                    或授权代表（签字）：           </w:t>
      </w:r>
    </w:p>
    <w:p>
      <w:pPr>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地址：    </w:t>
      </w:r>
    </w:p>
    <w:p>
      <w:pPr>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邮编：                                 邮编：                     </w:t>
      </w:r>
    </w:p>
    <w:p>
      <w:pPr>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电话：                                 电话：             </w:t>
      </w:r>
    </w:p>
    <w:p>
      <w:pPr>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传真：                                 传真：         </w:t>
      </w:r>
    </w:p>
    <w:p>
      <w:pPr>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开户银行：                             开户银行：    </w:t>
      </w:r>
    </w:p>
    <w:p>
      <w:pPr>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帐号：                                 帐号：     </w:t>
      </w:r>
    </w:p>
    <w:p>
      <w:pPr>
        <w:spacing w:line="600" w:lineRule="exact"/>
        <w:ind w:firstLine="480" w:firstLineChars="200"/>
        <w:jc w:val="left"/>
        <w:rPr>
          <w:rFonts w:hint="eastAsia" w:ascii="宋体" w:hAnsi="宋体" w:eastAsia="宋体" w:cs="宋体"/>
          <w:color w:val="auto"/>
          <w:sz w:val="24"/>
          <w:highlight w:val="none"/>
        </w:rPr>
      </w:pPr>
    </w:p>
    <w:p>
      <w:pPr>
        <w:spacing w:line="600" w:lineRule="exact"/>
        <w:ind w:firstLine="360" w:firstLineChars="1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鉴证方（盖章）：                                         </w:t>
      </w:r>
    </w:p>
    <w:p>
      <w:pPr>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法定代表人或授权代表（签字）：  </w:t>
      </w:r>
    </w:p>
    <w:p>
      <w:pPr>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p>
    <w:p>
      <w:pPr>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邮编：                                                     </w:t>
      </w:r>
    </w:p>
    <w:p>
      <w:pPr>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电话：                                              </w:t>
      </w:r>
    </w:p>
    <w:p>
      <w:pPr>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传真：                                         </w:t>
      </w:r>
    </w:p>
    <w:p>
      <w:pPr>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pacing w:line="600" w:lineRule="exact"/>
        <w:ind w:firstLine="480" w:firstLineChars="200"/>
        <w:jc w:val="left"/>
        <w:rPr>
          <w:rFonts w:hint="eastAsia" w:ascii="宋体" w:hAnsi="宋体" w:eastAsia="宋体" w:cs="宋体"/>
          <w:color w:val="auto"/>
          <w:sz w:val="24"/>
          <w:highlight w:val="none"/>
        </w:rPr>
      </w:pPr>
    </w:p>
    <w:p>
      <w:pPr>
        <w:spacing w:line="600" w:lineRule="exact"/>
        <w:ind w:right="12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签约时间：      年    月   日</w:t>
      </w:r>
    </w:p>
    <w:p>
      <w:pPr>
        <w:wordWrap w:val="0"/>
        <w:spacing w:line="600" w:lineRule="exact"/>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签约地点：                    </w:t>
      </w:r>
    </w:p>
    <w:p>
      <w:pPr>
        <w:spacing w:line="600" w:lineRule="exact"/>
        <w:jc w:val="center"/>
        <w:rPr>
          <w:rFonts w:hint="eastAsia" w:ascii="宋体" w:hAnsi="宋体" w:eastAsia="宋体" w:cs="宋体"/>
          <w:b/>
          <w:bCs/>
          <w:color w:val="auto"/>
          <w:sz w:val="24"/>
          <w:highlight w:val="none"/>
        </w:rPr>
        <w:sectPr>
          <w:pgSz w:w="11906" w:h="16838"/>
          <w:pgMar w:top="1531" w:right="1304" w:bottom="1531" w:left="1361" w:header="851" w:footer="1304" w:gutter="0"/>
          <w:paperSrc/>
          <w:pgBorders>
            <w:top w:val="none" w:sz="0" w:space="0"/>
            <w:left w:val="none" w:sz="0" w:space="0"/>
            <w:bottom w:val="none" w:sz="0" w:space="0"/>
            <w:right w:val="none" w:sz="0" w:space="0"/>
          </w:pgBorders>
          <w:cols w:space="720" w:num="1"/>
          <w:rtlGutter w:val="0"/>
          <w:docGrid w:linePitch="315" w:charSpace="0"/>
        </w:sectPr>
      </w:pPr>
      <w:r>
        <w:rPr>
          <w:rFonts w:hint="eastAsia" w:ascii="宋体" w:hAnsi="宋体" w:eastAsia="宋体" w:cs="宋体"/>
          <w:b/>
          <w:bCs/>
          <w:color w:val="auto"/>
          <w:sz w:val="24"/>
          <w:highlight w:val="none"/>
        </w:rPr>
        <w:t>此仅为合同书样本，中标单位需根据实际情况和采购人签订相应的合同！</w:t>
      </w:r>
    </w:p>
    <w:p>
      <w:pPr>
        <w:snapToGrid w:val="0"/>
        <w:spacing w:line="600" w:lineRule="exact"/>
        <w:jc w:val="center"/>
        <w:rPr>
          <w:rFonts w:hint="eastAsia" w:ascii="宋体" w:hAnsi="宋体" w:eastAsia="宋体" w:cs="宋体"/>
          <w:b/>
          <w:bCs/>
          <w:color w:val="auto"/>
          <w:sz w:val="28"/>
          <w:szCs w:val="28"/>
          <w:highlight w:val="none"/>
        </w:rPr>
      </w:pPr>
      <w:bookmarkStart w:id="79" w:name="_Toc33194402"/>
      <w:r>
        <w:rPr>
          <w:rFonts w:hint="eastAsia" w:ascii="宋体" w:hAnsi="宋体" w:eastAsia="宋体" w:cs="宋体"/>
          <w:b/>
          <w:bCs/>
          <w:color w:val="auto"/>
          <w:sz w:val="28"/>
          <w:szCs w:val="28"/>
          <w:highlight w:val="none"/>
        </w:rPr>
        <w:t>第五部分  应提交的有关格式范例</w:t>
      </w:r>
      <w:bookmarkEnd w:id="79"/>
    </w:p>
    <w:p>
      <w:pPr>
        <w:shd w:val="clear" w:color="auto" w:fill="FFFFFF"/>
        <w:snapToGrid w:val="0"/>
        <w:spacing w:line="60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 </w:t>
      </w:r>
    </w:p>
    <w:p>
      <w:pPr>
        <w:snapToGrid w:val="0"/>
        <w:spacing w:line="60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一、投标人提交投标文件须知：</w:t>
      </w:r>
    </w:p>
    <w:p>
      <w:pPr>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1、投标人应严格按照以下顺序填写和提交下述规定的全部格式文件以及其他有关资料，混乱的编排导致投标文件被误读或评标委员会查找不到有效文件</w:t>
      </w:r>
      <w:r>
        <w:rPr>
          <w:rFonts w:hint="eastAsia" w:ascii="宋体" w:hAnsi="宋体" w:eastAsia="宋体" w:cs="宋体"/>
          <w:color w:val="auto"/>
          <w:sz w:val="24"/>
          <w:highlight w:val="none"/>
          <w:lang w:val="en-US" w:eastAsia="zh-CN"/>
        </w:rPr>
        <w:t>风险由投标人承担</w:t>
      </w:r>
      <w:r>
        <w:rPr>
          <w:rFonts w:hint="eastAsia" w:ascii="宋体" w:hAnsi="宋体" w:eastAsia="宋体" w:cs="宋体"/>
          <w:color w:val="auto"/>
          <w:sz w:val="24"/>
          <w:highlight w:val="none"/>
        </w:rPr>
        <w:t>。</w:t>
      </w:r>
    </w:p>
    <w:p>
      <w:pPr>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2、所附表格中要求回答的全部问题和/或信息都必须正面回答。</w:t>
      </w:r>
    </w:p>
    <w:p>
      <w:pPr>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3、本声明书的签字人应保证全部声明和问题的回答是真实的和准确的。</w:t>
      </w:r>
    </w:p>
    <w:p>
      <w:pPr>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4、评标委员会</w:t>
      </w:r>
      <w:r>
        <w:rPr>
          <w:rFonts w:hint="eastAsia" w:ascii="宋体" w:hAnsi="宋体" w:eastAsia="宋体" w:cs="宋体"/>
          <w:color w:val="auto"/>
          <w:sz w:val="24"/>
          <w:highlight w:val="none"/>
          <w:lang w:val="en-US" w:eastAsia="zh-CN"/>
        </w:rPr>
        <w:t>通过</w:t>
      </w:r>
      <w:r>
        <w:rPr>
          <w:rFonts w:hint="eastAsia" w:ascii="宋体" w:hAnsi="宋体" w:eastAsia="宋体" w:cs="宋体"/>
          <w:color w:val="auto"/>
          <w:sz w:val="24"/>
          <w:highlight w:val="none"/>
        </w:rPr>
        <w:t>应用投标人提交的资料作出自己的判断。</w:t>
      </w:r>
    </w:p>
    <w:p>
      <w:pPr>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5、投标人提交的材料将在一定期限内被保密保存，但不退还。</w:t>
      </w:r>
    </w:p>
    <w:p>
      <w:pPr>
        <w:snapToGrid w:val="0"/>
        <w:spacing w:line="60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6、全部文件应按投标人须知中规定的语言和份数提交。投标文件组成漏项或未按规定的格式编制，内容不全或内容字迹模糊辨认不清的情况，</w:t>
      </w:r>
      <w:r>
        <w:rPr>
          <w:rFonts w:hint="eastAsia" w:ascii="宋体" w:hAnsi="宋体" w:eastAsia="宋体" w:cs="宋体"/>
          <w:b/>
          <w:color w:val="auto"/>
          <w:sz w:val="24"/>
          <w:highlight w:val="none"/>
        </w:rPr>
        <w:t>将有可能被评标委员会认定为投标无效。</w:t>
      </w:r>
    </w:p>
    <w:bookmarkEnd w:id="73"/>
    <w:bookmarkEnd w:id="74"/>
    <w:bookmarkEnd w:id="75"/>
    <w:p>
      <w:pPr>
        <w:shd w:val="clear" w:color="auto" w:fill="FFFFFF"/>
        <w:snapToGrid w:val="0"/>
        <w:spacing w:line="600" w:lineRule="exact"/>
        <w:ind w:firstLine="480" w:firstLineChars="200"/>
        <w:rPr>
          <w:rFonts w:hint="eastAsia" w:ascii="宋体" w:hAnsi="宋体" w:eastAsia="宋体" w:cs="宋体"/>
          <w:color w:val="auto"/>
          <w:sz w:val="24"/>
          <w:highlight w:val="none"/>
        </w:rPr>
      </w:pPr>
    </w:p>
    <w:p>
      <w:pPr>
        <w:shd w:val="clear" w:color="auto" w:fill="FFFFFF"/>
        <w:snapToGrid w:val="0"/>
        <w:spacing w:line="600" w:lineRule="exact"/>
        <w:ind w:firstLine="480" w:firstLineChars="200"/>
        <w:rPr>
          <w:rFonts w:hint="eastAsia" w:ascii="宋体" w:hAnsi="宋体" w:eastAsia="宋体" w:cs="宋体"/>
          <w:color w:val="auto"/>
          <w:sz w:val="24"/>
          <w:highlight w:val="none"/>
        </w:rPr>
      </w:pPr>
    </w:p>
    <w:p>
      <w:pPr>
        <w:shd w:val="clear" w:color="auto" w:fill="FFFFFF"/>
        <w:snapToGrid w:val="0"/>
        <w:spacing w:line="600" w:lineRule="exact"/>
        <w:ind w:firstLine="480" w:firstLineChars="200"/>
        <w:rPr>
          <w:rFonts w:hint="eastAsia" w:ascii="宋体" w:hAnsi="宋体" w:eastAsia="宋体" w:cs="宋体"/>
          <w:color w:val="auto"/>
          <w:sz w:val="24"/>
          <w:highlight w:val="none"/>
        </w:rPr>
      </w:pPr>
    </w:p>
    <w:p>
      <w:pPr>
        <w:shd w:val="clear" w:color="auto" w:fill="FFFFFF"/>
        <w:snapToGrid w:val="0"/>
        <w:spacing w:line="600" w:lineRule="exact"/>
        <w:ind w:firstLine="480" w:firstLineChars="200"/>
        <w:rPr>
          <w:rFonts w:hint="eastAsia" w:ascii="宋体" w:hAnsi="宋体" w:eastAsia="宋体" w:cs="宋体"/>
          <w:color w:val="auto"/>
          <w:sz w:val="24"/>
          <w:highlight w:val="none"/>
        </w:rPr>
      </w:pPr>
    </w:p>
    <w:p>
      <w:pPr>
        <w:shd w:val="clear" w:color="auto" w:fill="FFFFFF"/>
        <w:snapToGrid w:val="0"/>
        <w:spacing w:line="600" w:lineRule="exact"/>
        <w:ind w:firstLine="480" w:firstLineChars="200"/>
        <w:rPr>
          <w:rFonts w:hint="eastAsia" w:ascii="宋体" w:hAnsi="宋体" w:eastAsia="宋体" w:cs="宋体"/>
          <w:color w:val="auto"/>
          <w:sz w:val="24"/>
          <w:highlight w:val="none"/>
        </w:rPr>
      </w:pPr>
    </w:p>
    <w:p>
      <w:pPr>
        <w:shd w:val="clear" w:color="auto" w:fill="FFFFFF"/>
        <w:snapToGrid w:val="0"/>
        <w:spacing w:line="600" w:lineRule="exact"/>
        <w:ind w:firstLine="480" w:firstLineChars="200"/>
        <w:rPr>
          <w:rFonts w:hint="eastAsia" w:ascii="宋体" w:hAnsi="宋体" w:eastAsia="宋体" w:cs="宋体"/>
          <w:color w:val="auto"/>
          <w:sz w:val="24"/>
          <w:highlight w:val="none"/>
        </w:rPr>
      </w:pPr>
    </w:p>
    <w:p>
      <w:pPr>
        <w:shd w:val="clear" w:color="auto" w:fill="FFFFFF"/>
        <w:snapToGrid w:val="0"/>
        <w:spacing w:line="600" w:lineRule="exact"/>
        <w:ind w:firstLine="480" w:firstLineChars="200"/>
        <w:rPr>
          <w:rFonts w:hint="eastAsia" w:ascii="宋体" w:hAnsi="宋体" w:eastAsia="宋体" w:cs="宋体"/>
          <w:color w:val="auto"/>
          <w:sz w:val="24"/>
          <w:highlight w:val="none"/>
        </w:rPr>
      </w:pPr>
    </w:p>
    <w:p>
      <w:pPr>
        <w:shd w:val="clear" w:color="auto" w:fill="FFFFFF"/>
        <w:snapToGrid w:val="0"/>
        <w:spacing w:line="600" w:lineRule="exact"/>
        <w:ind w:firstLine="480" w:firstLineChars="200"/>
        <w:rPr>
          <w:rFonts w:hint="eastAsia" w:ascii="宋体" w:hAnsi="宋体" w:eastAsia="宋体" w:cs="宋体"/>
          <w:color w:val="auto"/>
          <w:sz w:val="24"/>
          <w:highlight w:val="none"/>
        </w:rPr>
      </w:pPr>
    </w:p>
    <w:p>
      <w:pPr>
        <w:shd w:val="clear" w:color="auto" w:fill="FFFFFF"/>
        <w:snapToGrid w:val="0"/>
        <w:spacing w:line="600" w:lineRule="exact"/>
        <w:ind w:firstLine="480" w:firstLineChars="200"/>
        <w:rPr>
          <w:rFonts w:hint="eastAsia" w:ascii="宋体" w:hAnsi="宋体" w:eastAsia="宋体" w:cs="宋体"/>
          <w:color w:val="auto"/>
          <w:sz w:val="24"/>
          <w:highlight w:val="none"/>
        </w:rPr>
      </w:pPr>
    </w:p>
    <w:p>
      <w:pPr>
        <w:shd w:val="clear" w:color="auto" w:fill="FFFFFF"/>
        <w:snapToGrid w:val="0"/>
        <w:spacing w:line="600" w:lineRule="exact"/>
        <w:ind w:firstLine="480" w:firstLineChars="200"/>
        <w:rPr>
          <w:rFonts w:hint="eastAsia" w:ascii="宋体" w:hAnsi="宋体" w:eastAsia="宋体" w:cs="宋体"/>
          <w:color w:val="auto"/>
          <w:sz w:val="24"/>
          <w:highlight w:val="none"/>
        </w:rPr>
      </w:pPr>
    </w:p>
    <w:p>
      <w:pPr>
        <w:shd w:val="clear" w:color="auto" w:fill="FFFFFF"/>
        <w:snapToGrid w:val="0"/>
        <w:spacing w:line="600" w:lineRule="exact"/>
        <w:rPr>
          <w:rFonts w:hint="eastAsia" w:ascii="宋体" w:hAnsi="宋体" w:eastAsia="宋体" w:cs="宋体"/>
          <w:color w:val="auto"/>
          <w:sz w:val="24"/>
          <w:highlight w:val="none"/>
        </w:rPr>
      </w:pPr>
    </w:p>
    <w:p>
      <w:pPr>
        <w:snapToGrid w:val="0"/>
        <w:spacing w:line="600" w:lineRule="exact"/>
        <w:jc w:val="center"/>
        <w:rPr>
          <w:rFonts w:hint="eastAsia" w:ascii="宋体" w:hAnsi="宋体" w:eastAsia="宋体" w:cs="宋体"/>
          <w:b/>
          <w:bCs/>
          <w:color w:val="auto"/>
          <w:sz w:val="28"/>
          <w:szCs w:val="28"/>
          <w:highlight w:val="none"/>
        </w:rPr>
      </w:pPr>
      <w:bookmarkStart w:id="80" w:name="_Toc33194403"/>
      <w:r>
        <w:rPr>
          <w:rFonts w:hint="eastAsia" w:ascii="宋体" w:hAnsi="宋体" w:eastAsia="宋体" w:cs="宋体"/>
          <w:b/>
          <w:bCs/>
          <w:color w:val="auto"/>
          <w:sz w:val="28"/>
          <w:szCs w:val="28"/>
          <w:highlight w:val="none"/>
        </w:rPr>
        <w:t>资格文件</w:t>
      </w:r>
      <w:bookmarkEnd w:id="80"/>
    </w:p>
    <w:p>
      <w:pPr>
        <w:shd w:val="clear" w:color="auto" w:fill="FFFFFF"/>
        <w:snapToGrid w:val="0"/>
        <w:spacing w:line="600" w:lineRule="exact"/>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目录</w:t>
      </w:r>
    </w:p>
    <w:p>
      <w:pPr>
        <w:shd w:val="clear" w:color="auto" w:fill="FFFFFF"/>
        <w:snapToGrid w:val="0"/>
        <w:spacing w:line="600" w:lineRule="exact"/>
        <w:rPr>
          <w:rFonts w:hint="eastAsia" w:ascii="宋体" w:hAnsi="宋体" w:eastAsia="宋体" w:cs="宋体"/>
          <w:color w:val="auto"/>
          <w:kern w:val="0"/>
          <w:sz w:val="24"/>
          <w:highlight w:val="none"/>
        </w:rPr>
      </w:pPr>
      <w:bookmarkStart w:id="81" w:name="_Hlk33176655"/>
      <w:r>
        <w:rPr>
          <w:rFonts w:hint="eastAsia" w:ascii="宋体" w:hAnsi="宋体" w:eastAsia="宋体" w:cs="宋体"/>
          <w:color w:val="auto"/>
          <w:kern w:val="0"/>
          <w:sz w:val="24"/>
          <w:highlight w:val="none"/>
        </w:rPr>
        <w:t>（1）营业执照…………………………………………………………………………（页码）</w:t>
      </w:r>
    </w:p>
    <w:p>
      <w:pPr>
        <w:shd w:val="clear" w:color="auto" w:fill="FFFFFF"/>
        <w:snapToGrid w:val="0"/>
        <w:spacing w:line="60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（2）最近一年度财务报表……………………………………………………………（页码）</w:t>
      </w:r>
    </w:p>
    <w:p>
      <w:pPr>
        <w:shd w:val="clear" w:color="auto" w:fill="FFFFFF"/>
        <w:snapToGrid w:val="0"/>
        <w:spacing w:line="60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（3）具有履行合同所必需的场地、设备和专业技术能力的承诺函………………（页码）</w:t>
      </w:r>
    </w:p>
    <w:p>
      <w:pPr>
        <w:shd w:val="clear" w:color="auto" w:fill="FFFFFF"/>
        <w:snapToGrid w:val="0"/>
        <w:spacing w:line="60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（4）依法缴纳税收和社会保障资金的承诺函………………………………………（页码）</w:t>
      </w:r>
    </w:p>
    <w:p>
      <w:pPr>
        <w:shd w:val="clear" w:color="auto" w:fill="FFFFFF"/>
        <w:snapToGrid w:val="0"/>
        <w:spacing w:line="60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（5）参加政府采购活动前3年内在经营活动中没有重大违法记录的声明函……（页码）</w:t>
      </w:r>
    </w:p>
    <w:p>
      <w:pPr>
        <w:shd w:val="clear" w:color="auto" w:fill="FFFFFF"/>
        <w:snapToGrid w:val="0"/>
        <w:spacing w:line="60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（6）单位负责人为同一人或者存在直接控股、管理关系的不同供应商，不得参加同一合同项下的政府采购活动承诺函…………………………………………………………（页码）</w:t>
      </w:r>
    </w:p>
    <w:p>
      <w:pPr>
        <w:shd w:val="clear" w:color="auto" w:fill="FFFFFF"/>
        <w:snapToGrid w:val="0"/>
        <w:spacing w:line="60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（7）投标供应商没有失信记录承诺函………………………………………………（页码）</w:t>
      </w:r>
    </w:p>
    <w:bookmarkEnd w:id="81"/>
    <w:p>
      <w:pPr>
        <w:shd w:val="clear" w:color="auto" w:fill="FFFFFF"/>
        <w:snapToGrid w:val="0"/>
        <w:spacing w:line="60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en-US" w:eastAsia="zh-CN"/>
        </w:rPr>
        <w:t>8</w:t>
      </w:r>
      <w:r>
        <w:rPr>
          <w:rFonts w:hint="eastAsia" w:ascii="宋体" w:hAnsi="宋体" w:eastAsia="宋体" w:cs="宋体"/>
          <w:color w:val="auto"/>
          <w:kern w:val="0"/>
          <w:sz w:val="24"/>
          <w:highlight w:val="none"/>
        </w:rPr>
        <w:t>）投</w:t>
      </w:r>
      <w:r>
        <w:rPr>
          <w:rFonts w:hint="eastAsia" w:ascii="宋体" w:hAnsi="宋体" w:eastAsia="宋体" w:cs="宋体"/>
          <w:color w:val="auto"/>
          <w:sz w:val="24"/>
          <w:szCs w:val="21"/>
          <w:highlight w:val="none"/>
        </w:rPr>
        <w:t>标供应商不属于</w:t>
      </w:r>
      <w:r>
        <w:rPr>
          <w:rFonts w:hint="eastAsia" w:ascii="宋体" w:hAnsi="宋体" w:eastAsia="宋体" w:cs="宋体"/>
          <w:color w:val="auto"/>
          <w:kern w:val="0"/>
          <w:sz w:val="24"/>
          <w:highlight w:val="none"/>
        </w:rPr>
        <w:t>公益一类事业单位、使用事业编制且由财政拨款保障的群团组织的</w:t>
      </w:r>
      <w:r>
        <w:rPr>
          <w:rFonts w:hint="eastAsia" w:ascii="宋体" w:hAnsi="宋体" w:eastAsia="宋体" w:cs="宋体"/>
          <w:color w:val="auto"/>
          <w:sz w:val="24"/>
          <w:szCs w:val="21"/>
          <w:highlight w:val="none"/>
        </w:rPr>
        <w:t>承诺函</w:t>
      </w:r>
      <w:r>
        <w:rPr>
          <w:rFonts w:hint="eastAsia" w:ascii="宋体" w:hAnsi="宋体" w:eastAsia="宋体" w:cs="宋体"/>
          <w:color w:val="auto"/>
          <w:kern w:val="0"/>
          <w:sz w:val="24"/>
          <w:highlight w:val="none"/>
        </w:rPr>
        <w:t>………………………………………………………………………………（页码）</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p>
    <w:p>
      <w:pPr>
        <w:shd w:val="clear" w:color="auto" w:fill="FFFFFF"/>
        <w:snapToGrid w:val="0"/>
        <w:spacing w:line="600" w:lineRule="exact"/>
        <w:ind w:firstLine="480" w:firstLineChars="200"/>
        <w:rPr>
          <w:rFonts w:hint="eastAsia" w:ascii="宋体" w:hAnsi="宋体" w:eastAsia="宋体" w:cs="宋体"/>
          <w:color w:val="auto"/>
          <w:sz w:val="24"/>
          <w:highlight w:val="none"/>
        </w:rPr>
      </w:pPr>
    </w:p>
    <w:p>
      <w:pPr>
        <w:shd w:val="clear" w:color="auto" w:fill="FFFFFF"/>
        <w:snapToGrid w:val="0"/>
        <w:spacing w:line="600" w:lineRule="exact"/>
        <w:ind w:firstLine="480" w:firstLineChars="200"/>
        <w:rPr>
          <w:rFonts w:hint="eastAsia" w:ascii="宋体" w:hAnsi="宋体" w:eastAsia="宋体" w:cs="宋体"/>
          <w:color w:val="auto"/>
          <w:sz w:val="24"/>
          <w:highlight w:val="none"/>
        </w:rPr>
      </w:pPr>
    </w:p>
    <w:p>
      <w:pPr>
        <w:shd w:val="clear" w:color="auto" w:fill="FFFFFF"/>
        <w:snapToGrid w:val="0"/>
        <w:spacing w:line="600" w:lineRule="exact"/>
        <w:ind w:firstLine="480" w:firstLineChars="200"/>
        <w:rPr>
          <w:rFonts w:hint="eastAsia" w:ascii="宋体" w:hAnsi="宋体" w:eastAsia="宋体" w:cs="宋体"/>
          <w:color w:val="auto"/>
          <w:sz w:val="24"/>
          <w:highlight w:val="none"/>
        </w:rPr>
      </w:pPr>
    </w:p>
    <w:p>
      <w:pPr>
        <w:shd w:val="clear" w:color="auto" w:fill="FFFFFF"/>
        <w:snapToGrid w:val="0"/>
        <w:spacing w:line="600" w:lineRule="exact"/>
        <w:ind w:firstLine="480" w:firstLineChars="200"/>
        <w:rPr>
          <w:rFonts w:hint="eastAsia" w:ascii="宋体" w:hAnsi="宋体" w:eastAsia="宋体" w:cs="宋体"/>
          <w:color w:val="auto"/>
          <w:sz w:val="24"/>
          <w:highlight w:val="none"/>
        </w:rPr>
      </w:pPr>
    </w:p>
    <w:p>
      <w:pPr>
        <w:snapToGrid w:val="0"/>
        <w:spacing w:line="600" w:lineRule="exact"/>
        <w:jc w:val="center"/>
        <w:rPr>
          <w:rFonts w:hint="eastAsia" w:ascii="宋体" w:hAnsi="宋体" w:eastAsia="宋体" w:cs="宋体"/>
          <w:b/>
          <w:bCs/>
          <w:color w:val="auto"/>
          <w:sz w:val="28"/>
          <w:szCs w:val="28"/>
          <w:highlight w:val="none"/>
        </w:rPr>
        <w:sectPr>
          <w:pgSz w:w="11906" w:h="16838"/>
          <w:pgMar w:top="1531" w:right="1304" w:bottom="1531" w:left="1361" w:header="851" w:footer="1304" w:gutter="0"/>
          <w:paperSrc/>
          <w:pgBorders>
            <w:top w:val="none" w:sz="0" w:space="0"/>
            <w:left w:val="none" w:sz="0" w:space="0"/>
            <w:bottom w:val="none" w:sz="0" w:space="0"/>
            <w:right w:val="none" w:sz="0" w:space="0"/>
          </w:pgBorders>
          <w:cols w:space="720" w:num="1"/>
          <w:rtlGutter w:val="0"/>
          <w:docGrid w:linePitch="315" w:charSpace="0"/>
        </w:sectPr>
      </w:pPr>
      <w:bookmarkStart w:id="82" w:name="_Toc20141"/>
      <w:bookmarkStart w:id="83" w:name="_Toc14356"/>
      <w:bookmarkStart w:id="84" w:name="_Toc5464"/>
      <w:bookmarkStart w:id="85" w:name="_Toc27479"/>
      <w:bookmarkStart w:id="86" w:name="_Toc5698"/>
      <w:bookmarkStart w:id="87" w:name="_Toc27119252"/>
      <w:bookmarkStart w:id="88" w:name="_Toc6616"/>
      <w:bookmarkStart w:id="89" w:name="_Toc21301"/>
      <w:bookmarkStart w:id="90" w:name="_Toc20581"/>
      <w:bookmarkStart w:id="91" w:name="_Toc26100"/>
      <w:bookmarkStart w:id="92" w:name="_Toc14043"/>
      <w:bookmarkStart w:id="93" w:name="_Toc33194404"/>
    </w:p>
    <w:p>
      <w:pPr>
        <w:snapToGrid w:val="0"/>
        <w:spacing w:line="60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一、营业执照</w:t>
      </w:r>
      <w:bookmarkEnd w:id="82"/>
      <w:bookmarkEnd w:id="83"/>
      <w:bookmarkEnd w:id="84"/>
      <w:bookmarkEnd w:id="85"/>
      <w:bookmarkEnd w:id="86"/>
      <w:bookmarkEnd w:id="87"/>
      <w:bookmarkEnd w:id="88"/>
      <w:bookmarkEnd w:id="89"/>
      <w:bookmarkEnd w:id="90"/>
      <w:bookmarkEnd w:id="91"/>
      <w:bookmarkEnd w:id="92"/>
      <w:r>
        <w:rPr>
          <w:rFonts w:hint="eastAsia" w:ascii="宋体" w:hAnsi="宋体" w:eastAsia="宋体" w:cs="宋体"/>
          <w:b/>
          <w:bCs/>
          <w:color w:val="auto"/>
          <w:sz w:val="28"/>
          <w:szCs w:val="28"/>
          <w:highlight w:val="none"/>
        </w:rPr>
        <w:t>（复印件）</w:t>
      </w:r>
      <w:bookmarkEnd w:id="93"/>
    </w:p>
    <w:p>
      <w:pPr>
        <w:snapToGrid w:val="0"/>
        <w:spacing w:line="600" w:lineRule="exact"/>
        <w:jc w:val="center"/>
        <w:rPr>
          <w:rFonts w:hint="eastAsia" w:ascii="宋体" w:hAnsi="宋体" w:eastAsia="宋体" w:cs="宋体"/>
          <w:b/>
          <w:bCs/>
          <w:color w:val="auto"/>
          <w:sz w:val="28"/>
          <w:szCs w:val="28"/>
          <w:highlight w:val="none"/>
        </w:rPr>
      </w:pPr>
    </w:p>
    <w:p>
      <w:pPr>
        <w:snapToGrid w:val="0"/>
        <w:spacing w:line="600" w:lineRule="exact"/>
        <w:jc w:val="center"/>
        <w:rPr>
          <w:rFonts w:hint="eastAsia" w:ascii="宋体" w:hAnsi="宋体" w:eastAsia="宋体" w:cs="宋体"/>
          <w:b/>
          <w:bCs/>
          <w:color w:val="auto"/>
          <w:sz w:val="28"/>
          <w:szCs w:val="28"/>
          <w:highlight w:val="none"/>
        </w:rPr>
      </w:pPr>
    </w:p>
    <w:p>
      <w:pPr>
        <w:snapToGrid w:val="0"/>
        <w:spacing w:line="60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二、最近一年度财务报表（复印件，新成立的公司提供相关说明）</w:t>
      </w:r>
    </w:p>
    <w:p>
      <w:pPr>
        <w:snapToGrid w:val="0"/>
        <w:spacing w:line="600" w:lineRule="exact"/>
        <w:jc w:val="center"/>
        <w:rPr>
          <w:rFonts w:hint="eastAsia" w:ascii="宋体" w:hAnsi="宋体" w:eastAsia="宋体" w:cs="宋体"/>
          <w:b/>
          <w:bCs/>
          <w:color w:val="auto"/>
          <w:sz w:val="28"/>
          <w:szCs w:val="28"/>
          <w:highlight w:val="none"/>
        </w:rPr>
      </w:pPr>
    </w:p>
    <w:p>
      <w:pPr>
        <w:snapToGrid w:val="0"/>
        <w:spacing w:line="600" w:lineRule="exact"/>
        <w:jc w:val="center"/>
        <w:rPr>
          <w:rFonts w:hint="eastAsia" w:ascii="宋体" w:hAnsi="宋体" w:eastAsia="宋体" w:cs="宋体"/>
          <w:b/>
          <w:bCs/>
          <w:color w:val="auto"/>
          <w:sz w:val="28"/>
          <w:szCs w:val="28"/>
          <w:highlight w:val="none"/>
        </w:rPr>
      </w:pPr>
    </w:p>
    <w:p>
      <w:pPr>
        <w:snapToGrid w:val="0"/>
        <w:spacing w:line="600" w:lineRule="exact"/>
        <w:jc w:val="center"/>
        <w:rPr>
          <w:rFonts w:hint="eastAsia" w:ascii="宋体" w:hAnsi="宋体" w:eastAsia="宋体" w:cs="宋体"/>
          <w:b/>
          <w:bCs/>
          <w:color w:val="auto"/>
          <w:sz w:val="28"/>
          <w:szCs w:val="28"/>
          <w:highlight w:val="none"/>
        </w:rPr>
      </w:pPr>
    </w:p>
    <w:p>
      <w:pPr>
        <w:snapToGrid w:val="0"/>
        <w:spacing w:line="600" w:lineRule="exact"/>
        <w:jc w:val="center"/>
        <w:rPr>
          <w:rFonts w:hint="eastAsia" w:ascii="宋体" w:hAnsi="宋体" w:eastAsia="宋体" w:cs="宋体"/>
          <w:b/>
          <w:bCs/>
          <w:color w:val="auto"/>
          <w:sz w:val="28"/>
          <w:szCs w:val="28"/>
          <w:highlight w:val="none"/>
        </w:rPr>
      </w:pPr>
      <w:bookmarkStart w:id="94" w:name="_Toc27119254"/>
      <w:bookmarkStart w:id="95" w:name="_Toc33194405"/>
      <w:r>
        <w:rPr>
          <w:rFonts w:hint="eastAsia" w:ascii="宋体" w:hAnsi="宋体" w:eastAsia="宋体" w:cs="宋体"/>
          <w:b/>
          <w:bCs/>
          <w:color w:val="auto"/>
          <w:sz w:val="28"/>
          <w:szCs w:val="28"/>
          <w:highlight w:val="none"/>
        </w:rPr>
        <w:t>三、具有履行合同所必需的场地、设备和专业技术能力的承诺函</w:t>
      </w:r>
      <w:bookmarkEnd w:id="94"/>
      <w:bookmarkEnd w:id="95"/>
    </w:p>
    <w:p>
      <w:pPr>
        <w:snapToGrid w:val="0"/>
        <w:spacing w:line="600" w:lineRule="exact"/>
        <w:jc w:val="center"/>
        <w:rPr>
          <w:rFonts w:hint="eastAsia" w:ascii="宋体" w:hAnsi="宋体" w:eastAsia="宋体" w:cs="宋体"/>
          <w:color w:val="auto"/>
          <w:sz w:val="24"/>
          <w:highlight w:val="none"/>
        </w:rPr>
      </w:pPr>
    </w:p>
    <w:p>
      <w:pPr>
        <w:snapToGrid w:val="0"/>
        <w:spacing w:line="600" w:lineRule="exact"/>
        <w:rPr>
          <w:rFonts w:hint="eastAsia" w:ascii="宋体" w:hAnsi="宋体" w:eastAsia="宋体" w:cs="宋体"/>
          <w:color w:val="auto"/>
          <w:sz w:val="24"/>
          <w:highlight w:val="none"/>
        </w:rPr>
      </w:pPr>
    </w:p>
    <w:p>
      <w:pPr>
        <w:shd w:val="clear" w:color="auto" w:fill="FFFFFF"/>
        <w:snapToGrid w:val="0"/>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杭州市余杭区人民政府余杭街道办事处</w:t>
      </w:r>
      <w:r>
        <w:rPr>
          <w:rFonts w:hint="eastAsia" w:ascii="宋体" w:hAnsi="宋体" w:eastAsia="宋体" w:cs="宋体"/>
          <w:color w:val="auto"/>
          <w:sz w:val="24"/>
          <w:highlight w:val="none"/>
        </w:rPr>
        <w:t>、杭州瑞拓工程咨询有限公司</w:t>
      </w:r>
      <w:r>
        <w:rPr>
          <w:rFonts w:hint="eastAsia" w:ascii="宋体" w:hAnsi="宋体" w:eastAsia="宋体" w:cs="宋体"/>
          <w:color w:val="auto"/>
          <w:kern w:val="0"/>
          <w:sz w:val="24"/>
          <w:highlight w:val="none"/>
        </w:rPr>
        <w:t>：</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我方</w:t>
      </w:r>
      <w:r>
        <w:rPr>
          <w:rFonts w:hint="eastAsia" w:ascii="宋体" w:hAnsi="宋体" w:eastAsia="宋体" w:cs="宋体"/>
          <w:color w:val="auto"/>
          <w:kern w:val="0"/>
          <w:sz w:val="24"/>
          <w:highlight w:val="none"/>
          <w:u w:val="single"/>
        </w:rPr>
        <w:t xml:space="preserve"> （供应商）</w:t>
      </w:r>
      <w:r>
        <w:rPr>
          <w:rFonts w:hint="eastAsia" w:ascii="宋体" w:hAnsi="宋体" w:eastAsia="宋体" w:cs="宋体"/>
          <w:color w:val="auto"/>
          <w:kern w:val="0"/>
          <w:sz w:val="24"/>
          <w:highlight w:val="none"/>
        </w:rPr>
        <w:t>承诺具有履行合同所必需的场地、设备和专业技术能力。如有虚假，采购人可取消我方任何资格（投标/中标/签订合同），我方对此无任何异议。</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特此承诺！</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供应商名称（盖章） ：</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法定代表人或</w:t>
      </w:r>
      <w:r>
        <w:rPr>
          <w:rFonts w:hint="eastAsia" w:ascii="宋体" w:hAnsi="宋体" w:eastAsia="宋体" w:cs="宋体"/>
          <w:color w:val="auto"/>
          <w:kern w:val="0"/>
          <w:sz w:val="24"/>
          <w:highlight w:val="none"/>
          <w:lang w:val="en-US" w:eastAsia="zh-CN"/>
        </w:rPr>
        <w:t>委托代理人</w:t>
      </w:r>
      <w:r>
        <w:rPr>
          <w:rFonts w:hint="eastAsia" w:ascii="宋体" w:hAnsi="宋体" w:eastAsia="宋体" w:cs="宋体"/>
          <w:color w:val="auto"/>
          <w:kern w:val="0"/>
          <w:sz w:val="24"/>
          <w:highlight w:val="none"/>
        </w:rPr>
        <w:t>（签字或盖章）：</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日期：     年  月  日</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p>
    <w:p>
      <w:pPr>
        <w:widowControl/>
        <w:snapToGrid w:val="0"/>
        <w:spacing w:line="600" w:lineRule="exact"/>
        <w:ind w:firstLine="480" w:firstLineChars="200"/>
        <w:jc w:val="left"/>
        <w:rPr>
          <w:rFonts w:hint="eastAsia" w:ascii="宋体" w:hAnsi="宋体" w:eastAsia="宋体" w:cs="宋体"/>
          <w:color w:val="auto"/>
          <w:kern w:val="0"/>
          <w:sz w:val="24"/>
          <w:highlight w:val="none"/>
        </w:rPr>
      </w:pPr>
    </w:p>
    <w:p>
      <w:pPr>
        <w:snapToGrid w:val="0"/>
        <w:spacing w:line="60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四、依法缴纳税收和社会保障资金的承诺函</w:t>
      </w:r>
    </w:p>
    <w:p>
      <w:pPr>
        <w:spacing w:line="600" w:lineRule="exact"/>
        <w:rPr>
          <w:rFonts w:hint="eastAsia" w:ascii="宋体" w:hAnsi="宋体" w:eastAsia="宋体" w:cs="宋体"/>
          <w:b/>
          <w:color w:val="auto"/>
          <w:kern w:val="0"/>
          <w:sz w:val="24"/>
          <w:highlight w:val="none"/>
          <w:u w:val="single"/>
        </w:rPr>
      </w:pPr>
    </w:p>
    <w:p>
      <w:pPr>
        <w:shd w:val="clear" w:color="auto" w:fill="FFFFFF"/>
        <w:snapToGrid w:val="0"/>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杭州市余杭区人民政府余杭街道办事处</w:t>
      </w:r>
      <w:r>
        <w:rPr>
          <w:rFonts w:hint="eastAsia" w:ascii="宋体" w:hAnsi="宋体" w:eastAsia="宋体" w:cs="宋体"/>
          <w:color w:val="auto"/>
          <w:sz w:val="24"/>
          <w:highlight w:val="none"/>
        </w:rPr>
        <w:t>、杭州瑞拓工程咨询有限公司</w:t>
      </w:r>
      <w:r>
        <w:rPr>
          <w:rFonts w:hint="eastAsia" w:ascii="宋体" w:hAnsi="宋体" w:eastAsia="宋体" w:cs="宋体"/>
          <w:color w:val="auto"/>
          <w:kern w:val="0"/>
          <w:sz w:val="24"/>
          <w:highlight w:val="none"/>
        </w:rPr>
        <w:t>：</w:t>
      </w:r>
    </w:p>
    <w:p>
      <w:pPr>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我公司郑重声明，我公司严格依法缴纳税收和社会保障资金，本文件中所提供的相关材料均真实有效，不存在虚假、造假行为。如有违反，愿承担一切责任。</w:t>
      </w:r>
    </w:p>
    <w:p>
      <w:pPr>
        <w:spacing w:line="600" w:lineRule="exact"/>
        <w:ind w:firstLine="480" w:firstLineChars="200"/>
        <w:rPr>
          <w:rFonts w:hint="eastAsia" w:ascii="宋体" w:hAnsi="宋体" w:eastAsia="宋体" w:cs="宋体"/>
          <w:color w:val="auto"/>
          <w:kern w:val="0"/>
          <w:sz w:val="24"/>
          <w:highlight w:val="none"/>
        </w:rPr>
      </w:pPr>
    </w:p>
    <w:p>
      <w:pPr>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特此承诺！</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供应商名称（盖章） ：</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法定代表人或</w:t>
      </w:r>
      <w:r>
        <w:rPr>
          <w:rFonts w:hint="eastAsia" w:ascii="宋体" w:hAnsi="宋体" w:eastAsia="宋体" w:cs="宋体"/>
          <w:color w:val="auto"/>
          <w:kern w:val="0"/>
          <w:sz w:val="24"/>
          <w:highlight w:val="none"/>
          <w:lang w:val="en-US" w:eastAsia="zh-CN"/>
        </w:rPr>
        <w:t>委托代理人</w:t>
      </w:r>
      <w:r>
        <w:rPr>
          <w:rFonts w:hint="eastAsia" w:ascii="宋体" w:hAnsi="宋体" w:eastAsia="宋体" w:cs="宋体"/>
          <w:color w:val="auto"/>
          <w:kern w:val="0"/>
          <w:sz w:val="24"/>
          <w:highlight w:val="none"/>
        </w:rPr>
        <w:t>（签字或盖章）：</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日期：     年  月  日</w:t>
      </w:r>
    </w:p>
    <w:p>
      <w:pPr>
        <w:pStyle w:val="5"/>
        <w:snapToGrid w:val="0"/>
        <w:spacing w:line="600" w:lineRule="exact"/>
        <w:rPr>
          <w:rFonts w:hint="eastAsia" w:ascii="宋体" w:hAnsi="宋体" w:eastAsia="宋体" w:cs="宋体"/>
          <w:bCs/>
          <w:color w:val="auto"/>
          <w:kern w:val="2"/>
          <w:sz w:val="28"/>
          <w:highlight w:val="none"/>
        </w:rPr>
        <w:sectPr>
          <w:pgSz w:w="11906" w:h="16838"/>
          <w:pgMar w:top="1531" w:right="1304" w:bottom="1531" w:left="1361" w:header="851" w:footer="1304" w:gutter="0"/>
          <w:paperSrc/>
          <w:pgBorders>
            <w:top w:val="none" w:sz="0" w:space="0"/>
            <w:left w:val="none" w:sz="0" w:space="0"/>
            <w:bottom w:val="none" w:sz="0" w:space="0"/>
            <w:right w:val="none" w:sz="0" w:space="0"/>
          </w:pgBorders>
          <w:cols w:space="720" w:num="1"/>
          <w:rtlGutter w:val="0"/>
          <w:docGrid w:linePitch="315" w:charSpace="0"/>
        </w:sectPr>
      </w:pPr>
      <w:bookmarkStart w:id="96" w:name="_Toc28957"/>
      <w:bookmarkStart w:id="97" w:name="_Toc18304"/>
      <w:bookmarkStart w:id="98" w:name="_Toc14988"/>
      <w:bookmarkStart w:id="99" w:name="_Toc33194406"/>
      <w:bookmarkStart w:id="100" w:name="_Toc14589"/>
      <w:bookmarkStart w:id="101" w:name="_Toc13669"/>
      <w:bookmarkStart w:id="102" w:name="_Toc31544"/>
      <w:bookmarkStart w:id="103" w:name="_Toc10630"/>
      <w:bookmarkStart w:id="104" w:name="_Toc31784"/>
      <w:bookmarkStart w:id="105" w:name="_Toc6606"/>
      <w:bookmarkStart w:id="106" w:name="_Toc11360"/>
      <w:bookmarkStart w:id="107" w:name="_Toc27119255"/>
    </w:p>
    <w:p>
      <w:pPr>
        <w:pStyle w:val="5"/>
        <w:snapToGrid w:val="0"/>
        <w:spacing w:line="600" w:lineRule="exact"/>
        <w:rPr>
          <w:rFonts w:hint="eastAsia" w:ascii="宋体" w:hAnsi="宋体" w:eastAsia="宋体" w:cs="宋体"/>
          <w:bCs/>
          <w:color w:val="auto"/>
          <w:kern w:val="2"/>
          <w:sz w:val="28"/>
          <w:highlight w:val="none"/>
        </w:rPr>
      </w:pPr>
      <w:r>
        <w:rPr>
          <w:rFonts w:hint="eastAsia" w:ascii="宋体" w:hAnsi="宋体" w:eastAsia="宋体" w:cs="宋体"/>
          <w:bCs/>
          <w:color w:val="auto"/>
          <w:kern w:val="2"/>
          <w:sz w:val="28"/>
          <w:highlight w:val="none"/>
        </w:rPr>
        <w:t>五、参加政府采购活动前3年内在经营活动中没有重大违法记录的声明函</w:t>
      </w:r>
      <w:bookmarkEnd w:id="96"/>
      <w:bookmarkEnd w:id="97"/>
      <w:bookmarkEnd w:id="98"/>
      <w:bookmarkEnd w:id="99"/>
      <w:bookmarkEnd w:id="100"/>
      <w:bookmarkEnd w:id="101"/>
      <w:bookmarkEnd w:id="102"/>
      <w:bookmarkEnd w:id="103"/>
      <w:bookmarkEnd w:id="104"/>
      <w:bookmarkEnd w:id="105"/>
      <w:bookmarkEnd w:id="106"/>
      <w:bookmarkEnd w:id="107"/>
    </w:p>
    <w:p>
      <w:pPr>
        <w:shd w:val="clear" w:color="auto" w:fill="FFFFFF"/>
        <w:snapToGrid w:val="0"/>
        <w:spacing w:line="600" w:lineRule="exact"/>
        <w:rPr>
          <w:rFonts w:hint="eastAsia" w:ascii="宋体" w:hAnsi="宋体" w:eastAsia="宋体" w:cs="宋体"/>
          <w:color w:val="auto"/>
          <w:sz w:val="24"/>
          <w:highlight w:val="none"/>
        </w:rPr>
      </w:pPr>
    </w:p>
    <w:p>
      <w:pPr>
        <w:shd w:val="clear" w:color="auto" w:fill="FFFFFF"/>
        <w:snapToGrid w:val="0"/>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杭州市余杭区人民政府余杭街道办事处</w:t>
      </w:r>
      <w:r>
        <w:rPr>
          <w:rFonts w:hint="eastAsia" w:ascii="宋体" w:hAnsi="宋体" w:eastAsia="宋体" w:cs="宋体"/>
          <w:color w:val="auto"/>
          <w:sz w:val="24"/>
          <w:highlight w:val="none"/>
        </w:rPr>
        <w:t>、杭州瑞拓工程咨询有限公司</w:t>
      </w:r>
      <w:r>
        <w:rPr>
          <w:rFonts w:hint="eastAsia" w:ascii="宋体" w:hAnsi="宋体" w:eastAsia="宋体" w:cs="宋体"/>
          <w:color w:val="auto"/>
          <w:kern w:val="0"/>
          <w:sz w:val="24"/>
          <w:highlight w:val="none"/>
        </w:rPr>
        <w:t>：</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我方</w:t>
      </w:r>
      <w:r>
        <w:rPr>
          <w:rFonts w:hint="eastAsia" w:ascii="宋体" w:hAnsi="宋体" w:eastAsia="宋体" w:cs="宋体"/>
          <w:color w:val="auto"/>
          <w:kern w:val="0"/>
          <w:sz w:val="24"/>
          <w:highlight w:val="none"/>
          <w:u w:val="single"/>
        </w:rPr>
        <w:t xml:space="preserve"> （供应商）</w:t>
      </w:r>
      <w:r>
        <w:rPr>
          <w:rFonts w:hint="eastAsia" w:ascii="宋体" w:hAnsi="宋体" w:eastAsia="宋体" w:cs="宋体"/>
          <w:color w:val="auto"/>
          <w:kern w:val="0"/>
          <w:sz w:val="24"/>
          <w:highlight w:val="none"/>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特此承诺！</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供应商名称（盖章） ：</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法定代表人或</w:t>
      </w:r>
      <w:r>
        <w:rPr>
          <w:rFonts w:hint="eastAsia" w:ascii="宋体" w:hAnsi="宋体" w:eastAsia="宋体" w:cs="宋体"/>
          <w:color w:val="auto"/>
          <w:kern w:val="0"/>
          <w:sz w:val="24"/>
          <w:highlight w:val="none"/>
          <w:lang w:val="en-US" w:eastAsia="zh-CN"/>
        </w:rPr>
        <w:t>委托代理人</w:t>
      </w:r>
      <w:r>
        <w:rPr>
          <w:rFonts w:hint="eastAsia" w:ascii="宋体" w:hAnsi="宋体" w:eastAsia="宋体" w:cs="宋体"/>
          <w:color w:val="auto"/>
          <w:kern w:val="0"/>
          <w:sz w:val="24"/>
          <w:highlight w:val="none"/>
        </w:rPr>
        <w:t>（签字或盖章）：</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日期：     年  月  日</w:t>
      </w:r>
    </w:p>
    <w:p>
      <w:pPr>
        <w:pStyle w:val="6"/>
        <w:numPr>
          <w:ilvl w:val="0"/>
          <w:numId w:val="0"/>
        </w:numPr>
        <w:tabs>
          <w:tab w:val="left" w:pos="1110"/>
        </w:tabs>
        <w:spacing w:line="600" w:lineRule="exact"/>
        <w:ind w:left="106" w:firstLine="454"/>
        <w:rPr>
          <w:rFonts w:hint="eastAsia" w:ascii="宋体" w:hAnsi="宋体" w:eastAsia="宋体" w:cs="宋体"/>
          <w:color w:val="auto"/>
          <w:sz w:val="24"/>
          <w:szCs w:val="24"/>
          <w:highlight w:val="none"/>
        </w:rPr>
      </w:pPr>
    </w:p>
    <w:p>
      <w:pPr>
        <w:rPr>
          <w:rFonts w:hint="eastAsia" w:ascii="宋体" w:hAnsi="宋体" w:eastAsia="宋体" w:cs="宋体"/>
          <w:color w:val="auto"/>
          <w:highlight w:val="none"/>
        </w:rPr>
        <w:sectPr>
          <w:pgSz w:w="11906" w:h="16838"/>
          <w:pgMar w:top="1531" w:right="1304" w:bottom="1531" w:left="1361" w:header="851" w:footer="1304" w:gutter="0"/>
          <w:paperSrc/>
          <w:pgBorders>
            <w:top w:val="none" w:sz="0" w:space="0"/>
            <w:left w:val="none" w:sz="0" w:space="0"/>
            <w:bottom w:val="none" w:sz="0" w:space="0"/>
            <w:right w:val="none" w:sz="0" w:space="0"/>
          </w:pgBorders>
          <w:cols w:space="720" w:num="1"/>
          <w:rtlGutter w:val="0"/>
          <w:docGrid w:linePitch="315" w:charSpace="0"/>
        </w:sectPr>
      </w:pPr>
    </w:p>
    <w:p>
      <w:pPr>
        <w:pStyle w:val="5"/>
        <w:snapToGrid w:val="0"/>
        <w:spacing w:line="600" w:lineRule="exact"/>
        <w:rPr>
          <w:rFonts w:hint="eastAsia" w:ascii="宋体" w:hAnsi="宋体" w:eastAsia="宋体" w:cs="宋体"/>
          <w:bCs/>
          <w:color w:val="auto"/>
          <w:kern w:val="2"/>
          <w:sz w:val="28"/>
          <w:highlight w:val="none"/>
        </w:rPr>
      </w:pPr>
      <w:r>
        <w:rPr>
          <w:rFonts w:hint="eastAsia" w:ascii="宋体" w:hAnsi="宋体" w:eastAsia="宋体" w:cs="宋体"/>
          <w:bCs/>
          <w:color w:val="auto"/>
          <w:kern w:val="2"/>
          <w:sz w:val="28"/>
          <w:highlight w:val="none"/>
        </w:rPr>
        <w:t>六、与参加本次项目同一合同项下政府采购活动的其他供应商不存在单位负责人为同一人或者直接控股、管理关系的承诺函</w:t>
      </w:r>
    </w:p>
    <w:p>
      <w:pPr>
        <w:shd w:val="clear" w:color="auto" w:fill="FFFFFF"/>
        <w:snapToGrid w:val="0"/>
        <w:spacing w:line="600" w:lineRule="exact"/>
        <w:rPr>
          <w:rFonts w:hint="eastAsia" w:ascii="宋体" w:hAnsi="宋体" w:eastAsia="宋体" w:cs="宋体"/>
          <w:color w:val="auto"/>
          <w:sz w:val="24"/>
          <w:highlight w:val="none"/>
        </w:rPr>
      </w:pPr>
    </w:p>
    <w:p>
      <w:pPr>
        <w:shd w:val="clear" w:color="auto" w:fill="FFFFFF"/>
        <w:snapToGrid w:val="0"/>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杭州市余杭区人民政府余杭街道办事处</w:t>
      </w:r>
      <w:r>
        <w:rPr>
          <w:rFonts w:hint="eastAsia" w:ascii="宋体" w:hAnsi="宋体" w:eastAsia="宋体" w:cs="宋体"/>
          <w:color w:val="auto"/>
          <w:sz w:val="24"/>
          <w:highlight w:val="none"/>
        </w:rPr>
        <w:t>、杭州瑞拓工程咨询有限公司</w:t>
      </w:r>
      <w:r>
        <w:rPr>
          <w:rFonts w:hint="eastAsia" w:ascii="宋体" w:hAnsi="宋体" w:eastAsia="宋体" w:cs="宋体"/>
          <w:color w:val="auto"/>
          <w:kern w:val="0"/>
          <w:sz w:val="24"/>
          <w:highlight w:val="none"/>
        </w:rPr>
        <w:t>：</w:t>
      </w:r>
    </w:p>
    <w:p>
      <w:pPr>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我方郑重承诺，我方此次参加</w:t>
      </w:r>
      <w:r>
        <w:rPr>
          <w:rFonts w:hint="eastAsia" w:ascii="宋体" w:hAnsi="宋体" w:eastAsia="宋体" w:cs="宋体"/>
          <w:color w:val="auto"/>
          <w:kern w:val="0"/>
          <w:sz w:val="24"/>
          <w:highlight w:val="none"/>
          <w:u w:val="single"/>
          <w:lang w:eastAsia="zh-CN"/>
        </w:rPr>
        <w:t>余杭街道城区道路交通设施零星维护服务项目</w:t>
      </w:r>
      <w:r>
        <w:rPr>
          <w:rFonts w:hint="eastAsia" w:ascii="宋体" w:hAnsi="宋体" w:eastAsia="宋体" w:cs="宋体"/>
          <w:color w:val="auto"/>
          <w:kern w:val="0"/>
          <w:sz w:val="24"/>
          <w:highlight w:val="none"/>
        </w:rPr>
        <w:t>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600" w:lineRule="exact"/>
        <w:jc w:val="center"/>
        <w:rPr>
          <w:rFonts w:hint="eastAsia" w:ascii="宋体" w:hAnsi="宋体" w:eastAsia="宋体" w:cs="宋体"/>
          <w:b/>
          <w:color w:val="auto"/>
          <w:kern w:val="36"/>
          <w:sz w:val="24"/>
          <w:highlight w:val="none"/>
        </w:rPr>
      </w:pP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特此承诺！</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供应商名称（盖章） ：</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法定代表人或</w:t>
      </w:r>
      <w:r>
        <w:rPr>
          <w:rFonts w:hint="eastAsia" w:ascii="宋体" w:hAnsi="宋体" w:eastAsia="宋体" w:cs="宋体"/>
          <w:color w:val="auto"/>
          <w:kern w:val="0"/>
          <w:sz w:val="24"/>
          <w:highlight w:val="none"/>
          <w:lang w:val="en-US" w:eastAsia="zh-CN"/>
        </w:rPr>
        <w:t>委托代理人</w:t>
      </w:r>
      <w:r>
        <w:rPr>
          <w:rFonts w:hint="eastAsia" w:ascii="宋体" w:hAnsi="宋体" w:eastAsia="宋体" w:cs="宋体"/>
          <w:color w:val="auto"/>
          <w:kern w:val="0"/>
          <w:sz w:val="24"/>
          <w:highlight w:val="none"/>
        </w:rPr>
        <w:t>（签字或盖章）：</w:t>
      </w:r>
    </w:p>
    <w:p>
      <w:pPr>
        <w:widowControl/>
        <w:adjustRightInd w:val="0"/>
        <w:snapToGrid w:val="0"/>
        <w:spacing w:line="600" w:lineRule="exact"/>
        <w:ind w:firstLine="480" w:firstLineChars="200"/>
        <w:jc w:val="left"/>
        <w:rPr>
          <w:rFonts w:hint="eastAsia" w:ascii="宋体" w:hAnsi="宋体" w:eastAsia="宋体" w:cs="宋体"/>
          <w:color w:val="auto"/>
          <w:kern w:val="0"/>
          <w:sz w:val="24"/>
          <w:highlight w:val="none"/>
        </w:rPr>
      </w:pPr>
    </w:p>
    <w:p>
      <w:pPr>
        <w:widowControl/>
        <w:adjustRightInd w:val="0"/>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日期：     年  月  日</w:t>
      </w:r>
    </w:p>
    <w:p>
      <w:pPr>
        <w:shd w:val="clear" w:color="auto" w:fill="FFFFFF"/>
        <w:snapToGrid w:val="0"/>
        <w:spacing w:line="600" w:lineRule="exact"/>
        <w:rPr>
          <w:rFonts w:hint="eastAsia" w:ascii="宋体" w:hAnsi="宋体" w:eastAsia="宋体" w:cs="宋体"/>
          <w:color w:val="auto"/>
          <w:sz w:val="24"/>
          <w:highlight w:val="none"/>
        </w:rPr>
      </w:pPr>
    </w:p>
    <w:p>
      <w:pPr>
        <w:shd w:val="clear" w:color="auto" w:fill="FFFFFF"/>
        <w:snapToGrid w:val="0"/>
        <w:spacing w:line="600" w:lineRule="exact"/>
        <w:jc w:val="center"/>
        <w:rPr>
          <w:rFonts w:hint="eastAsia" w:ascii="宋体" w:hAnsi="宋体" w:eastAsia="宋体" w:cs="宋体"/>
          <w:color w:val="auto"/>
          <w:sz w:val="24"/>
          <w:highlight w:val="none"/>
        </w:rPr>
      </w:pPr>
    </w:p>
    <w:p>
      <w:pPr>
        <w:spacing w:line="600" w:lineRule="exact"/>
        <w:jc w:val="center"/>
        <w:rPr>
          <w:rFonts w:hint="eastAsia" w:ascii="宋体" w:hAnsi="宋体" w:eastAsia="宋体" w:cs="宋体"/>
          <w:b/>
          <w:color w:val="auto"/>
          <w:kern w:val="0"/>
          <w:sz w:val="24"/>
          <w:highlight w:val="none"/>
        </w:rPr>
        <w:sectPr>
          <w:pgSz w:w="11906" w:h="16838"/>
          <w:pgMar w:top="1531" w:right="1304" w:bottom="1531" w:left="1361" w:header="851" w:footer="1304" w:gutter="0"/>
          <w:paperSrc/>
          <w:pgBorders>
            <w:top w:val="none" w:sz="0" w:space="0"/>
            <w:left w:val="none" w:sz="0" w:space="0"/>
            <w:bottom w:val="none" w:sz="0" w:space="0"/>
            <w:right w:val="none" w:sz="0" w:space="0"/>
          </w:pgBorders>
          <w:cols w:space="720" w:num="1"/>
          <w:rtlGutter w:val="0"/>
          <w:docGrid w:linePitch="315" w:charSpace="0"/>
        </w:sectPr>
      </w:pPr>
    </w:p>
    <w:p>
      <w:pPr>
        <w:pStyle w:val="5"/>
        <w:snapToGrid w:val="0"/>
        <w:spacing w:line="600" w:lineRule="exact"/>
        <w:rPr>
          <w:rFonts w:hint="eastAsia" w:ascii="宋体" w:hAnsi="宋体" w:eastAsia="宋体" w:cs="宋体"/>
          <w:bCs/>
          <w:color w:val="auto"/>
          <w:kern w:val="2"/>
          <w:sz w:val="28"/>
          <w:highlight w:val="none"/>
        </w:rPr>
      </w:pPr>
      <w:r>
        <w:rPr>
          <w:rFonts w:hint="eastAsia" w:ascii="宋体" w:hAnsi="宋体" w:eastAsia="宋体" w:cs="宋体"/>
          <w:bCs/>
          <w:color w:val="auto"/>
          <w:kern w:val="2"/>
          <w:sz w:val="28"/>
          <w:highlight w:val="none"/>
        </w:rPr>
        <w:t>七、投标供应商没有失信记录承诺函</w:t>
      </w:r>
    </w:p>
    <w:p>
      <w:pPr>
        <w:shd w:val="clear" w:color="auto" w:fill="FFFFFF"/>
        <w:snapToGrid w:val="0"/>
        <w:spacing w:line="600" w:lineRule="exact"/>
        <w:rPr>
          <w:rFonts w:hint="eastAsia" w:ascii="宋体" w:hAnsi="宋体" w:eastAsia="宋体" w:cs="宋体"/>
          <w:color w:val="auto"/>
          <w:sz w:val="24"/>
          <w:highlight w:val="none"/>
        </w:rPr>
      </w:pPr>
    </w:p>
    <w:p>
      <w:pPr>
        <w:shd w:val="clear" w:color="auto" w:fill="FFFFFF"/>
        <w:snapToGrid w:val="0"/>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杭州市余杭区人民政府余杭街道办事处</w:t>
      </w:r>
      <w:r>
        <w:rPr>
          <w:rFonts w:hint="eastAsia" w:ascii="宋体" w:hAnsi="宋体" w:eastAsia="宋体" w:cs="宋体"/>
          <w:color w:val="auto"/>
          <w:sz w:val="24"/>
          <w:highlight w:val="none"/>
        </w:rPr>
        <w:t>、杭州瑞拓工程咨询有限公司</w:t>
      </w:r>
      <w:r>
        <w:rPr>
          <w:rFonts w:hint="eastAsia" w:ascii="宋体" w:hAnsi="宋体" w:eastAsia="宋体" w:cs="宋体"/>
          <w:color w:val="auto"/>
          <w:kern w:val="0"/>
          <w:sz w:val="24"/>
          <w:highlight w:val="none"/>
        </w:rPr>
        <w:t>：</w:t>
      </w:r>
    </w:p>
    <w:p>
      <w:pPr>
        <w:spacing w:line="600" w:lineRule="exact"/>
        <w:ind w:firstLine="484" w:firstLineChars="202"/>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pPr>
        <w:shd w:val="clear" w:color="auto" w:fill="FFFFFF"/>
        <w:snapToGrid w:val="0"/>
        <w:spacing w:line="600" w:lineRule="exact"/>
        <w:rPr>
          <w:rFonts w:hint="eastAsia" w:ascii="宋体" w:hAnsi="宋体" w:eastAsia="宋体" w:cs="宋体"/>
          <w:color w:val="auto"/>
          <w:sz w:val="24"/>
          <w:highlight w:val="none"/>
        </w:rPr>
      </w:pP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特此承诺！</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供应商名称（盖章） ：</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法定代表人或</w:t>
      </w:r>
      <w:r>
        <w:rPr>
          <w:rFonts w:hint="eastAsia" w:ascii="宋体" w:hAnsi="宋体" w:eastAsia="宋体" w:cs="宋体"/>
          <w:color w:val="auto"/>
          <w:kern w:val="0"/>
          <w:sz w:val="24"/>
          <w:highlight w:val="none"/>
          <w:lang w:val="en-US" w:eastAsia="zh-CN"/>
        </w:rPr>
        <w:t>委托代理人</w:t>
      </w:r>
      <w:r>
        <w:rPr>
          <w:rFonts w:hint="eastAsia" w:ascii="宋体" w:hAnsi="宋体" w:eastAsia="宋体" w:cs="宋体"/>
          <w:color w:val="auto"/>
          <w:kern w:val="0"/>
          <w:sz w:val="24"/>
          <w:highlight w:val="none"/>
        </w:rPr>
        <w:t>（签字或盖章）：</w:t>
      </w:r>
    </w:p>
    <w:p>
      <w:pPr>
        <w:widowControl/>
        <w:adjustRightInd w:val="0"/>
        <w:snapToGrid w:val="0"/>
        <w:spacing w:line="600" w:lineRule="exact"/>
        <w:ind w:firstLine="480" w:firstLineChars="200"/>
        <w:jc w:val="left"/>
        <w:rPr>
          <w:rFonts w:hint="eastAsia" w:ascii="宋体" w:hAnsi="宋体" w:eastAsia="宋体" w:cs="宋体"/>
          <w:color w:val="auto"/>
          <w:kern w:val="0"/>
          <w:sz w:val="24"/>
          <w:highlight w:val="none"/>
        </w:rPr>
      </w:pPr>
    </w:p>
    <w:p>
      <w:pPr>
        <w:widowControl/>
        <w:adjustRightInd w:val="0"/>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日期：     年  月  日</w:t>
      </w:r>
    </w:p>
    <w:p>
      <w:pPr>
        <w:pStyle w:val="6"/>
        <w:numPr>
          <w:ilvl w:val="0"/>
          <w:numId w:val="0"/>
        </w:numPr>
        <w:tabs>
          <w:tab w:val="left" w:pos="1110"/>
        </w:tabs>
        <w:spacing w:line="600" w:lineRule="exact"/>
        <w:rPr>
          <w:rFonts w:hint="eastAsia" w:ascii="宋体" w:hAnsi="宋体" w:eastAsia="宋体" w:cs="宋体"/>
          <w:color w:val="auto"/>
          <w:sz w:val="24"/>
          <w:szCs w:val="24"/>
          <w:highlight w:val="none"/>
        </w:rPr>
      </w:pPr>
    </w:p>
    <w:p>
      <w:pPr>
        <w:pStyle w:val="6"/>
        <w:numPr>
          <w:ilvl w:val="0"/>
          <w:numId w:val="0"/>
        </w:numPr>
        <w:tabs>
          <w:tab w:val="left" w:pos="1110"/>
        </w:tabs>
        <w:spacing w:line="600" w:lineRule="exact"/>
        <w:ind w:left="560"/>
        <w:rPr>
          <w:rFonts w:hint="eastAsia" w:ascii="宋体" w:hAnsi="宋体" w:eastAsia="宋体" w:cs="宋体"/>
          <w:color w:val="auto"/>
          <w:sz w:val="24"/>
          <w:szCs w:val="24"/>
          <w:highlight w:val="none"/>
        </w:rPr>
      </w:pPr>
    </w:p>
    <w:p>
      <w:pPr>
        <w:shd w:val="clear" w:color="auto" w:fill="FFFFFF"/>
        <w:snapToGrid w:val="0"/>
        <w:spacing w:line="600" w:lineRule="exact"/>
        <w:jc w:val="center"/>
        <w:rPr>
          <w:rFonts w:hint="eastAsia" w:ascii="宋体" w:hAnsi="宋体" w:eastAsia="宋体" w:cs="宋体"/>
          <w:b/>
          <w:color w:val="auto"/>
          <w:kern w:val="0"/>
          <w:sz w:val="24"/>
          <w:highlight w:val="none"/>
        </w:rPr>
      </w:pPr>
    </w:p>
    <w:p>
      <w:pPr>
        <w:shd w:val="clear" w:color="auto" w:fill="FFFFFF"/>
        <w:snapToGrid w:val="0"/>
        <w:spacing w:line="600" w:lineRule="exact"/>
        <w:ind w:firstLine="480" w:firstLineChars="200"/>
        <w:rPr>
          <w:rFonts w:hint="eastAsia" w:ascii="宋体" w:hAnsi="宋体" w:eastAsia="宋体" w:cs="宋体"/>
          <w:color w:val="auto"/>
          <w:sz w:val="24"/>
          <w:highlight w:val="none"/>
        </w:rPr>
      </w:pPr>
    </w:p>
    <w:p>
      <w:pPr>
        <w:shd w:val="clear" w:color="auto" w:fill="FFFFFF"/>
        <w:snapToGrid w:val="0"/>
        <w:spacing w:line="600" w:lineRule="exact"/>
        <w:ind w:firstLine="480" w:firstLineChars="200"/>
        <w:rPr>
          <w:rFonts w:hint="eastAsia" w:ascii="宋体" w:hAnsi="宋体" w:eastAsia="宋体" w:cs="宋体"/>
          <w:color w:val="auto"/>
          <w:sz w:val="24"/>
          <w:highlight w:val="none"/>
        </w:rPr>
      </w:pPr>
    </w:p>
    <w:p>
      <w:pPr>
        <w:shd w:val="clear" w:color="auto" w:fill="FFFFFF"/>
        <w:snapToGrid w:val="0"/>
        <w:spacing w:line="600" w:lineRule="exact"/>
        <w:ind w:firstLine="480" w:firstLineChars="200"/>
        <w:rPr>
          <w:rFonts w:hint="eastAsia" w:ascii="宋体" w:hAnsi="宋体" w:eastAsia="宋体" w:cs="宋体"/>
          <w:color w:val="auto"/>
          <w:sz w:val="24"/>
          <w:highlight w:val="none"/>
        </w:rPr>
      </w:pPr>
    </w:p>
    <w:p>
      <w:pPr>
        <w:shd w:val="clear" w:color="auto" w:fill="FFFFFF"/>
        <w:snapToGrid w:val="0"/>
        <w:spacing w:line="600" w:lineRule="exact"/>
        <w:ind w:firstLine="480" w:firstLineChars="200"/>
        <w:rPr>
          <w:rFonts w:hint="eastAsia" w:ascii="宋体" w:hAnsi="宋体" w:eastAsia="宋体" w:cs="宋体"/>
          <w:color w:val="auto"/>
          <w:sz w:val="24"/>
          <w:highlight w:val="none"/>
        </w:rPr>
      </w:pPr>
    </w:p>
    <w:p>
      <w:pPr>
        <w:pStyle w:val="5"/>
        <w:snapToGrid w:val="0"/>
        <w:spacing w:line="600" w:lineRule="exact"/>
        <w:rPr>
          <w:rFonts w:hint="eastAsia" w:ascii="宋体" w:hAnsi="宋体" w:eastAsia="宋体" w:cs="宋体"/>
          <w:bCs/>
          <w:color w:val="auto"/>
          <w:kern w:val="2"/>
          <w:sz w:val="28"/>
          <w:highlight w:val="none"/>
        </w:rPr>
        <w:sectPr>
          <w:pgSz w:w="11906" w:h="16838"/>
          <w:pgMar w:top="1531" w:right="1304" w:bottom="1531" w:left="1361" w:header="851" w:footer="1304" w:gutter="0"/>
          <w:paperSrc/>
          <w:pgBorders>
            <w:top w:val="none" w:sz="0" w:space="0"/>
            <w:left w:val="none" w:sz="0" w:space="0"/>
            <w:bottom w:val="none" w:sz="0" w:space="0"/>
            <w:right w:val="none" w:sz="0" w:space="0"/>
          </w:pgBorders>
          <w:cols w:space="720" w:num="1"/>
          <w:rtlGutter w:val="0"/>
          <w:docGrid w:linePitch="315" w:charSpace="0"/>
        </w:sectPr>
      </w:pPr>
      <w:bookmarkStart w:id="108" w:name="_Toc33194407"/>
      <w:bookmarkStart w:id="109" w:name="_Toc354996707"/>
      <w:bookmarkStart w:id="110" w:name="_Toc233618989"/>
    </w:p>
    <w:p>
      <w:pPr>
        <w:spacing w:line="600" w:lineRule="exact"/>
        <w:jc w:val="center"/>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八、投标供应商不属于公益一类事业单位、使用事业编制且由财政拨款保障的群团组织的承诺函</w:t>
      </w:r>
    </w:p>
    <w:p>
      <w:pPr>
        <w:keepNext w:val="0"/>
        <w:keepLines w:val="0"/>
        <w:pageBreakBefore w:val="0"/>
        <w:shd w:val="clear" w:color="auto" w:fill="FFFFFF"/>
        <w:kinsoku/>
        <w:wordWrap/>
        <w:overflowPunct/>
        <w:topLinePunct w:val="0"/>
        <w:autoSpaceDE/>
        <w:autoSpaceDN/>
        <w:bidi w:val="0"/>
        <w:snapToGrid w:val="0"/>
        <w:spacing w:line="600" w:lineRule="exact"/>
        <w:textAlignment w:val="auto"/>
        <w:rPr>
          <w:rFonts w:hint="eastAsia" w:ascii="宋体" w:hAnsi="宋体" w:eastAsia="宋体" w:cs="宋体"/>
          <w:color w:val="auto"/>
          <w:sz w:val="24"/>
          <w:highlight w:val="none"/>
          <w:lang w:eastAsia="zh-CN"/>
        </w:rPr>
      </w:pPr>
    </w:p>
    <w:p>
      <w:pPr>
        <w:keepNext w:val="0"/>
        <w:keepLines w:val="0"/>
        <w:pageBreakBefore w:val="0"/>
        <w:shd w:val="clear" w:color="auto" w:fill="FFFFFF"/>
        <w:kinsoku/>
        <w:wordWrap/>
        <w:overflowPunct/>
        <w:topLinePunct w:val="0"/>
        <w:autoSpaceDE/>
        <w:autoSpaceDN/>
        <w:bidi w:val="0"/>
        <w:snapToGrid w:val="0"/>
        <w:spacing w:line="60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杭州市余杭区人民政府余杭街道办事处</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杭州瑞拓工程咨询有限公司</w:t>
      </w:r>
      <w:r>
        <w:rPr>
          <w:rFonts w:hint="eastAsia" w:ascii="宋体" w:hAnsi="宋体" w:eastAsia="宋体" w:cs="宋体"/>
          <w:color w:val="auto"/>
          <w:kern w:val="0"/>
          <w:sz w:val="24"/>
          <w:highlight w:val="none"/>
        </w:rPr>
        <w:t>：</w:t>
      </w:r>
    </w:p>
    <w:p>
      <w:pPr>
        <w:keepNext w:val="0"/>
        <w:keepLines w:val="0"/>
        <w:pageBreakBefore w:val="0"/>
        <w:kinsoku/>
        <w:wordWrap/>
        <w:overflowPunct/>
        <w:topLinePunct w:val="0"/>
        <w:autoSpaceDE/>
        <w:autoSpaceDN/>
        <w:bidi w:val="0"/>
        <w:spacing w:line="60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我方郑重承诺，我单位不属于公益一类事业单位、使用事业编制且由财政拨款保障的群团组织</w:t>
      </w:r>
      <w:r>
        <w:rPr>
          <w:rFonts w:hint="eastAsia" w:ascii="宋体" w:hAnsi="宋体" w:eastAsia="宋体" w:cs="宋体"/>
          <w:color w:val="auto"/>
          <w:spacing w:val="-6"/>
          <w:kern w:val="0"/>
          <w:sz w:val="24"/>
          <w:highlight w:val="none"/>
        </w:rPr>
        <w:t>，可承接</w:t>
      </w:r>
      <w:r>
        <w:rPr>
          <w:rFonts w:hint="eastAsia" w:ascii="宋体" w:hAnsi="宋体" w:eastAsia="宋体" w:cs="宋体"/>
          <w:color w:val="auto"/>
          <w:kern w:val="0"/>
          <w:sz w:val="24"/>
          <w:highlight w:val="none"/>
          <w:lang w:eastAsia="zh-CN"/>
        </w:rPr>
        <w:t>杭州市余杭区人民政府余杭街道办事处</w:t>
      </w:r>
      <w:r>
        <w:rPr>
          <w:rFonts w:hint="eastAsia" w:ascii="宋体" w:hAnsi="宋体" w:eastAsia="宋体" w:cs="宋体"/>
          <w:color w:val="auto"/>
          <w:kern w:val="0"/>
          <w:sz w:val="24"/>
          <w:highlight w:val="none"/>
          <w:u w:val="single"/>
          <w:lang w:eastAsia="zh-CN"/>
        </w:rPr>
        <w:t>余杭街道城区道路交通设施零星维护服务项目</w:t>
      </w:r>
      <w:r>
        <w:rPr>
          <w:rFonts w:hint="eastAsia" w:ascii="宋体" w:hAnsi="宋体" w:eastAsia="宋体" w:cs="宋体"/>
          <w:color w:val="auto"/>
          <w:kern w:val="0"/>
          <w:sz w:val="24"/>
          <w:highlight w:val="none"/>
        </w:rPr>
        <w:t>的相关服务内容。如有虚假或隐瞒，愿意承担一切后果。</w:t>
      </w:r>
    </w:p>
    <w:p>
      <w:pPr>
        <w:keepNext w:val="0"/>
        <w:keepLines w:val="0"/>
        <w:pageBreakBefore w:val="0"/>
        <w:shd w:val="clear" w:color="auto" w:fill="FFFFFF"/>
        <w:kinsoku/>
        <w:wordWrap/>
        <w:overflowPunct/>
        <w:topLinePunct w:val="0"/>
        <w:autoSpaceDE/>
        <w:autoSpaceDN/>
        <w:bidi w:val="0"/>
        <w:snapToGrid w:val="0"/>
        <w:spacing w:line="600" w:lineRule="exact"/>
        <w:jc w:val="center"/>
        <w:textAlignment w:val="auto"/>
        <w:rPr>
          <w:rFonts w:hint="eastAsia" w:ascii="宋体" w:hAnsi="宋体" w:eastAsia="宋体" w:cs="宋体"/>
          <w:b/>
          <w:color w:val="auto"/>
          <w:kern w:val="36"/>
          <w:sz w:val="24"/>
          <w:highlight w:val="none"/>
        </w:rPr>
      </w:pPr>
    </w:p>
    <w:p>
      <w:pPr>
        <w:keepNext w:val="0"/>
        <w:keepLines w:val="0"/>
        <w:pageBreakBefore w:val="0"/>
        <w:widowControl/>
        <w:kinsoku/>
        <w:wordWrap/>
        <w:overflowPunct/>
        <w:topLinePunct w:val="0"/>
        <w:autoSpaceDE/>
        <w:autoSpaceDN/>
        <w:bidi w:val="0"/>
        <w:snapToGrid w:val="0"/>
        <w:spacing w:line="600" w:lineRule="exact"/>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特此承诺！</w:t>
      </w:r>
    </w:p>
    <w:p>
      <w:pPr>
        <w:keepNext w:val="0"/>
        <w:keepLines w:val="0"/>
        <w:pageBreakBefore w:val="0"/>
        <w:widowControl/>
        <w:kinsoku/>
        <w:wordWrap/>
        <w:overflowPunct/>
        <w:topLinePunct w:val="0"/>
        <w:autoSpaceDE/>
        <w:autoSpaceDN/>
        <w:bidi w:val="0"/>
        <w:snapToGrid w:val="0"/>
        <w:spacing w:line="600" w:lineRule="exact"/>
        <w:ind w:firstLine="480" w:firstLineChars="200"/>
        <w:jc w:val="left"/>
        <w:textAlignment w:val="auto"/>
        <w:rPr>
          <w:rFonts w:hint="eastAsia" w:ascii="宋体" w:hAnsi="宋体" w:eastAsia="宋体" w:cs="宋体"/>
          <w:color w:val="auto"/>
          <w:kern w:val="0"/>
          <w:sz w:val="24"/>
          <w:highlight w:val="none"/>
        </w:rPr>
      </w:pPr>
    </w:p>
    <w:p>
      <w:pPr>
        <w:keepNext w:val="0"/>
        <w:keepLines w:val="0"/>
        <w:pageBreakBefore w:val="0"/>
        <w:widowControl/>
        <w:kinsoku/>
        <w:wordWrap/>
        <w:overflowPunct/>
        <w:topLinePunct w:val="0"/>
        <w:autoSpaceDE/>
        <w:autoSpaceDN/>
        <w:bidi w:val="0"/>
        <w:snapToGrid w:val="0"/>
        <w:spacing w:line="600" w:lineRule="exact"/>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供应商名称（盖章） ：</w:t>
      </w:r>
    </w:p>
    <w:p>
      <w:pPr>
        <w:keepNext w:val="0"/>
        <w:keepLines w:val="0"/>
        <w:pageBreakBefore w:val="0"/>
        <w:widowControl/>
        <w:kinsoku/>
        <w:wordWrap/>
        <w:overflowPunct/>
        <w:topLinePunct w:val="0"/>
        <w:autoSpaceDE/>
        <w:autoSpaceDN/>
        <w:bidi w:val="0"/>
        <w:snapToGrid w:val="0"/>
        <w:spacing w:line="600" w:lineRule="exact"/>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法定代表人或</w:t>
      </w:r>
      <w:r>
        <w:rPr>
          <w:rFonts w:hint="eastAsia" w:ascii="宋体" w:hAnsi="宋体" w:eastAsia="宋体" w:cs="宋体"/>
          <w:color w:val="auto"/>
          <w:kern w:val="0"/>
          <w:sz w:val="24"/>
          <w:highlight w:val="none"/>
          <w:lang w:val="en-US" w:eastAsia="zh-CN"/>
        </w:rPr>
        <w:t>委托代理人</w:t>
      </w:r>
      <w:r>
        <w:rPr>
          <w:rFonts w:hint="eastAsia" w:ascii="宋体" w:hAnsi="宋体" w:eastAsia="宋体" w:cs="宋体"/>
          <w:color w:val="auto"/>
          <w:kern w:val="0"/>
          <w:sz w:val="24"/>
          <w:highlight w:val="none"/>
        </w:rPr>
        <w:t>（签字或盖章）：</w:t>
      </w:r>
    </w:p>
    <w:p>
      <w:pPr>
        <w:keepNext w:val="0"/>
        <w:keepLines w:val="0"/>
        <w:pageBreakBefore w:val="0"/>
        <w:widowControl/>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color w:val="auto"/>
          <w:kern w:val="0"/>
          <w:sz w:val="24"/>
          <w:highlight w:val="none"/>
        </w:rPr>
      </w:pPr>
    </w:p>
    <w:p>
      <w:pPr>
        <w:pStyle w:val="5"/>
        <w:snapToGrid w:val="0"/>
        <w:spacing w:line="600" w:lineRule="exact"/>
        <w:rPr>
          <w:rFonts w:hint="eastAsia" w:ascii="宋体" w:hAnsi="宋体" w:eastAsia="宋体" w:cs="宋体"/>
          <w:bCs/>
          <w:color w:val="auto"/>
          <w:kern w:val="2"/>
          <w:sz w:val="28"/>
          <w:highlight w:val="none"/>
        </w:rPr>
        <w:sectPr>
          <w:pgSz w:w="11906" w:h="16838"/>
          <w:pgMar w:top="1531" w:right="1304" w:bottom="1531" w:left="1361" w:header="851" w:footer="1304" w:gutter="0"/>
          <w:paperSrc/>
          <w:pgBorders>
            <w:top w:val="none" w:sz="0" w:space="0"/>
            <w:left w:val="none" w:sz="0" w:space="0"/>
            <w:bottom w:val="none" w:sz="0" w:space="0"/>
            <w:right w:val="none" w:sz="0" w:space="0"/>
          </w:pgBorders>
          <w:cols w:space="720" w:num="1"/>
          <w:rtlGutter w:val="0"/>
          <w:docGrid w:linePitch="315" w:charSpace="0"/>
        </w:sectPr>
      </w:pPr>
      <w:r>
        <w:rPr>
          <w:rFonts w:hint="eastAsia" w:ascii="宋体" w:hAnsi="宋体" w:eastAsia="宋体" w:cs="宋体"/>
          <w:color w:val="auto"/>
          <w:kern w:val="0"/>
          <w:sz w:val="24"/>
          <w:highlight w:val="none"/>
        </w:rPr>
        <w:t>日期：     年  月  日</w:t>
      </w:r>
    </w:p>
    <w:p>
      <w:pPr>
        <w:pStyle w:val="5"/>
        <w:snapToGrid w:val="0"/>
        <w:spacing w:line="600" w:lineRule="exact"/>
        <w:rPr>
          <w:rFonts w:hint="eastAsia" w:ascii="宋体" w:hAnsi="宋体" w:eastAsia="宋体" w:cs="宋体"/>
          <w:bCs/>
          <w:color w:val="auto"/>
          <w:kern w:val="2"/>
          <w:sz w:val="28"/>
          <w:highlight w:val="none"/>
        </w:rPr>
      </w:pPr>
      <w:r>
        <w:rPr>
          <w:rFonts w:hint="eastAsia" w:ascii="宋体" w:hAnsi="宋体" w:eastAsia="宋体" w:cs="宋体"/>
          <w:bCs/>
          <w:color w:val="auto"/>
          <w:kern w:val="2"/>
          <w:sz w:val="28"/>
          <w:highlight w:val="none"/>
        </w:rPr>
        <w:t>报价文件</w:t>
      </w:r>
      <w:bookmarkEnd w:id="108"/>
      <w:bookmarkEnd w:id="109"/>
    </w:p>
    <w:p>
      <w:pPr>
        <w:shd w:val="clear" w:color="auto" w:fill="FFFFFF"/>
        <w:snapToGrid w:val="0"/>
        <w:spacing w:line="600" w:lineRule="exact"/>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 </w:t>
      </w:r>
    </w:p>
    <w:p>
      <w:pPr>
        <w:shd w:val="clear" w:color="auto" w:fill="FFFFFF"/>
        <w:snapToGrid w:val="0"/>
        <w:spacing w:line="600" w:lineRule="exact"/>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目录</w:t>
      </w:r>
    </w:p>
    <w:p>
      <w:pPr>
        <w:shd w:val="clear" w:color="auto" w:fill="FFFFFF"/>
        <w:snapToGrid w:val="0"/>
        <w:spacing w:line="60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（1）投标响应函…………………………………………………………………（页码）</w:t>
      </w:r>
    </w:p>
    <w:p>
      <w:pPr>
        <w:shd w:val="clear" w:color="auto" w:fill="FFFFFF"/>
        <w:snapToGrid w:val="0"/>
        <w:spacing w:line="60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（2）开标一览表…………………………………………………………………（页码）</w:t>
      </w:r>
    </w:p>
    <w:p>
      <w:pPr>
        <w:shd w:val="clear" w:color="auto" w:fill="FFFFFF"/>
        <w:snapToGrid w:val="0"/>
        <w:spacing w:line="60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（3）中小企业声明函、监狱企业、残疾人福利性单位及其他相关的充分的证明材料…………………………………………………………………………………（页码）</w:t>
      </w:r>
    </w:p>
    <w:p>
      <w:pPr>
        <w:pStyle w:val="5"/>
        <w:snapToGrid w:val="0"/>
        <w:spacing w:line="600" w:lineRule="exact"/>
        <w:rPr>
          <w:rFonts w:hint="eastAsia" w:ascii="宋体" w:hAnsi="宋体" w:eastAsia="宋体" w:cs="宋体"/>
          <w:bCs/>
          <w:color w:val="auto"/>
          <w:kern w:val="2"/>
          <w:sz w:val="28"/>
          <w:highlight w:val="none"/>
        </w:rPr>
        <w:sectPr>
          <w:pgSz w:w="11906" w:h="16838"/>
          <w:pgMar w:top="1531" w:right="1304" w:bottom="1531" w:left="1361" w:header="851" w:footer="1304" w:gutter="0"/>
          <w:paperSrc/>
          <w:pgBorders>
            <w:top w:val="none" w:sz="0" w:space="0"/>
            <w:left w:val="none" w:sz="0" w:space="0"/>
            <w:bottom w:val="none" w:sz="0" w:space="0"/>
            <w:right w:val="none" w:sz="0" w:space="0"/>
          </w:pgBorders>
          <w:cols w:space="720" w:num="1"/>
          <w:rtlGutter w:val="0"/>
          <w:docGrid w:linePitch="315" w:charSpace="0"/>
        </w:sectPr>
      </w:pPr>
      <w:bookmarkStart w:id="111" w:name="_Toc233618990"/>
    </w:p>
    <w:p>
      <w:pPr>
        <w:pStyle w:val="5"/>
        <w:snapToGrid w:val="0"/>
        <w:spacing w:line="600" w:lineRule="exact"/>
        <w:rPr>
          <w:rFonts w:hint="eastAsia" w:ascii="宋体" w:hAnsi="宋体" w:eastAsia="宋体" w:cs="宋体"/>
          <w:bCs/>
          <w:color w:val="auto"/>
          <w:kern w:val="2"/>
          <w:sz w:val="28"/>
          <w:highlight w:val="none"/>
        </w:rPr>
      </w:pPr>
      <w:r>
        <w:rPr>
          <w:rFonts w:hint="eastAsia" w:ascii="宋体" w:hAnsi="宋体" w:eastAsia="宋体" w:cs="宋体"/>
          <w:bCs/>
          <w:color w:val="auto"/>
          <w:kern w:val="2"/>
          <w:sz w:val="28"/>
          <w:highlight w:val="none"/>
        </w:rPr>
        <w:t>一、投标响应函</w:t>
      </w:r>
      <w:bookmarkEnd w:id="111"/>
    </w:p>
    <w:p>
      <w:pPr>
        <w:shd w:val="clear" w:color="auto" w:fill="FFFFFF"/>
        <w:snapToGrid w:val="0"/>
        <w:spacing w:line="600" w:lineRule="exac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杭州市余杭区人民政府余杭街道办事处</w:t>
      </w:r>
    </w:p>
    <w:p>
      <w:pPr>
        <w:shd w:val="clear" w:color="auto" w:fill="FFFFFF"/>
        <w:snapToGrid w:val="0"/>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杭州瑞拓工程咨询有限公司：</w:t>
      </w:r>
    </w:p>
    <w:p>
      <w:pPr>
        <w:shd w:val="clear" w:color="auto" w:fill="FFFFFF"/>
        <w:snapToGrid w:val="0"/>
        <w:spacing w:line="600" w:lineRule="exact"/>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(投标人全称)授权</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(全权代表姓名)</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(职务、职称)为全权代表，参加贵方组织的</w:t>
      </w:r>
      <w:r>
        <w:rPr>
          <w:rFonts w:hint="eastAsia" w:ascii="宋体" w:hAnsi="宋体" w:eastAsia="宋体" w:cs="宋体"/>
          <w:color w:val="auto"/>
          <w:sz w:val="24"/>
          <w:highlight w:val="none"/>
          <w:u w:val="single"/>
          <w:lang w:eastAsia="zh-CN"/>
        </w:rPr>
        <w:t>余杭街道城区道路交通设施零星维护服务项目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RTZFCG-2021-</w:t>
      </w: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lang w:val="zh-CN"/>
        </w:rPr>
        <w:t>)</w:t>
      </w:r>
      <w:r>
        <w:rPr>
          <w:rFonts w:hint="eastAsia" w:ascii="宋体" w:hAnsi="宋体" w:eastAsia="宋体" w:cs="宋体"/>
          <w:color w:val="auto"/>
          <w:sz w:val="24"/>
          <w:highlight w:val="none"/>
        </w:rPr>
        <w:t>招标的有关活动，并对此项目进行投标。为此：</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1、我方同意在投标人</w:t>
      </w:r>
      <w:r>
        <w:rPr>
          <w:rFonts w:hint="eastAsia" w:ascii="宋体" w:hAnsi="宋体" w:eastAsia="宋体" w:cs="宋体"/>
          <w:color w:val="auto"/>
          <w:kern w:val="44"/>
          <w:sz w:val="24"/>
          <w:highlight w:val="none"/>
        </w:rPr>
        <w:t>编制和提交投标文件须知</w:t>
      </w:r>
      <w:r>
        <w:rPr>
          <w:rFonts w:hint="eastAsia" w:ascii="宋体" w:hAnsi="宋体" w:eastAsia="宋体" w:cs="宋体"/>
          <w:color w:val="auto"/>
          <w:sz w:val="24"/>
          <w:highlight w:val="none"/>
        </w:rPr>
        <w:t>规定的开标日期起遵守本投标书中的承诺且在投标有效期满之前均具有约束力。</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2、我方承诺已经具备《中华人民共和国政府采购法》中规定的参加政府采购活动的供应商应当具备的条件：</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(2)遵守国家法律、行政法规，具有良好的信誉和商业道德；</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(3)具有履行合同的能力和良好的履行合同记录；</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(4)良好的资金、财务状况；</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(5)提供的产品和服务符合中国政府规定的相应标准和环保标准；</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(6)没有违反政府采购法规、政策的记录；</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(7)没有发生重大经济纠纷和走私犯罪记录。</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3、提供</w:t>
      </w:r>
      <w:r>
        <w:rPr>
          <w:rFonts w:hint="eastAsia" w:ascii="宋体" w:hAnsi="宋体" w:eastAsia="宋体" w:cs="宋体"/>
          <w:color w:val="auto"/>
          <w:kern w:val="44"/>
          <w:sz w:val="24"/>
          <w:highlight w:val="none"/>
        </w:rPr>
        <w:t>编制和提交投标文件须知</w:t>
      </w:r>
      <w:r>
        <w:rPr>
          <w:rFonts w:hint="eastAsia" w:ascii="宋体" w:hAnsi="宋体" w:eastAsia="宋体" w:cs="宋体"/>
          <w:color w:val="auto"/>
          <w:sz w:val="24"/>
          <w:highlight w:val="none"/>
        </w:rPr>
        <w:t>规定的全部投标文件，包括资格文件、报价文件、商务技术文件。具体内容为：</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(1)资格文件</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(2)报价文件；</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val="zh-CN"/>
        </w:rPr>
        <w:t>商务</w:t>
      </w:r>
      <w:r>
        <w:rPr>
          <w:rFonts w:hint="eastAsia" w:ascii="宋体" w:hAnsi="宋体" w:eastAsia="宋体" w:cs="宋体"/>
          <w:color w:val="auto"/>
          <w:kern w:val="0"/>
          <w:sz w:val="24"/>
          <w:highlight w:val="none"/>
          <w:lang w:val="zh-CN"/>
        </w:rPr>
        <w:t>技术文件</w:t>
      </w:r>
      <w:r>
        <w:rPr>
          <w:rFonts w:hint="eastAsia" w:ascii="宋体" w:hAnsi="宋体" w:eastAsia="宋体" w:cs="宋体"/>
          <w:color w:val="auto"/>
          <w:sz w:val="24"/>
          <w:highlight w:val="none"/>
        </w:rPr>
        <w:t>；</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kern w:val="44"/>
          <w:sz w:val="24"/>
          <w:highlight w:val="none"/>
        </w:rPr>
        <w:t>编制和提交投标文件须知</w:t>
      </w:r>
      <w:r>
        <w:rPr>
          <w:rFonts w:hint="eastAsia" w:ascii="宋体" w:hAnsi="宋体" w:eastAsia="宋体" w:cs="宋体"/>
          <w:color w:val="auto"/>
          <w:sz w:val="24"/>
          <w:highlight w:val="none"/>
        </w:rPr>
        <w:t>要求投标人提交的全部文件；</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(5)按招标文件要求提供和交付的货物和服务的投标报价详见开标一览表；</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(6)保证忠实地执行双方所签订的合同，并承担合同规定的责任和义务；</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(7)保证遵守招标文件中的其他有关规定。</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4、投标有效期内不撤销投标文件；强行撤销的，承诺按本项目预算金额的2%赔偿对招标代理机构造成的损失。</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5、我方完全理解贵方不一定要接受最低价的投标。</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7、如中标，按招标文件规定的招标代理服务费标准，承诺在签订合同前向招标代理机构支付招标代理服务费。</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8、我方愿意向贵方提供任何与该项投标有关的数据、情况和服务资料。若贵方需要，我方愿意提供我方作出的一切承诺的证明材料。</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(1)提供虚假材料谋取中标、成交的；</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(2)采取不正当手段诋毁、排挤其他供应商的；</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(3)与采购人、其它供应商或者招标代理机构恶意串通的；</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(4)向采购人、招标代理机构行贿或者提供其他不正当利益的；</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(5)在招标采购过程中与采购人进行协商谈判的；</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(6)拒绝有关部门监督检查或提供虚假情况的。</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供应商有前款第(1)至(5)项情形之一的，中标、成交无效。</w:t>
      </w:r>
    </w:p>
    <w:p>
      <w:pPr>
        <w:shd w:val="clear" w:color="auto" w:fill="FFFFFF"/>
        <w:snapToGrid w:val="0"/>
        <w:spacing w:line="600" w:lineRule="exact"/>
        <w:rPr>
          <w:rFonts w:hint="eastAsia" w:ascii="宋体" w:hAnsi="宋体" w:eastAsia="宋体" w:cs="宋体"/>
          <w:color w:val="auto"/>
          <w:kern w:val="0"/>
          <w:sz w:val="24"/>
          <w:highlight w:val="none"/>
          <w:lang w:val="zh-CN"/>
        </w:rPr>
      </w:pPr>
    </w:p>
    <w:p>
      <w:pPr>
        <w:shd w:val="clear" w:color="auto" w:fill="FFFFFF"/>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法定（授权）代表人（签字）：</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rPr>
        <w:tab/>
      </w:r>
    </w:p>
    <w:p>
      <w:pPr>
        <w:shd w:val="clear" w:color="auto" w:fill="FFFFFF"/>
        <w:snapToGrid w:val="0"/>
        <w:spacing w:line="600" w:lineRule="exact"/>
        <w:ind w:firstLine="480" w:firstLineChars="200"/>
        <w:rPr>
          <w:rFonts w:hint="eastAsia" w:ascii="宋体" w:hAnsi="宋体" w:eastAsia="宋体" w:cs="宋体"/>
          <w:color w:val="auto"/>
          <w:kern w:val="0"/>
          <w:sz w:val="24"/>
          <w:highlight w:val="none"/>
          <w:u w:val="single"/>
          <w:lang w:val="zh-CN"/>
        </w:rPr>
      </w:pPr>
      <w:r>
        <w:rPr>
          <w:rFonts w:hint="eastAsia" w:ascii="宋体" w:hAnsi="宋体" w:eastAsia="宋体" w:cs="宋体"/>
          <w:color w:val="auto"/>
          <w:kern w:val="0"/>
          <w:sz w:val="24"/>
          <w:highlight w:val="none"/>
          <w:lang w:val="zh-CN"/>
        </w:rPr>
        <w:t>投标人盖 章：</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rPr>
        <w:tab/>
      </w:r>
      <w:r>
        <w:rPr>
          <w:rFonts w:hint="eastAsia" w:ascii="宋体" w:hAnsi="宋体" w:eastAsia="宋体" w:cs="宋体"/>
          <w:color w:val="auto"/>
          <w:kern w:val="0"/>
          <w:sz w:val="24"/>
          <w:highlight w:val="none"/>
          <w:u w:val="single"/>
          <w:lang w:val="zh-CN"/>
        </w:rPr>
        <w:t xml:space="preserve">                      </w:t>
      </w:r>
    </w:p>
    <w:p>
      <w:pPr>
        <w:shd w:val="clear" w:color="auto" w:fill="FFFFFF"/>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联系电话： </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 xml:space="preserve">传真：  </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 xml:space="preserve">电子邮件：  </w:t>
      </w:r>
      <w:r>
        <w:rPr>
          <w:rFonts w:hint="eastAsia" w:ascii="宋体" w:hAnsi="宋体" w:eastAsia="宋体" w:cs="宋体"/>
          <w:color w:val="auto"/>
          <w:kern w:val="0"/>
          <w:sz w:val="24"/>
          <w:highlight w:val="none"/>
          <w:u w:val="single"/>
          <w:lang w:val="zh-CN"/>
        </w:rPr>
        <w:t xml:space="preserve">              </w:t>
      </w:r>
    </w:p>
    <w:p>
      <w:pPr>
        <w:shd w:val="clear" w:color="auto" w:fill="FFFFFF"/>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联系地址：</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rPr>
        <w:tab/>
      </w:r>
      <w:r>
        <w:rPr>
          <w:rFonts w:hint="eastAsia" w:ascii="宋体" w:hAnsi="宋体" w:eastAsia="宋体" w:cs="宋体"/>
          <w:color w:val="auto"/>
          <w:kern w:val="0"/>
          <w:sz w:val="24"/>
          <w:highlight w:val="none"/>
          <w:u w:val="single"/>
          <w:lang w:val="zh-CN"/>
        </w:rPr>
        <w:t xml:space="preserve">                                                    </w:t>
      </w:r>
    </w:p>
    <w:p>
      <w:pPr>
        <w:shd w:val="clear" w:color="auto" w:fill="FFFFFF"/>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邮政编码：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传真号码：</w:t>
      </w:r>
      <w:r>
        <w:rPr>
          <w:rFonts w:hint="eastAsia" w:ascii="宋体" w:hAnsi="宋体" w:eastAsia="宋体" w:cs="宋体"/>
          <w:color w:val="auto"/>
          <w:kern w:val="0"/>
          <w:sz w:val="24"/>
          <w:highlight w:val="none"/>
          <w:u w:val="single"/>
          <w:lang w:val="zh-CN"/>
        </w:rPr>
        <w:t xml:space="preserve">                     </w:t>
      </w:r>
    </w:p>
    <w:p>
      <w:pPr>
        <w:shd w:val="clear" w:color="auto" w:fill="FFFFFF"/>
        <w:snapToGrid w:val="0"/>
        <w:spacing w:line="600" w:lineRule="exact"/>
        <w:ind w:firstLine="480" w:firstLineChars="200"/>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lang w:val="zh-CN"/>
        </w:rPr>
        <w:t>日</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期</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rPr>
        <w:tab/>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日</w:t>
      </w:r>
    </w:p>
    <w:p>
      <w:pPr>
        <w:shd w:val="clear" w:color="auto" w:fill="FFFFFF"/>
        <w:snapToGrid w:val="0"/>
        <w:spacing w:line="600" w:lineRule="exact"/>
        <w:rPr>
          <w:rFonts w:hint="eastAsia" w:ascii="宋体" w:hAnsi="宋体" w:eastAsia="宋体" w:cs="宋体"/>
          <w:b/>
          <w:bCs/>
          <w:color w:val="auto"/>
          <w:kern w:val="0"/>
          <w:sz w:val="24"/>
          <w:highlight w:val="none"/>
          <w:lang w:val="zh-CN"/>
        </w:rPr>
      </w:pPr>
      <w:r>
        <w:rPr>
          <w:rFonts w:hint="eastAsia" w:ascii="宋体" w:hAnsi="宋体" w:eastAsia="宋体" w:cs="宋体"/>
          <w:b/>
          <w:bCs/>
          <w:color w:val="auto"/>
          <w:kern w:val="0"/>
          <w:sz w:val="24"/>
          <w:highlight w:val="none"/>
          <w:lang w:val="zh-CN"/>
        </w:rPr>
        <w:t>注：未按照本投标响应函要求填报的将被视为非实质性响应，从而可能导致该投标文件被拒绝。</w:t>
      </w:r>
    </w:p>
    <w:p>
      <w:pPr>
        <w:pageBreakBefore/>
        <w:shd w:val="clear" w:color="auto" w:fill="FFFFFF"/>
        <w:snapToGrid w:val="0"/>
        <w:spacing w:line="600" w:lineRule="exact"/>
        <w:ind w:firstLine="562" w:firstLineChars="200"/>
        <w:jc w:val="center"/>
        <w:outlineLvl w:val="2"/>
        <w:rPr>
          <w:rFonts w:hint="eastAsia" w:ascii="宋体" w:hAnsi="宋体" w:eastAsia="宋体" w:cs="宋体"/>
          <w:b/>
          <w:bCs/>
          <w:color w:val="auto"/>
          <w:sz w:val="24"/>
          <w:highlight w:val="none"/>
        </w:rPr>
      </w:pPr>
      <w:bookmarkStart w:id="112" w:name="_Toc354859475"/>
      <w:bookmarkStart w:id="113" w:name="_Toc233618991"/>
      <w:bookmarkStart w:id="114" w:name="_Toc354859551"/>
      <w:bookmarkStart w:id="115" w:name="_Toc354859632"/>
      <w:r>
        <w:rPr>
          <w:rFonts w:hint="eastAsia" w:ascii="宋体" w:hAnsi="宋体" w:eastAsia="宋体" w:cs="宋体"/>
          <w:b/>
          <w:bCs/>
          <w:color w:val="auto"/>
          <w:sz w:val="28"/>
          <w:szCs w:val="28"/>
          <w:highlight w:val="none"/>
        </w:rPr>
        <w:t>二、开标一览表</w:t>
      </w:r>
      <w:bookmarkEnd w:id="112"/>
      <w:bookmarkEnd w:id="113"/>
      <w:bookmarkEnd w:id="114"/>
      <w:bookmarkEnd w:id="115"/>
    </w:p>
    <w:p>
      <w:pPr>
        <w:shd w:val="clear" w:color="auto" w:fill="FFFFFF"/>
        <w:snapToGrid w:val="0"/>
        <w:spacing w:line="600" w:lineRule="exac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杭州市余杭区人民政府余杭街道办事处</w:t>
      </w:r>
    </w:p>
    <w:p>
      <w:pPr>
        <w:shd w:val="clear" w:color="auto" w:fill="FFFFFF"/>
        <w:snapToGrid w:val="0"/>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杭州瑞拓工程咨询有限公司：</w:t>
      </w:r>
    </w:p>
    <w:p>
      <w:pPr>
        <w:shd w:val="clear" w:color="auto" w:fill="FFFFFF"/>
        <w:snapToGrid w:val="0"/>
        <w:spacing w:line="600" w:lineRule="exact"/>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按你方招标文件要求，我们，本投标文件签字方，谨此向你方发出要约如下：如你方接受本投标文件，我方承诺按照如下开标一览表的价格完成编号为</w:t>
      </w:r>
      <w:r>
        <w:rPr>
          <w:rFonts w:hint="eastAsia" w:ascii="宋体" w:hAnsi="宋体" w:eastAsia="宋体" w:cs="宋体"/>
          <w:color w:val="auto"/>
          <w:sz w:val="24"/>
          <w:highlight w:val="none"/>
          <w:lang w:eastAsia="zh-CN"/>
        </w:rPr>
        <w:t>RTZFCG-2021-</w:t>
      </w: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lang w:val="zh-CN"/>
        </w:rPr>
        <w:t>的招标文件[项目名称：</w:t>
      </w:r>
      <w:r>
        <w:rPr>
          <w:rFonts w:hint="eastAsia" w:ascii="宋体" w:hAnsi="宋体" w:eastAsia="宋体" w:cs="宋体"/>
          <w:color w:val="auto"/>
          <w:sz w:val="24"/>
          <w:highlight w:val="none"/>
          <w:lang w:eastAsia="zh-CN"/>
        </w:rPr>
        <w:t>余杭街道城区道路交通设施零星维护服务项目</w:t>
      </w:r>
      <w:r>
        <w:rPr>
          <w:rFonts w:hint="eastAsia" w:ascii="宋体" w:hAnsi="宋体" w:eastAsia="宋体" w:cs="宋体"/>
          <w:color w:val="auto"/>
          <w:kern w:val="0"/>
          <w:sz w:val="24"/>
          <w:highlight w:val="none"/>
          <w:lang w:val="zh-CN"/>
        </w:rPr>
        <w:t>]实施。</w:t>
      </w:r>
    </w:p>
    <w:p>
      <w:pPr>
        <w:shd w:val="clear" w:color="auto" w:fill="FFFFFF"/>
        <w:snapToGrid w:val="0"/>
        <w:spacing w:line="600" w:lineRule="exact"/>
        <w:ind w:firstLine="3990" w:firstLineChars="1656"/>
        <w:rPr>
          <w:rFonts w:hint="eastAsia" w:ascii="宋体" w:hAnsi="宋体" w:eastAsia="宋体" w:cs="宋体"/>
          <w:b/>
          <w:bCs/>
          <w:color w:val="auto"/>
          <w:kern w:val="0"/>
          <w:sz w:val="24"/>
          <w:highlight w:val="none"/>
          <w:lang w:val="zh-CN"/>
        </w:rPr>
      </w:pPr>
      <w:r>
        <w:rPr>
          <w:rFonts w:hint="eastAsia" w:ascii="宋体" w:hAnsi="宋体" w:eastAsia="宋体" w:cs="宋体"/>
          <w:b/>
          <w:bCs/>
          <w:color w:val="auto"/>
          <w:kern w:val="0"/>
          <w:sz w:val="24"/>
          <w:highlight w:val="none"/>
          <w:lang w:val="zh-CN"/>
        </w:rPr>
        <w:t>开标一览表</w:t>
      </w:r>
    </w:p>
    <w:tbl>
      <w:tblPr>
        <w:tblStyle w:val="7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98"/>
        <w:gridCol w:w="2366"/>
        <w:gridCol w:w="23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680" w:hRule="atLeast"/>
          <w:tblHeader/>
          <w:jc w:val="center"/>
        </w:trPr>
        <w:tc>
          <w:tcPr>
            <w:tcW w:w="4398" w:type="dxa"/>
            <w:tcBorders>
              <w:right w:val="single" w:color="auto" w:sz="4" w:space="0"/>
            </w:tcBorders>
            <w:noWrap w:val="0"/>
            <w:vAlign w:val="center"/>
          </w:tcPr>
          <w:p>
            <w:pPr>
              <w:jc w:val="center"/>
              <w:rPr>
                <w:rFonts w:hint="eastAsia" w:ascii="宋体" w:hAnsi="宋体" w:eastAsia="宋体" w:cs="宋体"/>
                <w:color w:val="auto"/>
                <w:sz w:val="24"/>
                <w:highlight w:val="none"/>
                <w:lang w:val="en-GB"/>
              </w:rPr>
            </w:pPr>
            <w:r>
              <w:rPr>
                <w:rFonts w:hint="eastAsia" w:ascii="宋体" w:hAnsi="宋体" w:eastAsia="宋体" w:cs="宋体"/>
                <w:color w:val="auto"/>
                <w:sz w:val="24"/>
                <w:highlight w:val="none"/>
                <w:lang w:val="en-GB"/>
              </w:rPr>
              <w:t>项目名称</w:t>
            </w:r>
          </w:p>
        </w:tc>
        <w:tc>
          <w:tcPr>
            <w:tcW w:w="2366" w:type="dxa"/>
            <w:tcBorders>
              <w:left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服务期</w:t>
            </w:r>
          </w:p>
        </w:tc>
        <w:tc>
          <w:tcPr>
            <w:tcW w:w="2366" w:type="dxa"/>
            <w:tcBorders>
              <w:left w:val="single" w:color="auto" w:sz="4" w:space="0"/>
              <w:right w:val="single" w:color="auto" w:sz="4" w:space="0"/>
            </w:tcBorders>
            <w:noWrap w:val="0"/>
            <w:vAlign w:val="center"/>
          </w:tcPr>
          <w:p>
            <w:pPr>
              <w:jc w:val="center"/>
              <w:rPr>
                <w:rFonts w:hint="eastAsia" w:ascii="宋体" w:hAnsi="宋体" w:eastAsia="宋体" w:cs="宋体"/>
                <w:color w:val="auto"/>
                <w:sz w:val="24"/>
                <w:highlight w:val="none"/>
                <w:lang w:val="en-GB" w:eastAsia="zh-CN"/>
              </w:rPr>
            </w:pPr>
            <w:r>
              <w:rPr>
                <w:rFonts w:hint="eastAsia" w:ascii="宋体" w:hAnsi="宋体" w:eastAsia="宋体" w:cs="宋体"/>
                <w:color w:val="auto"/>
                <w:sz w:val="24"/>
                <w:highlight w:val="none"/>
                <w:lang w:val="en-GB"/>
              </w:rPr>
              <w:t>投标报价</w:t>
            </w:r>
            <w:r>
              <w:rPr>
                <w:rFonts w:hint="eastAsia" w:ascii="宋体" w:hAnsi="宋体" w:eastAsia="宋体" w:cs="宋体"/>
                <w:color w:val="auto"/>
                <w:sz w:val="24"/>
                <w:highlight w:val="none"/>
                <w:lang w:val="en-GB" w:eastAsia="zh-CN"/>
              </w:rPr>
              <w:t>（</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en-GB"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4398" w:type="dxa"/>
            <w:tcBorders>
              <w:right w:val="single" w:color="auto" w:sz="4" w:space="0"/>
            </w:tcBorders>
            <w:noWrap w:val="0"/>
            <w:vAlign w:val="center"/>
          </w:tcPr>
          <w:p>
            <w:pPr>
              <w:jc w:val="center"/>
              <w:rPr>
                <w:rFonts w:hint="eastAsia" w:ascii="宋体" w:hAnsi="宋体" w:eastAsia="宋体" w:cs="宋体"/>
                <w:color w:val="auto"/>
                <w:sz w:val="24"/>
                <w:highlight w:val="none"/>
                <w:lang w:val="en-GB" w:eastAsia="zh-CN"/>
              </w:rPr>
            </w:pPr>
            <w:r>
              <w:rPr>
                <w:rFonts w:hint="eastAsia" w:ascii="宋体" w:hAnsi="宋体" w:eastAsia="宋体" w:cs="宋体"/>
                <w:color w:val="auto"/>
                <w:sz w:val="24"/>
                <w:highlight w:val="none"/>
                <w:lang w:eastAsia="zh-CN"/>
              </w:rPr>
              <w:t>余杭街道城区道路交通设施零星维护服务项目</w:t>
            </w:r>
          </w:p>
        </w:tc>
        <w:tc>
          <w:tcPr>
            <w:tcW w:w="2366" w:type="dxa"/>
            <w:tcBorders>
              <w:left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响应招标文件要求</w:t>
            </w:r>
          </w:p>
        </w:tc>
        <w:tc>
          <w:tcPr>
            <w:tcW w:w="2366" w:type="dxa"/>
            <w:tcBorders>
              <w:left w:val="single" w:color="auto" w:sz="4" w:space="0"/>
              <w:right w:val="single" w:color="auto" w:sz="4" w:space="0"/>
            </w:tcBorders>
            <w:noWrap w:val="0"/>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9130" w:type="dxa"/>
            <w:gridSpan w:val="3"/>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注：（小数点后保留两位小数。（填写折扣率，非下浮率，如报价为80%，即辅助牌1的中标价为100*80%=80元）</w:t>
            </w:r>
          </w:p>
        </w:tc>
      </w:tr>
    </w:tbl>
    <w:p>
      <w:pPr>
        <w:shd w:val="clear" w:color="auto" w:fill="FFFFFF"/>
        <w:snapToGrid w:val="0"/>
        <w:spacing w:line="600" w:lineRule="exact"/>
        <w:ind w:firstLine="48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lang w:val="zh-CN"/>
        </w:rPr>
        <w:t>、本投标文件及其所附文件涵盖了我方要约的全部内容。</w:t>
      </w:r>
    </w:p>
    <w:p>
      <w:pPr>
        <w:shd w:val="clear" w:color="auto" w:fill="FFFFFF"/>
        <w:snapToGrid w:val="0"/>
        <w:spacing w:line="600" w:lineRule="exact"/>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(1)我方要约有效期为自投标截止日起</w:t>
      </w:r>
      <w:r>
        <w:rPr>
          <w:rFonts w:hint="eastAsia" w:ascii="宋体" w:hAnsi="宋体" w:eastAsia="宋体" w:cs="宋体"/>
          <w:color w:val="auto"/>
          <w:kern w:val="0"/>
          <w:sz w:val="24"/>
          <w:highlight w:val="none"/>
        </w:rPr>
        <w:t>9</w:t>
      </w:r>
      <w:r>
        <w:rPr>
          <w:rFonts w:hint="eastAsia" w:ascii="宋体" w:hAnsi="宋体" w:eastAsia="宋体" w:cs="宋体"/>
          <w:color w:val="auto"/>
          <w:kern w:val="0"/>
          <w:sz w:val="24"/>
          <w:highlight w:val="none"/>
          <w:lang w:val="zh-CN"/>
        </w:rPr>
        <w:t>0天；</w:t>
      </w:r>
    </w:p>
    <w:p>
      <w:pPr>
        <w:shd w:val="clear" w:color="auto" w:fill="FFFFFF"/>
        <w:snapToGrid w:val="0"/>
        <w:spacing w:line="600" w:lineRule="exact"/>
        <w:ind w:firstLine="48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(2)在投标有效标期内，我方受投标文件之价目表上我方要约金额的约束。</w:t>
      </w:r>
    </w:p>
    <w:p>
      <w:pPr>
        <w:shd w:val="clear" w:color="auto" w:fill="FFFFFF"/>
        <w:snapToGrid w:val="0"/>
        <w:spacing w:line="600" w:lineRule="exact"/>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（3）有定额价的结算价=基价*投标报价（%）*实际工程量。2、无定额价的：结算按浙江省造价信息当年当月信息价下浮15%结算。3、没有造价信息的，按市场价下浮20%结算。</w:t>
      </w:r>
    </w:p>
    <w:p>
      <w:pPr>
        <w:shd w:val="clear" w:color="auto" w:fill="FFFFFF"/>
        <w:snapToGrid w:val="0"/>
        <w:spacing w:line="600" w:lineRule="exact"/>
        <w:ind w:firstLine="480"/>
        <w:rPr>
          <w:rFonts w:hint="eastAsia" w:ascii="宋体" w:hAnsi="宋体" w:eastAsia="宋体" w:cs="宋体"/>
          <w:color w:val="auto"/>
          <w:kern w:val="0"/>
          <w:sz w:val="24"/>
          <w:highlight w:val="none"/>
          <w:lang w:val="zh-CN"/>
        </w:rPr>
      </w:pPr>
    </w:p>
    <w:p>
      <w:pPr>
        <w:shd w:val="clear" w:color="auto" w:fill="FFFFFF"/>
        <w:snapToGrid w:val="0"/>
        <w:spacing w:line="600" w:lineRule="exact"/>
        <w:ind w:firstLine="360" w:firstLineChars="150"/>
        <w:rPr>
          <w:rFonts w:hint="eastAsia" w:ascii="宋体" w:hAnsi="宋体" w:eastAsia="宋体" w:cs="宋体"/>
          <w:color w:val="auto"/>
          <w:kern w:val="0"/>
          <w:sz w:val="24"/>
          <w:highlight w:val="none"/>
          <w:u w:val="single"/>
          <w:lang w:val="zh-CN"/>
        </w:rPr>
      </w:pPr>
      <w:r>
        <w:rPr>
          <w:rFonts w:hint="eastAsia" w:ascii="宋体" w:hAnsi="宋体" w:eastAsia="宋体" w:cs="宋体"/>
          <w:color w:val="auto"/>
          <w:kern w:val="0"/>
          <w:sz w:val="24"/>
          <w:highlight w:val="none"/>
          <w:lang w:val="zh-CN"/>
        </w:rPr>
        <w:t>法定（授权）代表人（签字）：</w:t>
      </w:r>
      <w:r>
        <w:rPr>
          <w:rFonts w:hint="eastAsia" w:ascii="宋体" w:hAnsi="宋体" w:eastAsia="宋体" w:cs="宋体"/>
          <w:color w:val="auto"/>
          <w:kern w:val="0"/>
          <w:sz w:val="24"/>
          <w:highlight w:val="none"/>
          <w:u w:val="single"/>
          <w:lang w:val="zh-CN"/>
        </w:rPr>
        <w:t xml:space="preserve">                </w:t>
      </w:r>
    </w:p>
    <w:p>
      <w:pPr>
        <w:shd w:val="clear" w:color="auto" w:fill="FFFFFF"/>
        <w:snapToGrid w:val="0"/>
        <w:spacing w:line="600" w:lineRule="exact"/>
        <w:ind w:firstLine="360" w:firstLineChars="15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投标人名称（公章）:</w:t>
      </w:r>
      <w:r>
        <w:rPr>
          <w:rFonts w:hint="eastAsia" w:ascii="宋体" w:hAnsi="宋体" w:eastAsia="宋体" w:cs="宋体"/>
          <w:color w:val="auto"/>
          <w:kern w:val="0"/>
          <w:sz w:val="24"/>
          <w:highlight w:val="none"/>
          <w:u w:val="single"/>
          <w:lang w:val="zh-CN"/>
        </w:rPr>
        <w:t xml:space="preserve">                </w:t>
      </w:r>
    </w:p>
    <w:p>
      <w:pPr>
        <w:shd w:val="clear" w:color="auto" w:fill="FFFFFF"/>
        <w:snapToGrid w:val="0"/>
        <w:spacing w:line="600" w:lineRule="exact"/>
        <w:ind w:firstLine="360" w:firstLineChars="1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u w:val="single"/>
          <w:lang w:val="zh-CN"/>
        </w:rPr>
        <w:t xml:space="preserve">                </w:t>
      </w:r>
    </w:p>
    <w:p>
      <w:pPr>
        <w:shd w:val="clear" w:color="auto" w:fill="FFFFFF"/>
        <w:snapToGrid w:val="0"/>
        <w:spacing w:line="600" w:lineRule="exact"/>
        <w:rPr>
          <w:rFonts w:hint="eastAsia" w:ascii="宋体" w:hAnsi="宋体" w:eastAsia="宋体" w:cs="宋体"/>
          <w:color w:val="auto"/>
          <w:sz w:val="24"/>
          <w:highlight w:val="none"/>
        </w:rPr>
      </w:pPr>
    </w:p>
    <w:p>
      <w:pPr>
        <w:spacing w:line="600" w:lineRule="exact"/>
        <w:rPr>
          <w:rFonts w:hint="eastAsia" w:ascii="宋体" w:hAnsi="宋体" w:eastAsia="宋体" w:cs="宋体"/>
          <w:color w:val="auto"/>
          <w:sz w:val="24"/>
          <w:highlight w:val="none"/>
        </w:rPr>
      </w:pPr>
    </w:p>
    <w:p>
      <w:pPr>
        <w:pageBreakBefore/>
        <w:shd w:val="clear" w:color="auto" w:fill="FFFFFF"/>
        <w:snapToGrid w:val="0"/>
        <w:spacing w:line="600" w:lineRule="exact"/>
        <w:jc w:val="center"/>
        <w:outlineLvl w:val="2"/>
        <w:rPr>
          <w:rFonts w:hint="eastAsia" w:ascii="宋体" w:hAnsi="宋体" w:eastAsia="宋体" w:cs="宋体"/>
          <w:b/>
          <w:color w:val="auto"/>
          <w:kern w:val="0"/>
          <w:sz w:val="24"/>
          <w:highlight w:val="none"/>
        </w:rPr>
      </w:pPr>
      <w:r>
        <w:rPr>
          <w:rFonts w:hint="eastAsia" w:ascii="宋体" w:hAnsi="宋体" w:eastAsia="宋体" w:cs="宋体"/>
          <w:b/>
          <w:bCs/>
          <w:color w:val="auto"/>
          <w:sz w:val="28"/>
          <w:szCs w:val="28"/>
          <w:highlight w:val="none"/>
          <w:lang w:val="en-US" w:eastAsia="zh-CN"/>
        </w:rPr>
        <w:t>三</w:t>
      </w:r>
      <w:r>
        <w:rPr>
          <w:rFonts w:hint="eastAsia" w:ascii="宋体" w:hAnsi="宋体" w:eastAsia="宋体" w:cs="宋体"/>
          <w:b/>
          <w:bCs/>
          <w:color w:val="auto"/>
          <w:sz w:val="28"/>
          <w:szCs w:val="28"/>
          <w:highlight w:val="none"/>
        </w:rPr>
        <w:t>、中小企业声明函、监狱企业声明函、残疾人福利性单位声明函</w:t>
      </w:r>
    </w:p>
    <w:p>
      <w:pPr>
        <w:widowControl/>
        <w:snapToGrid w:val="0"/>
        <w:spacing w:line="600" w:lineRule="exact"/>
        <w:ind w:firstLine="560" w:firstLineChars="200"/>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val="en-US" w:eastAsia="zh-CN"/>
        </w:rPr>
        <w:t>中小企业声明函（工程、服务）</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本公司（联合体）郑重声明，根据《政府采购促进中小 企业发展管理办法》（财库﹝2020﹞46 号）的规定，本公司 （联合体）参加</w:t>
      </w:r>
      <w:r>
        <w:rPr>
          <w:rFonts w:hint="eastAsia" w:ascii="宋体" w:hAnsi="宋体" w:eastAsia="宋体" w:cs="宋体"/>
          <w:color w:val="auto"/>
          <w:kern w:val="0"/>
          <w:sz w:val="24"/>
          <w:highlight w:val="none"/>
          <w:u w:val="single"/>
          <w:lang w:val="en-US" w:eastAsia="zh-CN"/>
        </w:rPr>
        <w:t>（单位名称）</w:t>
      </w:r>
      <w:r>
        <w:rPr>
          <w:rFonts w:hint="eastAsia" w:ascii="宋体" w:hAnsi="宋体" w:eastAsia="宋体" w:cs="宋体"/>
          <w:color w:val="auto"/>
          <w:kern w:val="0"/>
          <w:sz w:val="24"/>
          <w:highlight w:val="none"/>
          <w:lang w:val="en-US" w:eastAsia="zh-CN"/>
        </w:rPr>
        <w:t>的</w:t>
      </w:r>
      <w:r>
        <w:rPr>
          <w:rFonts w:hint="eastAsia" w:ascii="宋体" w:hAnsi="宋体" w:eastAsia="宋体" w:cs="宋体"/>
          <w:color w:val="auto"/>
          <w:kern w:val="0"/>
          <w:sz w:val="24"/>
          <w:highlight w:val="none"/>
          <w:u w:val="single"/>
          <w:lang w:val="en-US" w:eastAsia="zh-CN"/>
        </w:rPr>
        <w:t>（项目名称）</w:t>
      </w:r>
      <w:r>
        <w:rPr>
          <w:rFonts w:hint="eastAsia" w:ascii="宋体" w:hAnsi="宋体" w:eastAsia="宋体" w:cs="宋体"/>
          <w:color w:val="auto"/>
          <w:kern w:val="0"/>
          <w:sz w:val="24"/>
          <w:highlight w:val="none"/>
          <w:lang w:val="en-US" w:eastAsia="zh-CN"/>
        </w:rPr>
        <w:t xml:space="preserve">采购活动，工 程的施工单位全部为符合政策要求的中小企业（或者：服务 全部由符合政策要求的中小企业承接）。相关企业（含联合 体中的中小企业、签订分包意向协议的中小企业）的具体情 况如下： </w:t>
      </w:r>
    </w:p>
    <w:p>
      <w:pPr>
        <w:widowControl/>
        <w:numPr>
          <w:ilvl w:val="0"/>
          <w:numId w:val="0"/>
        </w:numPr>
        <w:snapToGrid w:val="0"/>
        <w:spacing w:line="600" w:lineRule="exact"/>
        <w:ind w:firstLine="480" w:firstLineChars="200"/>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u w:val="none"/>
          <w:lang w:val="en-US" w:eastAsia="zh-CN"/>
        </w:rPr>
        <w:t>1.</w:t>
      </w:r>
      <w:r>
        <w:rPr>
          <w:rFonts w:hint="eastAsia" w:ascii="宋体" w:hAnsi="宋体" w:eastAsia="宋体" w:cs="宋体"/>
          <w:color w:val="auto"/>
          <w:kern w:val="0"/>
          <w:sz w:val="24"/>
          <w:highlight w:val="none"/>
          <w:u w:val="single"/>
          <w:lang w:val="en-US" w:eastAsia="zh-CN"/>
        </w:rPr>
        <w:t>（标的名称）</w:t>
      </w:r>
      <w:r>
        <w:rPr>
          <w:rFonts w:hint="eastAsia" w:ascii="宋体" w:hAnsi="宋体" w:eastAsia="宋体" w:cs="宋体"/>
          <w:color w:val="auto"/>
          <w:kern w:val="0"/>
          <w:sz w:val="24"/>
          <w:highlight w:val="none"/>
          <w:lang w:val="en-US" w:eastAsia="zh-CN"/>
        </w:rPr>
        <w:t xml:space="preserve"> ，属于</w:t>
      </w:r>
      <w:r>
        <w:rPr>
          <w:rFonts w:hint="eastAsia" w:ascii="宋体" w:hAnsi="宋体" w:eastAsia="宋体" w:cs="宋体"/>
          <w:color w:val="auto"/>
          <w:kern w:val="0"/>
          <w:sz w:val="24"/>
          <w:highlight w:val="none"/>
          <w:u w:val="single"/>
          <w:lang w:val="en-US" w:eastAsia="zh-CN"/>
        </w:rPr>
        <w:t>（采购文件中明确的所属行业）</w:t>
      </w:r>
      <w:r>
        <w:rPr>
          <w:rFonts w:hint="eastAsia" w:ascii="宋体" w:hAnsi="宋体" w:eastAsia="宋体" w:cs="宋体"/>
          <w:color w:val="auto"/>
          <w:kern w:val="0"/>
          <w:sz w:val="24"/>
          <w:highlight w:val="none"/>
          <w:lang w:val="en-US" w:eastAsia="zh-CN"/>
        </w:rPr>
        <w:t>； 承建（承接）企业为</w:t>
      </w:r>
      <w:r>
        <w:rPr>
          <w:rFonts w:hint="eastAsia" w:ascii="宋体" w:hAnsi="宋体" w:eastAsia="宋体" w:cs="宋体"/>
          <w:color w:val="auto"/>
          <w:kern w:val="0"/>
          <w:sz w:val="24"/>
          <w:highlight w:val="none"/>
          <w:u w:val="single"/>
          <w:lang w:val="en-US" w:eastAsia="zh-CN"/>
        </w:rPr>
        <w:t>（企业名称）</w:t>
      </w:r>
      <w:r>
        <w:rPr>
          <w:rFonts w:hint="eastAsia" w:ascii="宋体" w:hAnsi="宋体" w:eastAsia="宋体" w:cs="宋体"/>
          <w:color w:val="auto"/>
          <w:kern w:val="0"/>
          <w:sz w:val="24"/>
          <w:highlight w:val="none"/>
          <w:lang w:val="en-US" w:eastAsia="zh-CN"/>
        </w:rPr>
        <w:t>，从业人员</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lang w:val="en-US" w:eastAsia="zh-CN"/>
        </w:rPr>
        <w:t>人，营业收入为</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lang w:val="en-US" w:eastAsia="zh-CN"/>
        </w:rPr>
        <w:t>万元，资产总额为</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lang w:val="en-US" w:eastAsia="zh-CN"/>
        </w:rPr>
        <w:t>万元1，属于</w:t>
      </w:r>
      <w:r>
        <w:rPr>
          <w:rFonts w:hint="eastAsia" w:ascii="宋体" w:hAnsi="宋体" w:eastAsia="宋体" w:cs="宋体"/>
          <w:color w:val="auto"/>
          <w:kern w:val="0"/>
          <w:sz w:val="24"/>
          <w:highlight w:val="none"/>
          <w:u w:val="single"/>
          <w:lang w:val="en-US" w:eastAsia="zh-CN"/>
        </w:rPr>
        <w:t>（中型企业、 小型企业、微型企业）</w:t>
      </w:r>
      <w:r>
        <w:rPr>
          <w:rFonts w:hint="eastAsia" w:ascii="宋体" w:hAnsi="宋体" w:eastAsia="宋体" w:cs="宋体"/>
          <w:color w:val="auto"/>
          <w:kern w:val="0"/>
          <w:sz w:val="24"/>
          <w:highlight w:val="none"/>
          <w:lang w:val="en-US" w:eastAsia="zh-CN"/>
        </w:rPr>
        <w:t xml:space="preserve">； </w:t>
      </w:r>
    </w:p>
    <w:p>
      <w:pPr>
        <w:widowControl/>
        <w:numPr>
          <w:ilvl w:val="0"/>
          <w:numId w:val="0"/>
        </w:numPr>
        <w:snapToGrid w:val="0"/>
        <w:spacing w:line="600" w:lineRule="exact"/>
        <w:ind w:firstLine="480" w:firstLineChars="200"/>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 xml:space="preserve">2. </w:t>
      </w:r>
      <w:r>
        <w:rPr>
          <w:rFonts w:hint="eastAsia" w:ascii="宋体" w:hAnsi="宋体" w:eastAsia="宋体" w:cs="宋体"/>
          <w:color w:val="auto"/>
          <w:kern w:val="0"/>
          <w:sz w:val="24"/>
          <w:highlight w:val="none"/>
          <w:u w:val="single"/>
          <w:lang w:val="en-US" w:eastAsia="zh-CN"/>
        </w:rPr>
        <w:t>（标的名称）</w:t>
      </w:r>
      <w:r>
        <w:rPr>
          <w:rFonts w:hint="eastAsia" w:ascii="宋体" w:hAnsi="宋体" w:eastAsia="宋体" w:cs="宋体"/>
          <w:color w:val="auto"/>
          <w:kern w:val="0"/>
          <w:sz w:val="24"/>
          <w:highlight w:val="none"/>
          <w:lang w:val="en-US" w:eastAsia="zh-CN"/>
        </w:rPr>
        <w:t xml:space="preserve"> ，属于</w:t>
      </w:r>
      <w:r>
        <w:rPr>
          <w:rFonts w:hint="eastAsia" w:ascii="宋体" w:hAnsi="宋体" w:eastAsia="宋体" w:cs="宋体"/>
          <w:color w:val="auto"/>
          <w:kern w:val="0"/>
          <w:sz w:val="24"/>
          <w:highlight w:val="none"/>
          <w:u w:val="single"/>
          <w:lang w:val="en-US" w:eastAsia="zh-CN"/>
        </w:rPr>
        <w:t>（采购文件中明确的所属行业）</w:t>
      </w:r>
      <w:r>
        <w:rPr>
          <w:rFonts w:hint="eastAsia" w:ascii="宋体" w:hAnsi="宋体" w:eastAsia="宋体" w:cs="宋体"/>
          <w:color w:val="auto"/>
          <w:kern w:val="0"/>
          <w:sz w:val="24"/>
          <w:highlight w:val="none"/>
          <w:lang w:val="en-US" w:eastAsia="zh-CN"/>
        </w:rPr>
        <w:t>； 承建（承接）企业为</w:t>
      </w:r>
      <w:r>
        <w:rPr>
          <w:rFonts w:hint="eastAsia" w:ascii="宋体" w:hAnsi="宋体" w:eastAsia="宋体" w:cs="宋体"/>
          <w:color w:val="auto"/>
          <w:kern w:val="0"/>
          <w:sz w:val="24"/>
          <w:highlight w:val="none"/>
          <w:u w:val="single"/>
          <w:lang w:val="en-US" w:eastAsia="zh-CN"/>
        </w:rPr>
        <w:t>（企业名称）</w:t>
      </w:r>
      <w:r>
        <w:rPr>
          <w:rFonts w:hint="eastAsia" w:ascii="宋体" w:hAnsi="宋体" w:eastAsia="宋体" w:cs="宋体"/>
          <w:color w:val="auto"/>
          <w:kern w:val="0"/>
          <w:sz w:val="24"/>
          <w:highlight w:val="none"/>
          <w:lang w:val="en-US" w:eastAsia="zh-CN"/>
        </w:rPr>
        <w:t>，从业人员</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lang w:val="en-US" w:eastAsia="zh-CN"/>
        </w:rPr>
        <w:t>人，营业收入为</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lang w:val="en-US" w:eastAsia="zh-CN"/>
        </w:rPr>
        <w:t>万元，资产总额为</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lang w:val="en-US" w:eastAsia="zh-CN"/>
        </w:rPr>
        <w:t>万元，属于</w:t>
      </w:r>
      <w:r>
        <w:rPr>
          <w:rFonts w:hint="eastAsia" w:ascii="宋体" w:hAnsi="宋体" w:eastAsia="宋体" w:cs="宋体"/>
          <w:color w:val="auto"/>
          <w:kern w:val="0"/>
          <w:sz w:val="24"/>
          <w:highlight w:val="none"/>
          <w:u w:val="single"/>
          <w:lang w:val="en-US" w:eastAsia="zh-CN"/>
        </w:rPr>
        <w:t>（中型企业、 小型企业、微型企业）</w:t>
      </w:r>
      <w:r>
        <w:rPr>
          <w:rFonts w:hint="eastAsia" w:ascii="宋体" w:hAnsi="宋体" w:eastAsia="宋体" w:cs="宋体"/>
          <w:color w:val="auto"/>
          <w:kern w:val="0"/>
          <w:sz w:val="24"/>
          <w:highlight w:val="none"/>
          <w:lang w:val="en-US" w:eastAsia="zh-CN"/>
        </w:rPr>
        <w:t>；</w:t>
      </w:r>
    </w:p>
    <w:p>
      <w:pPr>
        <w:widowControl/>
        <w:numPr>
          <w:ilvl w:val="0"/>
          <w:numId w:val="0"/>
        </w:numPr>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 ……以上企业，不属于大企业的分支机构，不存在控股股东 为大企业的情形，也不存在与大企业的负责人为同一人的情 形。本企业对上述声明内容的真实性负责。如有虚假，将依 法承担相应责任。 </w:t>
      </w:r>
    </w:p>
    <w:p>
      <w:pPr>
        <w:widowControl/>
        <w:snapToGrid w:val="0"/>
        <w:spacing w:line="600" w:lineRule="exact"/>
        <w:ind w:firstLine="480" w:firstLineChars="200"/>
        <w:jc w:val="righ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企业名称（盖章）： </w:t>
      </w:r>
    </w:p>
    <w:p>
      <w:pPr>
        <w:widowControl/>
        <w:snapToGrid w:val="0"/>
        <w:spacing w:line="600" w:lineRule="exact"/>
        <w:ind w:firstLine="480" w:firstLineChars="200"/>
        <w:jc w:val="righ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日 期： </w:t>
      </w:r>
    </w:p>
    <w:p>
      <w:pPr>
        <w:widowControl/>
        <w:snapToGrid w:val="0"/>
        <w:spacing w:line="600" w:lineRule="exact"/>
        <w:ind w:firstLine="482" w:firstLineChars="200"/>
        <w:jc w:val="left"/>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lang w:val="en-US" w:eastAsia="zh-CN"/>
        </w:rPr>
        <w:t>1从业人员、营业收入、资产总额填报上一年度数据，无上一年度数据的新成立企业可不填报。</w:t>
      </w:r>
    </w:p>
    <w:p>
      <w:pPr>
        <w:widowControl/>
        <w:snapToGrid w:val="0"/>
        <w:spacing w:line="600" w:lineRule="exact"/>
        <w:ind w:firstLine="482" w:firstLineChars="200"/>
        <w:jc w:val="left"/>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投标人提供的中小企业声明函与实际情况不符的，视为投标人提供虚假材料投标的，投标无效。</w:t>
      </w:r>
    </w:p>
    <w:p>
      <w:pPr>
        <w:widowControl/>
        <w:snapToGrid w:val="0"/>
        <w:spacing w:line="600" w:lineRule="exact"/>
        <w:jc w:val="center"/>
        <w:rPr>
          <w:rFonts w:hint="eastAsia" w:ascii="宋体" w:hAnsi="宋体" w:eastAsia="宋体" w:cs="宋体"/>
          <w:b/>
          <w:color w:val="auto"/>
          <w:kern w:val="0"/>
          <w:sz w:val="24"/>
          <w:highlight w:val="none"/>
        </w:rPr>
        <w:sectPr>
          <w:pgSz w:w="11906" w:h="16838"/>
          <w:pgMar w:top="1531" w:right="1304" w:bottom="1531" w:left="1361" w:header="851" w:footer="641" w:gutter="0"/>
          <w:pgBorders>
            <w:top w:val="none" w:sz="0" w:space="0"/>
            <w:left w:val="none" w:sz="0" w:space="0"/>
            <w:bottom w:val="none" w:sz="0" w:space="0"/>
            <w:right w:val="none" w:sz="0" w:space="0"/>
          </w:pgBorders>
          <w:cols w:space="720" w:num="1"/>
          <w:rtlGutter w:val="0"/>
          <w:docGrid w:type="lines" w:linePitch="320" w:charSpace="0"/>
        </w:sectPr>
      </w:pPr>
    </w:p>
    <w:p>
      <w:pPr>
        <w:widowControl/>
        <w:snapToGrid w:val="0"/>
        <w:spacing w:line="600" w:lineRule="exact"/>
        <w:jc w:val="center"/>
        <w:rPr>
          <w:rFonts w:hint="eastAsia" w:ascii="宋体" w:hAnsi="宋体" w:eastAsia="宋体" w:cs="宋体"/>
          <w:b/>
          <w:color w:val="auto"/>
          <w:kern w:val="0"/>
          <w:sz w:val="24"/>
          <w:highlight w:val="none"/>
        </w:rPr>
      </w:pPr>
      <w:r>
        <w:rPr>
          <w:rFonts w:hint="eastAsia" w:ascii="宋体" w:hAnsi="宋体" w:eastAsia="宋体" w:cs="宋体"/>
          <w:b/>
          <w:bCs/>
          <w:color w:val="auto"/>
          <w:sz w:val="28"/>
          <w:szCs w:val="28"/>
          <w:highlight w:val="none"/>
        </w:rPr>
        <w:t>监狱企业声明函</w:t>
      </w:r>
    </w:p>
    <w:p>
      <w:pPr>
        <w:widowControl/>
        <w:snapToGrid w:val="0"/>
        <w:spacing w:line="600" w:lineRule="exact"/>
        <w:ind w:firstLine="480" w:firstLineChars="20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【不属于监狱企业的无需填写、递交】</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本公司郑重声明，根据《关于政府采购支持监狱企业发展有关问题的通知》 （财库[2014]68 号）的规定，本公司为</w:t>
      </w:r>
      <w:r>
        <w:rPr>
          <w:rFonts w:hint="eastAsia" w:ascii="宋体" w:hAnsi="宋体" w:eastAsia="宋体" w:cs="宋体"/>
          <w:color w:val="auto"/>
          <w:kern w:val="0"/>
          <w:sz w:val="24"/>
          <w:highlight w:val="none"/>
          <w:u w:val="single"/>
        </w:rPr>
        <w:t>监狱企业</w:t>
      </w:r>
      <w:r>
        <w:rPr>
          <w:rFonts w:hint="eastAsia" w:ascii="宋体" w:hAnsi="宋体" w:eastAsia="宋体" w:cs="宋体"/>
          <w:color w:val="auto"/>
          <w:kern w:val="0"/>
          <w:sz w:val="24"/>
          <w:highlight w:val="none"/>
        </w:rPr>
        <w:t>。</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根据上述标准，我公司属于监狱企业的理由为：</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本公司为参加（</w:t>
      </w:r>
      <w:r>
        <w:rPr>
          <w:rFonts w:hint="eastAsia" w:ascii="宋体" w:hAnsi="宋体" w:eastAsia="宋体" w:cs="宋体"/>
          <w:color w:val="auto"/>
          <w:kern w:val="0"/>
          <w:sz w:val="24"/>
          <w:highlight w:val="none"/>
          <w:u w:val="single"/>
        </w:rPr>
        <w:t xml:space="preserve">    项目名称    </w:t>
      </w:r>
      <w:r>
        <w:rPr>
          <w:rFonts w:hint="eastAsia" w:ascii="宋体" w:hAnsi="宋体" w:eastAsia="宋体" w:cs="宋体"/>
          <w:color w:val="auto"/>
          <w:kern w:val="0"/>
          <w:sz w:val="24"/>
          <w:highlight w:val="none"/>
        </w:rPr>
        <w:t>） （项目编号：</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）采购活动提供本企业提供服务。</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本公司对上述声明的真实性负责。如有虚假，将依法承担相应责任。</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p>
    <w:p>
      <w:pPr>
        <w:widowControl/>
        <w:snapToGrid w:val="0"/>
        <w:spacing w:line="600" w:lineRule="exact"/>
        <w:ind w:firstLine="480" w:firstLineChars="200"/>
        <w:jc w:val="righ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投标人名称（盖章）：</w:t>
      </w:r>
    </w:p>
    <w:p>
      <w:pPr>
        <w:widowControl/>
        <w:snapToGrid w:val="0"/>
        <w:spacing w:line="600" w:lineRule="exact"/>
        <w:ind w:firstLine="480" w:firstLineChars="200"/>
        <w:jc w:val="righ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日期：    年  月  日</w:t>
      </w:r>
    </w:p>
    <w:p>
      <w:pPr>
        <w:snapToGrid w:val="0"/>
        <w:spacing w:line="600" w:lineRule="exact"/>
        <w:rPr>
          <w:rFonts w:hint="eastAsia" w:ascii="宋体" w:hAnsi="宋体" w:eastAsia="宋体" w:cs="宋体"/>
          <w:b/>
          <w:color w:val="auto"/>
          <w:spacing w:val="6"/>
          <w:sz w:val="24"/>
          <w:highlight w:val="none"/>
        </w:rPr>
      </w:pPr>
    </w:p>
    <w:p>
      <w:pPr>
        <w:snapToGrid w:val="0"/>
        <w:spacing w:line="600" w:lineRule="exact"/>
        <w:rPr>
          <w:rFonts w:hint="eastAsia" w:ascii="宋体" w:hAnsi="宋体" w:eastAsia="宋体" w:cs="宋体"/>
          <w:b/>
          <w:color w:val="auto"/>
          <w:spacing w:val="6"/>
          <w:sz w:val="24"/>
          <w:highlight w:val="none"/>
        </w:rPr>
      </w:pPr>
    </w:p>
    <w:p>
      <w:pPr>
        <w:snapToGrid w:val="0"/>
        <w:spacing w:line="600" w:lineRule="exact"/>
        <w:rPr>
          <w:rFonts w:hint="eastAsia" w:ascii="宋体" w:hAnsi="宋体" w:eastAsia="宋体" w:cs="宋体"/>
          <w:b/>
          <w:color w:val="auto"/>
          <w:spacing w:val="6"/>
          <w:sz w:val="24"/>
          <w:highlight w:val="none"/>
        </w:rPr>
      </w:pPr>
    </w:p>
    <w:p>
      <w:pPr>
        <w:pageBreakBefore/>
        <w:snapToGrid w:val="0"/>
        <w:spacing w:line="600" w:lineRule="exact"/>
        <w:jc w:val="center"/>
        <w:rPr>
          <w:rFonts w:hint="eastAsia" w:ascii="宋体" w:hAnsi="宋体" w:eastAsia="宋体" w:cs="宋体"/>
          <w:b/>
          <w:color w:val="auto"/>
          <w:spacing w:val="6"/>
          <w:sz w:val="24"/>
          <w:highlight w:val="none"/>
        </w:rPr>
      </w:pPr>
      <w:r>
        <w:rPr>
          <w:rFonts w:hint="eastAsia" w:ascii="宋体" w:hAnsi="宋体" w:eastAsia="宋体" w:cs="宋体"/>
          <w:b/>
          <w:bCs/>
          <w:color w:val="auto"/>
          <w:sz w:val="28"/>
          <w:szCs w:val="28"/>
          <w:highlight w:val="none"/>
        </w:rPr>
        <w:t>残疾人福利性单位声明函</w:t>
      </w:r>
    </w:p>
    <w:p>
      <w:pPr>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napToGrid w:val="0"/>
        <w:spacing w:line="600" w:lineRule="exact"/>
        <w:ind w:firstLine="480" w:firstLineChars="200"/>
        <w:rPr>
          <w:rFonts w:hint="eastAsia" w:ascii="宋体" w:hAnsi="宋体" w:eastAsia="宋体" w:cs="宋体"/>
          <w:color w:val="auto"/>
          <w:sz w:val="24"/>
          <w:highlight w:val="none"/>
        </w:rPr>
      </w:pPr>
    </w:p>
    <w:p>
      <w:pPr>
        <w:snapToGrid w:val="0"/>
        <w:spacing w:line="600" w:lineRule="exact"/>
        <w:ind w:firstLine="480" w:firstLineChars="200"/>
        <w:rPr>
          <w:rFonts w:hint="eastAsia" w:ascii="宋体" w:hAnsi="宋体" w:eastAsia="宋体" w:cs="宋体"/>
          <w:color w:val="auto"/>
          <w:sz w:val="24"/>
          <w:highlight w:val="none"/>
        </w:rPr>
      </w:pPr>
    </w:p>
    <w:p>
      <w:pPr>
        <w:tabs>
          <w:tab w:val="left" w:pos="4860"/>
        </w:tabs>
        <w:snapToGrid w:val="0"/>
        <w:spacing w:line="600" w:lineRule="exact"/>
        <w:ind w:right="1560"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单位名称（盖章）：</w:t>
      </w:r>
    </w:p>
    <w:p>
      <w:pPr>
        <w:tabs>
          <w:tab w:val="left" w:pos="4860"/>
        </w:tabs>
        <w:snapToGrid w:val="0"/>
        <w:spacing w:line="600" w:lineRule="exact"/>
        <w:ind w:right="1560"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pStyle w:val="5"/>
        <w:snapToGrid w:val="0"/>
        <w:spacing w:line="600" w:lineRule="exact"/>
        <w:rPr>
          <w:rFonts w:hint="eastAsia" w:ascii="宋体" w:hAnsi="宋体" w:eastAsia="宋体" w:cs="宋体"/>
          <w:color w:val="auto"/>
          <w:sz w:val="24"/>
          <w:szCs w:val="24"/>
          <w:highlight w:val="none"/>
        </w:rPr>
      </w:pPr>
      <w:bookmarkStart w:id="116" w:name="_Toc354996708"/>
      <w:bookmarkStart w:id="117" w:name="_Toc33194408"/>
    </w:p>
    <w:p>
      <w:pPr>
        <w:pStyle w:val="5"/>
        <w:snapToGrid w:val="0"/>
        <w:spacing w:line="600" w:lineRule="exact"/>
        <w:rPr>
          <w:rFonts w:hint="eastAsia" w:ascii="宋体" w:hAnsi="宋体" w:eastAsia="宋体" w:cs="宋体"/>
          <w:color w:val="auto"/>
          <w:sz w:val="24"/>
          <w:szCs w:val="24"/>
          <w:highlight w:val="none"/>
        </w:rPr>
        <w:sectPr>
          <w:pgSz w:w="11906" w:h="16838"/>
          <w:pgMar w:top="1531" w:right="1304" w:bottom="1531" w:left="1361" w:header="851" w:footer="1304" w:gutter="0"/>
          <w:paperSrc/>
          <w:pgBorders>
            <w:top w:val="none" w:sz="0" w:space="0"/>
            <w:left w:val="none" w:sz="0" w:space="0"/>
            <w:bottom w:val="none" w:sz="0" w:space="0"/>
            <w:right w:val="none" w:sz="0" w:space="0"/>
          </w:pgBorders>
          <w:cols w:space="720" w:num="1"/>
          <w:rtlGutter w:val="0"/>
          <w:docGrid w:linePitch="315" w:charSpace="0"/>
        </w:sectPr>
      </w:pPr>
    </w:p>
    <w:p>
      <w:pPr>
        <w:pStyle w:val="5"/>
        <w:snapToGrid w:val="0"/>
        <w:spacing w:line="6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商务</w:t>
      </w:r>
      <w:bookmarkEnd w:id="116"/>
      <w:bookmarkStart w:id="118" w:name="_Toc354996709"/>
      <w:r>
        <w:rPr>
          <w:rFonts w:hint="eastAsia" w:ascii="宋体" w:hAnsi="宋体" w:eastAsia="宋体" w:cs="宋体"/>
          <w:color w:val="auto"/>
          <w:sz w:val="24"/>
          <w:szCs w:val="24"/>
          <w:highlight w:val="none"/>
        </w:rPr>
        <w:t>技术文件</w:t>
      </w:r>
      <w:bookmarkEnd w:id="117"/>
    </w:p>
    <w:p>
      <w:pPr>
        <w:shd w:val="clear" w:color="auto" w:fill="FFFFFF"/>
        <w:snapToGrid w:val="0"/>
        <w:spacing w:line="600" w:lineRule="exact"/>
        <w:jc w:val="center"/>
        <w:rPr>
          <w:rFonts w:hint="eastAsia" w:ascii="宋体" w:hAnsi="宋体" w:eastAsia="宋体" w:cs="宋体"/>
          <w:b/>
          <w:color w:val="auto"/>
          <w:kern w:val="0"/>
          <w:sz w:val="24"/>
          <w:highlight w:val="none"/>
        </w:rPr>
      </w:pPr>
      <w:bookmarkStart w:id="119" w:name="_Toc20721"/>
      <w:bookmarkStart w:id="120" w:name="_Toc7049"/>
      <w:bookmarkStart w:id="121" w:name="_Toc20650"/>
      <w:bookmarkStart w:id="122" w:name="_Toc3604"/>
      <w:bookmarkStart w:id="123" w:name="_Toc27129"/>
      <w:bookmarkStart w:id="124" w:name="_Toc25554"/>
      <w:bookmarkStart w:id="125" w:name="_Toc10347"/>
      <w:bookmarkStart w:id="126" w:name="_Toc7803"/>
      <w:bookmarkStart w:id="127" w:name="_Toc31837"/>
      <w:bookmarkStart w:id="128" w:name="_Toc13349"/>
      <w:bookmarkStart w:id="129" w:name="_Toc13194"/>
      <w:r>
        <w:rPr>
          <w:rFonts w:hint="eastAsia" w:ascii="宋体" w:hAnsi="宋体" w:eastAsia="宋体" w:cs="宋体"/>
          <w:b/>
          <w:color w:val="auto"/>
          <w:kern w:val="0"/>
          <w:sz w:val="24"/>
          <w:highlight w:val="none"/>
        </w:rPr>
        <w:t>目录</w:t>
      </w:r>
      <w:bookmarkEnd w:id="119"/>
      <w:bookmarkEnd w:id="120"/>
      <w:bookmarkEnd w:id="121"/>
      <w:bookmarkEnd w:id="122"/>
      <w:bookmarkEnd w:id="123"/>
      <w:bookmarkEnd w:id="124"/>
      <w:bookmarkEnd w:id="125"/>
      <w:bookmarkEnd w:id="126"/>
      <w:bookmarkEnd w:id="127"/>
      <w:bookmarkEnd w:id="128"/>
      <w:bookmarkEnd w:id="129"/>
    </w:p>
    <w:p>
      <w:pPr>
        <w:shd w:val="clear" w:color="auto" w:fill="FFFFFF"/>
        <w:snapToGrid w:val="0"/>
        <w:spacing w:line="60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（1）法定代表人授权委托书…………………………………………………………（页码）</w:t>
      </w:r>
    </w:p>
    <w:p>
      <w:pPr>
        <w:shd w:val="clear" w:color="auto" w:fill="FFFFFF"/>
        <w:snapToGrid w:val="0"/>
        <w:spacing w:line="60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（2）法定代表人及授权代表人的身份证……………………………………………（页码）</w:t>
      </w:r>
    </w:p>
    <w:p>
      <w:pPr>
        <w:shd w:val="clear" w:color="auto" w:fill="FFFFFF"/>
        <w:snapToGrid w:val="0"/>
        <w:spacing w:line="60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rPr>
        <w:t>）采购需求实质性内容响应表…………………………………………………（页码）</w:t>
      </w:r>
    </w:p>
    <w:p>
      <w:pPr>
        <w:shd w:val="clear" w:color="auto" w:fill="FFFFFF"/>
        <w:snapToGrid w:val="0"/>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en-US" w:eastAsia="zh-CN"/>
        </w:rPr>
        <w:t>4</w:t>
      </w:r>
      <w:r>
        <w:rPr>
          <w:rFonts w:hint="eastAsia" w:ascii="宋体" w:hAnsi="宋体" w:eastAsia="宋体" w:cs="宋体"/>
          <w:color w:val="auto"/>
          <w:kern w:val="0"/>
          <w:sz w:val="24"/>
          <w:highlight w:val="none"/>
        </w:rPr>
        <w:t>）对于评分细则提供相关证明材料………………………………………………（页码）</w:t>
      </w:r>
      <w:r>
        <w:rPr>
          <w:rFonts w:hint="eastAsia" w:ascii="宋体" w:hAnsi="宋体" w:eastAsia="宋体" w:cs="宋体"/>
          <w:color w:val="auto"/>
          <w:sz w:val="24"/>
          <w:highlight w:val="none"/>
        </w:rPr>
        <w:t>注：以上目录是编制投标技术文件的基本格式要求，各投标人可根据自身情况进一步细化。</w:t>
      </w:r>
    </w:p>
    <w:p>
      <w:pPr>
        <w:pStyle w:val="42"/>
        <w:snapToGrid w:val="0"/>
        <w:spacing w:line="600" w:lineRule="exact"/>
        <w:ind w:firstLine="480" w:firstLineChars="200"/>
        <w:jc w:val="center"/>
        <w:outlineLvl w:val="2"/>
        <w:rPr>
          <w:rFonts w:hint="eastAsia" w:ascii="宋体" w:hAnsi="宋体" w:eastAsia="宋体" w:cs="宋体"/>
          <w:b/>
          <w:color w:val="auto"/>
          <w:sz w:val="28"/>
          <w:szCs w:val="28"/>
          <w:highlight w:val="none"/>
          <w:lang w:val="zh-CN"/>
        </w:rPr>
      </w:pPr>
      <w:r>
        <w:rPr>
          <w:rFonts w:hint="eastAsia" w:ascii="宋体" w:hAnsi="宋体" w:eastAsia="宋体" w:cs="宋体"/>
          <w:color w:val="auto"/>
          <w:sz w:val="24"/>
          <w:szCs w:val="24"/>
          <w:highlight w:val="none"/>
        </w:rPr>
        <w:br w:type="page"/>
      </w:r>
      <w:bookmarkEnd w:id="118"/>
      <w:r>
        <w:rPr>
          <w:rFonts w:hint="eastAsia" w:ascii="宋体" w:hAnsi="宋体" w:eastAsia="宋体" w:cs="宋体"/>
          <w:b/>
          <w:color w:val="auto"/>
          <w:sz w:val="28"/>
          <w:szCs w:val="28"/>
          <w:highlight w:val="none"/>
          <w:lang w:val="zh-CN"/>
        </w:rPr>
        <w:t>一、法定代表人授权委托书</w:t>
      </w:r>
    </w:p>
    <w:p>
      <w:pPr>
        <w:shd w:val="clear" w:color="auto" w:fill="FFFFFF"/>
        <w:snapToGrid w:val="0"/>
        <w:spacing w:line="600" w:lineRule="exac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杭州市余杭区人民政府余杭街道办事处：</w:t>
      </w:r>
    </w:p>
    <w:p>
      <w:pPr>
        <w:shd w:val="clear" w:color="auto" w:fill="FFFFFF"/>
        <w:snapToGrid w:val="0"/>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杭州瑞拓工程咨询有限公司：</w:t>
      </w:r>
    </w:p>
    <w:p>
      <w:pPr>
        <w:shd w:val="clear" w:color="auto" w:fill="FFFFFF"/>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兹委派我公司</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先生/女士(其在本公司的职务是：</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，联系电话：</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传真：</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)，代表我公司全权处理</w:t>
      </w:r>
      <w:r>
        <w:rPr>
          <w:rFonts w:hint="eastAsia" w:ascii="宋体" w:hAnsi="宋体" w:eastAsia="宋体" w:cs="宋体"/>
          <w:color w:val="auto"/>
          <w:sz w:val="24"/>
          <w:highlight w:val="none"/>
          <w:u w:val="single"/>
          <w:lang w:eastAsia="zh-CN"/>
        </w:rPr>
        <w:t>余杭街道城区道路交通设施零星维护服务项目</w:t>
      </w:r>
      <w:r>
        <w:rPr>
          <w:rFonts w:hint="eastAsia" w:ascii="宋体" w:hAnsi="宋体" w:eastAsia="宋体" w:cs="宋体"/>
          <w:color w:val="auto"/>
          <w:sz w:val="24"/>
          <w:highlight w:val="none"/>
        </w:rPr>
        <w:t>(编号：</w:t>
      </w:r>
      <w:r>
        <w:rPr>
          <w:rFonts w:hint="eastAsia" w:ascii="宋体" w:hAnsi="宋体" w:eastAsia="宋体" w:cs="宋体"/>
          <w:color w:val="auto"/>
          <w:sz w:val="24"/>
          <w:highlight w:val="none"/>
          <w:lang w:eastAsia="zh-CN"/>
        </w:rPr>
        <w:t>RTZFCG-2021-</w:t>
      </w:r>
      <w:r>
        <w:rPr>
          <w:rFonts w:hint="eastAsia" w:ascii="宋体" w:hAnsi="宋体" w:eastAsia="宋体" w:cs="宋体"/>
          <w:color w:val="auto"/>
          <w:sz w:val="24"/>
          <w:highlight w:val="none"/>
        </w:rPr>
        <w:t xml:space="preserve">   )政府采购投标的一切事项，若中标则全权代表本公司签订相关合同，</w:t>
      </w:r>
      <w:r>
        <w:rPr>
          <w:rFonts w:hint="eastAsia" w:ascii="宋体" w:hAnsi="宋体" w:eastAsia="宋体" w:cs="宋体"/>
          <w:color w:val="auto"/>
          <w:kern w:val="0"/>
          <w:sz w:val="24"/>
          <w:highlight w:val="none"/>
          <w:lang w:val="zh-CN"/>
        </w:rPr>
        <w:t>并负责处理合同履行等事宜。</w:t>
      </w:r>
    </w:p>
    <w:p>
      <w:pPr>
        <w:shd w:val="clear" w:color="auto" w:fill="FFFFFF"/>
        <w:snapToGrid w:val="0"/>
        <w:spacing w:line="60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特此告知。</w:t>
      </w:r>
    </w:p>
    <w:p>
      <w:pPr>
        <w:shd w:val="clear" w:color="auto" w:fill="FFFFFF"/>
        <w:snapToGrid w:val="0"/>
        <w:spacing w:line="600" w:lineRule="exact"/>
        <w:rPr>
          <w:rFonts w:hint="eastAsia" w:ascii="宋体" w:hAnsi="宋体" w:eastAsia="宋体" w:cs="宋体"/>
          <w:color w:val="auto"/>
          <w:kern w:val="0"/>
          <w:sz w:val="24"/>
          <w:highlight w:val="none"/>
        </w:rPr>
      </w:pPr>
    </w:p>
    <w:p>
      <w:pPr>
        <w:shd w:val="clear" w:color="auto" w:fill="FFFFFF"/>
        <w:snapToGrid w:val="0"/>
        <w:spacing w:line="60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投标人名称(公章)：</w:t>
      </w:r>
    </w:p>
    <w:p>
      <w:pPr>
        <w:shd w:val="clear" w:color="auto" w:fill="FFFFFF"/>
        <w:snapToGrid w:val="0"/>
        <w:spacing w:line="60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法定代表人(签字或盖章)：</w:t>
      </w:r>
    </w:p>
    <w:p>
      <w:pPr>
        <w:shd w:val="clear" w:color="auto" w:fill="FFFFFF"/>
        <w:snapToGrid w:val="0"/>
        <w:spacing w:line="600" w:lineRule="exact"/>
        <w:ind w:firstLine="5160" w:firstLineChars="21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hd w:val="clear" w:color="auto" w:fill="FFFFFF"/>
        <w:snapToGrid w:val="0"/>
        <w:spacing w:line="600" w:lineRule="exact"/>
        <w:ind w:right="480"/>
        <w:jc w:val="center"/>
        <w:rPr>
          <w:rFonts w:hint="eastAsia" w:ascii="宋体" w:hAnsi="宋体" w:eastAsia="宋体" w:cs="宋体"/>
          <w:b/>
          <w:bCs/>
          <w:color w:val="auto"/>
          <w:kern w:val="0"/>
          <w:sz w:val="24"/>
          <w:highlight w:val="none"/>
          <w:lang w:val="zh-CN"/>
        </w:rPr>
      </w:pPr>
    </w:p>
    <w:p>
      <w:pPr>
        <w:shd w:val="clear" w:color="auto" w:fill="FFFFFF"/>
        <w:snapToGrid w:val="0"/>
        <w:spacing w:line="600" w:lineRule="exact"/>
        <w:ind w:firstLine="482" w:firstLineChars="200"/>
        <w:rPr>
          <w:rFonts w:hint="eastAsia" w:ascii="宋体" w:hAnsi="宋体" w:eastAsia="宋体" w:cs="宋体"/>
          <w:b/>
          <w:bCs/>
          <w:color w:val="auto"/>
          <w:kern w:val="0"/>
          <w:sz w:val="24"/>
          <w:highlight w:val="none"/>
          <w:lang w:val="zh-CN"/>
        </w:rPr>
      </w:pPr>
    </w:p>
    <w:p>
      <w:pPr>
        <w:pStyle w:val="42"/>
        <w:snapToGrid w:val="0"/>
        <w:spacing w:line="600" w:lineRule="exact"/>
        <w:ind w:firstLine="482" w:firstLineChars="200"/>
        <w:jc w:val="center"/>
        <w:outlineLvl w:val="2"/>
        <w:rPr>
          <w:rFonts w:hint="eastAsia" w:ascii="宋体" w:hAnsi="宋体" w:eastAsia="宋体" w:cs="宋体"/>
          <w:b/>
          <w:color w:val="auto"/>
          <w:sz w:val="24"/>
          <w:szCs w:val="24"/>
          <w:highlight w:val="none"/>
          <w:lang w:val="zh-CN"/>
        </w:rPr>
        <w:sectPr>
          <w:pgSz w:w="11906" w:h="16838"/>
          <w:pgMar w:top="1531" w:right="1304" w:bottom="1531" w:left="1361" w:header="851" w:footer="1304" w:gutter="0"/>
          <w:paperSrc/>
          <w:pgBorders>
            <w:top w:val="none" w:sz="0" w:space="0"/>
            <w:left w:val="none" w:sz="0" w:space="0"/>
            <w:bottom w:val="none" w:sz="0" w:space="0"/>
            <w:right w:val="none" w:sz="0" w:space="0"/>
          </w:pgBorders>
          <w:cols w:space="720" w:num="1"/>
          <w:rtlGutter w:val="0"/>
          <w:docGrid w:linePitch="315" w:charSpace="0"/>
        </w:sectPr>
      </w:pPr>
    </w:p>
    <w:p>
      <w:pPr>
        <w:pStyle w:val="42"/>
        <w:snapToGrid w:val="0"/>
        <w:spacing w:line="600" w:lineRule="exact"/>
        <w:ind w:firstLine="562" w:firstLineChars="200"/>
        <w:jc w:val="center"/>
        <w:outlineLvl w:val="2"/>
        <w:rPr>
          <w:rFonts w:hint="eastAsia" w:ascii="宋体" w:hAnsi="宋体" w:eastAsia="宋体" w:cs="宋体"/>
          <w:b/>
          <w:color w:val="auto"/>
          <w:sz w:val="28"/>
          <w:szCs w:val="28"/>
          <w:highlight w:val="none"/>
          <w:lang w:val="zh-CN"/>
        </w:rPr>
      </w:pPr>
      <w:r>
        <w:rPr>
          <w:rFonts w:hint="eastAsia" w:ascii="宋体" w:hAnsi="宋体" w:eastAsia="宋体" w:cs="宋体"/>
          <w:b/>
          <w:color w:val="auto"/>
          <w:sz w:val="28"/>
          <w:szCs w:val="28"/>
          <w:highlight w:val="none"/>
          <w:lang w:val="zh-CN"/>
        </w:rPr>
        <w:t>二、法定代表人及授权代表人的身份证 (复印件加盖公章)</w:t>
      </w:r>
    </w:p>
    <w:p>
      <w:pPr>
        <w:pStyle w:val="2"/>
        <w:snapToGrid w:val="0"/>
        <w:spacing w:line="600" w:lineRule="exact"/>
        <w:ind w:firstLine="0"/>
        <w:jc w:val="center"/>
        <w:rPr>
          <w:rFonts w:hint="eastAsia" w:ascii="宋体" w:hAnsi="宋体" w:eastAsia="宋体" w:cs="宋体"/>
          <w:color w:val="auto"/>
          <w:sz w:val="24"/>
          <w:szCs w:val="24"/>
          <w:highlight w:val="none"/>
        </w:rPr>
      </w:pPr>
    </w:p>
    <w:p>
      <w:pPr>
        <w:snapToGrid w:val="0"/>
        <w:spacing w:line="600" w:lineRule="exact"/>
        <w:jc w:val="center"/>
        <w:outlineLvl w:val="2"/>
        <w:rPr>
          <w:rFonts w:hint="eastAsia" w:ascii="宋体" w:hAnsi="宋体" w:eastAsia="宋体" w:cs="宋体"/>
          <w:b/>
          <w:color w:val="auto"/>
          <w:sz w:val="28"/>
          <w:szCs w:val="28"/>
          <w:highlight w:val="none"/>
          <w:lang w:val="zh-CN"/>
        </w:rPr>
      </w:pPr>
      <w:r>
        <w:rPr>
          <w:rFonts w:hint="eastAsia" w:ascii="宋体" w:hAnsi="宋体" w:eastAsia="宋体" w:cs="宋体"/>
          <w:b/>
          <w:color w:val="auto"/>
          <w:sz w:val="28"/>
          <w:szCs w:val="28"/>
          <w:highlight w:val="none"/>
          <w:lang w:val="en-US" w:eastAsia="zh-CN"/>
        </w:rPr>
        <w:t>三</w:t>
      </w:r>
      <w:r>
        <w:rPr>
          <w:rFonts w:hint="eastAsia" w:ascii="宋体" w:hAnsi="宋体" w:eastAsia="宋体" w:cs="宋体"/>
          <w:b/>
          <w:color w:val="auto"/>
          <w:sz w:val="28"/>
          <w:szCs w:val="28"/>
          <w:highlight w:val="none"/>
          <w:lang w:val="zh-CN"/>
        </w:rPr>
        <w:t>、采购需求实质性内容响应表</w:t>
      </w:r>
    </w:p>
    <w:p>
      <w:pPr>
        <w:autoSpaceDE w:val="0"/>
        <w:autoSpaceDN w:val="0"/>
        <w:adjustRightInd w:val="0"/>
        <w:spacing w:line="360" w:lineRule="auto"/>
        <w:rPr>
          <w:rFonts w:hint="eastAsia" w:ascii="宋体" w:hAnsi="宋体" w:eastAsia="宋体" w:cs="宋体"/>
          <w:b/>
          <w:color w:val="auto"/>
          <w:kern w:val="0"/>
          <w:sz w:val="24"/>
          <w:highlight w:val="none"/>
        </w:rPr>
      </w:pPr>
    </w:p>
    <w:p>
      <w:pPr>
        <w:autoSpaceDE w:val="0"/>
        <w:autoSpaceDN w:val="0"/>
        <w:adjustRightInd w:val="0"/>
        <w:spacing w:line="360" w:lineRule="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项目编号：</w:t>
      </w:r>
      <w:r>
        <w:rPr>
          <w:rFonts w:hint="eastAsia" w:ascii="宋体" w:hAnsi="宋体" w:eastAsia="宋体" w:cs="宋体"/>
          <w:b/>
          <w:color w:val="auto"/>
          <w:kern w:val="0"/>
          <w:sz w:val="24"/>
          <w:highlight w:val="none"/>
          <w:lang w:eastAsia="zh-CN"/>
        </w:rPr>
        <w:t>RTZFCG-2021-</w:t>
      </w:r>
      <w:r>
        <w:rPr>
          <w:rFonts w:hint="eastAsia" w:ascii="宋体" w:hAnsi="宋体" w:eastAsia="宋体" w:cs="宋体"/>
          <w:b/>
          <w:color w:val="auto"/>
          <w:kern w:val="0"/>
          <w:sz w:val="24"/>
          <w:highlight w:val="none"/>
        </w:rPr>
        <w:t xml:space="preserve"> </w:t>
      </w:r>
    </w:p>
    <w:tbl>
      <w:tblPr>
        <w:tblStyle w:val="7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932"/>
        <w:gridCol w:w="2038"/>
        <w:gridCol w:w="2514"/>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tcBorders>
              <w:bottom w:val="single" w:color="auto" w:sz="4" w:space="0"/>
            </w:tcBorders>
            <w:noWrap w:val="0"/>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1932" w:type="dxa"/>
            <w:tcBorders>
              <w:bottom w:val="single" w:color="auto" w:sz="4" w:space="0"/>
            </w:tcBorders>
            <w:noWrap w:val="0"/>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实质性条款</w:t>
            </w:r>
          </w:p>
        </w:tc>
        <w:tc>
          <w:tcPr>
            <w:tcW w:w="2038" w:type="dxa"/>
            <w:tcBorders>
              <w:bottom w:val="single" w:color="auto" w:sz="4" w:space="0"/>
            </w:tcBorders>
            <w:noWrap w:val="0"/>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招标文件要求</w:t>
            </w:r>
          </w:p>
        </w:tc>
        <w:tc>
          <w:tcPr>
            <w:tcW w:w="2514" w:type="dxa"/>
            <w:tcBorders>
              <w:bottom w:val="single" w:color="auto" w:sz="4" w:space="0"/>
            </w:tcBorders>
            <w:noWrap w:val="0"/>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投标承诺或说明</w:t>
            </w:r>
          </w:p>
        </w:tc>
        <w:tc>
          <w:tcPr>
            <w:tcW w:w="1802" w:type="dxa"/>
            <w:tcBorders>
              <w:bottom w:val="single" w:color="auto" w:sz="4" w:space="0"/>
            </w:tcBorders>
            <w:noWrap w:val="0"/>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932" w:type="dxa"/>
            <w:noWrap w:val="0"/>
            <w:vAlign w:val="center"/>
          </w:tcPr>
          <w:p>
            <w:pPr>
              <w:jc w:val="center"/>
              <w:rPr>
                <w:rFonts w:hint="eastAsia" w:ascii="宋体" w:hAnsi="宋体" w:eastAsia="宋体" w:cs="宋体"/>
                <w:color w:val="auto"/>
                <w:sz w:val="24"/>
                <w:highlight w:val="none"/>
              </w:rPr>
            </w:pPr>
          </w:p>
        </w:tc>
        <w:tc>
          <w:tcPr>
            <w:tcW w:w="2038" w:type="dxa"/>
            <w:noWrap w:val="0"/>
            <w:vAlign w:val="center"/>
          </w:tcPr>
          <w:p>
            <w:pPr>
              <w:jc w:val="center"/>
              <w:rPr>
                <w:rFonts w:hint="eastAsia" w:ascii="宋体" w:hAnsi="宋体" w:eastAsia="宋体" w:cs="宋体"/>
                <w:color w:val="auto"/>
                <w:sz w:val="24"/>
                <w:highlight w:val="none"/>
              </w:rPr>
            </w:pPr>
          </w:p>
        </w:tc>
        <w:tc>
          <w:tcPr>
            <w:tcW w:w="2514" w:type="dxa"/>
            <w:noWrap w:val="0"/>
            <w:vAlign w:val="center"/>
          </w:tcPr>
          <w:p>
            <w:pPr>
              <w:jc w:val="center"/>
              <w:rPr>
                <w:rFonts w:hint="eastAsia" w:ascii="宋体" w:hAnsi="宋体" w:eastAsia="宋体" w:cs="宋体"/>
                <w:color w:val="auto"/>
                <w:sz w:val="24"/>
                <w:highlight w:val="none"/>
              </w:rPr>
            </w:pPr>
          </w:p>
        </w:tc>
        <w:tc>
          <w:tcPr>
            <w:tcW w:w="1802" w:type="dxa"/>
            <w:noWrap w:val="0"/>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932" w:type="dxa"/>
            <w:noWrap w:val="0"/>
            <w:vAlign w:val="center"/>
          </w:tcPr>
          <w:p>
            <w:pPr>
              <w:jc w:val="center"/>
              <w:rPr>
                <w:rFonts w:hint="eastAsia" w:ascii="宋体" w:hAnsi="宋体" w:eastAsia="宋体" w:cs="宋体"/>
                <w:color w:val="auto"/>
                <w:sz w:val="24"/>
                <w:highlight w:val="none"/>
              </w:rPr>
            </w:pPr>
          </w:p>
        </w:tc>
        <w:tc>
          <w:tcPr>
            <w:tcW w:w="2038" w:type="dxa"/>
            <w:noWrap w:val="0"/>
            <w:vAlign w:val="center"/>
          </w:tcPr>
          <w:p>
            <w:pPr>
              <w:jc w:val="center"/>
              <w:rPr>
                <w:rFonts w:hint="eastAsia" w:ascii="宋体" w:hAnsi="宋体" w:eastAsia="宋体" w:cs="宋体"/>
                <w:color w:val="auto"/>
                <w:sz w:val="24"/>
                <w:highlight w:val="none"/>
              </w:rPr>
            </w:pPr>
          </w:p>
        </w:tc>
        <w:tc>
          <w:tcPr>
            <w:tcW w:w="2514" w:type="dxa"/>
            <w:noWrap w:val="0"/>
            <w:vAlign w:val="center"/>
          </w:tcPr>
          <w:p>
            <w:pPr>
              <w:jc w:val="center"/>
              <w:rPr>
                <w:rFonts w:hint="eastAsia" w:ascii="宋体" w:hAnsi="宋体" w:eastAsia="宋体" w:cs="宋体"/>
                <w:color w:val="auto"/>
                <w:sz w:val="24"/>
                <w:highlight w:val="none"/>
              </w:rPr>
            </w:pPr>
          </w:p>
        </w:tc>
        <w:tc>
          <w:tcPr>
            <w:tcW w:w="1802" w:type="dxa"/>
            <w:noWrap w:val="0"/>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932" w:type="dxa"/>
            <w:noWrap w:val="0"/>
            <w:vAlign w:val="center"/>
          </w:tcPr>
          <w:p>
            <w:pPr>
              <w:jc w:val="center"/>
              <w:rPr>
                <w:rFonts w:hint="eastAsia" w:ascii="宋体" w:hAnsi="宋体" w:eastAsia="宋体" w:cs="宋体"/>
                <w:color w:val="auto"/>
                <w:sz w:val="24"/>
                <w:highlight w:val="none"/>
              </w:rPr>
            </w:pPr>
          </w:p>
        </w:tc>
        <w:tc>
          <w:tcPr>
            <w:tcW w:w="2038" w:type="dxa"/>
            <w:noWrap w:val="0"/>
            <w:vAlign w:val="center"/>
          </w:tcPr>
          <w:p>
            <w:pPr>
              <w:jc w:val="center"/>
              <w:rPr>
                <w:rFonts w:hint="eastAsia" w:ascii="宋体" w:hAnsi="宋体" w:eastAsia="宋体" w:cs="宋体"/>
                <w:color w:val="auto"/>
                <w:sz w:val="24"/>
                <w:highlight w:val="none"/>
              </w:rPr>
            </w:pPr>
          </w:p>
        </w:tc>
        <w:tc>
          <w:tcPr>
            <w:tcW w:w="2514" w:type="dxa"/>
            <w:noWrap w:val="0"/>
            <w:vAlign w:val="center"/>
          </w:tcPr>
          <w:p>
            <w:pPr>
              <w:jc w:val="center"/>
              <w:rPr>
                <w:rFonts w:hint="eastAsia" w:ascii="宋体" w:hAnsi="宋体" w:eastAsia="宋体" w:cs="宋体"/>
                <w:color w:val="auto"/>
                <w:sz w:val="24"/>
                <w:highlight w:val="none"/>
              </w:rPr>
            </w:pPr>
          </w:p>
        </w:tc>
        <w:tc>
          <w:tcPr>
            <w:tcW w:w="1802" w:type="dxa"/>
            <w:noWrap w:val="0"/>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932" w:type="dxa"/>
            <w:noWrap w:val="0"/>
            <w:vAlign w:val="center"/>
          </w:tcPr>
          <w:p>
            <w:pPr>
              <w:jc w:val="center"/>
              <w:rPr>
                <w:rFonts w:hint="eastAsia" w:ascii="宋体" w:hAnsi="宋体" w:eastAsia="宋体" w:cs="宋体"/>
                <w:color w:val="auto"/>
                <w:sz w:val="24"/>
                <w:highlight w:val="none"/>
              </w:rPr>
            </w:pPr>
          </w:p>
        </w:tc>
        <w:tc>
          <w:tcPr>
            <w:tcW w:w="2038" w:type="dxa"/>
            <w:noWrap w:val="0"/>
            <w:vAlign w:val="center"/>
          </w:tcPr>
          <w:p>
            <w:pPr>
              <w:jc w:val="center"/>
              <w:rPr>
                <w:rFonts w:hint="eastAsia" w:ascii="宋体" w:hAnsi="宋体" w:eastAsia="宋体" w:cs="宋体"/>
                <w:color w:val="auto"/>
                <w:sz w:val="24"/>
                <w:highlight w:val="none"/>
              </w:rPr>
            </w:pPr>
          </w:p>
        </w:tc>
        <w:tc>
          <w:tcPr>
            <w:tcW w:w="2514" w:type="dxa"/>
            <w:noWrap w:val="0"/>
            <w:vAlign w:val="center"/>
          </w:tcPr>
          <w:p>
            <w:pPr>
              <w:jc w:val="center"/>
              <w:rPr>
                <w:rFonts w:hint="eastAsia" w:ascii="宋体" w:hAnsi="宋体" w:eastAsia="宋体" w:cs="宋体"/>
                <w:color w:val="auto"/>
                <w:sz w:val="24"/>
                <w:highlight w:val="none"/>
              </w:rPr>
            </w:pPr>
          </w:p>
        </w:tc>
        <w:tc>
          <w:tcPr>
            <w:tcW w:w="1802" w:type="dxa"/>
            <w:noWrap w:val="0"/>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932" w:type="dxa"/>
            <w:noWrap w:val="0"/>
            <w:vAlign w:val="center"/>
          </w:tcPr>
          <w:p>
            <w:pPr>
              <w:jc w:val="center"/>
              <w:rPr>
                <w:rFonts w:hint="eastAsia" w:ascii="宋体" w:hAnsi="宋体" w:eastAsia="宋体" w:cs="宋体"/>
                <w:color w:val="auto"/>
                <w:sz w:val="24"/>
                <w:highlight w:val="none"/>
              </w:rPr>
            </w:pPr>
          </w:p>
        </w:tc>
        <w:tc>
          <w:tcPr>
            <w:tcW w:w="2038" w:type="dxa"/>
            <w:noWrap w:val="0"/>
            <w:vAlign w:val="center"/>
          </w:tcPr>
          <w:p>
            <w:pPr>
              <w:jc w:val="center"/>
              <w:rPr>
                <w:rFonts w:hint="eastAsia" w:ascii="宋体" w:hAnsi="宋体" w:eastAsia="宋体" w:cs="宋体"/>
                <w:color w:val="auto"/>
                <w:sz w:val="24"/>
                <w:highlight w:val="none"/>
              </w:rPr>
            </w:pPr>
          </w:p>
        </w:tc>
        <w:tc>
          <w:tcPr>
            <w:tcW w:w="2514" w:type="dxa"/>
            <w:noWrap w:val="0"/>
            <w:vAlign w:val="center"/>
          </w:tcPr>
          <w:p>
            <w:pPr>
              <w:jc w:val="center"/>
              <w:rPr>
                <w:rFonts w:hint="eastAsia" w:ascii="宋体" w:hAnsi="宋体" w:eastAsia="宋体" w:cs="宋体"/>
                <w:color w:val="auto"/>
                <w:sz w:val="24"/>
                <w:highlight w:val="none"/>
              </w:rPr>
            </w:pPr>
          </w:p>
        </w:tc>
        <w:tc>
          <w:tcPr>
            <w:tcW w:w="1802" w:type="dxa"/>
            <w:noWrap w:val="0"/>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932" w:type="dxa"/>
            <w:noWrap w:val="0"/>
            <w:vAlign w:val="center"/>
          </w:tcPr>
          <w:p>
            <w:pPr>
              <w:jc w:val="center"/>
              <w:rPr>
                <w:rFonts w:hint="eastAsia" w:ascii="宋体" w:hAnsi="宋体" w:eastAsia="宋体" w:cs="宋体"/>
                <w:color w:val="auto"/>
                <w:sz w:val="24"/>
                <w:highlight w:val="none"/>
              </w:rPr>
            </w:pPr>
          </w:p>
        </w:tc>
        <w:tc>
          <w:tcPr>
            <w:tcW w:w="2038" w:type="dxa"/>
            <w:noWrap w:val="0"/>
            <w:vAlign w:val="center"/>
          </w:tcPr>
          <w:p>
            <w:pPr>
              <w:jc w:val="center"/>
              <w:rPr>
                <w:rFonts w:hint="eastAsia" w:ascii="宋体" w:hAnsi="宋体" w:eastAsia="宋体" w:cs="宋体"/>
                <w:color w:val="auto"/>
                <w:sz w:val="24"/>
                <w:highlight w:val="none"/>
              </w:rPr>
            </w:pPr>
          </w:p>
        </w:tc>
        <w:tc>
          <w:tcPr>
            <w:tcW w:w="2514" w:type="dxa"/>
            <w:noWrap w:val="0"/>
            <w:vAlign w:val="center"/>
          </w:tcPr>
          <w:p>
            <w:pPr>
              <w:jc w:val="center"/>
              <w:rPr>
                <w:rFonts w:hint="eastAsia" w:ascii="宋体" w:hAnsi="宋体" w:eastAsia="宋体" w:cs="宋体"/>
                <w:color w:val="auto"/>
                <w:sz w:val="24"/>
                <w:highlight w:val="none"/>
              </w:rPr>
            </w:pPr>
          </w:p>
        </w:tc>
        <w:tc>
          <w:tcPr>
            <w:tcW w:w="1802" w:type="dxa"/>
            <w:noWrap w:val="0"/>
            <w:vAlign w:val="center"/>
          </w:tcPr>
          <w:p>
            <w:pPr>
              <w:jc w:val="center"/>
              <w:rPr>
                <w:rFonts w:hint="eastAsia" w:ascii="宋体" w:hAnsi="宋体" w:eastAsia="宋体" w:cs="宋体"/>
                <w:color w:val="auto"/>
                <w:sz w:val="24"/>
                <w:highlight w:val="none"/>
              </w:rPr>
            </w:pPr>
          </w:p>
        </w:tc>
      </w:tr>
    </w:tbl>
    <w:p>
      <w:pPr>
        <w:adjustRightInd w:val="0"/>
        <w:snapToGrid w:val="0"/>
        <w:spacing w:line="50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填表说明：</w:t>
      </w:r>
    </w:p>
    <w:p>
      <w:pPr>
        <w:adjustRightInd w:val="0"/>
        <w:snapToGrid w:val="0"/>
        <w:spacing w:line="500" w:lineRule="exact"/>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lang w:val="zh-CN"/>
        </w:rPr>
        <w:t>“实质性内容”详见“第三部分 采购需求”中带“●”条款，本表中所列条款仅供参考；</w:t>
      </w:r>
    </w:p>
    <w:p>
      <w:pPr>
        <w:adjustRightInd w:val="0"/>
        <w:snapToGrid w:val="0"/>
        <w:spacing w:line="5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2、</w:t>
      </w:r>
      <w:r>
        <w:rPr>
          <w:rFonts w:hint="eastAsia" w:ascii="宋体" w:hAnsi="宋体" w:eastAsia="宋体" w:cs="宋体"/>
          <w:color w:val="auto"/>
          <w:kern w:val="0"/>
          <w:sz w:val="24"/>
          <w:highlight w:val="none"/>
        </w:rPr>
        <w:t>投标人应根据投标承诺或说明，对照招标文件要求在“满足情况”栏注明“满足”或“不满足”；</w:t>
      </w:r>
    </w:p>
    <w:p>
      <w:pPr>
        <w:adjustRightInd w:val="0"/>
        <w:snapToGrid w:val="0"/>
        <w:spacing w:line="500" w:lineRule="exact"/>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本项目“第三部分 采购需求”中所有带“●”条款，投标人必须作出实质性响应，如有任意一条未响应或不满足，将被视为无效。</w:t>
      </w:r>
    </w:p>
    <w:p>
      <w:pPr>
        <w:autoSpaceDE w:val="0"/>
        <w:autoSpaceDN w:val="0"/>
        <w:adjustRightInd w:val="0"/>
        <w:spacing w:line="360" w:lineRule="auto"/>
        <w:rPr>
          <w:rFonts w:hint="eastAsia" w:ascii="宋体" w:hAnsi="宋体" w:eastAsia="宋体" w:cs="宋体"/>
          <w:color w:val="auto"/>
          <w:kern w:val="0"/>
          <w:sz w:val="24"/>
          <w:highlight w:val="none"/>
          <w:lang w:val="zh-CN"/>
        </w:rPr>
      </w:pPr>
    </w:p>
    <w:p>
      <w:pPr>
        <w:autoSpaceDE w:val="0"/>
        <w:autoSpaceDN w:val="0"/>
        <w:adjustRightIn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投标人（公章）：     </w:t>
      </w:r>
    </w:p>
    <w:p>
      <w:pPr>
        <w:autoSpaceDE w:val="0"/>
        <w:autoSpaceDN w:val="0"/>
        <w:adjustRightIn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法定代表人或</w:t>
      </w:r>
      <w:r>
        <w:rPr>
          <w:rFonts w:hint="eastAsia" w:ascii="宋体" w:hAnsi="宋体" w:eastAsia="宋体" w:cs="宋体"/>
          <w:color w:val="auto"/>
          <w:kern w:val="0"/>
          <w:sz w:val="24"/>
          <w:highlight w:val="none"/>
          <w:lang w:val="en-US" w:eastAsia="zh-CN"/>
        </w:rPr>
        <w:t>委托代理人</w:t>
      </w:r>
      <w:r>
        <w:rPr>
          <w:rFonts w:hint="eastAsia" w:ascii="宋体" w:hAnsi="宋体" w:eastAsia="宋体" w:cs="宋体"/>
          <w:color w:val="auto"/>
          <w:kern w:val="0"/>
          <w:sz w:val="24"/>
          <w:highlight w:val="none"/>
          <w:lang w:val="zh-CN"/>
        </w:rPr>
        <w:t>（签字</w:t>
      </w:r>
      <w:r>
        <w:rPr>
          <w:rFonts w:hint="eastAsia" w:ascii="宋体" w:hAnsi="宋体" w:eastAsia="宋体" w:cs="宋体"/>
          <w:color w:val="auto"/>
          <w:kern w:val="0"/>
          <w:sz w:val="24"/>
          <w:highlight w:val="none"/>
          <w:lang w:val="en-US" w:eastAsia="zh-CN"/>
        </w:rPr>
        <w:t>或盖章</w:t>
      </w:r>
      <w:r>
        <w:rPr>
          <w:rFonts w:hint="eastAsia" w:ascii="宋体" w:hAnsi="宋体" w:eastAsia="宋体" w:cs="宋体"/>
          <w:color w:val="auto"/>
          <w:kern w:val="0"/>
          <w:sz w:val="24"/>
          <w:highlight w:val="none"/>
          <w:lang w:val="zh-CN"/>
        </w:rPr>
        <w:t xml:space="preserve">）：     </w:t>
      </w:r>
    </w:p>
    <w:p>
      <w:pPr>
        <w:pStyle w:val="42"/>
        <w:snapToGrid w:val="0"/>
        <w:spacing w:line="600" w:lineRule="exact"/>
        <w:ind w:firstLine="480" w:firstLineChars="200"/>
        <w:jc w:val="center"/>
        <w:outlineLvl w:val="2"/>
        <w:rPr>
          <w:rFonts w:hint="eastAsia" w:ascii="宋体" w:hAnsi="宋体" w:eastAsia="宋体" w:cs="宋体"/>
          <w:b/>
          <w:color w:val="auto"/>
          <w:sz w:val="28"/>
          <w:szCs w:val="28"/>
          <w:highlight w:val="none"/>
          <w:lang w:val="zh-CN"/>
        </w:rPr>
      </w:pPr>
      <w:r>
        <w:rPr>
          <w:rFonts w:hint="eastAsia" w:ascii="宋体" w:hAnsi="宋体" w:eastAsia="宋体" w:cs="宋体"/>
          <w:color w:val="auto"/>
          <w:kern w:val="0"/>
          <w:sz w:val="24"/>
          <w:highlight w:val="none"/>
          <w:lang w:val="zh-CN"/>
        </w:rPr>
        <w:t xml:space="preserve">                                          日期：20  年  月  日  </w:t>
      </w:r>
    </w:p>
    <w:p>
      <w:pPr>
        <w:snapToGrid w:val="0"/>
        <w:spacing w:line="600" w:lineRule="exact"/>
        <w:jc w:val="center"/>
        <w:outlineLvl w:val="2"/>
        <w:rPr>
          <w:rFonts w:hint="eastAsia" w:ascii="宋体" w:hAnsi="宋体" w:eastAsia="宋体" w:cs="宋体"/>
          <w:b/>
          <w:color w:val="auto"/>
          <w:sz w:val="28"/>
          <w:szCs w:val="28"/>
          <w:highlight w:val="none"/>
          <w:lang w:val="en-US" w:eastAsia="zh-CN"/>
        </w:rPr>
        <w:sectPr>
          <w:pgSz w:w="11906" w:h="16838"/>
          <w:pgMar w:top="1531" w:right="1304" w:bottom="1531" w:left="1361" w:header="851" w:footer="1304" w:gutter="0"/>
          <w:paperSrc/>
          <w:pgBorders>
            <w:top w:val="none" w:sz="0" w:space="0"/>
            <w:left w:val="none" w:sz="0" w:space="0"/>
            <w:bottom w:val="none" w:sz="0" w:space="0"/>
            <w:right w:val="none" w:sz="0" w:space="0"/>
          </w:pgBorders>
          <w:cols w:space="720" w:num="1"/>
          <w:rtlGutter w:val="0"/>
          <w:docGrid w:linePitch="315" w:charSpace="0"/>
        </w:sectPr>
      </w:pPr>
    </w:p>
    <w:p>
      <w:pPr>
        <w:snapToGrid w:val="0"/>
        <w:spacing w:line="600" w:lineRule="exact"/>
        <w:jc w:val="center"/>
        <w:outlineLvl w:val="2"/>
        <w:rPr>
          <w:rFonts w:hint="eastAsia" w:ascii="宋体" w:hAnsi="宋体" w:eastAsia="宋体" w:cs="宋体"/>
          <w:b/>
          <w:color w:val="auto"/>
          <w:sz w:val="28"/>
          <w:szCs w:val="28"/>
          <w:highlight w:val="none"/>
          <w:lang w:val="zh-CN"/>
        </w:rPr>
      </w:pPr>
      <w:r>
        <w:rPr>
          <w:rFonts w:hint="eastAsia" w:ascii="宋体" w:hAnsi="宋体" w:eastAsia="宋体" w:cs="宋体"/>
          <w:b/>
          <w:color w:val="auto"/>
          <w:sz w:val="28"/>
          <w:szCs w:val="28"/>
          <w:highlight w:val="none"/>
          <w:lang w:val="en-US" w:eastAsia="zh-CN"/>
        </w:rPr>
        <w:t>四</w:t>
      </w:r>
      <w:r>
        <w:rPr>
          <w:rFonts w:hint="eastAsia" w:ascii="宋体" w:hAnsi="宋体" w:eastAsia="宋体" w:cs="宋体"/>
          <w:b/>
          <w:color w:val="auto"/>
          <w:sz w:val="28"/>
          <w:szCs w:val="28"/>
          <w:highlight w:val="none"/>
        </w:rPr>
        <w:t>、</w:t>
      </w:r>
      <w:r>
        <w:rPr>
          <w:rFonts w:hint="eastAsia" w:ascii="宋体" w:hAnsi="宋体" w:eastAsia="宋体" w:cs="宋体"/>
          <w:b/>
          <w:color w:val="auto"/>
          <w:sz w:val="28"/>
          <w:szCs w:val="28"/>
          <w:highlight w:val="none"/>
          <w:lang w:val="zh-CN"/>
        </w:rPr>
        <w:t>对于评分细则提供相关证明材料</w:t>
      </w:r>
    </w:p>
    <w:p>
      <w:pPr>
        <w:pStyle w:val="5"/>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5"/>
        <w:rPr>
          <w:rFonts w:hint="eastAsia" w:ascii="宋体" w:hAnsi="宋体" w:eastAsia="宋体" w:cs="宋体"/>
          <w:color w:val="auto"/>
          <w:highlight w:val="none"/>
        </w:rPr>
      </w:pPr>
    </w:p>
    <w:p>
      <w:pPr>
        <w:autoSpaceDE w:val="0"/>
        <w:autoSpaceDN w:val="0"/>
        <w:adjustRightIn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投标人（公章）：     </w:t>
      </w:r>
    </w:p>
    <w:p>
      <w:pPr>
        <w:autoSpaceDE w:val="0"/>
        <w:autoSpaceDN w:val="0"/>
        <w:adjustRightIn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法定代表人或</w:t>
      </w:r>
      <w:r>
        <w:rPr>
          <w:rFonts w:hint="eastAsia" w:ascii="宋体" w:hAnsi="宋体" w:eastAsia="宋体" w:cs="宋体"/>
          <w:color w:val="auto"/>
          <w:kern w:val="0"/>
          <w:sz w:val="24"/>
          <w:highlight w:val="none"/>
          <w:lang w:val="en-US" w:eastAsia="zh-CN"/>
        </w:rPr>
        <w:t>委托代理人</w:t>
      </w:r>
      <w:r>
        <w:rPr>
          <w:rFonts w:hint="eastAsia" w:ascii="宋体" w:hAnsi="宋体" w:eastAsia="宋体" w:cs="宋体"/>
          <w:color w:val="auto"/>
          <w:kern w:val="0"/>
          <w:sz w:val="24"/>
          <w:highlight w:val="none"/>
          <w:lang w:val="zh-CN"/>
        </w:rPr>
        <w:t>（签字</w:t>
      </w:r>
      <w:r>
        <w:rPr>
          <w:rFonts w:hint="eastAsia" w:ascii="宋体" w:hAnsi="宋体" w:eastAsia="宋体" w:cs="宋体"/>
          <w:color w:val="auto"/>
          <w:kern w:val="0"/>
          <w:sz w:val="24"/>
          <w:highlight w:val="none"/>
          <w:lang w:val="en-US" w:eastAsia="zh-CN"/>
        </w:rPr>
        <w:t>或盖章</w:t>
      </w:r>
      <w:r>
        <w:rPr>
          <w:rFonts w:hint="eastAsia" w:ascii="宋体" w:hAnsi="宋体" w:eastAsia="宋体" w:cs="宋体"/>
          <w:color w:val="auto"/>
          <w:kern w:val="0"/>
          <w:sz w:val="24"/>
          <w:highlight w:val="none"/>
          <w:lang w:val="zh-CN"/>
        </w:rPr>
        <w:t xml:space="preserve">）：     </w:t>
      </w:r>
    </w:p>
    <w:p>
      <w:pPr>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 xml:space="preserve">                                          日期：20  年  月  日</w:t>
      </w:r>
    </w:p>
    <w:p>
      <w:pPr>
        <w:pageBreakBefore/>
        <w:shd w:val="clear" w:color="auto" w:fill="FFFFFF"/>
        <w:snapToGrid w:val="0"/>
        <w:spacing w:line="600" w:lineRule="exact"/>
        <w:outlineLvl w:val="2"/>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投标文件封面</w:t>
      </w:r>
    </w:p>
    <w:p>
      <w:pPr>
        <w:shd w:val="clear" w:color="auto" w:fill="FFFFFF"/>
        <w:snapToGrid w:val="0"/>
        <w:spacing w:line="600" w:lineRule="exact"/>
        <w:jc w:val="center"/>
        <w:rPr>
          <w:rFonts w:hint="eastAsia" w:ascii="宋体" w:hAnsi="宋体" w:eastAsia="宋体" w:cs="宋体"/>
          <w:b/>
          <w:bCs/>
          <w:color w:val="auto"/>
          <w:spacing w:val="-17"/>
          <w:sz w:val="32"/>
          <w:szCs w:val="32"/>
          <w:highlight w:val="none"/>
        </w:rPr>
      </w:pPr>
    </w:p>
    <w:p>
      <w:pPr>
        <w:shd w:val="clear" w:color="auto" w:fill="FFFFFF"/>
        <w:snapToGrid w:val="0"/>
        <w:spacing w:line="600" w:lineRule="exact"/>
        <w:jc w:val="center"/>
        <w:rPr>
          <w:rFonts w:hint="eastAsia" w:ascii="宋体" w:hAnsi="宋体" w:eastAsia="宋体" w:cs="宋体"/>
          <w:b/>
          <w:bCs/>
          <w:color w:val="auto"/>
          <w:spacing w:val="-17"/>
          <w:sz w:val="36"/>
          <w:szCs w:val="36"/>
          <w:highlight w:val="none"/>
          <w:lang w:eastAsia="zh-CN"/>
        </w:rPr>
      </w:pPr>
      <w:r>
        <w:rPr>
          <w:rFonts w:hint="eastAsia" w:ascii="宋体" w:hAnsi="宋体" w:eastAsia="宋体" w:cs="宋体"/>
          <w:b/>
          <w:bCs/>
          <w:color w:val="auto"/>
          <w:spacing w:val="-17"/>
          <w:sz w:val="36"/>
          <w:szCs w:val="36"/>
          <w:highlight w:val="none"/>
          <w:lang w:eastAsia="zh-CN"/>
        </w:rPr>
        <w:t>余杭街道城区道路交通设施零星维护服务项目</w:t>
      </w:r>
    </w:p>
    <w:p>
      <w:pPr>
        <w:shd w:val="clear" w:color="auto" w:fill="FFFFFF"/>
        <w:snapToGrid w:val="0"/>
        <w:spacing w:line="600" w:lineRule="exact"/>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（资格文件/报价文件/商务技术文件）</w:t>
      </w:r>
    </w:p>
    <w:p>
      <w:pPr>
        <w:pStyle w:val="2"/>
        <w:rPr>
          <w:rFonts w:hint="eastAsia" w:ascii="宋体" w:hAnsi="宋体" w:eastAsia="宋体" w:cs="宋体"/>
          <w:b/>
          <w:bCs/>
          <w:color w:val="auto"/>
          <w:sz w:val="24"/>
          <w:szCs w:val="24"/>
          <w:highlight w:val="none"/>
        </w:rPr>
      </w:pPr>
    </w:p>
    <w:p>
      <w:pPr>
        <w:pStyle w:val="2"/>
        <w:rPr>
          <w:rFonts w:hint="eastAsia" w:ascii="宋体" w:hAnsi="宋体" w:eastAsia="宋体" w:cs="宋体"/>
          <w:b/>
          <w:bCs/>
          <w:color w:val="auto"/>
          <w:sz w:val="24"/>
          <w:szCs w:val="24"/>
          <w:highlight w:val="none"/>
        </w:rPr>
      </w:pPr>
    </w:p>
    <w:p>
      <w:pPr>
        <w:shd w:val="clear" w:color="auto" w:fill="FFFFFF"/>
        <w:snapToGrid w:val="0"/>
        <w:spacing w:line="600" w:lineRule="exact"/>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项目编号：</w:t>
      </w:r>
      <w:r>
        <w:rPr>
          <w:rFonts w:hint="eastAsia" w:ascii="宋体" w:hAnsi="宋体" w:eastAsia="宋体" w:cs="宋体"/>
          <w:b/>
          <w:bCs/>
          <w:color w:val="auto"/>
          <w:sz w:val="36"/>
          <w:szCs w:val="36"/>
          <w:highlight w:val="none"/>
          <w:lang w:eastAsia="zh-CN"/>
        </w:rPr>
        <w:t>RTZFCG-2021-</w:t>
      </w:r>
      <w:r>
        <w:rPr>
          <w:rFonts w:hint="eastAsia" w:ascii="宋体" w:hAnsi="宋体" w:eastAsia="宋体" w:cs="宋体"/>
          <w:b/>
          <w:bCs/>
          <w:color w:val="auto"/>
          <w:sz w:val="36"/>
          <w:szCs w:val="36"/>
          <w:highlight w:val="none"/>
        </w:rPr>
        <w:t xml:space="preserve">   </w:t>
      </w:r>
    </w:p>
    <w:p>
      <w:pPr>
        <w:pStyle w:val="2"/>
        <w:rPr>
          <w:rFonts w:hint="eastAsia" w:ascii="宋体" w:hAnsi="宋体" w:eastAsia="宋体" w:cs="宋体"/>
          <w:b/>
          <w:bCs/>
          <w:color w:val="auto"/>
          <w:sz w:val="24"/>
          <w:szCs w:val="24"/>
          <w:highlight w:val="none"/>
        </w:rPr>
      </w:pPr>
    </w:p>
    <w:p>
      <w:pPr>
        <w:pStyle w:val="2"/>
        <w:ind w:firstLine="0"/>
        <w:rPr>
          <w:rFonts w:hint="eastAsia" w:ascii="宋体" w:hAnsi="宋体" w:eastAsia="宋体" w:cs="宋体"/>
          <w:b/>
          <w:bCs/>
          <w:color w:val="auto"/>
          <w:sz w:val="24"/>
          <w:szCs w:val="24"/>
          <w:highlight w:val="none"/>
        </w:rPr>
      </w:pPr>
    </w:p>
    <w:p>
      <w:pPr>
        <w:pStyle w:val="2"/>
        <w:rPr>
          <w:rFonts w:hint="eastAsia" w:ascii="宋体" w:hAnsi="宋体" w:eastAsia="宋体" w:cs="宋体"/>
          <w:b/>
          <w:bCs/>
          <w:color w:val="auto"/>
          <w:sz w:val="44"/>
          <w:szCs w:val="44"/>
          <w:highlight w:val="none"/>
        </w:rPr>
      </w:pPr>
    </w:p>
    <w:bookmarkEnd w:id="16"/>
    <w:bookmarkEnd w:id="17"/>
    <w:bookmarkEnd w:id="18"/>
    <w:bookmarkEnd w:id="19"/>
    <w:bookmarkEnd w:id="110"/>
    <w:p>
      <w:pPr>
        <w:snapToGrid w:val="0"/>
        <w:spacing w:line="600" w:lineRule="exact"/>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投</w:t>
      </w:r>
    </w:p>
    <w:p>
      <w:pPr>
        <w:pStyle w:val="2"/>
        <w:rPr>
          <w:rFonts w:hint="eastAsia" w:ascii="宋体" w:hAnsi="宋体" w:eastAsia="宋体" w:cs="宋体"/>
          <w:color w:val="auto"/>
          <w:highlight w:val="none"/>
        </w:rPr>
      </w:pPr>
    </w:p>
    <w:p>
      <w:pPr>
        <w:snapToGrid w:val="0"/>
        <w:spacing w:line="600" w:lineRule="exact"/>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标</w:t>
      </w:r>
    </w:p>
    <w:p>
      <w:pPr>
        <w:pStyle w:val="2"/>
        <w:rPr>
          <w:rFonts w:hint="eastAsia" w:ascii="宋体" w:hAnsi="宋体" w:eastAsia="宋体" w:cs="宋体"/>
          <w:color w:val="auto"/>
          <w:highlight w:val="none"/>
        </w:rPr>
      </w:pPr>
    </w:p>
    <w:p>
      <w:pPr>
        <w:snapToGrid w:val="0"/>
        <w:spacing w:line="600" w:lineRule="exact"/>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文</w:t>
      </w:r>
    </w:p>
    <w:p>
      <w:pPr>
        <w:pStyle w:val="2"/>
        <w:ind w:firstLine="0"/>
        <w:rPr>
          <w:rFonts w:hint="eastAsia" w:ascii="宋体" w:hAnsi="宋体" w:eastAsia="宋体" w:cs="宋体"/>
          <w:color w:val="auto"/>
          <w:sz w:val="44"/>
          <w:szCs w:val="44"/>
          <w:highlight w:val="none"/>
        </w:rPr>
      </w:pPr>
    </w:p>
    <w:p>
      <w:pPr>
        <w:snapToGrid w:val="0"/>
        <w:spacing w:line="600" w:lineRule="exact"/>
        <w:jc w:val="center"/>
        <w:rPr>
          <w:rFonts w:hint="eastAsia" w:ascii="宋体" w:hAnsi="宋体" w:eastAsia="宋体" w:cs="宋体"/>
          <w:color w:val="auto"/>
          <w:sz w:val="24"/>
          <w:highlight w:val="none"/>
        </w:rPr>
      </w:pPr>
      <w:r>
        <w:rPr>
          <w:rFonts w:hint="eastAsia" w:ascii="宋体" w:hAnsi="宋体" w:eastAsia="宋体" w:cs="宋体"/>
          <w:color w:val="auto"/>
          <w:sz w:val="44"/>
          <w:szCs w:val="44"/>
          <w:highlight w:val="none"/>
        </w:rPr>
        <w:t>件</w:t>
      </w:r>
    </w:p>
    <w:p>
      <w:pPr>
        <w:pStyle w:val="2"/>
        <w:rPr>
          <w:rFonts w:hint="eastAsia" w:ascii="宋体" w:hAnsi="宋体" w:eastAsia="宋体" w:cs="宋体"/>
          <w:color w:val="auto"/>
          <w:sz w:val="24"/>
          <w:szCs w:val="24"/>
          <w:highlight w:val="none"/>
        </w:rPr>
      </w:pPr>
    </w:p>
    <w:p>
      <w:pPr>
        <w:pStyle w:val="2"/>
        <w:ind w:firstLine="0"/>
        <w:rPr>
          <w:rFonts w:hint="eastAsia" w:ascii="宋体" w:hAnsi="宋体" w:eastAsia="宋体" w:cs="宋体"/>
          <w:color w:val="auto"/>
          <w:sz w:val="24"/>
          <w:szCs w:val="24"/>
          <w:highlight w:val="none"/>
        </w:rPr>
      </w:pPr>
    </w:p>
    <w:p>
      <w:pPr>
        <w:snapToGrid w:val="0"/>
        <w:spacing w:line="600" w:lineRule="exact"/>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投标人全称：（加盖单位公章）</w:t>
      </w:r>
    </w:p>
    <w:p>
      <w:pPr>
        <w:pStyle w:val="2"/>
        <w:rPr>
          <w:rFonts w:hint="eastAsia" w:ascii="宋体" w:hAnsi="宋体" w:eastAsia="宋体" w:cs="宋体"/>
          <w:color w:val="auto"/>
          <w:highlight w:val="none"/>
        </w:rPr>
      </w:pPr>
    </w:p>
    <w:p>
      <w:pPr>
        <w:snapToGrid w:val="0"/>
        <w:spacing w:line="600" w:lineRule="exact"/>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年   月   日</w:t>
      </w:r>
    </w:p>
    <w:sectPr>
      <w:pgSz w:w="11906" w:h="16838"/>
      <w:pgMar w:top="1531" w:right="1304" w:bottom="1531" w:left="1361" w:header="851" w:footer="1304" w:gutter="0"/>
      <w:paperSrc/>
      <w:pgBorders>
        <w:top w:val="none" w:sz="0" w:space="0"/>
        <w:left w:val="none" w:sz="0" w:space="0"/>
        <w:bottom w:val="none" w:sz="0" w:space="0"/>
        <w:right w:val="none" w:sz="0" w:space="0"/>
      </w:pgBorders>
      <w:cols w:space="720" w:num="1"/>
      <w:rtlGutter w:val="0"/>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roman"/>
    <w:pitch w:val="default"/>
    <w:sig w:usb0="00000000" w:usb1="00000000" w:usb2="00000000" w:usb3="00000000" w:csb0="00040001" w:csb1="00000000"/>
  </w:font>
  <w:font w:name="??_GB2312">
    <w:altName w:val="微软雅黑"/>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1" w:usb1="080E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仿宋_GB2312">
    <w:altName w:val="仿宋"/>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Georgia">
    <w:panose1 w:val="02040502050405020303"/>
    <w:charset w:val="00"/>
    <w:family w:val="roman"/>
    <w:pitch w:val="default"/>
    <w:sig w:usb0="00000287" w:usb1="00000000" w:usb2="00000000" w:usb3="00000000" w:csb0="200000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100003"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Century">
    <w:panose1 w:val="02040604050505020304"/>
    <w:charset w:val="00"/>
    <w:family w:val="roman"/>
    <w:pitch w:val="default"/>
    <w:sig w:usb0="00000287" w:usb1="00000000" w:usb2="00000000" w:usb3="00000000" w:csb0="2000009F" w:csb1="DFD70000"/>
  </w:font>
  <w:font w:name="Baskerville">
    <w:altName w:val="Times New Roman"/>
    <w:panose1 w:val="02020502070401020303"/>
    <w:charset w:val="00"/>
    <w:family w:val="roman"/>
    <w:pitch w:val="default"/>
    <w:sig w:usb0="80000067" w:usb1="02000000" w:usb2="00000000" w:usb3="00000000" w:csb0="0000019F" w:csb1="00000000"/>
  </w:font>
  <w:font w:name="Arial Unicode MS">
    <w:altName w:val="Arial"/>
    <w:panose1 w:val="020B0604020202020204"/>
    <w:charset w:val="80"/>
    <w:family w:val="swiss"/>
    <w:pitch w:val="default"/>
    <w:sig w:usb0="FFFFFFFF" w:usb1="E9FFFFFF" w:usb2="0000003F" w:usb3="00000000" w:csb0="603F01FF" w:csb1="FFFF0000"/>
  </w:font>
  <w:font w:name="Helvetica Neue">
    <w:altName w:val="Corbel"/>
    <w:panose1 w:val="02000503000000020004"/>
    <w:charset w:val="00"/>
    <w:family w:val="auto"/>
    <w:pitch w:val="default"/>
    <w:sig w:usb0="E50002FF" w:usb1="500079DB" w:usb2="00000010" w:usb3="00000000" w:csb0="00000001"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72185" cy="147955"/>
              <wp:effectExtent l="0" t="0" r="0" b="0"/>
              <wp:wrapNone/>
              <wp:docPr id="2" name="文本框 1"/>
              <wp:cNvGraphicFramePr/>
              <a:graphic xmlns:a="http://schemas.openxmlformats.org/drawingml/2006/main">
                <a:graphicData uri="http://schemas.microsoft.com/office/word/2010/wordprocessingShape">
                  <wps:wsp>
                    <wps:cNvSpPr txBox="1"/>
                    <wps:spPr>
                      <a:xfrm>
                        <a:off x="0" y="0"/>
                        <a:ext cx="972185" cy="147955"/>
                      </a:xfrm>
                      <a:prstGeom prst="rect">
                        <a:avLst/>
                      </a:prstGeom>
                      <a:noFill/>
                      <a:ln>
                        <a:noFill/>
                      </a:ln>
                    </wps:spPr>
                    <wps:txbx>
                      <w:txbxContent>
                        <w:p>
                          <w:pPr>
                            <w:pStyle w:val="52"/>
                            <w:rPr>
                              <w:rFonts w:hint="eastAsia"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84</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1.65pt;width:76.55pt;mso-position-horizontal:center;mso-position-horizontal-relative:margin;mso-wrap-style:none;z-index:251659264;mso-width-relative:page;mso-height-relative:page;" filled="f" stroked="f" coordsize="21600,21600" o:gfxdata="UEsDBAoAAAAAAIdO4kAAAAAAAAAAAAAAAAAEAAAAZHJzL1BLAwQUAAAACACHTuJANJ2k0NIAAAAE AQAADwAAAGRycy9kb3ducmV2LnhtbE2PwU7DMBBE70j8g7VI3KiTRkAVsumhEhduFITUmxtv4wh7 Hdlumvw9Lhe4rDSa0czbZjs7KyYKcfCMUK4KEMSd1wP3CJ8frw8bEDEp1sp6JoSFImzb25tG1dpf +J2mfepFLuFYKwST0lhLGTtDTsWVH4mzd/LBqZRl6KUO6pLLnZXroniSTg2cF4waaWeo+96fHcLz /OVpjLSjw2nqghmWjX1bEO/vyuIFRKI5/YXhip/Roc1MR39mHYVFyI+k33v1HqsSxBFhXVUg20b+ h29/AFBLAwQUAAAACACHTuJAFYGb0s4BAACXAwAADgAAAGRycy9lMm9Eb2MueG1srVNLbtswEN0X 6B0I7mtZRt0kguUghZGiQNEWSHMAmiItAvyBQ1vyBdobdNVN9z2Xz9EhJTlpuskiG2o4M3oz781w dd0bTQ4igHK2puVsTomw3DXK7mp6/+32zSUlEJltmHZW1PQogF6vX79adb4SC9c63YhAEMRC1fma tjH6qiiAt8IwmDkvLAalC4ZFvIZd0QTWIbrRxWI+f1d0LjQ+OC4A0LsZgnREDM8BdFIqLjaO742w cUANQrOIlKBVHug6dyul4PGLlCAi0TVFpjGfWATtbTqL9YpVu8B8q/jYAntOC084GaYsFj1DbVhk ZB/Uf1BG8eDAyTjjzhQDkawIsijnT7S5a5kXmQtKDf4sOrwcLP98+BqIamq6oMQygwM//fxx+vXn 9Ps7KZM8nYcKs+485sX+vetxaSY/oDOx7mUw6Yt8CMZR3ONZXNFHwtF5dbEoL5eUcAyVby+ulsuE Ujz87APED8IZkoyaBpxdlpQdPkEcUqeUVMu6W6V1np+2/zgQM3mK1PnQYbJiv+1HOlvXHJFNh2Ov qcUtp0R/tKhq2pDJCJOxnYy9D2rX5hVK9cDf7CM2kXtLFQbYsTDOK7MbdystxON7znp4T+u/UEsD BAoAAAAAAIdO4kAAAAAAAAAAAAAAAAAGAAAAX3JlbHMvUEsDBBQAAAAIAIdO4kCKFGY80QAAAJQB AAALAAAAX3JlbHMvLnJlbHOlkMFqwzAMhu+DvYPRfXGawxijTi+j0GvpHsDYimMaW0Yy2fr28w6D ZfS2o36h7xP//vCZFrUiS6RsYNf1oDA78jEHA++X49MLKKk2e7tQRgM3FDiMjw/7My62tiOZYxHV KFkMzLWWV63FzZisdFQwt81EnGxtIwddrLvagHro+2fNvxkwbpjq5A3wyQ+gLrfSzH/YKTomoal2 jpKmaYruHlUHtmWO7sg24Ru5RrMcsBrwLBoHalnXfgR9X7/7p97TRz7jutV+h4zrj1dvuhy/AFBL AwQUAAAACACHTuJAfublIPcAAADhAQAAEwAAAFtDb250ZW50X1R5cGVzXS54bWyVkUFOwzAQRfdI 3MHyFiVOu0AIJemCtEtAqBxgZE8Si2RseUxob4+TthtEkVjaM/+/J7vcHMZBTBjYOqrkKi+kQNLO WOoq+b7fZQ9ScAQyMDjCSh6R5aa+vSn3R48sUpq4kn2M/lEp1j2OwLnzSGnSujBCTMfQKQ/6AzpU 66K4V9pRRIpZnDtkXTbYwucQxfaQrk8mAQeW4um0OLMqCd4PVkNMpmoi84OSnQl5Si473FvPd0lD ql8J8+Q64Jx7SU8TrEHxCiE+w5g0lAmsjPuigFP+d8lsOXLm2tZqzJvATYq94XSxutaOa9c4/d/y 7ZK6dKvlg+pvUEsBAhQAFAAAAAgAh07iQH7m5SD3AAAA4QEAABMAAAAAAAAAAQAgAAAAOQQAAFtD b250ZW50X1R5cGVzXS54bWxQSwECFAAKAAAAAACHTuJAAAAAAAAAAAAAAAAABgAAAAAAAAAAABAA AAAbAwAAX3JlbHMvUEsBAhQAFAAAAAgAh07iQIoUZjzRAAAAlAEAAAsAAAAAAAAAAQAgAAAAPwMA AF9yZWxzLy5yZWxzUEsBAhQACgAAAAAAh07iQAAAAAAAAAAAAAAAAAQAAAAAAAAAAAAQAAAAAAAA AGRycy9QSwECFAAUAAAACACHTuJANJ2k0NIAAAAEAQAADwAAAAAAAAABACAAAAAiAAAAZHJzL2Rv d25yZXYueG1sUEsBAhQAFAAAAAgAh07iQBWBm9LOAQAAlwMAAA4AAAAAAAAAAQAgAAAAIQEAAGRy cy9lMm9Eb2MueG1sUEsFBgAAAAAGAAYAWQEAAGEFAAAAAA== ">
              <v:fill on="f" focussize="0,0"/>
              <v:stroke on="f"/>
              <v:imagedata o:title=""/>
              <o:lock v:ext="edit" aspectratio="f"/>
              <v:textbox inset="0mm,0mm,0mm,0mm" style="mso-fit-shape-to-text:t;">
                <w:txbxContent>
                  <w:p>
                    <w:pPr>
                      <w:pStyle w:val="52"/>
                      <w:rPr>
                        <w:rFonts w:hint="eastAsia"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84</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635</wp:posOffset>
              </wp:positionV>
              <wp:extent cx="1131570" cy="147955"/>
              <wp:effectExtent l="0" t="0" r="0" b="0"/>
              <wp:wrapNone/>
              <wp:docPr id="3" name="文本框 2"/>
              <wp:cNvGraphicFramePr/>
              <a:graphic xmlns:a="http://schemas.openxmlformats.org/drawingml/2006/main">
                <a:graphicData uri="http://schemas.microsoft.com/office/word/2010/wordprocessingShape">
                  <wps:wsp>
                    <wps:cNvSpPr txBox="1"/>
                    <wps:spPr>
                      <a:xfrm>
                        <a:off x="0" y="0"/>
                        <a:ext cx="1131570" cy="147955"/>
                      </a:xfrm>
                      <a:prstGeom prst="rect">
                        <a:avLst/>
                      </a:prstGeom>
                      <a:noFill/>
                      <a:ln>
                        <a:noFill/>
                      </a:ln>
                    </wps:spPr>
                    <wps:txbx>
                      <w:txbxContent>
                        <w:p>
                          <w:pPr>
                            <w:pStyle w:val="52"/>
                            <w:rPr>
                              <w:rFonts w:hint="eastAsia"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84</w:t>
                          </w:r>
                          <w:r>
                            <w:rPr>
                              <w:rFonts w:hint="eastAsia"/>
                            </w:rPr>
                            <w:fldChar w:fldCharType="end"/>
                          </w:r>
                          <w:r>
                            <w:rPr>
                              <w:rFonts w:hint="eastAsia"/>
                            </w:rPr>
                            <w:t xml:space="preserve"> 页</w:t>
                          </w:r>
                        </w:p>
                      </w:txbxContent>
                    </wps:txbx>
                    <wps:bodyPr wrap="square" lIns="0" tIns="0" rIns="0" bIns="0" upright="0"/>
                  </wps:wsp>
                </a:graphicData>
              </a:graphic>
            </wp:anchor>
          </w:drawing>
        </mc:Choice>
        <mc:Fallback>
          <w:pict>
            <v:shape id="文本框 2" o:spid="_x0000_s1026" o:spt="202" type="#_x0000_t202" style="position:absolute;left:0pt;margin-top:0.05pt;height:11.65pt;width:89.1pt;mso-position-horizontal:center;mso-position-horizontal-relative:margin;z-index:251660288;mso-width-relative:page;mso-height-relative:page;" filled="f" stroked="f" coordsize="21600,21600" o:gfxdata="UEsDBAoAAAAAAIdO4kAAAAAAAAAAAAAAAAAEAAAAZHJzL1BLAwQUAAAACACHTuJAMkrSQ9MAAAAE AQAADwAAAGRycy9kb3ducmV2LnhtbE2PzU7DMBCE70i8g7VI3KjdgEoJcSqE4ISESMOB4ybeJlbj dYjdH94e5wTHnRnNfFtszm4QR5qC9axhuVAgiFtvLHcaPuvXmzWIEJENDp5Jww8F2JSXFwXmxp+4 ouM2diKVcMhRQx/jmEsZ2p4choUfiZO385PDmM6pk2bCUyp3g8yUWkmHltNCjyM999Tutwen4emL qxf7/d58VLvK1vWD4rfVXuvrq6V6BBHpHP/CMOMndCgTU+MPbIIYNKRH4qyK2btfZyAaDdntHciy kP/hy19QSwMEFAAAAAgAh07iQOYQAdrEAQAAgAMAAA4AAABkcnMvZTJvRG9jLnhtbK1TzY7TMBC+ I/EOlu80TZeyEDVdCVWLkBAgLTyA69iNJf8x4zbpC8AbcOLCnefqczBOmi4slz1wccYz42/m+2ay uumdZQcFaIKveTmbc6a8DI3xu5p//nT77CVnmIRvhA1e1fyokN+snz5ZdbFSi9AG2yhgBOKx6mLN 25RiVRQoW+UEzkJUnoI6gBOJrrArGhAdoTtbLObzF0UXoIkQpEIk72YM8jMiPAYwaG2k2gS5d8qn ERWUFYkoYWsi8vXQrdZKpg9ao0rM1pyYpuGkImRv81msV6LagYitkecWxGNaeMDJCeOp6AVqI5Jg ezD/QDkjIWDQaSaDK0YigyLEopw/0OauFVENXEhqjBfR8f/ByveHj8BMU/MrzrxwNPDT92+nH79O P7+yRZani1hR1l2kvNS/Dj0tzeRHcmbWvQaXv8SHUZzEPV7EVX1iMj8qr8rlNYUkxcrn16+WywxT 3L+OgOmNCo5lo+ZAwxs0FYd3mMbUKSUX8+HWWDsM0Pq/HISZPUVufWwxW6nf9mc+29AciU5Hc685 ftkLUJzZt56EzUsyGTAZ28nYRzC7dtii3FCGpcEMLM5LlCf/533Iuv9x1r8B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MkrSQ9MAAAAEAQAADwAAAAAAAAABACAAAAAiAAAAZHJzL2Rvd25yZXYueG1s UEsBAhQAFAAAAAgAh07iQOYQAdrEAQAAgAMAAA4AAAAAAAAAAQAgAAAAIgEAAGRycy9lMm9Eb2Mu eG1sUEsFBgAAAAAGAAYAWQEAAFgFAAAAAA== ">
              <v:fill on="f" focussize="0,0"/>
              <v:stroke on="f"/>
              <v:imagedata o:title=""/>
              <o:lock v:ext="edit" aspectratio="f"/>
              <v:textbox inset="0mm,0mm,0mm,0mm">
                <w:txbxContent>
                  <w:p>
                    <w:pPr>
                      <w:pStyle w:val="52"/>
                      <w:rPr>
                        <w:rFonts w:hint="eastAsia"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84</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407D28"/>
    <w:multiLevelType w:val="multilevel"/>
    <w:tmpl w:val="0D407D28"/>
    <w:lvl w:ilvl="0" w:tentative="0">
      <w:start w:val="1"/>
      <w:numFmt w:val="bullet"/>
      <w:pStyle w:val="371"/>
      <w:lvlText w:val=""/>
      <w:lvlJc w:val="left"/>
      <w:pPr>
        <w:tabs>
          <w:tab w:val="left" w:pos="795"/>
        </w:tabs>
        <w:ind w:left="795" w:hanging="420"/>
      </w:pPr>
      <w:rPr>
        <w:rFonts w:hint="default" w:ascii="Wingdings" w:hAnsi="Wingdings"/>
        <w:lang w:eastAsia="zh-CN"/>
      </w:rPr>
    </w:lvl>
    <w:lvl w:ilvl="1" w:tentative="0">
      <w:start w:val="1"/>
      <w:numFmt w:val="bullet"/>
      <w:lvlText w:val=""/>
      <w:lvlJc w:val="left"/>
      <w:pPr>
        <w:tabs>
          <w:tab w:val="left" w:pos="1215"/>
        </w:tabs>
        <w:ind w:left="1215" w:hanging="420"/>
      </w:pPr>
      <w:rPr>
        <w:rFonts w:hint="default" w:ascii="Wingdings" w:hAnsi="Wingdings"/>
      </w:rPr>
    </w:lvl>
    <w:lvl w:ilvl="2" w:tentative="0">
      <w:start w:val="1"/>
      <w:numFmt w:val="bullet"/>
      <w:lvlText w:val=""/>
      <w:lvlJc w:val="left"/>
      <w:pPr>
        <w:tabs>
          <w:tab w:val="left" w:pos="1635"/>
        </w:tabs>
        <w:ind w:left="1635" w:hanging="420"/>
      </w:pPr>
      <w:rPr>
        <w:rFonts w:hint="default" w:ascii="Wingdings" w:hAnsi="Wingdings"/>
      </w:rPr>
    </w:lvl>
    <w:lvl w:ilvl="3" w:tentative="0">
      <w:start w:val="1"/>
      <w:numFmt w:val="bullet"/>
      <w:lvlText w:val=""/>
      <w:lvlJc w:val="left"/>
      <w:pPr>
        <w:tabs>
          <w:tab w:val="left" w:pos="2055"/>
        </w:tabs>
        <w:ind w:left="2055" w:hanging="420"/>
      </w:pPr>
      <w:rPr>
        <w:rFonts w:hint="default" w:ascii="Wingdings" w:hAnsi="Wingdings"/>
      </w:rPr>
    </w:lvl>
    <w:lvl w:ilvl="4" w:tentative="0">
      <w:start w:val="1"/>
      <w:numFmt w:val="bullet"/>
      <w:lvlText w:val=""/>
      <w:lvlJc w:val="left"/>
      <w:pPr>
        <w:tabs>
          <w:tab w:val="left" w:pos="2475"/>
        </w:tabs>
        <w:ind w:left="2475" w:hanging="420"/>
      </w:pPr>
      <w:rPr>
        <w:rFonts w:hint="default" w:ascii="Wingdings" w:hAnsi="Wingdings"/>
      </w:rPr>
    </w:lvl>
    <w:lvl w:ilvl="5" w:tentative="0">
      <w:start w:val="1"/>
      <w:numFmt w:val="bullet"/>
      <w:lvlText w:val=""/>
      <w:lvlJc w:val="left"/>
      <w:pPr>
        <w:tabs>
          <w:tab w:val="left" w:pos="2895"/>
        </w:tabs>
        <w:ind w:left="2895" w:hanging="420"/>
      </w:pPr>
      <w:rPr>
        <w:rFonts w:hint="default" w:ascii="Wingdings" w:hAnsi="Wingdings"/>
      </w:rPr>
    </w:lvl>
    <w:lvl w:ilvl="6" w:tentative="0">
      <w:start w:val="1"/>
      <w:numFmt w:val="bullet"/>
      <w:lvlText w:val=""/>
      <w:lvlJc w:val="left"/>
      <w:pPr>
        <w:tabs>
          <w:tab w:val="left" w:pos="3315"/>
        </w:tabs>
        <w:ind w:left="3315" w:hanging="420"/>
      </w:pPr>
      <w:rPr>
        <w:rFonts w:hint="default" w:ascii="Wingdings" w:hAnsi="Wingdings"/>
      </w:rPr>
    </w:lvl>
    <w:lvl w:ilvl="7" w:tentative="0">
      <w:start w:val="1"/>
      <w:numFmt w:val="bullet"/>
      <w:lvlText w:val=""/>
      <w:lvlJc w:val="left"/>
      <w:pPr>
        <w:tabs>
          <w:tab w:val="left" w:pos="3735"/>
        </w:tabs>
        <w:ind w:left="3735" w:hanging="420"/>
      </w:pPr>
      <w:rPr>
        <w:rFonts w:hint="default" w:ascii="Wingdings" w:hAnsi="Wingdings"/>
      </w:rPr>
    </w:lvl>
    <w:lvl w:ilvl="8" w:tentative="0">
      <w:start w:val="1"/>
      <w:numFmt w:val="bullet"/>
      <w:lvlText w:val=""/>
      <w:lvlJc w:val="left"/>
      <w:pPr>
        <w:tabs>
          <w:tab w:val="left" w:pos="4155"/>
        </w:tabs>
        <w:ind w:left="4155" w:hanging="420"/>
      </w:pPr>
      <w:rPr>
        <w:rFonts w:hint="default" w:ascii="Wingdings" w:hAnsi="Wingdings"/>
      </w:rPr>
    </w:lvl>
  </w:abstractNum>
  <w:abstractNum w:abstractNumId="1">
    <w:nsid w:val="0FB26183"/>
    <w:multiLevelType w:val="multilevel"/>
    <w:tmpl w:val="0FB26183"/>
    <w:lvl w:ilvl="0" w:tentative="0">
      <w:start w:val="1"/>
      <w:numFmt w:val="bullet"/>
      <w:pStyle w:val="15"/>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58F4D9C6"/>
    <w:multiLevelType w:val="singleLevel"/>
    <w:tmpl w:val="58F4D9C6"/>
    <w:lvl w:ilvl="0" w:tentative="0">
      <w:start w:val="3"/>
      <w:numFmt w:val="decimal"/>
      <w:suff w:val="nothing"/>
      <w:lvlText w:val="%1、"/>
      <w:lvlJc w:val="left"/>
      <w:pPr>
        <w:ind w:left="150"/>
      </w:pPr>
    </w:lvl>
  </w:abstractNum>
  <w:abstractNum w:abstractNumId="3">
    <w:nsid w:val="5BCF60D9"/>
    <w:multiLevelType w:val="singleLevel"/>
    <w:tmpl w:val="5BCF60D9"/>
    <w:lvl w:ilvl="0" w:tentative="0">
      <w:start w:val="1"/>
      <w:numFmt w:val="bullet"/>
      <w:pStyle w:val="443"/>
      <w:lvlText w:val=""/>
      <w:lvlJc w:val="left"/>
      <w:pPr>
        <w:tabs>
          <w:tab w:val="left" w:pos="425"/>
        </w:tabs>
        <w:ind w:left="425" w:hanging="425"/>
      </w:pPr>
      <w:rPr>
        <w:rFonts w:hint="default" w:ascii="Wingdings" w:hAnsi="Wingdings"/>
      </w:rPr>
    </w:lvl>
  </w:abstractNum>
  <w:abstractNum w:abstractNumId="4">
    <w:nsid w:val="60AE39CC"/>
    <w:multiLevelType w:val="multilevel"/>
    <w:tmpl w:val="60AE39CC"/>
    <w:lvl w:ilvl="0" w:tentative="0">
      <w:start w:val="1"/>
      <w:numFmt w:val="chineseCountingThousand"/>
      <w:pStyle w:val="131"/>
      <w:lvlText w:val="第%1章"/>
      <w:lvlJc w:val="center"/>
      <w:pPr>
        <w:tabs>
          <w:tab w:val="left" w:pos="-839"/>
        </w:tabs>
        <w:ind w:left="1320" w:hanging="1320"/>
      </w:pPr>
      <w:rPr>
        <w:rFonts w:hint="default" w:ascii="??" w:hAnsi="??"/>
        <w:b/>
        <w:i w:val="0"/>
        <w:color w:val="auto"/>
        <w:sz w:val="32"/>
        <w:szCs w:val="32"/>
      </w:rPr>
    </w:lvl>
    <w:lvl w:ilvl="1" w:tentative="0">
      <w:start w:val="1"/>
      <w:numFmt w:val="none"/>
      <w:lvlText w:val=" "/>
      <w:lvlJc w:val="left"/>
      <w:pPr>
        <w:tabs>
          <w:tab w:val="left" w:pos="576"/>
        </w:tabs>
        <w:ind w:left="576" w:hanging="576"/>
      </w:pPr>
    </w:lvl>
    <w:lvl w:ilvl="2" w:tentative="0">
      <w:start w:val="1"/>
      <w:numFmt w:val="none"/>
      <w:pStyle w:val="7"/>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pStyle w:val="10"/>
      <w:lvlText w:val="           "/>
      <w:lvlJc w:val="left"/>
      <w:pPr>
        <w:tabs>
          <w:tab w:val="left" w:pos="1440"/>
        </w:tabs>
        <w:ind w:left="1152" w:hanging="1152"/>
      </w:pPr>
    </w:lvl>
    <w:lvl w:ilvl="6" w:tentative="0">
      <w:start w:val="1"/>
      <w:numFmt w:val="decimal"/>
      <w:pStyle w:val="11"/>
      <w:lvlText w:val="%1.%2.%3.%4.%5.%6.%7"/>
      <w:lvlJc w:val="left"/>
      <w:pPr>
        <w:tabs>
          <w:tab w:val="left" w:pos="2520"/>
        </w:tabs>
        <w:ind w:left="1296" w:hanging="1296"/>
      </w:pPr>
    </w:lvl>
    <w:lvl w:ilvl="7" w:tentative="0">
      <w:start w:val="1"/>
      <w:numFmt w:val="decimal"/>
      <w:pStyle w:val="12"/>
      <w:lvlText w:val="%1.%2.%3.%4.%5.%6.%7.%8"/>
      <w:lvlJc w:val="left"/>
      <w:pPr>
        <w:tabs>
          <w:tab w:val="left" w:pos="1440"/>
        </w:tabs>
        <w:ind w:left="1440" w:hanging="1440"/>
      </w:pPr>
    </w:lvl>
    <w:lvl w:ilvl="8" w:tentative="0">
      <w:start w:val="1"/>
      <w:numFmt w:val="decimal"/>
      <w:pStyle w:val="13"/>
      <w:lvlText w:val="%1.%2.%3.%4.%5.%6.%7.%8.%9"/>
      <w:lvlJc w:val="left"/>
      <w:pPr>
        <w:tabs>
          <w:tab w:val="left" w:pos="1584"/>
        </w:tabs>
        <w:ind w:left="1584" w:hanging="1584"/>
      </w:pPr>
    </w:lvl>
  </w:abstractNum>
  <w:abstractNum w:abstractNumId="5">
    <w:nsid w:val="621D3DF3"/>
    <w:multiLevelType w:val="multilevel"/>
    <w:tmpl w:val="621D3DF3"/>
    <w:lvl w:ilvl="0" w:tentative="0">
      <w:start w:val="1"/>
      <w:numFmt w:val="bullet"/>
      <w:pStyle w:val="342"/>
      <w:lvlText w:val=""/>
      <w:lvlJc w:val="left"/>
      <w:pPr>
        <w:tabs>
          <w:tab w:val="left" w:pos="720"/>
        </w:tabs>
        <w:ind w:left="72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65316F3"/>
    <w:multiLevelType w:val="multilevel"/>
    <w:tmpl w:val="765316F3"/>
    <w:lvl w:ilvl="0" w:tentative="0">
      <w:start w:val="1"/>
      <w:numFmt w:val="chineseCountingThousand"/>
      <w:pStyle w:val="6"/>
      <w:lvlText w:val="%1、"/>
      <w:lvlJc w:val="left"/>
      <w:pPr>
        <w:tabs>
          <w:tab w:val="left" w:pos="1110"/>
        </w:tabs>
        <w:ind w:left="106" w:firstLine="454"/>
      </w:pPr>
      <w:rPr>
        <w:rFonts w:hint="default" w:ascii="??" w:hAnsi="??" w:eastAsia="??"/>
        <w:b/>
        <w:i w:val="0"/>
        <w:iCs w:val="0"/>
        <w:caps w:val="0"/>
        <w:smallCaps w:val="0"/>
        <w:strike w:val="0"/>
        <w:dstrike w:val="0"/>
        <w:outline w:val="0"/>
        <w:shadow w:val="0"/>
        <w:emboss w:val="0"/>
        <w:imprint w:val="0"/>
        <w:vanish w:val="0"/>
        <w:spacing w:val="0"/>
        <w:position w:val="0"/>
        <w:sz w:val="21"/>
        <w:szCs w:val="21"/>
        <w:u w:val="none"/>
        <w:vertAlign w:val="baseline"/>
      </w:rPr>
    </w:lvl>
    <w:lvl w:ilvl="1" w:tentative="0">
      <w:start w:val="1"/>
      <w:numFmt w:val="lowerLetter"/>
      <w:lvlText w:val="%2)"/>
      <w:lvlJc w:val="left"/>
      <w:pPr>
        <w:tabs>
          <w:tab w:val="left" w:pos="1149"/>
        </w:tabs>
        <w:ind w:left="1149" w:hanging="420"/>
      </w:pPr>
    </w:lvl>
    <w:lvl w:ilvl="2" w:tentative="0">
      <w:start w:val="2"/>
      <w:numFmt w:val="japaneseCounting"/>
      <w:lvlText w:val="(%3)"/>
      <w:lvlJc w:val="left"/>
      <w:pPr>
        <w:tabs>
          <w:tab w:val="left" w:pos="1569"/>
        </w:tabs>
        <w:ind w:left="1569" w:hanging="420"/>
      </w:pPr>
    </w:lvl>
    <w:lvl w:ilvl="3" w:tentative="0">
      <w:start w:val="1"/>
      <w:numFmt w:val="japaneseCounting"/>
      <w:lvlText w:val="（%4）"/>
      <w:lvlJc w:val="left"/>
      <w:pPr>
        <w:tabs>
          <w:tab w:val="left" w:pos="2289"/>
        </w:tabs>
        <w:ind w:left="2289" w:hanging="720"/>
      </w:pPr>
    </w:lvl>
    <w:lvl w:ilvl="4" w:tentative="0">
      <w:start w:val="3"/>
      <w:numFmt w:val="japaneseCounting"/>
      <w:lvlText w:val="%5、"/>
      <w:lvlJc w:val="left"/>
      <w:pPr>
        <w:tabs>
          <w:tab w:val="left" w:pos="2409"/>
        </w:tabs>
        <w:ind w:left="2409" w:hanging="420"/>
      </w:pPr>
    </w:lvl>
    <w:lvl w:ilvl="5" w:tentative="0">
      <w:start w:val="1"/>
      <w:numFmt w:val="decimal"/>
      <w:lvlText w:val="%6、"/>
      <w:lvlJc w:val="left"/>
      <w:pPr>
        <w:tabs>
          <w:tab w:val="left" w:pos="3144"/>
        </w:tabs>
        <w:ind w:left="3144" w:hanging="735"/>
      </w:pPr>
      <w:rPr>
        <w:rFonts w:ascii="Times New Roman" w:hAnsi="Times New Roman" w:eastAsia="宋体" w:cs="Times New Roman"/>
      </w:rPr>
    </w:lvl>
    <w:lvl w:ilvl="6" w:tentative="0">
      <w:start w:val="1"/>
      <w:numFmt w:val="decimal"/>
      <w:lvlText w:val="%7."/>
      <w:lvlJc w:val="left"/>
      <w:pPr>
        <w:tabs>
          <w:tab w:val="left" w:pos="3249"/>
        </w:tabs>
        <w:ind w:left="3249" w:hanging="420"/>
      </w:pPr>
    </w:lvl>
    <w:lvl w:ilvl="7" w:tentative="0">
      <w:start w:val="1"/>
      <w:numFmt w:val="lowerLetter"/>
      <w:lvlText w:val="%8)"/>
      <w:lvlJc w:val="left"/>
      <w:pPr>
        <w:tabs>
          <w:tab w:val="left" w:pos="3669"/>
        </w:tabs>
        <w:ind w:left="3669" w:hanging="420"/>
      </w:pPr>
    </w:lvl>
    <w:lvl w:ilvl="8" w:tentative="0">
      <w:start w:val="1"/>
      <w:numFmt w:val="lowerRoman"/>
      <w:lvlText w:val="%9."/>
      <w:lvlJc w:val="right"/>
      <w:pPr>
        <w:tabs>
          <w:tab w:val="left" w:pos="4089"/>
        </w:tabs>
        <w:ind w:left="4089" w:hanging="420"/>
      </w:pPr>
    </w:lvl>
  </w:abstractNum>
  <w:abstractNum w:abstractNumId="7">
    <w:nsid w:val="79EB7B22"/>
    <w:multiLevelType w:val="multilevel"/>
    <w:tmpl w:val="79EB7B22"/>
    <w:lvl w:ilvl="0" w:tentative="0">
      <w:start w:val="1"/>
      <w:numFmt w:val="bullet"/>
      <w:pStyle w:val="349"/>
      <w:lvlText w:val=""/>
      <w:lvlJc w:val="left"/>
      <w:pPr>
        <w:tabs>
          <w:tab w:val="left" w:pos="700"/>
        </w:tabs>
        <w:ind w:left="700" w:hanging="420"/>
      </w:pPr>
      <w:rPr>
        <w:rFonts w:hint="default" w:ascii="Wingdings" w:hAnsi="Wingdings"/>
      </w:rPr>
    </w:lvl>
    <w:lvl w:ilvl="1" w:tentative="0">
      <w:start w:val="1"/>
      <w:numFmt w:val="bullet"/>
      <w:lvlText w:val=""/>
      <w:lvlJc w:val="left"/>
      <w:pPr>
        <w:tabs>
          <w:tab w:val="left" w:pos="1120"/>
        </w:tabs>
        <w:ind w:left="1120" w:hanging="420"/>
      </w:pPr>
      <w:rPr>
        <w:rFonts w:hint="default" w:ascii="Wingdings" w:hAnsi="Wingdings"/>
      </w:rPr>
    </w:lvl>
    <w:lvl w:ilvl="2" w:tentative="0">
      <w:start w:val="1"/>
      <w:numFmt w:val="bullet"/>
      <w:lvlText w:val=""/>
      <w:lvlJc w:val="left"/>
      <w:pPr>
        <w:tabs>
          <w:tab w:val="left" w:pos="1540"/>
        </w:tabs>
        <w:ind w:left="1540" w:hanging="420"/>
      </w:pPr>
      <w:rPr>
        <w:rFonts w:hint="default" w:ascii="Wingdings" w:hAnsi="Wingdings"/>
      </w:rPr>
    </w:lvl>
    <w:lvl w:ilvl="3" w:tentative="0">
      <w:start w:val="1"/>
      <w:numFmt w:val="bullet"/>
      <w:lvlText w:val=""/>
      <w:lvlJc w:val="left"/>
      <w:pPr>
        <w:tabs>
          <w:tab w:val="left" w:pos="1960"/>
        </w:tabs>
        <w:ind w:left="1960" w:hanging="420"/>
      </w:pPr>
      <w:rPr>
        <w:rFonts w:hint="default" w:ascii="Wingdings" w:hAnsi="Wingdings"/>
      </w:rPr>
    </w:lvl>
    <w:lvl w:ilvl="4" w:tentative="0">
      <w:start w:val="1"/>
      <w:numFmt w:val="bullet"/>
      <w:lvlText w:val=""/>
      <w:lvlJc w:val="left"/>
      <w:pPr>
        <w:tabs>
          <w:tab w:val="left" w:pos="2380"/>
        </w:tabs>
        <w:ind w:left="2380" w:hanging="420"/>
      </w:pPr>
      <w:rPr>
        <w:rFonts w:hint="default" w:ascii="Wingdings" w:hAnsi="Wingdings"/>
      </w:rPr>
    </w:lvl>
    <w:lvl w:ilvl="5" w:tentative="0">
      <w:start w:val="1"/>
      <w:numFmt w:val="bullet"/>
      <w:lvlText w:val=""/>
      <w:lvlJc w:val="left"/>
      <w:pPr>
        <w:tabs>
          <w:tab w:val="left" w:pos="2800"/>
        </w:tabs>
        <w:ind w:left="2800" w:hanging="420"/>
      </w:pPr>
      <w:rPr>
        <w:rFonts w:hint="default" w:ascii="Wingdings" w:hAnsi="Wingdings"/>
      </w:rPr>
    </w:lvl>
    <w:lvl w:ilvl="6" w:tentative="0">
      <w:start w:val="1"/>
      <w:numFmt w:val="bullet"/>
      <w:lvlText w:val=""/>
      <w:lvlJc w:val="left"/>
      <w:pPr>
        <w:tabs>
          <w:tab w:val="left" w:pos="3220"/>
        </w:tabs>
        <w:ind w:left="3220" w:hanging="420"/>
      </w:pPr>
      <w:rPr>
        <w:rFonts w:hint="default" w:ascii="Wingdings" w:hAnsi="Wingdings"/>
      </w:rPr>
    </w:lvl>
    <w:lvl w:ilvl="7" w:tentative="0">
      <w:start w:val="1"/>
      <w:numFmt w:val="bullet"/>
      <w:lvlText w:val=""/>
      <w:lvlJc w:val="left"/>
      <w:pPr>
        <w:tabs>
          <w:tab w:val="left" w:pos="3640"/>
        </w:tabs>
        <w:ind w:left="3640" w:hanging="420"/>
      </w:pPr>
      <w:rPr>
        <w:rFonts w:hint="default" w:ascii="Wingdings" w:hAnsi="Wingdings"/>
      </w:rPr>
    </w:lvl>
    <w:lvl w:ilvl="8" w:tentative="0">
      <w:start w:val="1"/>
      <w:numFmt w:val="bullet"/>
      <w:lvlText w:val=""/>
      <w:lvlJc w:val="left"/>
      <w:pPr>
        <w:tabs>
          <w:tab w:val="left" w:pos="4060"/>
        </w:tabs>
        <w:ind w:left="4060" w:hanging="420"/>
      </w:pPr>
      <w:rPr>
        <w:rFonts w:hint="default" w:ascii="Wingdings" w:hAnsi="Wingdings"/>
      </w:rPr>
    </w:lvl>
  </w:abstractNum>
  <w:num w:numId="1">
    <w:abstractNumId w:val="6"/>
  </w:num>
  <w:num w:numId="2">
    <w:abstractNumId w:val="4"/>
  </w:num>
  <w:num w:numId="3">
    <w:abstractNumId w:val="1"/>
  </w:num>
  <w:num w:numId="4">
    <w:abstractNumId w:val="5"/>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210"/>
  <w:drawingGridVerticalSpacing w:val="-794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97"/>
    <w:rsid w:val="0000282A"/>
    <w:rsid w:val="00004E47"/>
    <w:rsid w:val="000107B1"/>
    <w:rsid w:val="00012442"/>
    <w:rsid w:val="00012D7C"/>
    <w:rsid w:val="00014366"/>
    <w:rsid w:val="000151AB"/>
    <w:rsid w:val="00016A50"/>
    <w:rsid w:val="00016EFE"/>
    <w:rsid w:val="000204DE"/>
    <w:rsid w:val="00021A6C"/>
    <w:rsid w:val="00027FE8"/>
    <w:rsid w:val="000309C5"/>
    <w:rsid w:val="0003345D"/>
    <w:rsid w:val="00035520"/>
    <w:rsid w:val="00035599"/>
    <w:rsid w:val="00035E30"/>
    <w:rsid w:val="00035F17"/>
    <w:rsid w:val="00037BD3"/>
    <w:rsid w:val="0004192E"/>
    <w:rsid w:val="000446F6"/>
    <w:rsid w:val="0004700C"/>
    <w:rsid w:val="00047C00"/>
    <w:rsid w:val="0005137E"/>
    <w:rsid w:val="00052314"/>
    <w:rsid w:val="000530E1"/>
    <w:rsid w:val="00054058"/>
    <w:rsid w:val="00054724"/>
    <w:rsid w:val="0005617B"/>
    <w:rsid w:val="0005626E"/>
    <w:rsid w:val="00056DFC"/>
    <w:rsid w:val="00057D8F"/>
    <w:rsid w:val="000607F4"/>
    <w:rsid w:val="000618C3"/>
    <w:rsid w:val="00062A83"/>
    <w:rsid w:val="0006385B"/>
    <w:rsid w:val="000648A1"/>
    <w:rsid w:val="000660ED"/>
    <w:rsid w:val="00067CF5"/>
    <w:rsid w:val="00070FB5"/>
    <w:rsid w:val="00073C8D"/>
    <w:rsid w:val="00074029"/>
    <w:rsid w:val="00076141"/>
    <w:rsid w:val="00077434"/>
    <w:rsid w:val="00077570"/>
    <w:rsid w:val="00080A6A"/>
    <w:rsid w:val="000812E5"/>
    <w:rsid w:val="00082827"/>
    <w:rsid w:val="000844B5"/>
    <w:rsid w:val="000851F5"/>
    <w:rsid w:val="00092737"/>
    <w:rsid w:val="000935FD"/>
    <w:rsid w:val="000B2120"/>
    <w:rsid w:val="000B2178"/>
    <w:rsid w:val="000B339B"/>
    <w:rsid w:val="000B4324"/>
    <w:rsid w:val="000B50E5"/>
    <w:rsid w:val="000B6B43"/>
    <w:rsid w:val="000C2E28"/>
    <w:rsid w:val="000C5C3D"/>
    <w:rsid w:val="000C62A5"/>
    <w:rsid w:val="000D0532"/>
    <w:rsid w:val="000D34BB"/>
    <w:rsid w:val="000D353A"/>
    <w:rsid w:val="000D3C9F"/>
    <w:rsid w:val="000E02E5"/>
    <w:rsid w:val="000E18EA"/>
    <w:rsid w:val="000E259E"/>
    <w:rsid w:val="000E2E75"/>
    <w:rsid w:val="000E3079"/>
    <w:rsid w:val="000E60D3"/>
    <w:rsid w:val="000E627E"/>
    <w:rsid w:val="000E678D"/>
    <w:rsid w:val="000E6894"/>
    <w:rsid w:val="000E72DD"/>
    <w:rsid w:val="000F06D0"/>
    <w:rsid w:val="000F15D4"/>
    <w:rsid w:val="000F21CE"/>
    <w:rsid w:val="000F28F9"/>
    <w:rsid w:val="000F6F52"/>
    <w:rsid w:val="000F78B3"/>
    <w:rsid w:val="000F78E2"/>
    <w:rsid w:val="0010081E"/>
    <w:rsid w:val="00100EFC"/>
    <w:rsid w:val="00102F93"/>
    <w:rsid w:val="0010472C"/>
    <w:rsid w:val="00107F09"/>
    <w:rsid w:val="001101B8"/>
    <w:rsid w:val="00111535"/>
    <w:rsid w:val="001124F2"/>
    <w:rsid w:val="001125F4"/>
    <w:rsid w:val="001135A8"/>
    <w:rsid w:val="00114B5E"/>
    <w:rsid w:val="001219BA"/>
    <w:rsid w:val="00123EB7"/>
    <w:rsid w:val="00126CF3"/>
    <w:rsid w:val="00127579"/>
    <w:rsid w:val="001337E3"/>
    <w:rsid w:val="00135386"/>
    <w:rsid w:val="0013617B"/>
    <w:rsid w:val="00136BCA"/>
    <w:rsid w:val="00136BF9"/>
    <w:rsid w:val="001372F7"/>
    <w:rsid w:val="00140B75"/>
    <w:rsid w:val="00141C35"/>
    <w:rsid w:val="00143934"/>
    <w:rsid w:val="001470F3"/>
    <w:rsid w:val="0015111D"/>
    <w:rsid w:val="001526DB"/>
    <w:rsid w:val="001531D5"/>
    <w:rsid w:val="0015456E"/>
    <w:rsid w:val="00160D6E"/>
    <w:rsid w:val="00163965"/>
    <w:rsid w:val="00163FC5"/>
    <w:rsid w:val="00164596"/>
    <w:rsid w:val="00166B64"/>
    <w:rsid w:val="001675A1"/>
    <w:rsid w:val="00167A82"/>
    <w:rsid w:val="00172613"/>
    <w:rsid w:val="00174AD9"/>
    <w:rsid w:val="00182875"/>
    <w:rsid w:val="00184B37"/>
    <w:rsid w:val="00184F02"/>
    <w:rsid w:val="00184F2D"/>
    <w:rsid w:val="00185231"/>
    <w:rsid w:val="00185961"/>
    <w:rsid w:val="0018640F"/>
    <w:rsid w:val="00187DB0"/>
    <w:rsid w:val="00191BE9"/>
    <w:rsid w:val="00196B08"/>
    <w:rsid w:val="00196C4E"/>
    <w:rsid w:val="00196E80"/>
    <w:rsid w:val="00197AA5"/>
    <w:rsid w:val="001A5043"/>
    <w:rsid w:val="001B5734"/>
    <w:rsid w:val="001B580D"/>
    <w:rsid w:val="001B59C3"/>
    <w:rsid w:val="001C3AFE"/>
    <w:rsid w:val="001C4F32"/>
    <w:rsid w:val="001D29AC"/>
    <w:rsid w:val="001D5213"/>
    <w:rsid w:val="001D79FC"/>
    <w:rsid w:val="001E1DAF"/>
    <w:rsid w:val="001E1E79"/>
    <w:rsid w:val="001E34A3"/>
    <w:rsid w:val="001E394A"/>
    <w:rsid w:val="001E4F1B"/>
    <w:rsid w:val="001F0A8E"/>
    <w:rsid w:val="001F2C53"/>
    <w:rsid w:val="001F31FE"/>
    <w:rsid w:val="001F38FB"/>
    <w:rsid w:val="001F3B2E"/>
    <w:rsid w:val="001F7650"/>
    <w:rsid w:val="00200ACD"/>
    <w:rsid w:val="00203490"/>
    <w:rsid w:val="00203701"/>
    <w:rsid w:val="00203B60"/>
    <w:rsid w:val="00203D36"/>
    <w:rsid w:val="00205A55"/>
    <w:rsid w:val="00205AD1"/>
    <w:rsid w:val="00206BB9"/>
    <w:rsid w:val="00206C60"/>
    <w:rsid w:val="0020701C"/>
    <w:rsid w:val="0020701D"/>
    <w:rsid w:val="002075BD"/>
    <w:rsid w:val="002116FD"/>
    <w:rsid w:val="00211ED7"/>
    <w:rsid w:val="00212738"/>
    <w:rsid w:val="0021732D"/>
    <w:rsid w:val="00217C72"/>
    <w:rsid w:val="00220040"/>
    <w:rsid w:val="00220EB5"/>
    <w:rsid w:val="0022671F"/>
    <w:rsid w:val="00232A60"/>
    <w:rsid w:val="00234313"/>
    <w:rsid w:val="002348B5"/>
    <w:rsid w:val="0023705B"/>
    <w:rsid w:val="002373CC"/>
    <w:rsid w:val="00240508"/>
    <w:rsid w:val="002405EF"/>
    <w:rsid w:val="00240603"/>
    <w:rsid w:val="002417B5"/>
    <w:rsid w:val="00242D52"/>
    <w:rsid w:val="002465B1"/>
    <w:rsid w:val="00246C46"/>
    <w:rsid w:val="002519A6"/>
    <w:rsid w:val="00253A44"/>
    <w:rsid w:val="00253C6A"/>
    <w:rsid w:val="00256E7A"/>
    <w:rsid w:val="00261514"/>
    <w:rsid w:val="002616AC"/>
    <w:rsid w:val="00262035"/>
    <w:rsid w:val="00262292"/>
    <w:rsid w:val="00264B8C"/>
    <w:rsid w:val="00264B90"/>
    <w:rsid w:val="002652E2"/>
    <w:rsid w:val="00271E8C"/>
    <w:rsid w:val="00272DB1"/>
    <w:rsid w:val="00280D24"/>
    <w:rsid w:val="00281B57"/>
    <w:rsid w:val="002833DF"/>
    <w:rsid w:val="00283722"/>
    <w:rsid w:val="002844EF"/>
    <w:rsid w:val="002859CC"/>
    <w:rsid w:val="00286E9C"/>
    <w:rsid w:val="002913BB"/>
    <w:rsid w:val="00292946"/>
    <w:rsid w:val="00292EA6"/>
    <w:rsid w:val="002931FE"/>
    <w:rsid w:val="00293F66"/>
    <w:rsid w:val="0029400F"/>
    <w:rsid w:val="00297024"/>
    <w:rsid w:val="00297DE5"/>
    <w:rsid w:val="002A2975"/>
    <w:rsid w:val="002A3134"/>
    <w:rsid w:val="002A3AA3"/>
    <w:rsid w:val="002A3E5D"/>
    <w:rsid w:val="002A45BB"/>
    <w:rsid w:val="002A4DA4"/>
    <w:rsid w:val="002A5B70"/>
    <w:rsid w:val="002A69C6"/>
    <w:rsid w:val="002A73C9"/>
    <w:rsid w:val="002A7BD8"/>
    <w:rsid w:val="002B0378"/>
    <w:rsid w:val="002B1D9D"/>
    <w:rsid w:val="002B2761"/>
    <w:rsid w:val="002B6A2B"/>
    <w:rsid w:val="002B6BED"/>
    <w:rsid w:val="002C1467"/>
    <w:rsid w:val="002C5E7F"/>
    <w:rsid w:val="002D1D0B"/>
    <w:rsid w:val="002D1EC8"/>
    <w:rsid w:val="002D36AD"/>
    <w:rsid w:val="002E1E56"/>
    <w:rsid w:val="002E271C"/>
    <w:rsid w:val="002E4BBB"/>
    <w:rsid w:val="002E62DC"/>
    <w:rsid w:val="002E7954"/>
    <w:rsid w:val="002E7CB4"/>
    <w:rsid w:val="002F07FE"/>
    <w:rsid w:val="002F132E"/>
    <w:rsid w:val="002F38B7"/>
    <w:rsid w:val="002F6BA9"/>
    <w:rsid w:val="003016CD"/>
    <w:rsid w:val="00304332"/>
    <w:rsid w:val="0030537F"/>
    <w:rsid w:val="00305C03"/>
    <w:rsid w:val="00307542"/>
    <w:rsid w:val="00307EC9"/>
    <w:rsid w:val="00310230"/>
    <w:rsid w:val="00311D86"/>
    <w:rsid w:val="003121A6"/>
    <w:rsid w:val="00315B4B"/>
    <w:rsid w:val="00316398"/>
    <w:rsid w:val="00317A11"/>
    <w:rsid w:val="00320953"/>
    <w:rsid w:val="00321E94"/>
    <w:rsid w:val="00323F0C"/>
    <w:rsid w:val="00326100"/>
    <w:rsid w:val="00326DB1"/>
    <w:rsid w:val="00331293"/>
    <w:rsid w:val="00332FAF"/>
    <w:rsid w:val="00334039"/>
    <w:rsid w:val="00334E12"/>
    <w:rsid w:val="00334EC2"/>
    <w:rsid w:val="0033597A"/>
    <w:rsid w:val="003366AF"/>
    <w:rsid w:val="003378D6"/>
    <w:rsid w:val="00337D84"/>
    <w:rsid w:val="00340B07"/>
    <w:rsid w:val="00342926"/>
    <w:rsid w:val="0034428F"/>
    <w:rsid w:val="003453F2"/>
    <w:rsid w:val="00347607"/>
    <w:rsid w:val="0035022A"/>
    <w:rsid w:val="0035272E"/>
    <w:rsid w:val="003541B9"/>
    <w:rsid w:val="003547C4"/>
    <w:rsid w:val="00355517"/>
    <w:rsid w:val="003573AC"/>
    <w:rsid w:val="003574BA"/>
    <w:rsid w:val="00366F88"/>
    <w:rsid w:val="00370043"/>
    <w:rsid w:val="0037086E"/>
    <w:rsid w:val="00370AA5"/>
    <w:rsid w:val="00370CBD"/>
    <w:rsid w:val="0037155D"/>
    <w:rsid w:val="00375563"/>
    <w:rsid w:val="00380B88"/>
    <w:rsid w:val="00380C50"/>
    <w:rsid w:val="003839D6"/>
    <w:rsid w:val="003841D6"/>
    <w:rsid w:val="003849D8"/>
    <w:rsid w:val="00384A4B"/>
    <w:rsid w:val="00385AC7"/>
    <w:rsid w:val="003873C1"/>
    <w:rsid w:val="00392496"/>
    <w:rsid w:val="00395D04"/>
    <w:rsid w:val="00395FA3"/>
    <w:rsid w:val="003963A5"/>
    <w:rsid w:val="00396B13"/>
    <w:rsid w:val="003A07BB"/>
    <w:rsid w:val="003A1A0F"/>
    <w:rsid w:val="003A2794"/>
    <w:rsid w:val="003A42BB"/>
    <w:rsid w:val="003A53F1"/>
    <w:rsid w:val="003A5CE7"/>
    <w:rsid w:val="003A6CEF"/>
    <w:rsid w:val="003A7270"/>
    <w:rsid w:val="003B00F7"/>
    <w:rsid w:val="003B1AF4"/>
    <w:rsid w:val="003B3A0C"/>
    <w:rsid w:val="003B7157"/>
    <w:rsid w:val="003C30DC"/>
    <w:rsid w:val="003C5FB2"/>
    <w:rsid w:val="003C676E"/>
    <w:rsid w:val="003C6C07"/>
    <w:rsid w:val="003D28E0"/>
    <w:rsid w:val="003D4927"/>
    <w:rsid w:val="003D6731"/>
    <w:rsid w:val="003D693C"/>
    <w:rsid w:val="003D7BDA"/>
    <w:rsid w:val="003E1519"/>
    <w:rsid w:val="003E1D3A"/>
    <w:rsid w:val="003E1EA6"/>
    <w:rsid w:val="003E27E3"/>
    <w:rsid w:val="003E439A"/>
    <w:rsid w:val="003E650B"/>
    <w:rsid w:val="003E6ADA"/>
    <w:rsid w:val="003F120E"/>
    <w:rsid w:val="003F1E86"/>
    <w:rsid w:val="003F2A4D"/>
    <w:rsid w:val="003F3381"/>
    <w:rsid w:val="003F34B5"/>
    <w:rsid w:val="003F7415"/>
    <w:rsid w:val="003F7AF2"/>
    <w:rsid w:val="00400A03"/>
    <w:rsid w:val="00402399"/>
    <w:rsid w:val="00402432"/>
    <w:rsid w:val="00403724"/>
    <w:rsid w:val="00403DEB"/>
    <w:rsid w:val="00404CF6"/>
    <w:rsid w:val="00405A49"/>
    <w:rsid w:val="0040715F"/>
    <w:rsid w:val="004072E8"/>
    <w:rsid w:val="0041255A"/>
    <w:rsid w:val="00412995"/>
    <w:rsid w:val="00413715"/>
    <w:rsid w:val="00413FE9"/>
    <w:rsid w:val="00415734"/>
    <w:rsid w:val="00415FDB"/>
    <w:rsid w:val="00416152"/>
    <w:rsid w:val="00417320"/>
    <w:rsid w:val="00417EA5"/>
    <w:rsid w:val="00420C8D"/>
    <w:rsid w:val="004239DA"/>
    <w:rsid w:val="00424AE5"/>
    <w:rsid w:val="004256C9"/>
    <w:rsid w:val="00426D86"/>
    <w:rsid w:val="00427393"/>
    <w:rsid w:val="004312E5"/>
    <w:rsid w:val="004342D5"/>
    <w:rsid w:val="004346C0"/>
    <w:rsid w:val="00444AF2"/>
    <w:rsid w:val="00445197"/>
    <w:rsid w:val="00450652"/>
    <w:rsid w:val="0045067D"/>
    <w:rsid w:val="0045098F"/>
    <w:rsid w:val="00450F4C"/>
    <w:rsid w:val="0045288E"/>
    <w:rsid w:val="004531DB"/>
    <w:rsid w:val="00461770"/>
    <w:rsid w:val="004619CE"/>
    <w:rsid w:val="004650FC"/>
    <w:rsid w:val="00465BFB"/>
    <w:rsid w:val="0046766B"/>
    <w:rsid w:val="0047101C"/>
    <w:rsid w:val="00473670"/>
    <w:rsid w:val="00475A2C"/>
    <w:rsid w:val="00476772"/>
    <w:rsid w:val="00476BD6"/>
    <w:rsid w:val="004776BF"/>
    <w:rsid w:val="00482B7C"/>
    <w:rsid w:val="00484B3F"/>
    <w:rsid w:val="004857F6"/>
    <w:rsid w:val="00487FE7"/>
    <w:rsid w:val="00491B8C"/>
    <w:rsid w:val="00491C05"/>
    <w:rsid w:val="00494150"/>
    <w:rsid w:val="00494F17"/>
    <w:rsid w:val="0049569F"/>
    <w:rsid w:val="004958DA"/>
    <w:rsid w:val="00497898"/>
    <w:rsid w:val="004A156D"/>
    <w:rsid w:val="004A1CFB"/>
    <w:rsid w:val="004A59DA"/>
    <w:rsid w:val="004A59E9"/>
    <w:rsid w:val="004A6E3A"/>
    <w:rsid w:val="004A77B6"/>
    <w:rsid w:val="004B0E39"/>
    <w:rsid w:val="004B1024"/>
    <w:rsid w:val="004B1E59"/>
    <w:rsid w:val="004B2051"/>
    <w:rsid w:val="004B2541"/>
    <w:rsid w:val="004B2DC5"/>
    <w:rsid w:val="004B5A87"/>
    <w:rsid w:val="004B66ED"/>
    <w:rsid w:val="004B6718"/>
    <w:rsid w:val="004B6948"/>
    <w:rsid w:val="004B7209"/>
    <w:rsid w:val="004C3023"/>
    <w:rsid w:val="004C37F5"/>
    <w:rsid w:val="004C5B5B"/>
    <w:rsid w:val="004C7FE3"/>
    <w:rsid w:val="004D0F50"/>
    <w:rsid w:val="004D5B1A"/>
    <w:rsid w:val="004D63E2"/>
    <w:rsid w:val="004D7F69"/>
    <w:rsid w:val="004E047B"/>
    <w:rsid w:val="004E1BC7"/>
    <w:rsid w:val="004E1C17"/>
    <w:rsid w:val="004E3610"/>
    <w:rsid w:val="004E3FBF"/>
    <w:rsid w:val="004E4874"/>
    <w:rsid w:val="004F00B1"/>
    <w:rsid w:val="004F1B07"/>
    <w:rsid w:val="004F2FE6"/>
    <w:rsid w:val="004F39DE"/>
    <w:rsid w:val="004F45D9"/>
    <w:rsid w:val="004F567A"/>
    <w:rsid w:val="004F5D25"/>
    <w:rsid w:val="004F6A19"/>
    <w:rsid w:val="004F769C"/>
    <w:rsid w:val="004F7752"/>
    <w:rsid w:val="00500AED"/>
    <w:rsid w:val="005012C2"/>
    <w:rsid w:val="005052A3"/>
    <w:rsid w:val="005129B8"/>
    <w:rsid w:val="005133AF"/>
    <w:rsid w:val="0051505F"/>
    <w:rsid w:val="0051558B"/>
    <w:rsid w:val="00516C3D"/>
    <w:rsid w:val="00516F5C"/>
    <w:rsid w:val="005173BD"/>
    <w:rsid w:val="00517C40"/>
    <w:rsid w:val="005230F0"/>
    <w:rsid w:val="0052320B"/>
    <w:rsid w:val="00523C3D"/>
    <w:rsid w:val="00525073"/>
    <w:rsid w:val="0052704D"/>
    <w:rsid w:val="00527B45"/>
    <w:rsid w:val="00531211"/>
    <w:rsid w:val="00531A93"/>
    <w:rsid w:val="00531B55"/>
    <w:rsid w:val="00532052"/>
    <w:rsid w:val="0053332C"/>
    <w:rsid w:val="00534DC1"/>
    <w:rsid w:val="00537A3F"/>
    <w:rsid w:val="0054182B"/>
    <w:rsid w:val="00543218"/>
    <w:rsid w:val="005435BE"/>
    <w:rsid w:val="00545945"/>
    <w:rsid w:val="0054758F"/>
    <w:rsid w:val="00551F3D"/>
    <w:rsid w:val="0055321F"/>
    <w:rsid w:val="00553225"/>
    <w:rsid w:val="00553883"/>
    <w:rsid w:val="00553D3E"/>
    <w:rsid w:val="00554798"/>
    <w:rsid w:val="0055559F"/>
    <w:rsid w:val="00557BD9"/>
    <w:rsid w:val="00557F2A"/>
    <w:rsid w:val="005634F0"/>
    <w:rsid w:val="005674DF"/>
    <w:rsid w:val="005677F5"/>
    <w:rsid w:val="0057047D"/>
    <w:rsid w:val="0057509C"/>
    <w:rsid w:val="00575376"/>
    <w:rsid w:val="00576885"/>
    <w:rsid w:val="005864B7"/>
    <w:rsid w:val="00587329"/>
    <w:rsid w:val="00587884"/>
    <w:rsid w:val="005921F0"/>
    <w:rsid w:val="00595B3D"/>
    <w:rsid w:val="0059607D"/>
    <w:rsid w:val="00596922"/>
    <w:rsid w:val="00597829"/>
    <w:rsid w:val="00597B7E"/>
    <w:rsid w:val="005A2271"/>
    <w:rsid w:val="005A4D77"/>
    <w:rsid w:val="005B05D2"/>
    <w:rsid w:val="005B1907"/>
    <w:rsid w:val="005B335D"/>
    <w:rsid w:val="005B3E8E"/>
    <w:rsid w:val="005B41AB"/>
    <w:rsid w:val="005B46D1"/>
    <w:rsid w:val="005B4DAE"/>
    <w:rsid w:val="005B59CB"/>
    <w:rsid w:val="005B65BC"/>
    <w:rsid w:val="005B7BDD"/>
    <w:rsid w:val="005C1638"/>
    <w:rsid w:val="005C1838"/>
    <w:rsid w:val="005C19BF"/>
    <w:rsid w:val="005C3200"/>
    <w:rsid w:val="005C428E"/>
    <w:rsid w:val="005C5FCC"/>
    <w:rsid w:val="005D11E5"/>
    <w:rsid w:val="005D5E19"/>
    <w:rsid w:val="005D7EFA"/>
    <w:rsid w:val="005D7FB5"/>
    <w:rsid w:val="005E0632"/>
    <w:rsid w:val="005E105C"/>
    <w:rsid w:val="005E1B8D"/>
    <w:rsid w:val="005E2267"/>
    <w:rsid w:val="005E37D8"/>
    <w:rsid w:val="005E3859"/>
    <w:rsid w:val="005E5B5A"/>
    <w:rsid w:val="005E5EFD"/>
    <w:rsid w:val="005E66EA"/>
    <w:rsid w:val="005E6904"/>
    <w:rsid w:val="005F0C79"/>
    <w:rsid w:val="005F0EFE"/>
    <w:rsid w:val="005F1764"/>
    <w:rsid w:val="005F7719"/>
    <w:rsid w:val="005F7D98"/>
    <w:rsid w:val="00603F3E"/>
    <w:rsid w:val="0060407C"/>
    <w:rsid w:val="006048BF"/>
    <w:rsid w:val="00605223"/>
    <w:rsid w:val="00606E86"/>
    <w:rsid w:val="006146A5"/>
    <w:rsid w:val="00615AEA"/>
    <w:rsid w:val="00617E60"/>
    <w:rsid w:val="00620131"/>
    <w:rsid w:val="00621E44"/>
    <w:rsid w:val="00624240"/>
    <w:rsid w:val="00626FB9"/>
    <w:rsid w:val="0063085F"/>
    <w:rsid w:val="00634747"/>
    <w:rsid w:val="0063507E"/>
    <w:rsid w:val="00637B97"/>
    <w:rsid w:val="006461B6"/>
    <w:rsid w:val="00646950"/>
    <w:rsid w:val="00646D66"/>
    <w:rsid w:val="00647383"/>
    <w:rsid w:val="00650215"/>
    <w:rsid w:val="006510A8"/>
    <w:rsid w:val="006514FE"/>
    <w:rsid w:val="00651B33"/>
    <w:rsid w:val="006532CF"/>
    <w:rsid w:val="006536A1"/>
    <w:rsid w:val="00654829"/>
    <w:rsid w:val="00654AF9"/>
    <w:rsid w:val="006550E9"/>
    <w:rsid w:val="00657CE5"/>
    <w:rsid w:val="006627E3"/>
    <w:rsid w:val="006646C8"/>
    <w:rsid w:val="00664E2E"/>
    <w:rsid w:val="00666A8B"/>
    <w:rsid w:val="00667983"/>
    <w:rsid w:val="006719BA"/>
    <w:rsid w:val="00673542"/>
    <w:rsid w:val="006739B8"/>
    <w:rsid w:val="006744D9"/>
    <w:rsid w:val="0067458A"/>
    <w:rsid w:val="0067470E"/>
    <w:rsid w:val="0067485D"/>
    <w:rsid w:val="0068186D"/>
    <w:rsid w:val="006825A5"/>
    <w:rsid w:val="00684839"/>
    <w:rsid w:val="0068503C"/>
    <w:rsid w:val="00685488"/>
    <w:rsid w:val="00686276"/>
    <w:rsid w:val="00686EFC"/>
    <w:rsid w:val="0068716E"/>
    <w:rsid w:val="006900C3"/>
    <w:rsid w:val="00692B74"/>
    <w:rsid w:val="0069570E"/>
    <w:rsid w:val="00696FEF"/>
    <w:rsid w:val="006972CC"/>
    <w:rsid w:val="006A01FD"/>
    <w:rsid w:val="006A068F"/>
    <w:rsid w:val="006A13EE"/>
    <w:rsid w:val="006A218D"/>
    <w:rsid w:val="006A3843"/>
    <w:rsid w:val="006A7F64"/>
    <w:rsid w:val="006B5C65"/>
    <w:rsid w:val="006B61F3"/>
    <w:rsid w:val="006C1ECB"/>
    <w:rsid w:val="006C3C33"/>
    <w:rsid w:val="006C6A24"/>
    <w:rsid w:val="006C785B"/>
    <w:rsid w:val="006D092A"/>
    <w:rsid w:val="006D34C5"/>
    <w:rsid w:val="006D6827"/>
    <w:rsid w:val="006E1487"/>
    <w:rsid w:val="006E215D"/>
    <w:rsid w:val="006E23BC"/>
    <w:rsid w:val="006E5FB9"/>
    <w:rsid w:val="006E7CFA"/>
    <w:rsid w:val="006F0F00"/>
    <w:rsid w:val="006F2886"/>
    <w:rsid w:val="006F3DFA"/>
    <w:rsid w:val="006F76AB"/>
    <w:rsid w:val="00700308"/>
    <w:rsid w:val="00700C91"/>
    <w:rsid w:val="00704E0E"/>
    <w:rsid w:val="007053CF"/>
    <w:rsid w:val="00707C4E"/>
    <w:rsid w:val="007106C1"/>
    <w:rsid w:val="007106F3"/>
    <w:rsid w:val="0071088B"/>
    <w:rsid w:val="0071148F"/>
    <w:rsid w:val="00712E41"/>
    <w:rsid w:val="00714126"/>
    <w:rsid w:val="00722E6F"/>
    <w:rsid w:val="00723349"/>
    <w:rsid w:val="00724F3D"/>
    <w:rsid w:val="00725202"/>
    <w:rsid w:val="00727632"/>
    <w:rsid w:val="00730D10"/>
    <w:rsid w:val="00730D14"/>
    <w:rsid w:val="007311F3"/>
    <w:rsid w:val="007326B0"/>
    <w:rsid w:val="00732A34"/>
    <w:rsid w:val="00732C44"/>
    <w:rsid w:val="00733B40"/>
    <w:rsid w:val="00733BE3"/>
    <w:rsid w:val="00735AB6"/>
    <w:rsid w:val="00735E1F"/>
    <w:rsid w:val="0074163D"/>
    <w:rsid w:val="00741C1F"/>
    <w:rsid w:val="007423EE"/>
    <w:rsid w:val="00742B33"/>
    <w:rsid w:val="007431F6"/>
    <w:rsid w:val="00743A0F"/>
    <w:rsid w:val="00743D87"/>
    <w:rsid w:val="00743F91"/>
    <w:rsid w:val="00745894"/>
    <w:rsid w:val="00745983"/>
    <w:rsid w:val="00750183"/>
    <w:rsid w:val="0075092D"/>
    <w:rsid w:val="00751056"/>
    <w:rsid w:val="007520EC"/>
    <w:rsid w:val="0075280F"/>
    <w:rsid w:val="00752C92"/>
    <w:rsid w:val="0075311E"/>
    <w:rsid w:val="00754160"/>
    <w:rsid w:val="00763A64"/>
    <w:rsid w:val="00767CCD"/>
    <w:rsid w:val="0077036F"/>
    <w:rsid w:val="007709A4"/>
    <w:rsid w:val="00771134"/>
    <w:rsid w:val="00772BEF"/>
    <w:rsid w:val="00774469"/>
    <w:rsid w:val="00775B40"/>
    <w:rsid w:val="00775CB5"/>
    <w:rsid w:val="0078049E"/>
    <w:rsid w:val="0078135D"/>
    <w:rsid w:val="00786066"/>
    <w:rsid w:val="00786859"/>
    <w:rsid w:val="0078760E"/>
    <w:rsid w:val="0079045C"/>
    <w:rsid w:val="00793C0C"/>
    <w:rsid w:val="00793E41"/>
    <w:rsid w:val="00795521"/>
    <w:rsid w:val="007955BE"/>
    <w:rsid w:val="007970BD"/>
    <w:rsid w:val="007A259A"/>
    <w:rsid w:val="007A5FAD"/>
    <w:rsid w:val="007A7348"/>
    <w:rsid w:val="007A7AEB"/>
    <w:rsid w:val="007B08FD"/>
    <w:rsid w:val="007B2E4C"/>
    <w:rsid w:val="007B3CC2"/>
    <w:rsid w:val="007B42DB"/>
    <w:rsid w:val="007B449A"/>
    <w:rsid w:val="007B4C65"/>
    <w:rsid w:val="007B7E4B"/>
    <w:rsid w:val="007C026F"/>
    <w:rsid w:val="007C18DC"/>
    <w:rsid w:val="007C2DD5"/>
    <w:rsid w:val="007C31BF"/>
    <w:rsid w:val="007C47E7"/>
    <w:rsid w:val="007C5A0D"/>
    <w:rsid w:val="007C62C8"/>
    <w:rsid w:val="007C65E6"/>
    <w:rsid w:val="007D3C1C"/>
    <w:rsid w:val="007D42BF"/>
    <w:rsid w:val="007D788E"/>
    <w:rsid w:val="007E21D3"/>
    <w:rsid w:val="007F5BBD"/>
    <w:rsid w:val="008025DD"/>
    <w:rsid w:val="00803A6B"/>
    <w:rsid w:val="00803C1D"/>
    <w:rsid w:val="00804F36"/>
    <w:rsid w:val="00807F37"/>
    <w:rsid w:val="00811770"/>
    <w:rsid w:val="008124CF"/>
    <w:rsid w:val="00812BF7"/>
    <w:rsid w:val="00822033"/>
    <w:rsid w:val="00822B55"/>
    <w:rsid w:val="00823F7A"/>
    <w:rsid w:val="008241D3"/>
    <w:rsid w:val="00825003"/>
    <w:rsid w:val="008275FD"/>
    <w:rsid w:val="00830E0E"/>
    <w:rsid w:val="00830FAE"/>
    <w:rsid w:val="008317CA"/>
    <w:rsid w:val="00837F01"/>
    <w:rsid w:val="00842AB5"/>
    <w:rsid w:val="0084494F"/>
    <w:rsid w:val="0084700F"/>
    <w:rsid w:val="00847EBD"/>
    <w:rsid w:val="0085104D"/>
    <w:rsid w:val="008512BB"/>
    <w:rsid w:val="00852CA4"/>
    <w:rsid w:val="008542D0"/>
    <w:rsid w:val="0085663E"/>
    <w:rsid w:val="00860037"/>
    <w:rsid w:val="008602E1"/>
    <w:rsid w:val="0086110F"/>
    <w:rsid w:val="00863F2D"/>
    <w:rsid w:val="0086451A"/>
    <w:rsid w:val="0086733F"/>
    <w:rsid w:val="0086757D"/>
    <w:rsid w:val="00867757"/>
    <w:rsid w:val="008713F8"/>
    <w:rsid w:val="00872F4E"/>
    <w:rsid w:val="00874B96"/>
    <w:rsid w:val="00875698"/>
    <w:rsid w:val="00877006"/>
    <w:rsid w:val="00881128"/>
    <w:rsid w:val="008814F2"/>
    <w:rsid w:val="00883254"/>
    <w:rsid w:val="00883909"/>
    <w:rsid w:val="00883F95"/>
    <w:rsid w:val="008852B6"/>
    <w:rsid w:val="00885F12"/>
    <w:rsid w:val="008863FF"/>
    <w:rsid w:val="00886BB9"/>
    <w:rsid w:val="008913ED"/>
    <w:rsid w:val="00892125"/>
    <w:rsid w:val="008928AA"/>
    <w:rsid w:val="008942D9"/>
    <w:rsid w:val="00896A66"/>
    <w:rsid w:val="008A0D4D"/>
    <w:rsid w:val="008A2928"/>
    <w:rsid w:val="008A2DCA"/>
    <w:rsid w:val="008A4014"/>
    <w:rsid w:val="008A4461"/>
    <w:rsid w:val="008A4717"/>
    <w:rsid w:val="008A478E"/>
    <w:rsid w:val="008A4E0E"/>
    <w:rsid w:val="008A6D63"/>
    <w:rsid w:val="008A7AF2"/>
    <w:rsid w:val="008B08AA"/>
    <w:rsid w:val="008B2491"/>
    <w:rsid w:val="008B36EF"/>
    <w:rsid w:val="008B74EC"/>
    <w:rsid w:val="008B7935"/>
    <w:rsid w:val="008C010B"/>
    <w:rsid w:val="008C02E3"/>
    <w:rsid w:val="008C35CA"/>
    <w:rsid w:val="008C39DF"/>
    <w:rsid w:val="008C3DB7"/>
    <w:rsid w:val="008C467C"/>
    <w:rsid w:val="008C57B4"/>
    <w:rsid w:val="008C5DEC"/>
    <w:rsid w:val="008C6A9D"/>
    <w:rsid w:val="008C7E92"/>
    <w:rsid w:val="008D0131"/>
    <w:rsid w:val="008D08F2"/>
    <w:rsid w:val="008D157C"/>
    <w:rsid w:val="008D1DBE"/>
    <w:rsid w:val="008D2805"/>
    <w:rsid w:val="008D62C3"/>
    <w:rsid w:val="008D7A75"/>
    <w:rsid w:val="008E3D42"/>
    <w:rsid w:val="008E4F5C"/>
    <w:rsid w:val="008E5C01"/>
    <w:rsid w:val="008E6A15"/>
    <w:rsid w:val="008E7CB0"/>
    <w:rsid w:val="008F49EF"/>
    <w:rsid w:val="008F69AE"/>
    <w:rsid w:val="008F7EB7"/>
    <w:rsid w:val="00900145"/>
    <w:rsid w:val="0090071D"/>
    <w:rsid w:val="00901058"/>
    <w:rsid w:val="009012E4"/>
    <w:rsid w:val="0090159F"/>
    <w:rsid w:val="00902173"/>
    <w:rsid w:val="0090232B"/>
    <w:rsid w:val="00903B95"/>
    <w:rsid w:val="009075BA"/>
    <w:rsid w:val="00911F3B"/>
    <w:rsid w:val="0091241A"/>
    <w:rsid w:val="009124FC"/>
    <w:rsid w:val="00913309"/>
    <w:rsid w:val="00914E62"/>
    <w:rsid w:val="00915909"/>
    <w:rsid w:val="00915FEE"/>
    <w:rsid w:val="0092136A"/>
    <w:rsid w:val="00924810"/>
    <w:rsid w:val="0092567F"/>
    <w:rsid w:val="0092727D"/>
    <w:rsid w:val="00930501"/>
    <w:rsid w:val="00932205"/>
    <w:rsid w:val="00933841"/>
    <w:rsid w:val="009338C5"/>
    <w:rsid w:val="00935EFA"/>
    <w:rsid w:val="00935F0D"/>
    <w:rsid w:val="009361BF"/>
    <w:rsid w:val="0093717C"/>
    <w:rsid w:val="00937273"/>
    <w:rsid w:val="00941651"/>
    <w:rsid w:val="009418DE"/>
    <w:rsid w:val="00941CF7"/>
    <w:rsid w:val="00945D11"/>
    <w:rsid w:val="0094718C"/>
    <w:rsid w:val="00950310"/>
    <w:rsid w:val="00950BF3"/>
    <w:rsid w:val="00955657"/>
    <w:rsid w:val="00956A73"/>
    <w:rsid w:val="009612A8"/>
    <w:rsid w:val="009626D7"/>
    <w:rsid w:val="00965D90"/>
    <w:rsid w:val="00970DDB"/>
    <w:rsid w:val="00971DBF"/>
    <w:rsid w:val="0097296A"/>
    <w:rsid w:val="0097381C"/>
    <w:rsid w:val="009759CA"/>
    <w:rsid w:val="00976B33"/>
    <w:rsid w:val="00976F72"/>
    <w:rsid w:val="0098729D"/>
    <w:rsid w:val="009906E0"/>
    <w:rsid w:val="00991FC9"/>
    <w:rsid w:val="00994FB2"/>
    <w:rsid w:val="00995D50"/>
    <w:rsid w:val="0099687B"/>
    <w:rsid w:val="00997DF8"/>
    <w:rsid w:val="009A2873"/>
    <w:rsid w:val="009A2924"/>
    <w:rsid w:val="009A3DBB"/>
    <w:rsid w:val="009A4F09"/>
    <w:rsid w:val="009A7864"/>
    <w:rsid w:val="009B092D"/>
    <w:rsid w:val="009B0CE1"/>
    <w:rsid w:val="009B1412"/>
    <w:rsid w:val="009B26BC"/>
    <w:rsid w:val="009B31BA"/>
    <w:rsid w:val="009B353C"/>
    <w:rsid w:val="009B3AD5"/>
    <w:rsid w:val="009B3CA0"/>
    <w:rsid w:val="009B4293"/>
    <w:rsid w:val="009B471D"/>
    <w:rsid w:val="009B6A27"/>
    <w:rsid w:val="009B76CE"/>
    <w:rsid w:val="009C16D1"/>
    <w:rsid w:val="009C320E"/>
    <w:rsid w:val="009C5388"/>
    <w:rsid w:val="009C6322"/>
    <w:rsid w:val="009C7A89"/>
    <w:rsid w:val="009D02AB"/>
    <w:rsid w:val="009D02E6"/>
    <w:rsid w:val="009D0708"/>
    <w:rsid w:val="009D23F9"/>
    <w:rsid w:val="009D3D75"/>
    <w:rsid w:val="009D7F01"/>
    <w:rsid w:val="009E1B35"/>
    <w:rsid w:val="009E1D8E"/>
    <w:rsid w:val="009E2422"/>
    <w:rsid w:val="009E2F6A"/>
    <w:rsid w:val="009E3233"/>
    <w:rsid w:val="009E469F"/>
    <w:rsid w:val="009E4BC5"/>
    <w:rsid w:val="009E608D"/>
    <w:rsid w:val="009E6F08"/>
    <w:rsid w:val="009E75EC"/>
    <w:rsid w:val="009F05FB"/>
    <w:rsid w:val="009F246B"/>
    <w:rsid w:val="009F2A33"/>
    <w:rsid w:val="009F2F0D"/>
    <w:rsid w:val="009F3D52"/>
    <w:rsid w:val="009F5147"/>
    <w:rsid w:val="009F58DE"/>
    <w:rsid w:val="009F5932"/>
    <w:rsid w:val="009F7C61"/>
    <w:rsid w:val="00A00E15"/>
    <w:rsid w:val="00A013D2"/>
    <w:rsid w:val="00A01B51"/>
    <w:rsid w:val="00A03561"/>
    <w:rsid w:val="00A05523"/>
    <w:rsid w:val="00A05A7E"/>
    <w:rsid w:val="00A05C26"/>
    <w:rsid w:val="00A05D8F"/>
    <w:rsid w:val="00A06B6C"/>
    <w:rsid w:val="00A071FF"/>
    <w:rsid w:val="00A07259"/>
    <w:rsid w:val="00A123D7"/>
    <w:rsid w:val="00A145CE"/>
    <w:rsid w:val="00A146A1"/>
    <w:rsid w:val="00A1551B"/>
    <w:rsid w:val="00A160A1"/>
    <w:rsid w:val="00A17CD6"/>
    <w:rsid w:val="00A20105"/>
    <w:rsid w:val="00A257AB"/>
    <w:rsid w:val="00A270F8"/>
    <w:rsid w:val="00A27460"/>
    <w:rsid w:val="00A27985"/>
    <w:rsid w:val="00A27A69"/>
    <w:rsid w:val="00A304F3"/>
    <w:rsid w:val="00A31890"/>
    <w:rsid w:val="00A31D25"/>
    <w:rsid w:val="00A377E2"/>
    <w:rsid w:val="00A405E2"/>
    <w:rsid w:val="00A40980"/>
    <w:rsid w:val="00A424DD"/>
    <w:rsid w:val="00A42A76"/>
    <w:rsid w:val="00A43D95"/>
    <w:rsid w:val="00A43FE7"/>
    <w:rsid w:val="00A4455C"/>
    <w:rsid w:val="00A537EA"/>
    <w:rsid w:val="00A53C30"/>
    <w:rsid w:val="00A548C5"/>
    <w:rsid w:val="00A55AD8"/>
    <w:rsid w:val="00A61F7C"/>
    <w:rsid w:val="00A6401D"/>
    <w:rsid w:val="00A66763"/>
    <w:rsid w:val="00A66B82"/>
    <w:rsid w:val="00A66DFD"/>
    <w:rsid w:val="00A72C9B"/>
    <w:rsid w:val="00A754B9"/>
    <w:rsid w:val="00A76DDF"/>
    <w:rsid w:val="00A77B75"/>
    <w:rsid w:val="00A8059A"/>
    <w:rsid w:val="00A806BB"/>
    <w:rsid w:val="00A806ED"/>
    <w:rsid w:val="00A80853"/>
    <w:rsid w:val="00A80AFA"/>
    <w:rsid w:val="00A80C35"/>
    <w:rsid w:val="00A82D52"/>
    <w:rsid w:val="00A8659F"/>
    <w:rsid w:val="00A9173D"/>
    <w:rsid w:val="00A91F30"/>
    <w:rsid w:val="00A920DE"/>
    <w:rsid w:val="00A95C22"/>
    <w:rsid w:val="00A95CEB"/>
    <w:rsid w:val="00AA16DD"/>
    <w:rsid w:val="00AA3B27"/>
    <w:rsid w:val="00AA4B3B"/>
    <w:rsid w:val="00AA5AC9"/>
    <w:rsid w:val="00AA63E3"/>
    <w:rsid w:val="00AA6D57"/>
    <w:rsid w:val="00AB00C3"/>
    <w:rsid w:val="00AB22FB"/>
    <w:rsid w:val="00AB472A"/>
    <w:rsid w:val="00AB68BC"/>
    <w:rsid w:val="00AC0E67"/>
    <w:rsid w:val="00AC0F6C"/>
    <w:rsid w:val="00AC2F2B"/>
    <w:rsid w:val="00AC7031"/>
    <w:rsid w:val="00AD019E"/>
    <w:rsid w:val="00AD09FB"/>
    <w:rsid w:val="00AD10C2"/>
    <w:rsid w:val="00AD343F"/>
    <w:rsid w:val="00AD38CB"/>
    <w:rsid w:val="00AD65BE"/>
    <w:rsid w:val="00AD6F9A"/>
    <w:rsid w:val="00AE0046"/>
    <w:rsid w:val="00AE312B"/>
    <w:rsid w:val="00AE4668"/>
    <w:rsid w:val="00AE60E7"/>
    <w:rsid w:val="00AE6D0C"/>
    <w:rsid w:val="00AE7269"/>
    <w:rsid w:val="00AE795C"/>
    <w:rsid w:val="00AE7995"/>
    <w:rsid w:val="00AE7F43"/>
    <w:rsid w:val="00AF013D"/>
    <w:rsid w:val="00AF0B0C"/>
    <w:rsid w:val="00AF1BCF"/>
    <w:rsid w:val="00AF1CD5"/>
    <w:rsid w:val="00AF1F16"/>
    <w:rsid w:val="00AF55CE"/>
    <w:rsid w:val="00AF5F4E"/>
    <w:rsid w:val="00AF67D5"/>
    <w:rsid w:val="00AF7C99"/>
    <w:rsid w:val="00B00209"/>
    <w:rsid w:val="00B00F73"/>
    <w:rsid w:val="00B028B9"/>
    <w:rsid w:val="00B02987"/>
    <w:rsid w:val="00B0535C"/>
    <w:rsid w:val="00B05E5C"/>
    <w:rsid w:val="00B060E6"/>
    <w:rsid w:val="00B067BE"/>
    <w:rsid w:val="00B06EAF"/>
    <w:rsid w:val="00B112E8"/>
    <w:rsid w:val="00B14042"/>
    <w:rsid w:val="00B14141"/>
    <w:rsid w:val="00B1621B"/>
    <w:rsid w:val="00B20E01"/>
    <w:rsid w:val="00B220DD"/>
    <w:rsid w:val="00B22234"/>
    <w:rsid w:val="00B24066"/>
    <w:rsid w:val="00B24A5E"/>
    <w:rsid w:val="00B2562E"/>
    <w:rsid w:val="00B2688C"/>
    <w:rsid w:val="00B26C46"/>
    <w:rsid w:val="00B27511"/>
    <w:rsid w:val="00B2784C"/>
    <w:rsid w:val="00B31DC1"/>
    <w:rsid w:val="00B32F7E"/>
    <w:rsid w:val="00B33A29"/>
    <w:rsid w:val="00B35D6A"/>
    <w:rsid w:val="00B35DE1"/>
    <w:rsid w:val="00B37227"/>
    <w:rsid w:val="00B3738C"/>
    <w:rsid w:val="00B41CF8"/>
    <w:rsid w:val="00B42022"/>
    <w:rsid w:val="00B51C64"/>
    <w:rsid w:val="00B52DEF"/>
    <w:rsid w:val="00B53152"/>
    <w:rsid w:val="00B53CC7"/>
    <w:rsid w:val="00B55C07"/>
    <w:rsid w:val="00B56BF2"/>
    <w:rsid w:val="00B578A1"/>
    <w:rsid w:val="00B60053"/>
    <w:rsid w:val="00B60DA2"/>
    <w:rsid w:val="00B653D3"/>
    <w:rsid w:val="00B66D12"/>
    <w:rsid w:val="00B73A3F"/>
    <w:rsid w:val="00B743A2"/>
    <w:rsid w:val="00B749F3"/>
    <w:rsid w:val="00B74A24"/>
    <w:rsid w:val="00B74A5E"/>
    <w:rsid w:val="00B74BF9"/>
    <w:rsid w:val="00B852CE"/>
    <w:rsid w:val="00B85E1A"/>
    <w:rsid w:val="00B86373"/>
    <w:rsid w:val="00B9023F"/>
    <w:rsid w:val="00B91B99"/>
    <w:rsid w:val="00B94C4D"/>
    <w:rsid w:val="00B95D82"/>
    <w:rsid w:val="00B97FD6"/>
    <w:rsid w:val="00BA3C73"/>
    <w:rsid w:val="00BA4027"/>
    <w:rsid w:val="00BB2509"/>
    <w:rsid w:val="00BB2C4F"/>
    <w:rsid w:val="00BB3A35"/>
    <w:rsid w:val="00BB6576"/>
    <w:rsid w:val="00BB6E9C"/>
    <w:rsid w:val="00BC0BED"/>
    <w:rsid w:val="00BC312C"/>
    <w:rsid w:val="00BC3FBC"/>
    <w:rsid w:val="00BC4A7F"/>
    <w:rsid w:val="00BC70B6"/>
    <w:rsid w:val="00BC77FA"/>
    <w:rsid w:val="00BC77FD"/>
    <w:rsid w:val="00BD002F"/>
    <w:rsid w:val="00BD34C3"/>
    <w:rsid w:val="00BD3F37"/>
    <w:rsid w:val="00BD58EC"/>
    <w:rsid w:val="00BD5A65"/>
    <w:rsid w:val="00BD5AC6"/>
    <w:rsid w:val="00BD7FEE"/>
    <w:rsid w:val="00BE17B7"/>
    <w:rsid w:val="00BE3013"/>
    <w:rsid w:val="00BE3470"/>
    <w:rsid w:val="00BE4396"/>
    <w:rsid w:val="00BF1F71"/>
    <w:rsid w:val="00BF405F"/>
    <w:rsid w:val="00BF6486"/>
    <w:rsid w:val="00C00042"/>
    <w:rsid w:val="00C0157C"/>
    <w:rsid w:val="00C01E17"/>
    <w:rsid w:val="00C03C5D"/>
    <w:rsid w:val="00C042E5"/>
    <w:rsid w:val="00C064B9"/>
    <w:rsid w:val="00C06D75"/>
    <w:rsid w:val="00C075EE"/>
    <w:rsid w:val="00C10BD5"/>
    <w:rsid w:val="00C112B2"/>
    <w:rsid w:val="00C11EB6"/>
    <w:rsid w:val="00C130B2"/>
    <w:rsid w:val="00C139A0"/>
    <w:rsid w:val="00C144B2"/>
    <w:rsid w:val="00C147A7"/>
    <w:rsid w:val="00C151D8"/>
    <w:rsid w:val="00C20C0C"/>
    <w:rsid w:val="00C23D79"/>
    <w:rsid w:val="00C24A79"/>
    <w:rsid w:val="00C24CDD"/>
    <w:rsid w:val="00C251D5"/>
    <w:rsid w:val="00C26F73"/>
    <w:rsid w:val="00C27879"/>
    <w:rsid w:val="00C31EB3"/>
    <w:rsid w:val="00C32AB4"/>
    <w:rsid w:val="00C34835"/>
    <w:rsid w:val="00C3595C"/>
    <w:rsid w:val="00C36B15"/>
    <w:rsid w:val="00C37ADD"/>
    <w:rsid w:val="00C420B3"/>
    <w:rsid w:val="00C42E33"/>
    <w:rsid w:val="00C4424B"/>
    <w:rsid w:val="00C460A5"/>
    <w:rsid w:val="00C461A1"/>
    <w:rsid w:val="00C46BF9"/>
    <w:rsid w:val="00C4775A"/>
    <w:rsid w:val="00C479F0"/>
    <w:rsid w:val="00C47A14"/>
    <w:rsid w:val="00C504CE"/>
    <w:rsid w:val="00C513E9"/>
    <w:rsid w:val="00C527FC"/>
    <w:rsid w:val="00C54993"/>
    <w:rsid w:val="00C55125"/>
    <w:rsid w:val="00C57115"/>
    <w:rsid w:val="00C57F13"/>
    <w:rsid w:val="00C63FA1"/>
    <w:rsid w:val="00C65158"/>
    <w:rsid w:val="00C6549F"/>
    <w:rsid w:val="00C67168"/>
    <w:rsid w:val="00C70F0A"/>
    <w:rsid w:val="00C711DA"/>
    <w:rsid w:val="00C75914"/>
    <w:rsid w:val="00C76A00"/>
    <w:rsid w:val="00C77893"/>
    <w:rsid w:val="00C80E83"/>
    <w:rsid w:val="00C80FAA"/>
    <w:rsid w:val="00C8188D"/>
    <w:rsid w:val="00C820C1"/>
    <w:rsid w:val="00C82445"/>
    <w:rsid w:val="00C8548E"/>
    <w:rsid w:val="00C85809"/>
    <w:rsid w:val="00C85ED5"/>
    <w:rsid w:val="00C8649F"/>
    <w:rsid w:val="00C872F4"/>
    <w:rsid w:val="00C87EA6"/>
    <w:rsid w:val="00C9342F"/>
    <w:rsid w:val="00C96D64"/>
    <w:rsid w:val="00C974B6"/>
    <w:rsid w:val="00CA09B6"/>
    <w:rsid w:val="00CA581F"/>
    <w:rsid w:val="00CB15F4"/>
    <w:rsid w:val="00CB2BF0"/>
    <w:rsid w:val="00CB56BE"/>
    <w:rsid w:val="00CB73E9"/>
    <w:rsid w:val="00CB7479"/>
    <w:rsid w:val="00CC03D4"/>
    <w:rsid w:val="00CC19C1"/>
    <w:rsid w:val="00CC1BA4"/>
    <w:rsid w:val="00CC1CB0"/>
    <w:rsid w:val="00CC34DB"/>
    <w:rsid w:val="00CC4572"/>
    <w:rsid w:val="00CC7062"/>
    <w:rsid w:val="00CC77C8"/>
    <w:rsid w:val="00CD005F"/>
    <w:rsid w:val="00CD1705"/>
    <w:rsid w:val="00CD223F"/>
    <w:rsid w:val="00CD2E79"/>
    <w:rsid w:val="00CD36F4"/>
    <w:rsid w:val="00CD3B88"/>
    <w:rsid w:val="00CD4503"/>
    <w:rsid w:val="00CD5E49"/>
    <w:rsid w:val="00CE120F"/>
    <w:rsid w:val="00CE3297"/>
    <w:rsid w:val="00CF0312"/>
    <w:rsid w:val="00CF1C8E"/>
    <w:rsid w:val="00CF1D41"/>
    <w:rsid w:val="00CF2180"/>
    <w:rsid w:val="00CF265C"/>
    <w:rsid w:val="00CF31FA"/>
    <w:rsid w:val="00CF331B"/>
    <w:rsid w:val="00CF3625"/>
    <w:rsid w:val="00CF4DD3"/>
    <w:rsid w:val="00CF6D65"/>
    <w:rsid w:val="00CF7FF3"/>
    <w:rsid w:val="00D020AD"/>
    <w:rsid w:val="00D03F46"/>
    <w:rsid w:val="00D046EC"/>
    <w:rsid w:val="00D047DA"/>
    <w:rsid w:val="00D05386"/>
    <w:rsid w:val="00D065EE"/>
    <w:rsid w:val="00D07731"/>
    <w:rsid w:val="00D07CB9"/>
    <w:rsid w:val="00D11315"/>
    <w:rsid w:val="00D11A16"/>
    <w:rsid w:val="00D1276F"/>
    <w:rsid w:val="00D14404"/>
    <w:rsid w:val="00D15909"/>
    <w:rsid w:val="00D15A51"/>
    <w:rsid w:val="00D16ECD"/>
    <w:rsid w:val="00D21857"/>
    <w:rsid w:val="00D21D89"/>
    <w:rsid w:val="00D22BCB"/>
    <w:rsid w:val="00D241F3"/>
    <w:rsid w:val="00D24868"/>
    <w:rsid w:val="00D31F3A"/>
    <w:rsid w:val="00D33613"/>
    <w:rsid w:val="00D40AAD"/>
    <w:rsid w:val="00D43532"/>
    <w:rsid w:val="00D43660"/>
    <w:rsid w:val="00D441CB"/>
    <w:rsid w:val="00D44A18"/>
    <w:rsid w:val="00D455A1"/>
    <w:rsid w:val="00D47142"/>
    <w:rsid w:val="00D523E8"/>
    <w:rsid w:val="00D53617"/>
    <w:rsid w:val="00D5449F"/>
    <w:rsid w:val="00D61193"/>
    <w:rsid w:val="00D61870"/>
    <w:rsid w:val="00D62C16"/>
    <w:rsid w:val="00D630BD"/>
    <w:rsid w:val="00D7172C"/>
    <w:rsid w:val="00D72BA8"/>
    <w:rsid w:val="00D746E5"/>
    <w:rsid w:val="00D74A6F"/>
    <w:rsid w:val="00D75919"/>
    <w:rsid w:val="00D75BA2"/>
    <w:rsid w:val="00D75E73"/>
    <w:rsid w:val="00D7664F"/>
    <w:rsid w:val="00D76A66"/>
    <w:rsid w:val="00D77B9D"/>
    <w:rsid w:val="00D81068"/>
    <w:rsid w:val="00D810E9"/>
    <w:rsid w:val="00D814A3"/>
    <w:rsid w:val="00D815A1"/>
    <w:rsid w:val="00D836AD"/>
    <w:rsid w:val="00D85462"/>
    <w:rsid w:val="00D85C89"/>
    <w:rsid w:val="00D8689A"/>
    <w:rsid w:val="00D92B86"/>
    <w:rsid w:val="00D938D7"/>
    <w:rsid w:val="00D94EEE"/>
    <w:rsid w:val="00D95FD2"/>
    <w:rsid w:val="00D968CE"/>
    <w:rsid w:val="00D96CFD"/>
    <w:rsid w:val="00D9794E"/>
    <w:rsid w:val="00D97D41"/>
    <w:rsid w:val="00DA09EF"/>
    <w:rsid w:val="00DA2396"/>
    <w:rsid w:val="00DA51DD"/>
    <w:rsid w:val="00DA5227"/>
    <w:rsid w:val="00DA715D"/>
    <w:rsid w:val="00DA750B"/>
    <w:rsid w:val="00DB031E"/>
    <w:rsid w:val="00DB1EA5"/>
    <w:rsid w:val="00DB5CEE"/>
    <w:rsid w:val="00DB7547"/>
    <w:rsid w:val="00DC2862"/>
    <w:rsid w:val="00DC2903"/>
    <w:rsid w:val="00DC548A"/>
    <w:rsid w:val="00DC5738"/>
    <w:rsid w:val="00DC5F81"/>
    <w:rsid w:val="00DC6A08"/>
    <w:rsid w:val="00DD06E5"/>
    <w:rsid w:val="00DD0887"/>
    <w:rsid w:val="00DD1A37"/>
    <w:rsid w:val="00DE0E12"/>
    <w:rsid w:val="00DE1D3A"/>
    <w:rsid w:val="00DE20B1"/>
    <w:rsid w:val="00DE2306"/>
    <w:rsid w:val="00DE2400"/>
    <w:rsid w:val="00DE495E"/>
    <w:rsid w:val="00DE54AD"/>
    <w:rsid w:val="00DE6A4D"/>
    <w:rsid w:val="00DE744D"/>
    <w:rsid w:val="00DF4503"/>
    <w:rsid w:val="00DF61E8"/>
    <w:rsid w:val="00DF6705"/>
    <w:rsid w:val="00DF6921"/>
    <w:rsid w:val="00DF757E"/>
    <w:rsid w:val="00DF7DEC"/>
    <w:rsid w:val="00E0384E"/>
    <w:rsid w:val="00E04B5D"/>
    <w:rsid w:val="00E04E2B"/>
    <w:rsid w:val="00E05378"/>
    <w:rsid w:val="00E071CC"/>
    <w:rsid w:val="00E07B68"/>
    <w:rsid w:val="00E13D69"/>
    <w:rsid w:val="00E16384"/>
    <w:rsid w:val="00E168AC"/>
    <w:rsid w:val="00E17056"/>
    <w:rsid w:val="00E17539"/>
    <w:rsid w:val="00E179FD"/>
    <w:rsid w:val="00E212A9"/>
    <w:rsid w:val="00E244FD"/>
    <w:rsid w:val="00E25C6F"/>
    <w:rsid w:val="00E303E1"/>
    <w:rsid w:val="00E313EB"/>
    <w:rsid w:val="00E32CA8"/>
    <w:rsid w:val="00E33F06"/>
    <w:rsid w:val="00E35F09"/>
    <w:rsid w:val="00E37F6F"/>
    <w:rsid w:val="00E44542"/>
    <w:rsid w:val="00E4479D"/>
    <w:rsid w:val="00E4550A"/>
    <w:rsid w:val="00E45A14"/>
    <w:rsid w:val="00E5094F"/>
    <w:rsid w:val="00E53147"/>
    <w:rsid w:val="00E53E8D"/>
    <w:rsid w:val="00E5480E"/>
    <w:rsid w:val="00E56EFC"/>
    <w:rsid w:val="00E6150B"/>
    <w:rsid w:val="00E63E57"/>
    <w:rsid w:val="00E63F57"/>
    <w:rsid w:val="00E65741"/>
    <w:rsid w:val="00E67CF5"/>
    <w:rsid w:val="00E7082E"/>
    <w:rsid w:val="00E72523"/>
    <w:rsid w:val="00E7436B"/>
    <w:rsid w:val="00E75DC5"/>
    <w:rsid w:val="00E76666"/>
    <w:rsid w:val="00E767B7"/>
    <w:rsid w:val="00E77308"/>
    <w:rsid w:val="00E8116C"/>
    <w:rsid w:val="00E81A2B"/>
    <w:rsid w:val="00E83D29"/>
    <w:rsid w:val="00E857A9"/>
    <w:rsid w:val="00E873EF"/>
    <w:rsid w:val="00E87AB9"/>
    <w:rsid w:val="00E93296"/>
    <w:rsid w:val="00E936E0"/>
    <w:rsid w:val="00E93D5D"/>
    <w:rsid w:val="00E941A3"/>
    <w:rsid w:val="00E9461C"/>
    <w:rsid w:val="00E94C83"/>
    <w:rsid w:val="00EA104D"/>
    <w:rsid w:val="00EA3458"/>
    <w:rsid w:val="00EA3796"/>
    <w:rsid w:val="00EA38C8"/>
    <w:rsid w:val="00EA402F"/>
    <w:rsid w:val="00EA60AF"/>
    <w:rsid w:val="00EB2766"/>
    <w:rsid w:val="00EB2925"/>
    <w:rsid w:val="00EB3BC2"/>
    <w:rsid w:val="00EB4B5E"/>
    <w:rsid w:val="00EB5034"/>
    <w:rsid w:val="00EB5039"/>
    <w:rsid w:val="00EB6B2F"/>
    <w:rsid w:val="00EB7134"/>
    <w:rsid w:val="00EB76FC"/>
    <w:rsid w:val="00EC07CD"/>
    <w:rsid w:val="00EC16D5"/>
    <w:rsid w:val="00EC213C"/>
    <w:rsid w:val="00EC2A77"/>
    <w:rsid w:val="00EC2B67"/>
    <w:rsid w:val="00EC41E5"/>
    <w:rsid w:val="00EC56DD"/>
    <w:rsid w:val="00EC5928"/>
    <w:rsid w:val="00EC766C"/>
    <w:rsid w:val="00EC7B39"/>
    <w:rsid w:val="00EC7CE6"/>
    <w:rsid w:val="00ED0D58"/>
    <w:rsid w:val="00ED0DB8"/>
    <w:rsid w:val="00ED1096"/>
    <w:rsid w:val="00ED1843"/>
    <w:rsid w:val="00ED297C"/>
    <w:rsid w:val="00ED7EEF"/>
    <w:rsid w:val="00EE0956"/>
    <w:rsid w:val="00EE22E2"/>
    <w:rsid w:val="00EE2FF2"/>
    <w:rsid w:val="00EE4191"/>
    <w:rsid w:val="00EE42AD"/>
    <w:rsid w:val="00EE686F"/>
    <w:rsid w:val="00EE6D02"/>
    <w:rsid w:val="00EF268A"/>
    <w:rsid w:val="00EF2A03"/>
    <w:rsid w:val="00EF39EA"/>
    <w:rsid w:val="00EF4195"/>
    <w:rsid w:val="00EF4B19"/>
    <w:rsid w:val="00EF5DD3"/>
    <w:rsid w:val="00EF6699"/>
    <w:rsid w:val="00F00690"/>
    <w:rsid w:val="00F0164B"/>
    <w:rsid w:val="00F02B30"/>
    <w:rsid w:val="00F036AC"/>
    <w:rsid w:val="00F045FF"/>
    <w:rsid w:val="00F06CA9"/>
    <w:rsid w:val="00F10434"/>
    <w:rsid w:val="00F11A57"/>
    <w:rsid w:val="00F14461"/>
    <w:rsid w:val="00F14ED1"/>
    <w:rsid w:val="00F152B6"/>
    <w:rsid w:val="00F15354"/>
    <w:rsid w:val="00F20369"/>
    <w:rsid w:val="00F20630"/>
    <w:rsid w:val="00F21147"/>
    <w:rsid w:val="00F2119D"/>
    <w:rsid w:val="00F22293"/>
    <w:rsid w:val="00F24EE2"/>
    <w:rsid w:val="00F25F66"/>
    <w:rsid w:val="00F26D18"/>
    <w:rsid w:val="00F31BD5"/>
    <w:rsid w:val="00F321D5"/>
    <w:rsid w:val="00F32BB7"/>
    <w:rsid w:val="00F33A1D"/>
    <w:rsid w:val="00F33CB0"/>
    <w:rsid w:val="00F33E1C"/>
    <w:rsid w:val="00F33F06"/>
    <w:rsid w:val="00F40839"/>
    <w:rsid w:val="00F43144"/>
    <w:rsid w:val="00F47EA9"/>
    <w:rsid w:val="00F50110"/>
    <w:rsid w:val="00F530D0"/>
    <w:rsid w:val="00F53E25"/>
    <w:rsid w:val="00F57C35"/>
    <w:rsid w:val="00F63C8E"/>
    <w:rsid w:val="00F6454A"/>
    <w:rsid w:val="00F653FC"/>
    <w:rsid w:val="00F65B08"/>
    <w:rsid w:val="00F66649"/>
    <w:rsid w:val="00F70A3F"/>
    <w:rsid w:val="00F70D1C"/>
    <w:rsid w:val="00F812ED"/>
    <w:rsid w:val="00F813CB"/>
    <w:rsid w:val="00F81E98"/>
    <w:rsid w:val="00F81FEB"/>
    <w:rsid w:val="00F8220D"/>
    <w:rsid w:val="00F8265B"/>
    <w:rsid w:val="00F8335E"/>
    <w:rsid w:val="00F8523D"/>
    <w:rsid w:val="00F87114"/>
    <w:rsid w:val="00F875F6"/>
    <w:rsid w:val="00F91B5F"/>
    <w:rsid w:val="00F9219E"/>
    <w:rsid w:val="00F9235C"/>
    <w:rsid w:val="00F976A3"/>
    <w:rsid w:val="00F97855"/>
    <w:rsid w:val="00FA0F81"/>
    <w:rsid w:val="00FA10B0"/>
    <w:rsid w:val="00FA1765"/>
    <w:rsid w:val="00FA25D2"/>
    <w:rsid w:val="00FA64AB"/>
    <w:rsid w:val="00FB272F"/>
    <w:rsid w:val="00FB3D87"/>
    <w:rsid w:val="00FB54D6"/>
    <w:rsid w:val="00FC27CF"/>
    <w:rsid w:val="00FC399F"/>
    <w:rsid w:val="00FC40CD"/>
    <w:rsid w:val="00FC524A"/>
    <w:rsid w:val="00FC74B4"/>
    <w:rsid w:val="00FC75A5"/>
    <w:rsid w:val="00FD0423"/>
    <w:rsid w:val="00FD201F"/>
    <w:rsid w:val="00FD23D4"/>
    <w:rsid w:val="00FD54C5"/>
    <w:rsid w:val="00FD67FE"/>
    <w:rsid w:val="00FD77C0"/>
    <w:rsid w:val="00FE075B"/>
    <w:rsid w:val="00FE150D"/>
    <w:rsid w:val="00FE5E93"/>
    <w:rsid w:val="00FE644C"/>
    <w:rsid w:val="00FE6F1F"/>
    <w:rsid w:val="00FF03B0"/>
    <w:rsid w:val="00FF207D"/>
    <w:rsid w:val="00FF28BC"/>
    <w:rsid w:val="00FF321C"/>
    <w:rsid w:val="00FF4998"/>
    <w:rsid w:val="00FF59A4"/>
    <w:rsid w:val="00FF5DFC"/>
    <w:rsid w:val="00FF5FB2"/>
    <w:rsid w:val="01186B66"/>
    <w:rsid w:val="014E5781"/>
    <w:rsid w:val="0161116B"/>
    <w:rsid w:val="017528FF"/>
    <w:rsid w:val="019B6FA8"/>
    <w:rsid w:val="01BB5180"/>
    <w:rsid w:val="01C103F8"/>
    <w:rsid w:val="01F527BA"/>
    <w:rsid w:val="01FA07B0"/>
    <w:rsid w:val="02313F2A"/>
    <w:rsid w:val="0248445C"/>
    <w:rsid w:val="02722E30"/>
    <w:rsid w:val="0275404D"/>
    <w:rsid w:val="028A4FBF"/>
    <w:rsid w:val="028F0AD1"/>
    <w:rsid w:val="02E01568"/>
    <w:rsid w:val="03046375"/>
    <w:rsid w:val="03312871"/>
    <w:rsid w:val="03700089"/>
    <w:rsid w:val="039371A1"/>
    <w:rsid w:val="039C694F"/>
    <w:rsid w:val="03CF5D5C"/>
    <w:rsid w:val="03DB2498"/>
    <w:rsid w:val="040732F8"/>
    <w:rsid w:val="040868DA"/>
    <w:rsid w:val="041C5514"/>
    <w:rsid w:val="043625FE"/>
    <w:rsid w:val="047101AD"/>
    <w:rsid w:val="04733514"/>
    <w:rsid w:val="04924634"/>
    <w:rsid w:val="04A2167D"/>
    <w:rsid w:val="050D2CE9"/>
    <w:rsid w:val="055A7952"/>
    <w:rsid w:val="05706921"/>
    <w:rsid w:val="05840205"/>
    <w:rsid w:val="05846550"/>
    <w:rsid w:val="05CA327E"/>
    <w:rsid w:val="05DA7960"/>
    <w:rsid w:val="06206922"/>
    <w:rsid w:val="06774985"/>
    <w:rsid w:val="069E11BE"/>
    <w:rsid w:val="06BF1F63"/>
    <w:rsid w:val="06E239EF"/>
    <w:rsid w:val="07291206"/>
    <w:rsid w:val="073C47BA"/>
    <w:rsid w:val="078533F5"/>
    <w:rsid w:val="07C0082E"/>
    <w:rsid w:val="07C3125D"/>
    <w:rsid w:val="07C60F57"/>
    <w:rsid w:val="07CF7EA2"/>
    <w:rsid w:val="07F551F5"/>
    <w:rsid w:val="08597756"/>
    <w:rsid w:val="088719CB"/>
    <w:rsid w:val="08A9717D"/>
    <w:rsid w:val="08CB5B75"/>
    <w:rsid w:val="08DD4CB6"/>
    <w:rsid w:val="08E34101"/>
    <w:rsid w:val="08F716BF"/>
    <w:rsid w:val="092335EB"/>
    <w:rsid w:val="092B4F51"/>
    <w:rsid w:val="096E46D5"/>
    <w:rsid w:val="097D29DA"/>
    <w:rsid w:val="098F4396"/>
    <w:rsid w:val="09934557"/>
    <w:rsid w:val="0A5E71AF"/>
    <w:rsid w:val="0A6B261E"/>
    <w:rsid w:val="0AB51F5E"/>
    <w:rsid w:val="0AC86F31"/>
    <w:rsid w:val="0AD3271F"/>
    <w:rsid w:val="0AE32174"/>
    <w:rsid w:val="0AED2B4D"/>
    <w:rsid w:val="0AFB13CC"/>
    <w:rsid w:val="0B433477"/>
    <w:rsid w:val="0B504BAC"/>
    <w:rsid w:val="0B514F31"/>
    <w:rsid w:val="0B8278DF"/>
    <w:rsid w:val="0BA7435D"/>
    <w:rsid w:val="0BD20695"/>
    <w:rsid w:val="0BEA5BF9"/>
    <w:rsid w:val="0C0D7634"/>
    <w:rsid w:val="0C4C77B2"/>
    <w:rsid w:val="0C6D7DE9"/>
    <w:rsid w:val="0C8C09BE"/>
    <w:rsid w:val="0C8F7597"/>
    <w:rsid w:val="0CC30F9E"/>
    <w:rsid w:val="0CC35432"/>
    <w:rsid w:val="0D1348B8"/>
    <w:rsid w:val="0D2B1042"/>
    <w:rsid w:val="0D55787D"/>
    <w:rsid w:val="0D762D89"/>
    <w:rsid w:val="0D861AE4"/>
    <w:rsid w:val="0D8D3927"/>
    <w:rsid w:val="0DBF4CE3"/>
    <w:rsid w:val="0E174BA7"/>
    <w:rsid w:val="0E491E5D"/>
    <w:rsid w:val="0E722493"/>
    <w:rsid w:val="0F0D25C9"/>
    <w:rsid w:val="0F166A27"/>
    <w:rsid w:val="0F2910C0"/>
    <w:rsid w:val="0F38063B"/>
    <w:rsid w:val="0F610F5D"/>
    <w:rsid w:val="0FEF3A91"/>
    <w:rsid w:val="10032189"/>
    <w:rsid w:val="104657AB"/>
    <w:rsid w:val="1073306D"/>
    <w:rsid w:val="1077029D"/>
    <w:rsid w:val="10B23929"/>
    <w:rsid w:val="10CB2D83"/>
    <w:rsid w:val="10E068E7"/>
    <w:rsid w:val="10E74FA5"/>
    <w:rsid w:val="10ED777A"/>
    <w:rsid w:val="10F03FA8"/>
    <w:rsid w:val="10FE0C60"/>
    <w:rsid w:val="110952C0"/>
    <w:rsid w:val="113F5080"/>
    <w:rsid w:val="11413E7B"/>
    <w:rsid w:val="11495023"/>
    <w:rsid w:val="114C321C"/>
    <w:rsid w:val="11551DB0"/>
    <w:rsid w:val="11607970"/>
    <w:rsid w:val="116738EE"/>
    <w:rsid w:val="11776175"/>
    <w:rsid w:val="118062C5"/>
    <w:rsid w:val="118A2BD6"/>
    <w:rsid w:val="121C1A71"/>
    <w:rsid w:val="12302F02"/>
    <w:rsid w:val="12640C27"/>
    <w:rsid w:val="1294794D"/>
    <w:rsid w:val="12966AF3"/>
    <w:rsid w:val="12FE0FC0"/>
    <w:rsid w:val="12FE519E"/>
    <w:rsid w:val="130E3B0C"/>
    <w:rsid w:val="131E56C0"/>
    <w:rsid w:val="13492A35"/>
    <w:rsid w:val="13DB7E65"/>
    <w:rsid w:val="14000DA4"/>
    <w:rsid w:val="143C3D3B"/>
    <w:rsid w:val="146C4654"/>
    <w:rsid w:val="150F2679"/>
    <w:rsid w:val="153C6916"/>
    <w:rsid w:val="15651901"/>
    <w:rsid w:val="15702B4E"/>
    <w:rsid w:val="15944F85"/>
    <w:rsid w:val="15CB452E"/>
    <w:rsid w:val="15D85852"/>
    <w:rsid w:val="16440092"/>
    <w:rsid w:val="164F0598"/>
    <w:rsid w:val="169D5244"/>
    <w:rsid w:val="16A82188"/>
    <w:rsid w:val="16E858FC"/>
    <w:rsid w:val="17102473"/>
    <w:rsid w:val="17323BCF"/>
    <w:rsid w:val="175E174E"/>
    <w:rsid w:val="178E5E27"/>
    <w:rsid w:val="17C4317A"/>
    <w:rsid w:val="17DD7404"/>
    <w:rsid w:val="180C188B"/>
    <w:rsid w:val="18622C45"/>
    <w:rsid w:val="186C220A"/>
    <w:rsid w:val="18890248"/>
    <w:rsid w:val="189E2CDE"/>
    <w:rsid w:val="18C633D5"/>
    <w:rsid w:val="18D7258C"/>
    <w:rsid w:val="18EA1D61"/>
    <w:rsid w:val="190F396D"/>
    <w:rsid w:val="191E46DC"/>
    <w:rsid w:val="1934514E"/>
    <w:rsid w:val="1938386B"/>
    <w:rsid w:val="196A34EC"/>
    <w:rsid w:val="196D749E"/>
    <w:rsid w:val="196F5886"/>
    <w:rsid w:val="199A349F"/>
    <w:rsid w:val="19AC5014"/>
    <w:rsid w:val="19C80C5B"/>
    <w:rsid w:val="19CF2B7D"/>
    <w:rsid w:val="19EC6237"/>
    <w:rsid w:val="1A681199"/>
    <w:rsid w:val="1A984902"/>
    <w:rsid w:val="1AB167CC"/>
    <w:rsid w:val="1AD01B09"/>
    <w:rsid w:val="1AD812A3"/>
    <w:rsid w:val="1ADD7A0C"/>
    <w:rsid w:val="1ADF1A19"/>
    <w:rsid w:val="1AE025B5"/>
    <w:rsid w:val="1B1E7EA9"/>
    <w:rsid w:val="1B467D12"/>
    <w:rsid w:val="1B534665"/>
    <w:rsid w:val="1B894F29"/>
    <w:rsid w:val="1BA11056"/>
    <w:rsid w:val="1BA56CBF"/>
    <w:rsid w:val="1BC70D44"/>
    <w:rsid w:val="1BEC677C"/>
    <w:rsid w:val="1C000C8E"/>
    <w:rsid w:val="1C0E7896"/>
    <w:rsid w:val="1C1076DE"/>
    <w:rsid w:val="1C4C269E"/>
    <w:rsid w:val="1C8403CB"/>
    <w:rsid w:val="1D2F40BA"/>
    <w:rsid w:val="1D7B5175"/>
    <w:rsid w:val="1DA16683"/>
    <w:rsid w:val="1DC01261"/>
    <w:rsid w:val="1DC45E9A"/>
    <w:rsid w:val="1E0F5267"/>
    <w:rsid w:val="1E9654AF"/>
    <w:rsid w:val="1E9A0AF3"/>
    <w:rsid w:val="1EFC3FD6"/>
    <w:rsid w:val="1F306E32"/>
    <w:rsid w:val="20075BF3"/>
    <w:rsid w:val="20426910"/>
    <w:rsid w:val="205677C5"/>
    <w:rsid w:val="20A50121"/>
    <w:rsid w:val="20EC2DA8"/>
    <w:rsid w:val="210E7827"/>
    <w:rsid w:val="21393E6A"/>
    <w:rsid w:val="21DA0978"/>
    <w:rsid w:val="220B144C"/>
    <w:rsid w:val="220F1E9A"/>
    <w:rsid w:val="224C34D1"/>
    <w:rsid w:val="22A062C4"/>
    <w:rsid w:val="22A33518"/>
    <w:rsid w:val="22A5036B"/>
    <w:rsid w:val="22C26C24"/>
    <w:rsid w:val="22CE2D0F"/>
    <w:rsid w:val="22CF4197"/>
    <w:rsid w:val="22F10A77"/>
    <w:rsid w:val="2314403B"/>
    <w:rsid w:val="23327BB2"/>
    <w:rsid w:val="23872EDF"/>
    <w:rsid w:val="23AB3DF5"/>
    <w:rsid w:val="23E359D2"/>
    <w:rsid w:val="23EF6A65"/>
    <w:rsid w:val="24473954"/>
    <w:rsid w:val="24D25AC6"/>
    <w:rsid w:val="24E01B6B"/>
    <w:rsid w:val="24F54FAD"/>
    <w:rsid w:val="250C1CDD"/>
    <w:rsid w:val="251116B1"/>
    <w:rsid w:val="251C1489"/>
    <w:rsid w:val="25421B0C"/>
    <w:rsid w:val="254622CA"/>
    <w:rsid w:val="25786F5B"/>
    <w:rsid w:val="257B45B8"/>
    <w:rsid w:val="258B2E77"/>
    <w:rsid w:val="259524DA"/>
    <w:rsid w:val="259C79F3"/>
    <w:rsid w:val="25C835CF"/>
    <w:rsid w:val="25CD20D7"/>
    <w:rsid w:val="262C55EE"/>
    <w:rsid w:val="263D69C7"/>
    <w:rsid w:val="266F38DE"/>
    <w:rsid w:val="26871406"/>
    <w:rsid w:val="26923E5D"/>
    <w:rsid w:val="26A11503"/>
    <w:rsid w:val="26A967F0"/>
    <w:rsid w:val="271012F8"/>
    <w:rsid w:val="271D53F2"/>
    <w:rsid w:val="272E6D83"/>
    <w:rsid w:val="27426485"/>
    <w:rsid w:val="276E4F09"/>
    <w:rsid w:val="27750B21"/>
    <w:rsid w:val="27BF209E"/>
    <w:rsid w:val="27E52E03"/>
    <w:rsid w:val="288F6F25"/>
    <w:rsid w:val="2897799E"/>
    <w:rsid w:val="28A207AA"/>
    <w:rsid w:val="28C3168F"/>
    <w:rsid w:val="28E63B24"/>
    <w:rsid w:val="28EC6CD8"/>
    <w:rsid w:val="28FA09F6"/>
    <w:rsid w:val="29705893"/>
    <w:rsid w:val="29A37A01"/>
    <w:rsid w:val="29B13A13"/>
    <w:rsid w:val="29DF21B0"/>
    <w:rsid w:val="29E57EBF"/>
    <w:rsid w:val="2A052C6E"/>
    <w:rsid w:val="2A575538"/>
    <w:rsid w:val="2A610A4B"/>
    <w:rsid w:val="2A633308"/>
    <w:rsid w:val="2A7E2167"/>
    <w:rsid w:val="2A8871A8"/>
    <w:rsid w:val="2A987773"/>
    <w:rsid w:val="2A9F1722"/>
    <w:rsid w:val="2AB54028"/>
    <w:rsid w:val="2AF1429C"/>
    <w:rsid w:val="2B5F3E2B"/>
    <w:rsid w:val="2BAA024E"/>
    <w:rsid w:val="2BC714CB"/>
    <w:rsid w:val="2BF3271B"/>
    <w:rsid w:val="2C247C7C"/>
    <w:rsid w:val="2C2F14C5"/>
    <w:rsid w:val="2C470A2A"/>
    <w:rsid w:val="2C5043FD"/>
    <w:rsid w:val="2C5134AF"/>
    <w:rsid w:val="2C5D3D01"/>
    <w:rsid w:val="2C865673"/>
    <w:rsid w:val="2CA43B8F"/>
    <w:rsid w:val="2D116835"/>
    <w:rsid w:val="2D203581"/>
    <w:rsid w:val="2D355FA7"/>
    <w:rsid w:val="2D58052B"/>
    <w:rsid w:val="2D643327"/>
    <w:rsid w:val="2D8861A8"/>
    <w:rsid w:val="2E3E78ED"/>
    <w:rsid w:val="2E6D4479"/>
    <w:rsid w:val="2EC100D8"/>
    <w:rsid w:val="2ECA3698"/>
    <w:rsid w:val="2ED27FFD"/>
    <w:rsid w:val="2F4859CC"/>
    <w:rsid w:val="2F5508A8"/>
    <w:rsid w:val="2F9148C0"/>
    <w:rsid w:val="2FA71BB2"/>
    <w:rsid w:val="2FA92733"/>
    <w:rsid w:val="2FF5479D"/>
    <w:rsid w:val="30164626"/>
    <w:rsid w:val="309019B5"/>
    <w:rsid w:val="30C70FC5"/>
    <w:rsid w:val="31245E6F"/>
    <w:rsid w:val="3140652C"/>
    <w:rsid w:val="31B95301"/>
    <w:rsid w:val="31D10345"/>
    <w:rsid w:val="320F23C2"/>
    <w:rsid w:val="32C06942"/>
    <w:rsid w:val="32DB717D"/>
    <w:rsid w:val="32FA6D3A"/>
    <w:rsid w:val="33296423"/>
    <w:rsid w:val="333249BD"/>
    <w:rsid w:val="337B1F07"/>
    <w:rsid w:val="33A24DD4"/>
    <w:rsid w:val="33DE21AE"/>
    <w:rsid w:val="33EC718C"/>
    <w:rsid w:val="33F569AA"/>
    <w:rsid w:val="34036C9A"/>
    <w:rsid w:val="34182A9B"/>
    <w:rsid w:val="343E22E2"/>
    <w:rsid w:val="346A3BA4"/>
    <w:rsid w:val="3480693E"/>
    <w:rsid w:val="349D2033"/>
    <w:rsid w:val="34AB4F22"/>
    <w:rsid w:val="353141DC"/>
    <w:rsid w:val="358A59B9"/>
    <w:rsid w:val="35AE7E8E"/>
    <w:rsid w:val="35AF2F3A"/>
    <w:rsid w:val="35C94004"/>
    <w:rsid w:val="35CB36BA"/>
    <w:rsid w:val="361C6F19"/>
    <w:rsid w:val="361C77CB"/>
    <w:rsid w:val="36203A46"/>
    <w:rsid w:val="3640288A"/>
    <w:rsid w:val="36623A2A"/>
    <w:rsid w:val="36C81E1D"/>
    <w:rsid w:val="36E17279"/>
    <w:rsid w:val="37216796"/>
    <w:rsid w:val="37282BAF"/>
    <w:rsid w:val="372A204B"/>
    <w:rsid w:val="376E598F"/>
    <w:rsid w:val="378348C6"/>
    <w:rsid w:val="37B44AD7"/>
    <w:rsid w:val="37EB36C4"/>
    <w:rsid w:val="380B1AC9"/>
    <w:rsid w:val="382563C7"/>
    <w:rsid w:val="38294441"/>
    <w:rsid w:val="3832671F"/>
    <w:rsid w:val="3838185E"/>
    <w:rsid w:val="384A0F7C"/>
    <w:rsid w:val="38821C0E"/>
    <w:rsid w:val="38841DE5"/>
    <w:rsid w:val="388A0841"/>
    <w:rsid w:val="389017BD"/>
    <w:rsid w:val="389F1247"/>
    <w:rsid w:val="38E33B21"/>
    <w:rsid w:val="392213F1"/>
    <w:rsid w:val="395077F0"/>
    <w:rsid w:val="397200C0"/>
    <w:rsid w:val="3977253A"/>
    <w:rsid w:val="397F146D"/>
    <w:rsid w:val="3994237E"/>
    <w:rsid w:val="39A41479"/>
    <w:rsid w:val="39B66F36"/>
    <w:rsid w:val="39CA6372"/>
    <w:rsid w:val="39D42F61"/>
    <w:rsid w:val="39F52BBB"/>
    <w:rsid w:val="3A25387D"/>
    <w:rsid w:val="3A904555"/>
    <w:rsid w:val="3A936424"/>
    <w:rsid w:val="3A9C5633"/>
    <w:rsid w:val="3AA5567A"/>
    <w:rsid w:val="3AB17F39"/>
    <w:rsid w:val="3ABD2152"/>
    <w:rsid w:val="3ADA260F"/>
    <w:rsid w:val="3B0875A8"/>
    <w:rsid w:val="3B1E2AD4"/>
    <w:rsid w:val="3B8A1AFA"/>
    <w:rsid w:val="3BA6299B"/>
    <w:rsid w:val="3BDB3BE8"/>
    <w:rsid w:val="3BDB4034"/>
    <w:rsid w:val="3CBE5FC8"/>
    <w:rsid w:val="3CE609A9"/>
    <w:rsid w:val="3CF94FF9"/>
    <w:rsid w:val="3D3C14BA"/>
    <w:rsid w:val="3D4C4D22"/>
    <w:rsid w:val="3D622DCF"/>
    <w:rsid w:val="3D651B10"/>
    <w:rsid w:val="3DDE46C5"/>
    <w:rsid w:val="3DE4134A"/>
    <w:rsid w:val="3DF30C0C"/>
    <w:rsid w:val="3DFF76B9"/>
    <w:rsid w:val="3E130551"/>
    <w:rsid w:val="3E38045F"/>
    <w:rsid w:val="3E514C92"/>
    <w:rsid w:val="3EAE71F2"/>
    <w:rsid w:val="3EB63546"/>
    <w:rsid w:val="3EBA1FF6"/>
    <w:rsid w:val="3EBF1C19"/>
    <w:rsid w:val="3EDA112C"/>
    <w:rsid w:val="3F057FEF"/>
    <w:rsid w:val="3F2F49DC"/>
    <w:rsid w:val="3F3C090C"/>
    <w:rsid w:val="3F442945"/>
    <w:rsid w:val="3F7E27E2"/>
    <w:rsid w:val="3F9F6207"/>
    <w:rsid w:val="3FE96941"/>
    <w:rsid w:val="3FF81320"/>
    <w:rsid w:val="40200E8D"/>
    <w:rsid w:val="40210A98"/>
    <w:rsid w:val="4063109C"/>
    <w:rsid w:val="406E430C"/>
    <w:rsid w:val="4077363D"/>
    <w:rsid w:val="4094020B"/>
    <w:rsid w:val="40A55546"/>
    <w:rsid w:val="40C0465B"/>
    <w:rsid w:val="40D11A49"/>
    <w:rsid w:val="40FC6BFB"/>
    <w:rsid w:val="41295026"/>
    <w:rsid w:val="414F0ABD"/>
    <w:rsid w:val="41685545"/>
    <w:rsid w:val="417E1534"/>
    <w:rsid w:val="418A5162"/>
    <w:rsid w:val="41A2496E"/>
    <w:rsid w:val="41DD49A0"/>
    <w:rsid w:val="41F83010"/>
    <w:rsid w:val="41FE61DB"/>
    <w:rsid w:val="420F4C19"/>
    <w:rsid w:val="429B521A"/>
    <w:rsid w:val="42DA5A81"/>
    <w:rsid w:val="42EE608A"/>
    <w:rsid w:val="431430A5"/>
    <w:rsid w:val="434C564B"/>
    <w:rsid w:val="43511C08"/>
    <w:rsid w:val="435C1D15"/>
    <w:rsid w:val="43914E23"/>
    <w:rsid w:val="43AD2B22"/>
    <w:rsid w:val="43C474DF"/>
    <w:rsid w:val="43E923DB"/>
    <w:rsid w:val="43EB0BC6"/>
    <w:rsid w:val="44124FCD"/>
    <w:rsid w:val="441E74DB"/>
    <w:rsid w:val="445D346B"/>
    <w:rsid w:val="449125EE"/>
    <w:rsid w:val="449378AD"/>
    <w:rsid w:val="44FB2E63"/>
    <w:rsid w:val="451E605E"/>
    <w:rsid w:val="45A31E69"/>
    <w:rsid w:val="45E54BB3"/>
    <w:rsid w:val="461D64BE"/>
    <w:rsid w:val="467C599A"/>
    <w:rsid w:val="46C93EE0"/>
    <w:rsid w:val="47083695"/>
    <w:rsid w:val="47113E90"/>
    <w:rsid w:val="4760077B"/>
    <w:rsid w:val="477A4CF8"/>
    <w:rsid w:val="479445B2"/>
    <w:rsid w:val="47A23A66"/>
    <w:rsid w:val="47A44642"/>
    <w:rsid w:val="47FE67F6"/>
    <w:rsid w:val="481F3E2D"/>
    <w:rsid w:val="484E76BD"/>
    <w:rsid w:val="48C30EC6"/>
    <w:rsid w:val="4917106F"/>
    <w:rsid w:val="49693790"/>
    <w:rsid w:val="49814E8C"/>
    <w:rsid w:val="498C15B9"/>
    <w:rsid w:val="499C1EB2"/>
    <w:rsid w:val="49AA3180"/>
    <w:rsid w:val="49CD3554"/>
    <w:rsid w:val="49FA41F5"/>
    <w:rsid w:val="4A0725B7"/>
    <w:rsid w:val="4A123A9E"/>
    <w:rsid w:val="4A1914E6"/>
    <w:rsid w:val="4A2C2C73"/>
    <w:rsid w:val="4A347A18"/>
    <w:rsid w:val="4A7C087B"/>
    <w:rsid w:val="4A8F08DB"/>
    <w:rsid w:val="4AA45BE1"/>
    <w:rsid w:val="4AA65B3B"/>
    <w:rsid w:val="4AAB0C25"/>
    <w:rsid w:val="4AFC74DF"/>
    <w:rsid w:val="4B1465F7"/>
    <w:rsid w:val="4B6A7123"/>
    <w:rsid w:val="4B833213"/>
    <w:rsid w:val="4B94022B"/>
    <w:rsid w:val="4BB767FA"/>
    <w:rsid w:val="4BBC38B3"/>
    <w:rsid w:val="4BC7643F"/>
    <w:rsid w:val="4BF55ADA"/>
    <w:rsid w:val="4C0412E8"/>
    <w:rsid w:val="4C377209"/>
    <w:rsid w:val="4C3C1AA8"/>
    <w:rsid w:val="4C472693"/>
    <w:rsid w:val="4C7E3F90"/>
    <w:rsid w:val="4C8463EE"/>
    <w:rsid w:val="4C94676B"/>
    <w:rsid w:val="4CC06BFB"/>
    <w:rsid w:val="4CC70890"/>
    <w:rsid w:val="4D0D5653"/>
    <w:rsid w:val="4D1A60AC"/>
    <w:rsid w:val="4D382680"/>
    <w:rsid w:val="4D4B343F"/>
    <w:rsid w:val="4D4F113F"/>
    <w:rsid w:val="4D5F707C"/>
    <w:rsid w:val="4D936F03"/>
    <w:rsid w:val="4DDA1A4C"/>
    <w:rsid w:val="4DE87042"/>
    <w:rsid w:val="4E126926"/>
    <w:rsid w:val="4E1A5C09"/>
    <w:rsid w:val="4E236F20"/>
    <w:rsid w:val="4E2F2359"/>
    <w:rsid w:val="4E322580"/>
    <w:rsid w:val="4E380CCC"/>
    <w:rsid w:val="4E431849"/>
    <w:rsid w:val="4E5E0128"/>
    <w:rsid w:val="4EBB5959"/>
    <w:rsid w:val="4EF14F49"/>
    <w:rsid w:val="4EF6050D"/>
    <w:rsid w:val="4F1A59BF"/>
    <w:rsid w:val="4F74733C"/>
    <w:rsid w:val="4F9836A0"/>
    <w:rsid w:val="4FCA0C0E"/>
    <w:rsid w:val="4FF24BF0"/>
    <w:rsid w:val="50123891"/>
    <w:rsid w:val="502A4A4C"/>
    <w:rsid w:val="507A0ADC"/>
    <w:rsid w:val="50D83106"/>
    <w:rsid w:val="510A509B"/>
    <w:rsid w:val="510B5F75"/>
    <w:rsid w:val="51341DC2"/>
    <w:rsid w:val="51652482"/>
    <w:rsid w:val="51884B5E"/>
    <w:rsid w:val="518D3779"/>
    <w:rsid w:val="51CC4263"/>
    <w:rsid w:val="51D050D1"/>
    <w:rsid w:val="51D7211E"/>
    <w:rsid w:val="52505661"/>
    <w:rsid w:val="5257610A"/>
    <w:rsid w:val="526E5CB5"/>
    <w:rsid w:val="52A9427B"/>
    <w:rsid w:val="52C11C86"/>
    <w:rsid w:val="52D47DFA"/>
    <w:rsid w:val="53157900"/>
    <w:rsid w:val="53865274"/>
    <w:rsid w:val="53EF52C6"/>
    <w:rsid w:val="53FC52B5"/>
    <w:rsid w:val="54272FB7"/>
    <w:rsid w:val="542E1C7D"/>
    <w:rsid w:val="54683D67"/>
    <w:rsid w:val="54A21BB2"/>
    <w:rsid w:val="54A32459"/>
    <w:rsid w:val="54C254CA"/>
    <w:rsid w:val="54FB0113"/>
    <w:rsid w:val="54FC1185"/>
    <w:rsid w:val="550805A5"/>
    <w:rsid w:val="55345F3D"/>
    <w:rsid w:val="5536270E"/>
    <w:rsid w:val="55B95A64"/>
    <w:rsid w:val="55DD2479"/>
    <w:rsid w:val="55E61840"/>
    <w:rsid w:val="55FF5737"/>
    <w:rsid w:val="56022458"/>
    <w:rsid w:val="561D267A"/>
    <w:rsid w:val="561E51C2"/>
    <w:rsid w:val="563324A1"/>
    <w:rsid w:val="56400CAD"/>
    <w:rsid w:val="56811225"/>
    <w:rsid w:val="568B551A"/>
    <w:rsid w:val="56CC7D61"/>
    <w:rsid w:val="56DC2B8F"/>
    <w:rsid w:val="575710A5"/>
    <w:rsid w:val="577D7F8B"/>
    <w:rsid w:val="57F7496D"/>
    <w:rsid w:val="580E311D"/>
    <w:rsid w:val="58232B9D"/>
    <w:rsid w:val="58453A62"/>
    <w:rsid w:val="585B0093"/>
    <w:rsid w:val="585C4BEC"/>
    <w:rsid w:val="58C47FB3"/>
    <w:rsid w:val="58D858C7"/>
    <w:rsid w:val="59186B24"/>
    <w:rsid w:val="592C2178"/>
    <w:rsid w:val="593E3AF5"/>
    <w:rsid w:val="5980115E"/>
    <w:rsid w:val="59A559F4"/>
    <w:rsid w:val="59B3121D"/>
    <w:rsid w:val="59B40DDE"/>
    <w:rsid w:val="59E06958"/>
    <w:rsid w:val="5A3D30D1"/>
    <w:rsid w:val="5A764AEA"/>
    <w:rsid w:val="5A7C6794"/>
    <w:rsid w:val="5A9A26F3"/>
    <w:rsid w:val="5ACF0B14"/>
    <w:rsid w:val="5AD97D44"/>
    <w:rsid w:val="5AEF4A74"/>
    <w:rsid w:val="5AFE2B3E"/>
    <w:rsid w:val="5B0E3D74"/>
    <w:rsid w:val="5B22024B"/>
    <w:rsid w:val="5B835103"/>
    <w:rsid w:val="5BAF2355"/>
    <w:rsid w:val="5BF60B78"/>
    <w:rsid w:val="5C0A3D46"/>
    <w:rsid w:val="5C1668CF"/>
    <w:rsid w:val="5C2448DF"/>
    <w:rsid w:val="5C281A1F"/>
    <w:rsid w:val="5C4A11F5"/>
    <w:rsid w:val="5C7E749C"/>
    <w:rsid w:val="5C800C68"/>
    <w:rsid w:val="5C9C4D3F"/>
    <w:rsid w:val="5D05202B"/>
    <w:rsid w:val="5D0830CD"/>
    <w:rsid w:val="5D4C74C6"/>
    <w:rsid w:val="5D565731"/>
    <w:rsid w:val="5D5F37E0"/>
    <w:rsid w:val="5DB27F4B"/>
    <w:rsid w:val="5DC92E45"/>
    <w:rsid w:val="5DD16FEB"/>
    <w:rsid w:val="5DE9161E"/>
    <w:rsid w:val="5E052F60"/>
    <w:rsid w:val="5E2C0104"/>
    <w:rsid w:val="5E484D06"/>
    <w:rsid w:val="5E6042CD"/>
    <w:rsid w:val="5E995CB6"/>
    <w:rsid w:val="5F332EE3"/>
    <w:rsid w:val="5F4B4928"/>
    <w:rsid w:val="5F6D1766"/>
    <w:rsid w:val="5F6D722C"/>
    <w:rsid w:val="5FA06C93"/>
    <w:rsid w:val="603E78AC"/>
    <w:rsid w:val="60730CCD"/>
    <w:rsid w:val="60787DEF"/>
    <w:rsid w:val="60B97D7B"/>
    <w:rsid w:val="60C471C8"/>
    <w:rsid w:val="60F0127D"/>
    <w:rsid w:val="610229C7"/>
    <w:rsid w:val="611D6528"/>
    <w:rsid w:val="61575DB9"/>
    <w:rsid w:val="615D62A4"/>
    <w:rsid w:val="61A9603A"/>
    <w:rsid w:val="62282029"/>
    <w:rsid w:val="622B7960"/>
    <w:rsid w:val="624D13D2"/>
    <w:rsid w:val="624D3262"/>
    <w:rsid w:val="62952C26"/>
    <w:rsid w:val="62CC0B70"/>
    <w:rsid w:val="62E03330"/>
    <w:rsid w:val="62F6470B"/>
    <w:rsid w:val="63034CB6"/>
    <w:rsid w:val="63401EEA"/>
    <w:rsid w:val="63661CC6"/>
    <w:rsid w:val="639844F4"/>
    <w:rsid w:val="63B91E63"/>
    <w:rsid w:val="63D30286"/>
    <w:rsid w:val="63F1008D"/>
    <w:rsid w:val="640C4D66"/>
    <w:rsid w:val="643D6AEA"/>
    <w:rsid w:val="644704AA"/>
    <w:rsid w:val="644E0B76"/>
    <w:rsid w:val="64512008"/>
    <w:rsid w:val="64513165"/>
    <w:rsid w:val="64836A7E"/>
    <w:rsid w:val="64CF6DDB"/>
    <w:rsid w:val="64F37D8E"/>
    <w:rsid w:val="65177A81"/>
    <w:rsid w:val="651D7D2C"/>
    <w:rsid w:val="65344221"/>
    <w:rsid w:val="65593354"/>
    <w:rsid w:val="657A443E"/>
    <w:rsid w:val="658339DD"/>
    <w:rsid w:val="658C1862"/>
    <w:rsid w:val="658F0A21"/>
    <w:rsid w:val="65C014DD"/>
    <w:rsid w:val="65C36858"/>
    <w:rsid w:val="65CC0FCB"/>
    <w:rsid w:val="66334E81"/>
    <w:rsid w:val="66693D7A"/>
    <w:rsid w:val="66932504"/>
    <w:rsid w:val="66EF434C"/>
    <w:rsid w:val="67085112"/>
    <w:rsid w:val="6716631D"/>
    <w:rsid w:val="671F2C34"/>
    <w:rsid w:val="6727355B"/>
    <w:rsid w:val="677B7505"/>
    <w:rsid w:val="67884753"/>
    <w:rsid w:val="68573B90"/>
    <w:rsid w:val="688C494F"/>
    <w:rsid w:val="68B34444"/>
    <w:rsid w:val="68D7282F"/>
    <w:rsid w:val="68E52730"/>
    <w:rsid w:val="68F06745"/>
    <w:rsid w:val="69013A3D"/>
    <w:rsid w:val="69031495"/>
    <w:rsid w:val="6921086D"/>
    <w:rsid w:val="69354272"/>
    <w:rsid w:val="696752C4"/>
    <w:rsid w:val="697C2B26"/>
    <w:rsid w:val="697D10D3"/>
    <w:rsid w:val="69882C1F"/>
    <w:rsid w:val="6A2466C3"/>
    <w:rsid w:val="6A3645BE"/>
    <w:rsid w:val="6A9937FB"/>
    <w:rsid w:val="6AAB5EC2"/>
    <w:rsid w:val="6B0E6819"/>
    <w:rsid w:val="6B4B1430"/>
    <w:rsid w:val="6B815528"/>
    <w:rsid w:val="6BD85097"/>
    <w:rsid w:val="6C0C280F"/>
    <w:rsid w:val="6C2E3A39"/>
    <w:rsid w:val="6C2F2D0A"/>
    <w:rsid w:val="6C3A6C65"/>
    <w:rsid w:val="6C913258"/>
    <w:rsid w:val="6CC716A8"/>
    <w:rsid w:val="6CE14C19"/>
    <w:rsid w:val="6D18557E"/>
    <w:rsid w:val="6D7B5101"/>
    <w:rsid w:val="6D7E20B6"/>
    <w:rsid w:val="6DDA54F1"/>
    <w:rsid w:val="6E1F3F71"/>
    <w:rsid w:val="6E9D4317"/>
    <w:rsid w:val="6EA43E65"/>
    <w:rsid w:val="6EAE6E07"/>
    <w:rsid w:val="6EB965EF"/>
    <w:rsid w:val="6ED215D0"/>
    <w:rsid w:val="6F11121C"/>
    <w:rsid w:val="6F3679B6"/>
    <w:rsid w:val="6F5E48C1"/>
    <w:rsid w:val="6F986885"/>
    <w:rsid w:val="6FB536F1"/>
    <w:rsid w:val="6FD36A45"/>
    <w:rsid w:val="7015030B"/>
    <w:rsid w:val="70281C68"/>
    <w:rsid w:val="703377EA"/>
    <w:rsid w:val="70421150"/>
    <w:rsid w:val="705336D9"/>
    <w:rsid w:val="70887A6C"/>
    <w:rsid w:val="70A21D6E"/>
    <w:rsid w:val="70B10776"/>
    <w:rsid w:val="7114562E"/>
    <w:rsid w:val="721A5BFC"/>
    <w:rsid w:val="72253032"/>
    <w:rsid w:val="726D1F0A"/>
    <w:rsid w:val="72724AF5"/>
    <w:rsid w:val="728A7FDB"/>
    <w:rsid w:val="72CA47A7"/>
    <w:rsid w:val="72E056F6"/>
    <w:rsid w:val="72F10E4B"/>
    <w:rsid w:val="731D228E"/>
    <w:rsid w:val="734F2667"/>
    <w:rsid w:val="736F36E4"/>
    <w:rsid w:val="73732395"/>
    <w:rsid w:val="73AC3C2E"/>
    <w:rsid w:val="73BD7D1D"/>
    <w:rsid w:val="73FE4234"/>
    <w:rsid w:val="741D46A8"/>
    <w:rsid w:val="745E480C"/>
    <w:rsid w:val="74741F55"/>
    <w:rsid w:val="74771C32"/>
    <w:rsid w:val="747840C8"/>
    <w:rsid w:val="747C11A9"/>
    <w:rsid w:val="74816CD1"/>
    <w:rsid w:val="748976C1"/>
    <w:rsid w:val="748B24B3"/>
    <w:rsid w:val="74B16C77"/>
    <w:rsid w:val="74CF0CE8"/>
    <w:rsid w:val="74D4090E"/>
    <w:rsid w:val="7514080C"/>
    <w:rsid w:val="75141431"/>
    <w:rsid w:val="751C1E37"/>
    <w:rsid w:val="752006CE"/>
    <w:rsid w:val="75325822"/>
    <w:rsid w:val="754001E3"/>
    <w:rsid w:val="757310D2"/>
    <w:rsid w:val="75961B65"/>
    <w:rsid w:val="75A03CD1"/>
    <w:rsid w:val="75D17FBC"/>
    <w:rsid w:val="75D21021"/>
    <w:rsid w:val="75D97917"/>
    <w:rsid w:val="76134F53"/>
    <w:rsid w:val="76515436"/>
    <w:rsid w:val="76850C11"/>
    <w:rsid w:val="769E1EB6"/>
    <w:rsid w:val="76D95C71"/>
    <w:rsid w:val="77074DCA"/>
    <w:rsid w:val="770816F8"/>
    <w:rsid w:val="770D4C3B"/>
    <w:rsid w:val="770E7037"/>
    <w:rsid w:val="772A2634"/>
    <w:rsid w:val="774C4508"/>
    <w:rsid w:val="77883EA5"/>
    <w:rsid w:val="779C54FA"/>
    <w:rsid w:val="77BE4B43"/>
    <w:rsid w:val="77E07215"/>
    <w:rsid w:val="78914BBB"/>
    <w:rsid w:val="78D10084"/>
    <w:rsid w:val="790F01DA"/>
    <w:rsid w:val="79415915"/>
    <w:rsid w:val="79606747"/>
    <w:rsid w:val="796B05A5"/>
    <w:rsid w:val="79775F17"/>
    <w:rsid w:val="79A43FE1"/>
    <w:rsid w:val="79B57CC2"/>
    <w:rsid w:val="79F70A30"/>
    <w:rsid w:val="79FF2965"/>
    <w:rsid w:val="7A113AEF"/>
    <w:rsid w:val="7A2F7B4A"/>
    <w:rsid w:val="7A3913E2"/>
    <w:rsid w:val="7A5F7F0B"/>
    <w:rsid w:val="7A721D3D"/>
    <w:rsid w:val="7AAA27DC"/>
    <w:rsid w:val="7ADD7225"/>
    <w:rsid w:val="7B0E5AAD"/>
    <w:rsid w:val="7B3A4AB0"/>
    <w:rsid w:val="7B533CB0"/>
    <w:rsid w:val="7B5C5229"/>
    <w:rsid w:val="7B8A5043"/>
    <w:rsid w:val="7B9D24D3"/>
    <w:rsid w:val="7B9F5675"/>
    <w:rsid w:val="7BA84A7D"/>
    <w:rsid w:val="7BD132F1"/>
    <w:rsid w:val="7BE74DCB"/>
    <w:rsid w:val="7C2F6A6C"/>
    <w:rsid w:val="7C677BE9"/>
    <w:rsid w:val="7C81697F"/>
    <w:rsid w:val="7C883222"/>
    <w:rsid w:val="7C936CCC"/>
    <w:rsid w:val="7D0C352C"/>
    <w:rsid w:val="7D0D6FCF"/>
    <w:rsid w:val="7D136293"/>
    <w:rsid w:val="7D170593"/>
    <w:rsid w:val="7D3B5AB0"/>
    <w:rsid w:val="7D4F5F80"/>
    <w:rsid w:val="7D5354FA"/>
    <w:rsid w:val="7D9840A9"/>
    <w:rsid w:val="7DEA1B35"/>
    <w:rsid w:val="7EAD764E"/>
    <w:rsid w:val="7EB47327"/>
    <w:rsid w:val="7EB57BDC"/>
    <w:rsid w:val="7ECB089F"/>
    <w:rsid w:val="7EF22750"/>
    <w:rsid w:val="7F0511FB"/>
    <w:rsid w:val="7F0A273D"/>
    <w:rsid w:val="7F5722AE"/>
    <w:rsid w:val="7FC06AFB"/>
    <w:rsid w:val="7FE55DFA"/>
    <w:rsid w:val="7FF17E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kern w:val="2"/>
      <w:sz w:val="21"/>
      <w:szCs w:val="24"/>
      <w:lang w:val="en-US" w:eastAsia="zh-CN" w:bidi="ar-SA"/>
    </w:rPr>
  </w:style>
  <w:style w:type="paragraph" w:styleId="5">
    <w:name w:val="heading 1"/>
    <w:basedOn w:val="1"/>
    <w:next w:val="1"/>
    <w:link w:val="89"/>
    <w:qFormat/>
    <w:uiPriority w:val="0"/>
    <w:pPr>
      <w:keepNext/>
      <w:widowControl/>
      <w:spacing w:line="360" w:lineRule="auto"/>
      <w:jc w:val="center"/>
      <w:outlineLvl w:val="0"/>
    </w:pPr>
    <w:rPr>
      <w:rFonts w:ascii="??" w:hAnsi="??" w:eastAsia="??" w:cs="宋体"/>
      <w:b/>
      <w:kern w:val="36"/>
      <w:sz w:val="32"/>
      <w:szCs w:val="28"/>
    </w:rPr>
  </w:style>
  <w:style w:type="paragraph" w:styleId="6">
    <w:name w:val="heading 2"/>
    <w:basedOn w:val="1"/>
    <w:next w:val="1"/>
    <w:link w:val="90"/>
    <w:qFormat/>
    <w:uiPriority w:val="0"/>
    <w:pPr>
      <w:keepNext/>
      <w:keepLines/>
      <w:numPr>
        <w:ilvl w:val="0"/>
        <w:numId w:val="1"/>
      </w:numPr>
      <w:tabs>
        <w:tab w:val="left" w:pos="706"/>
        <w:tab w:val="clear" w:pos="1110"/>
      </w:tabs>
      <w:spacing w:line="360" w:lineRule="auto"/>
      <w:outlineLvl w:val="1"/>
    </w:pPr>
    <w:rPr>
      <w:rFonts w:ascii="Arial" w:hAnsi="Arial" w:eastAsia="??" w:cs="Arial"/>
      <w:b/>
      <w:bCs/>
      <w:szCs w:val="32"/>
    </w:rPr>
  </w:style>
  <w:style w:type="paragraph" w:styleId="7">
    <w:name w:val="heading 3"/>
    <w:basedOn w:val="1"/>
    <w:next w:val="1"/>
    <w:link w:val="91"/>
    <w:qFormat/>
    <w:uiPriority w:val="0"/>
    <w:pPr>
      <w:keepNext/>
      <w:keepLines/>
      <w:widowControl/>
      <w:numPr>
        <w:ilvl w:val="2"/>
        <w:numId w:val="2"/>
      </w:numPr>
      <w:spacing w:before="120" w:after="120" w:line="360" w:lineRule="auto"/>
      <w:jc w:val="center"/>
      <w:outlineLvl w:val="2"/>
    </w:pPr>
    <w:rPr>
      <w:rFonts w:ascii="Times New Roman" w:hAnsi="Times New Roman" w:eastAsia="??"/>
      <w:b/>
      <w:kern w:val="0"/>
      <w:sz w:val="32"/>
      <w:szCs w:val="28"/>
    </w:rPr>
  </w:style>
  <w:style w:type="paragraph" w:styleId="8">
    <w:name w:val="heading 4"/>
    <w:basedOn w:val="1"/>
    <w:next w:val="1"/>
    <w:link w:val="92"/>
    <w:qFormat/>
    <w:uiPriority w:val="0"/>
    <w:pPr>
      <w:keepNext/>
      <w:keepLines/>
      <w:spacing w:before="280" w:after="290" w:line="376" w:lineRule="auto"/>
      <w:outlineLvl w:val="3"/>
    </w:pPr>
    <w:rPr>
      <w:rFonts w:ascii="Arial" w:hAnsi="Arial" w:eastAsia="??" w:cs="Arial"/>
      <w:b/>
      <w:bCs/>
      <w:sz w:val="28"/>
      <w:szCs w:val="28"/>
    </w:rPr>
  </w:style>
  <w:style w:type="paragraph" w:styleId="9">
    <w:name w:val="heading 5"/>
    <w:basedOn w:val="1"/>
    <w:next w:val="1"/>
    <w:link w:val="93"/>
    <w:qFormat/>
    <w:uiPriority w:val="0"/>
    <w:pPr>
      <w:keepNext/>
      <w:keepLines/>
      <w:spacing w:before="280" w:after="290" w:line="376" w:lineRule="auto"/>
      <w:outlineLvl w:val="4"/>
    </w:pPr>
    <w:rPr>
      <w:rFonts w:ascii="Times New Roman" w:hAnsi="Times New Roman" w:eastAsia="??"/>
      <w:b/>
      <w:bCs/>
      <w:sz w:val="28"/>
      <w:szCs w:val="28"/>
    </w:rPr>
  </w:style>
  <w:style w:type="paragraph" w:styleId="10">
    <w:name w:val="heading 6"/>
    <w:basedOn w:val="9"/>
    <w:next w:val="1"/>
    <w:link w:val="94"/>
    <w:qFormat/>
    <w:uiPriority w:val="0"/>
    <w:pPr>
      <w:keepNext/>
      <w:keepLines/>
      <w:widowControl/>
      <w:numPr>
        <w:ilvl w:val="5"/>
        <w:numId w:val="2"/>
      </w:numPr>
      <w:spacing w:before="240" w:after="64" w:line="319" w:lineRule="auto"/>
      <w:jc w:val="left"/>
      <w:outlineLvl w:val="5"/>
    </w:pPr>
    <w:rPr>
      <w:rFonts w:ascii="Arial" w:hAnsi="Arial" w:cs="Arial"/>
      <w:kern w:val="0"/>
      <w:sz w:val="24"/>
    </w:rPr>
  </w:style>
  <w:style w:type="paragraph" w:styleId="11">
    <w:name w:val="heading 7"/>
    <w:basedOn w:val="1"/>
    <w:next w:val="1"/>
    <w:link w:val="95"/>
    <w:qFormat/>
    <w:uiPriority w:val="0"/>
    <w:pPr>
      <w:keepNext/>
      <w:keepLines/>
      <w:widowControl/>
      <w:numPr>
        <w:ilvl w:val="6"/>
        <w:numId w:val="2"/>
      </w:numPr>
      <w:spacing w:before="240" w:after="64" w:line="319" w:lineRule="auto"/>
      <w:jc w:val="left"/>
      <w:outlineLvl w:val="6"/>
    </w:pPr>
    <w:rPr>
      <w:rFonts w:ascii="Times New Roman" w:hAnsi="Times New Roman" w:eastAsia="??"/>
      <w:b/>
      <w:bCs/>
      <w:kern w:val="0"/>
      <w:sz w:val="24"/>
      <w:szCs w:val="28"/>
    </w:rPr>
  </w:style>
  <w:style w:type="paragraph" w:styleId="12">
    <w:name w:val="heading 8"/>
    <w:basedOn w:val="1"/>
    <w:next w:val="1"/>
    <w:link w:val="96"/>
    <w:qFormat/>
    <w:uiPriority w:val="0"/>
    <w:pPr>
      <w:keepNext/>
      <w:keepLines/>
      <w:widowControl/>
      <w:numPr>
        <w:ilvl w:val="7"/>
        <w:numId w:val="2"/>
      </w:numPr>
      <w:spacing w:before="240" w:after="64" w:line="319" w:lineRule="auto"/>
      <w:jc w:val="left"/>
      <w:outlineLvl w:val="7"/>
    </w:pPr>
    <w:rPr>
      <w:rFonts w:ascii="Arial" w:hAnsi="Arial" w:eastAsia="??" w:cs="Arial"/>
      <w:kern w:val="0"/>
      <w:sz w:val="24"/>
      <w:szCs w:val="28"/>
    </w:rPr>
  </w:style>
  <w:style w:type="paragraph" w:styleId="13">
    <w:name w:val="heading 9"/>
    <w:basedOn w:val="1"/>
    <w:next w:val="1"/>
    <w:link w:val="97"/>
    <w:qFormat/>
    <w:uiPriority w:val="0"/>
    <w:pPr>
      <w:keepNext/>
      <w:keepLines/>
      <w:widowControl/>
      <w:numPr>
        <w:ilvl w:val="8"/>
        <w:numId w:val="2"/>
      </w:numPr>
      <w:spacing w:before="240" w:after="64" w:line="319" w:lineRule="auto"/>
      <w:jc w:val="left"/>
      <w:outlineLvl w:val="8"/>
    </w:pPr>
    <w:rPr>
      <w:rFonts w:ascii="Arial" w:hAnsi="Arial" w:eastAsia="??" w:cs="Arial"/>
      <w:kern w:val="0"/>
      <w:szCs w:val="21"/>
    </w:rPr>
  </w:style>
  <w:style w:type="character" w:default="1" w:styleId="79">
    <w:name w:val="Default Paragraph Font"/>
    <w:semiHidden/>
    <w:uiPriority w:val="0"/>
    <w:rPr>
      <w:rFonts w:ascii="??_GB2312" w:hAnsi="??_GB2312" w:eastAsia="??_GB2312" w:cs="宋体"/>
      <w:b/>
      <w:sz w:val="32"/>
      <w:szCs w:val="32"/>
    </w:rPr>
  </w:style>
  <w:style w:type="table" w:default="1" w:styleId="77">
    <w:name w:val="Normal Table"/>
    <w:semiHidden/>
    <w:uiPriority w:val="0"/>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Style w:val="77"/>
      <w:tblCellMar>
        <w:top w:w="0" w:type="dxa"/>
        <w:left w:w="108" w:type="dxa"/>
        <w:bottom w:w="0" w:type="dxa"/>
        <w:right w:w="108" w:type="dxa"/>
      </w:tblCellMar>
    </w:tblPr>
  </w:style>
  <w:style w:type="paragraph" w:styleId="2">
    <w:name w:val="Body Text Indent"/>
    <w:basedOn w:val="1"/>
    <w:next w:val="3"/>
    <w:link w:val="87"/>
    <w:uiPriority w:val="0"/>
    <w:pPr>
      <w:spacing w:line="480" w:lineRule="atLeast"/>
      <w:ind w:firstLine="570"/>
    </w:pPr>
    <w:rPr>
      <w:rFonts w:ascii="??" w:hAnsi="??" w:eastAsia="??"/>
      <w:sz w:val="28"/>
      <w:szCs w:val="28"/>
    </w:rPr>
  </w:style>
  <w:style w:type="paragraph" w:customStyle="1" w:styleId="3">
    <w:name w:val="正文文本首行缩进 2"/>
    <w:basedOn w:val="2"/>
    <w:qFormat/>
    <w:uiPriority w:val="99"/>
    <w:pPr>
      <w:spacing w:line="200" w:lineRule="atLeast"/>
      <w:ind w:firstLine="420"/>
    </w:pPr>
    <w:rPr>
      <w:rFonts w:ascii="宋体" w:hAnsi="Courier New"/>
      <w:spacing w:val="-4"/>
      <w:sz w:val="18"/>
    </w:rPr>
  </w:style>
  <w:style w:type="paragraph" w:styleId="4">
    <w:name w:val="macro"/>
    <w:link w:val="88"/>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bidi="ar-SA"/>
    </w:rPr>
  </w:style>
  <w:style w:type="paragraph" w:styleId="14">
    <w:name w:val="toc 7"/>
    <w:basedOn w:val="1"/>
    <w:next w:val="1"/>
    <w:uiPriority w:val="0"/>
    <w:pPr>
      <w:ind w:left="1260"/>
      <w:jc w:val="left"/>
    </w:pPr>
    <w:rPr>
      <w:sz w:val="18"/>
      <w:szCs w:val="18"/>
    </w:rPr>
  </w:style>
  <w:style w:type="paragraph" w:styleId="15">
    <w:name w:val="List Number 2"/>
    <w:basedOn w:val="1"/>
    <w:uiPriority w:val="0"/>
    <w:pPr>
      <w:numPr>
        <w:ilvl w:val="0"/>
        <w:numId w:val="3"/>
      </w:numPr>
      <w:spacing w:line="360" w:lineRule="auto"/>
    </w:pPr>
    <w:rPr>
      <w:sz w:val="24"/>
    </w:rPr>
  </w:style>
  <w:style w:type="paragraph" w:styleId="16">
    <w:name w:val="table of authorities"/>
    <w:basedOn w:val="1"/>
    <w:next w:val="1"/>
    <w:uiPriority w:val="0"/>
    <w:pPr>
      <w:spacing w:line="360" w:lineRule="auto"/>
      <w:ind w:left="420" w:leftChars="200"/>
    </w:pPr>
    <w:rPr>
      <w:rFonts w:eastAsia="楷体_GB2312"/>
      <w:sz w:val="24"/>
    </w:rPr>
  </w:style>
  <w:style w:type="paragraph" w:styleId="17">
    <w:name w:val="List Bullet 4"/>
    <w:basedOn w:val="1"/>
    <w:uiPriority w:val="0"/>
    <w:pPr>
      <w:tabs>
        <w:tab w:val="left" w:pos="1620"/>
      </w:tabs>
      <w:spacing w:line="360" w:lineRule="auto"/>
      <w:ind w:left="1620" w:leftChars="600" w:hanging="360" w:hangingChars="200"/>
    </w:pPr>
    <w:rPr>
      <w:rFonts w:eastAsia="楷体_GB2312"/>
      <w:sz w:val="24"/>
    </w:rPr>
  </w:style>
  <w:style w:type="paragraph" w:styleId="18">
    <w:name w:val="index 8"/>
    <w:basedOn w:val="1"/>
    <w:next w:val="1"/>
    <w:uiPriority w:val="0"/>
    <w:pPr>
      <w:spacing w:line="360" w:lineRule="auto"/>
      <w:ind w:left="1400" w:leftChars="1400"/>
    </w:pPr>
    <w:rPr>
      <w:rFonts w:eastAsia="楷体_GB2312"/>
      <w:sz w:val="24"/>
    </w:rPr>
  </w:style>
  <w:style w:type="paragraph" w:styleId="19">
    <w:name w:val="E-mail Signature"/>
    <w:basedOn w:val="1"/>
    <w:link w:val="98"/>
    <w:uiPriority w:val="0"/>
    <w:pPr>
      <w:spacing w:line="360" w:lineRule="auto"/>
    </w:pPr>
    <w:rPr>
      <w:rFonts w:ascii="Times New Roman" w:hAnsi="Times New Roman" w:eastAsia="楷体_GB2312"/>
      <w:sz w:val="24"/>
    </w:rPr>
  </w:style>
  <w:style w:type="paragraph" w:styleId="20">
    <w:name w:val="List Number"/>
    <w:basedOn w:val="1"/>
    <w:uiPriority w:val="0"/>
    <w:pPr>
      <w:tabs>
        <w:tab w:val="left" w:pos="360"/>
      </w:tabs>
      <w:spacing w:line="360" w:lineRule="auto"/>
      <w:ind w:left="360" w:hanging="360" w:hangingChars="200"/>
    </w:pPr>
    <w:rPr>
      <w:rFonts w:eastAsia="楷体_GB2312"/>
      <w:sz w:val="24"/>
    </w:rPr>
  </w:style>
  <w:style w:type="paragraph" w:styleId="21">
    <w:name w:val="Normal Indent"/>
    <w:basedOn w:val="1"/>
    <w:next w:val="2"/>
    <w:link w:val="99"/>
    <w:uiPriority w:val="0"/>
    <w:pPr>
      <w:widowControl/>
      <w:ind w:firstLine="420"/>
      <w:jc w:val="left"/>
    </w:pPr>
    <w:rPr>
      <w:rFonts w:ascii="Times New Roman" w:hAnsi="Times New Roman" w:eastAsia="??"/>
      <w:kern w:val="0"/>
      <w:sz w:val="24"/>
    </w:rPr>
  </w:style>
  <w:style w:type="paragraph" w:styleId="22">
    <w:name w:val="caption"/>
    <w:basedOn w:val="1"/>
    <w:next w:val="1"/>
    <w:qFormat/>
    <w:uiPriority w:val="0"/>
    <w:pPr>
      <w:spacing w:before="152" w:after="160" w:line="360" w:lineRule="auto"/>
    </w:pPr>
    <w:rPr>
      <w:rFonts w:ascii="Arial" w:hAnsi="Arial" w:eastAsia="黑体" w:cs="Arial"/>
      <w:sz w:val="20"/>
      <w:szCs w:val="20"/>
    </w:rPr>
  </w:style>
  <w:style w:type="paragraph" w:styleId="23">
    <w:name w:val="index 5"/>
    <w:basedOn w:val="1"/>
    <w:next w:val="1"/>
    <w:uiPriority w:val="0"/>
    <w:pPr>
      <w:spacing w:line="360" w:lineRule="auto"/>
      <w:ind w:left="800" w:leftChars="800"/>
    </w:pPr>
    <w:rPr>
      <w:rFonts w:eastAsia="楷体_GB2312"/>
      <w:sz w:val="24"/>
    </w:rPr>
  </w:style>
  <w:style w:type="paragraph" w:styleId="24">
    <w:name w:val="List Bullet"/>
    <w:basedOn w:val="1"/>
    <w:uiPriority w:val="0"/>
    <w:pPr>
      <w:tabs>
        <w:tab w:val="left" w:pos="360"/>
      </w:tabs>
      <w:autoSpaceDE w:val="0"/>
      <w:autoSpaceDN w:val="0"/>
      <w:adjustRightInd w:val="0"/>
      <w:spacing w:before="100" w:beforeAutospacing="1" w:after="100" w:afterAutospacing="1" w:line="360" w:lineRule="auto"/>
      <w:ind w:left="360" w:hanging="360" w:firstLineChars="200"/>
    </w:pPr>
    <w:rPr>
      <w:rFonts w:eastAsia="楷体_GB2312"/>
      <w:color w:val="000000"/>
      <w:sz w:val="24"/>
      <w:szCs w:val="20"/>
    </w:rPr>
  </w:style>
  <w:style w:type="paragraph" w:styleId="25">
    <w:name w:val="Document Map"/>
    <w:basedOn w:val="1"/>
    <w:uiPriority w:val="0"/>
    <w:pPr>
      <w:shd w:val="clear" w:color="auto" w:fill="000080"/>
    </w:pPr>
    <w:rPr>
      <w:rFonts w:eastAsia="??"/>
      <w:sz w:val="28"/>
      <w:szCs w:val="28"/>
    </w:rPr>
  </w:style>
  <w:style w:type="paragraph" w:styleId="26">
    <w:name w:val="toa heading"/>
    <w:basedOn w:val="1"/>
    <w:next w:val="1"/>
    <w:uiPriority w:val="0"/>
    <w:pPr>
      <w:spacing w:before="120" w:line="360" w:lineRule="auto"/>
    </w:pPr>
    <w:rPr>
      <w:rFonts w:ascii="Arial" w:hAnsi="Arial" w:eastAsia="楷体_GB2312" w:cs="Arial"/>
      <w:sz w:val="24"/>
    </w:rPr>
  </w:style>
  <w:style w:type="paragraph" w:styleId="27">
    <w:name w:val="annotation text"/>
    <w:basedOn w:val="1"/>
    <w:link w:val="100"/>
    <w:uiPriority w:val="0"/>
    <w:pPr>
      <w:jc w:val="left"/>
    </w:pPr>
    <w:rPr>
      <w:rFonts w:ascii="Times New Roman" w:hAnsi="Times New Roman" w:cs="Lucida Sans"/>
      <w:szCs w:val="20"/>
    </w:rPr>
  </w:style>
  <w:style w:type="paragraph" w:styleId="28">
    <w:name w:val="index 6"/>
    <w:basedOn w:val="1"/>
    <w:next w:val="1"/>
    <w:uiPriority w:val="0"/>
    <w:pPr>
      <w:spacing w:line="360" w:lineRule="auto"/>
      <w:ind w:left="1000" w:leftChars="1000"/>
    </w:pPr>
    <w:rPr>
      <w:rFonts w:eastAsia="楷体_GB2312"/>
      <w:sz w:val="24"/>
    </w:rPr>
  </w:style>
  <w:style w:type="paragraph" w:styleId="29">
    <w:name w:val="Salutation"/>
    <w:basedOn w:val="1"/>
    <w:next w:val="1"/>
    <w:link w:val="101"/>
    <w:uiPriority w:val="0"/>
    <w:rPr>
      <w:rFonts w:ascii="仿宋_GB2312" w:hAnsi="Times New Roman" w:eastAsia="仿宋_GB2312"/>
      <w:sz w:val="28"/>
      <w:szCs w:val="20"/>
    </w:rPr>
  </w:style>
  <w:style w:type="paragraph" w:styleId="30">
    <w:name w:val="Body Text 3"/>
    <w:basedOn w:val="1"/>
    <w:link w:val="102"/>
    <w:uiPriority w:val="0"/>
    <w:pPr>
      <w:jc w:val="center"/>
    </w:pPr>
    <w:rPr>
      <w:rFonts w:ascii="Times New Roman" w:hAnsi="Times New Roman"/>
      <w:szCs w:val="20"/>
    </w:rPr>
  </w:style>
  <w:style w:type="paragraph" w:styleId="31">
    <w:name w:val="List Bullet 3"/>
    <w:basedOn w:val="1"/>
    <w:uiPriority w:val="0"/>
    <w:pPr>
      <w:tabs>
        <w:tab w:val="left" w:pos="1200"/>
      </w:tabs>
      <w:spacing w:line="360" w:lineRule="auto"/>
      <w:ind w:left="1200" w:leftChars="400" w:hanging="360" w:hangingChars="200"/>
    </w:pPr>
    <w:rPr>
      <w:rFonts w:eastAsia="楷体_GB2312"/>
      <w:sz w:val="24"/>
    </w:rPr>
  </w:style>
  <w:style w:type="paragraph" w:styleId="32">
    <w:name w:val="Body Text"/>
    <w:basedOn w:val="1"/>
    <w:next w:val="33"/>
    <w:uiPriority w:val="0"/>
    <w:rPr>
      <w:rFonts w:eastAsia="??"/>
      <w:sz w:val="24"/>
      <w:szCs w:val="28"/>
    </w:rPr>
  </w:style>
  <w:style w:type="paragraph" w:styleId="33">
    <w:name w:val="Body Text First Indent"/>
    <w:basedOn w:val="32"/>
    <w:link w:val="103"/>
    <w:uiPriority w:val="0"/>
    <w:pPr>
      <w:autoSpaceDE w:val="0"/>
      <w:autoSpaceDN w:val="0"/>
      <w:adjustRightInd w:val="0"/>
      <w:spacing w:line="360" w:lineRule="auto"/>
      <w:ind w:firstLine="420"/>
    </w:pPr>
    <w:rPr>
      <w:rFonts w:ascii="宋体" w:hAnsi="Times New Roman" w:eastAsia="宋体"/>
      <w:szCs w:val="20"/>
      <w:lang w:val="zh-CN"/>
    </w:rPr>
  </w:style>
  <w:style w:type="paragraph" w:styleId="34">
    <w:name w:val="List Number 3"/>
    <w:basedOn w:val="1"/>
    <w:uiPriority w:val="0"/>
    <w:pPr>
      <w:tabs>
        <w:tab w:val="left" w:pos="1200"/>
      </w:tabs>
      <w:spacing w:line="360" w:lineRule="auto"/>
      <w:ind w:left="1200" w:leftChars="400" w:hanging="360" w:hangingChars="200"/>
    </w:pPr>
    <w:rPr>
      <w:rFonts w:eastAsia="楷体_GB2312"/>
      <w:sz w:val="24"/>
    </w:rPr>
  </w:style>
  <w:style w:type="paragraph" w:styleId="35">
    <w:name w:val="List 2"/>
    <w:basedOn w:val="1"/>
    <w:unhideWhenUsed/>
    <w:uiPriority w:val="0"/>
    <w:pPr>
      <w:spacing w:line="360" w:lineRule="auto"/>
      <w:ind w:left="100" w:leftChars="200" w:hanging="200" w:hangingChars="200"/>
      <w:contextualSpacing/>
    </w:pPr>
    <w:rPr>
      <w:sz w:val="24"/>
    </w:rPr>
  </w:style>
  <w:style w:type="paragraph" w:styleId="36">
    <w:name w:val="List Continue"/>
    <w:basedOn w:val="1"/>
    <w:uiPriority w:val="0"/>
    <w:pPr>
      <w:spacing w:after="120" w:line="360" w:lineRule="auto"/>
      <w:ind w:left="420" w:leftChars="200"/>
    </w:pPr>
    <w:rPr>
      <w:rFonts w:eastAsia="楷体_GB2312"/>
      <w:sz w:val="24"/>
    </w:rPr>
  </w:style>
  <w:style w:type="paragraph" w:styleId="37">
    <w:name w:val="Block Text"/>
    <w:basedOn w:val="1"/>
    <w:uiPriority w:val="0"/>
    <w:pPr>
      <w:widowControl/>
      <w:spacing w:line="360" w:lineRule="auto"/>
      <w:ind w:left="720" w:right="-240"/>
      <w:jc w:val="left"/>
    </w:pPr>
    <w:rPr>
      <w:rFonts w:eastAsia="楷体_GB2312"/>
      <w:kern w:val="0"/>
      <w:sz w:val="24"/>
      <w:szCs w:val="20"/>
      <w:lang w:bidi="he-IL"/>
    </w:rPr>
  </w:style>
  <w:style w:type="paragraph" w:styleId="38">
    <w:name w:val="List Bullet 2"/>
    <w:basedOn w:val="1"/>
    <w:uiPriority w:val="0"/>
    <w:pPr>
      <w:tabs>
        <w:tab w:val="left" w:pos="780"/>
      </w:tabs>
      <w:spacing w:line="360" w:lineRule="auto"/>
      <w:ind w:left="780" w:leftChars="200" w:hanging="360" w:hangingChars="200"/>
    </w:pPr>
    <w:rPr>
      <w:rFonts w:eastAsia="楷体_GB2312"/>
      <w:sz w:val="24"/>
    </w:rPr>
  </w:style>
  <w:style w:type="paragraph" w:styleId="39">
    <w:name w:val="index 4"/>
    <w:basedOn w:val="1"/>
    <w:next w:val="1"/>
    <w:uiPriority w:val="0"/>
    <w:pPr>
      <w:spacing w:line="360" w:lineRule="auto"/>
      <w:ind w:left="600" w:leftChars="600"/>
    </w:pPr>
    <w:rPr>
      <w:rFonts w:eastAsia="楷体_GB2312"/>
      <w:sz w:val="24"/>
    </w:rPr>
  </w:style>
  <w:style w:type="paragraph" w:styleId="40">
    <w:name w:val="toc 5"/>
    <w:basedOn w:val="1"/>
    <w:next w:val="1"/>
    <w:uiPriority w:val="0"/>
    <w:pPr>
      <w:ind w:left="840"/>
      <w:jc w:val="left"/>
    </w:pPr>
    <w:rPr>
      <w:sz w:val="18"/>
      <w:szCs w:val="18"/>
    </w:rPr>
  </w:style>
  <w:style w:type="paragraph" w:styleId="41">
    <w:name w:val="toc 3"/>
    <w:basedOn w:val="1"/>
    <w:next w:val="1"/>
    <w:uiPriority w:val="0"/>
    <w:pPr>
      <w:ind w:left="420"/>
      <w:jc w:val="left"/>
    </w:pPr>
    <w:rPr>
      <w:i/>
      <w:iCs/>
      <w:sz w:val="20"/>
      <w:szCs w:val="20"/>
    </w:rPr>
  </w:style>
  <w:style w:type="paragraph" w:styleId="42">
    <w:name w:val="Plain Text"/>
    <w:basedOn w:val="1"/>
    <w:link w:val="104"/>
    <w:qFormat/>
    <w:uiPriority w:val="0"/>
    <w:rPr>
      <w:rFonts w:ascii="??" w:hAnsi="??" w:eastAsia="??"/>
      <w:szCs w:val="21"/>
    </w:rPr>
  </w:style>
  <w:style w:type="paragraph" w:styleId="43">
    <w:name w:val="List Bullet 5"/>
    <w:basedOn w:val="1"/>
    <w:uiPriority w:val="0"/>
    <w:pPr>
      <w:tabs>
        <w:tab w:val="left" w:pos="2040"/>
      </w:tabs>
      <w:spacing w:line="360" w:lineRule="auto"/>
      <w:ind w:left="2040" w:leftChars="800" w:hanging="360" w:hangingChars="200"/>
    </w:pPr>
    <w:rPr>
      <w:rFonts w:eastAsia="楷体_GB2312"/>
      <w:sz w:val="24"/>
    </w:rPr>
  </w:style>
  <w:style w:type="paragraph" w:styleId="44">
    <w:name w:val="List Number 4"/>
    <w:basedOn w:val="1"/>
    <w:uiPriority w:val="0"/>
    <w:pPr>
      <w:tabs>
        <w:tab w:val="left" w:pos="1620"/>
      </w:tabs>
      <w:spacing w:line="360" w:lineRule="auto"/>
      <w:ind w:left="1620" w:leftChars="600" w:hanging="360" w:hangingChars="200"/>
    </w:pPr>
    <w:rPr>
      <w:rFonts w:eastAsia="楷体_GB2312"/>
      <w:sz w:val="24"/>
    </w:rPr>
  </w:style>
  <w:style w:type="paragraph" w:styleId="45">
    <w:name w:val="toc 8"/>
    <w:basedOn w:val="1"/>
    <w:next w:val="1"/>
    <w:uiPriority w:val="0"/>
    <w:pPr>
      <w:ind w:left="1470"/>
      <w:jc w:val="left"/>
    </w:pPr>
    <w:rPr>
      <w:sz w:val="18"/>
      <w:szCs w:val="18"/>
    </w:rPr>
  </w:style>
  <w:style w:type="paragraph" w:styleId="46">
    <w:name w:val="index 3"/>
    <w:basedOn w:val="1"/>
    <w:next w:val="1"/>
    <w:uiPriority w:val="0"/>
    <w:pPr>
      <w:spacing w:line="360" w:lineRule="auto"/>
      <w:ind w:left="400" w:leftChars="400"/>
    </w:pPr>
    <w:rPr>
      <w:rFonts w:eastAsia="楷体_GB2312"/>
      <w:sz w:val="24"/>
    </w:rPr>
  </w:style>
  <w:style w:type="paragraph" w:styleId="47">
    <w:name w:val="Date"/>
    <w:basedOn w:val="1"/>
    <w:next w:val="1"/>
    <w:link w:val="105"/>
    <w:uiPriority w:val="0"/>
    <w:pPr>
      <w:adjustRightInd w:val="0"/>
      <w:jc w:val="right"/>
      <w:textAlignment w:val="baseline"/>
    </w:pPr>
    <w:rPr>
      <w:rFonts w:ascii="Times New Roman" w:hAnsi="Times New Roman" w:eastAsia="??_GB2312"/>
      <w:b/>
      <w:kern w:val="0"/>
      <w:sz w:val="28"/>
      <w:szCs w:val="28"/>
    </w:rPr>
  </w:style>
  <w:style w:type="paragraph" w:styleId="48">
    <w:name w:val="Body Text Indent 2"/>
    <w:basedOn w:val="1"/>
    <w:link w:val="106"/>
    <w:uiPriority w:val="0"/>
    <w:pPr>
      <w:spacing w:line="520" w:lineRule="exact"/>
      <w:ind w:firstLine="303" w:firstLineChars="303"/>
    </w:pPr>
    <w:rPr>
      <w:rFonts w:ascii="??" w:hAnsi="??" w:eastAsia="??" w:cs="宋体"/>
      <w:sz w:val="28"/>
      <w:szCs w:val="28"/>
    </w:rPr>
  </w:style>
  <w:style w:type="paragraph" w:styleId="49">
    <w:name w:val="endnote text"/>
    <w:basedOn w:val="1"/>
    <w:link w:val="107"/>
    <w:uiPriority w:val="0"/>
    <w:pPr>
      <w:snapToGrid w:val="0"/>
      <w:spacing w:line="360" w:lineRule="auto"/>
      <w:jc w:val="left"/>
    </w:pPr>
    <w:rPr>
      <w:rFonts w:ascii="Times New Roman" w:hAnsi="Times New Roman" w:eastAsia="楷体_GB2312"/>
      <w:sz w:val="24"/>
    </w:rPr>
  </w:style>
  <w:style w:type="paragraph" w:styleId="50">
    <w:name w:val="List Continue 5"/>
    <w:basedOn w:val="1"/>
    <w:uiPriority w:val="0"/>
    <w:pPr>
      <w:spacing w:after="120" w:line="360" w:lineRule="auto"/>
      <w:ind w:left="2100" w:leftChars="1000"/>
    </w:pPr>
    <w:rPr>
      <w:rFonts w:eastAsia="楷体_GB2312"/>
      <w:sz w:val="24"/>
    </w:rPr>
  </w:style>
  <w:style w:type="paragraph" w:styleId="51">
    <w:name w:val="Balloon Text"/>
    <w:basedOn w:val="1"/>
    <w:link w:val="108"/>
    <w:uiPriority w:val="0"/>
    <w:rPr>
      <w:rFonts w:ascii="Times New Roman" w:hAnsi="Times New Roman" w:eastAsia="??"/>
      <w:sz w:val="18"/>
      <w:szCs w:val="18"/>
    </w:rPr>
  </w:style>
  <w:style w:type="paragraph" w:styleId="52">
    <w:name w:val="footer"/>
    <w:basedOn w:val="1"/>
    <w:link w:val="109"/>
    <w:uiPriority w:val="0"/>
    <w:pPr>
      <w:tabs>
        <w:tab w:val="center" w:pos="4153"/>
        <w:tab w:val="right" w:pos="8306"/>
      </w:tabs>
      <w:snapToGrid w:val="0"/>
      <w:jc w:val="left"/>
    </w:pPr>
    <w:rPr>
      <w:rFonts w:ascii="Times New Roman" w:hAnsi="Times New Roman" w:eastAsia="??"/>
      <w:sz w:val="18"/>
      <w:szCs w:val="28"/>
    </w:rPr>
  </w:style>
  <w:style w:type="paragraph" w:styleId="53">
    <w:name w:val="header"/>
    <w:basedOn w:val="1"/>
    <w:link w:val="110"/>
    <w:uiPriority w:val="0"/>
    <w:pPr>
      <w:pBdr>
        <w:bottom w:val="single" w:color="auto" w:sz="6" w:space="1"/>
      </w:pBdr>
      <w:tabs>
        <w:tab w:val="center" w:pos="4153"/>
        <w:tab w:val="right" w:pos="8306"/>
      </w:tabs>
      <w:snapToGrid w:val="0"/>
      <w:jc w:val="center"/>
    </w:pPr>
    <w:rPr>
      <w:rFonts w:ascii="Times New Roman" w:hAnsi="Times New Roman" w:eastAsia="??"/>
      <w:sz w:val="18"/>
      <w:szCs w:val="28"/>
    </w:rPr>
  </w:style>
  <w:style w:type="paragraph" w:styleId="54">
    <w:name w:val="Signature"/>
    <w:basedOn w:val="1"/>
    <w:link w:val="111"/>
    <w:uiPriority w:val="0"/>
    <w:pPr>
      <w:adjustRightInd w:val="0"/>
      <w:spacing w:after="600" w:line="312" w:lineRule="atLeast"/>
      <w:jc w:val="center"/>
      <w:textAlignment w:val="baseline"/>
    </w:pPr>
    <w:rPr>
      <w:rFonts w:ascii="Times New Roman" w:hAnsi="Times New Roman" w:eastAsia="仿宋_GB2312"/>
      <w:kern w:val="0"/>
      <w:sz w:val="24"/>
      <w:szCs w:val="20"/>
    </w:rPr>
  </w:style>
  <w:style w:type="paragraph" w:styleId="55">
    <w:name w:val="toc 1"/>
    <w:basedOn w:val="1"/>
    <w:next w:val="1"/>
    <w:uiPriority w:val="39"/>
    <w:pPr>
      <w:spacing w:before="120" w:after="120"/>
      <w:jc w:val="left"/>
    </w:pPr>
    <w:rPr>
      <w:b/>
      <w:bCs/>
      <w:caps/>
      <w:sz w:val="20"/>
      <w:szCs w:val="20"/>
    </w:rPr>
  </w:style>
  <w:style w:type="paragraph" w:styleId="56">
    <w:name w:val="List Continue 4"/>
    <w:basedOn w:val="1"/>
    <w:uiPriority w:val="0"/>
    <w:pPr>
      <w:spacing w:after="120" w:line="360" w:lineRule="auto"/>
      <w:ind w:left="1680" w:leftChars="800"/>
    </w:pPr>
    <w:rPr>
      <w:rFonts w:eastAsia="楷体_GB2312"/>
      <w:sz w:val="24"/>
    </w:rPr>
  </w:style>
  <w:style w:type="paragraph" w:styleId="57">
    <w:name w:val="toc 4"/>
    <w:basedOn w:val="1"/>
    <w:next w:val="1"/>
    <w:uiPriority w:val="0"/>
    <w:pPr>
      <w:ind w:left="630"/>
      <w:jc w:val="left"/>
    </w:pPr>
    <w:rPr>
      <w:sz w:val="18"/>
      <w:szCs w:val="18"/>
    </w:rPr>
  </w:style>
  <w:style w:type="paragraph" w:styleId="58">
    <w:name w:val="index heading"/>
    <w:basedOn w:val="1"/>
    <w:next w:val="59"/>
    <w:uiPriority w:val="0"/>
    <w:pPr>
      <w:spacing w:line="360" w:lineRule="auto"/>
    </w:pPr>
    <w:rPr>
      <w:rFonts w:ascii="Arial" w:hAnsi="Arial" w:eastAsia="楷体_GB2312" w:cs="Arial"/>
      <w:b/>
      <w:bCs/>
      <w:sz w:val="24"/>
    </w:rPr>
  </w:style>
  <w:style w:type="paragraph" w:styleId="59">
    <w:name w:val="index 1"/>
    <w:basedOn w:val="1"/>
    <w:next w:val="1"/>
    <w:uiPriority w:val="0"/>
    <w:pPr>
      <w:autoSpaceDE w:val="0"/>
      <w:autoSpaceDN w:val="0"/>
      <w:adjustRightInd w:val="0"/>
      <w:spacing w:before="100" w:after="100" w:line="360" w:lineRule="auto"/>
    </w:pPr>
    <w:rPr>
      <w:rFonts w:ascii="Arial" w:hAnsi="Arial" w:eastAsia="楷体_GB2312" w:cs="Arial"/>
      <w:bCs/>
      <w:color w:val="000000"/>
      <w:sz w:val="24"/>
      <w:szCs w:val="20"/>
    </w:rPr>
  </w:style>
  <w:style w:type="paragraph" w:styleId="60">
    <w:name w:val="List Number 5"/>
    <w:basedOn w:val="1"/>
    <w:uiPriority w:val="0"/>
    <w:pPr>
      <w:tabs>
        <w:tab w:val="left" w:pos="2040"/>
      </w:tabs>
      <w:spacing w:line="360" w:lineRule="auto"/>
      <w:ind w:left="2040" w:leftChars="800" w:hanging="360" w:hangingChars="200"/>
    </w:pPr>
    <w:rPr>
      <w:rFonts w:eastAsia="楷体_GB2312"/>
      <w:sz w:val="24"/>
    </w:rPr>
  </w:style>
  <w:style w:type="paragraph" w:styleId="61">
    <w:name w:val="footnote text"/>
    <w:basedOn w:val="1"/>
    <w:link w:val="112"/>
    <w:uiPriority w:val="0"/>
    <w:pPr>
      <w:snapToGrid w:val="0"/>
      <w:spacing w:line="360" w:lineRule="auto"/>
      <w:jc w:val="left"/>
    </w:pPr>
    <w:rPr>
      <w:rFonts w:ascii="Times New Roman" w:hAnsi="Times New Roman" w:eastAsia="楷体_GB2312"/>
      <w:sz w:val="18"/>
      <w:szCs w:val="18"/>
    </w:rPr>
  </w:style>
  <w:style w:type="paragraph" w:styleId="62">
    <w:name w:val="toc 6"/>
    <w:basedOn w:val="1"/>
    <w:next w:val="1"/>
    <w:uiPriority w:val="0"/>
    <w:pPr>
      <w:ind w:left="1050"/>
      <w:jc w:val="left"/>
    </w:pPr>
    <w:rPr>
      <w:sz w:val="18"/>
      <w:szCs w:val="18"/>
    </w:rPr>
  </w:style>
  <w:style w:type="paragraph" w:styleId="63">
    <w:name w:val="Body Text Indent 3"/>
    <w:basedOn w:val="1"/>
    <w:link w:val="113"/>
    <w:uiPriority w:val="0"/>
    <w:pPr>
      <w:spacing w:line="520" w:lineRule="exact"/>
      <w:ind w:firstLine="547"/>
    </w:pPr>
    <w:rPr>
      <w:rFonts w:ascii="Times New Roman" w:hAnsi="Times New Roman" w:eastAsia="??"/>
      <w:sz w:val="28"/>
      <w:szCs w:val="28"/>
    </w:rPr>
  </w:style>
  <w:style w:type="paragraph" w:styleId="64">
    <w:name w:val="index 7"/>
    <w:basedOn w:val="1"/>
    <w:next w:val="1"/>
    <w:uiPriority w:val="0"/>
    <w:pPr>
      <w:spacing w:line="360" w:lineRule="auto"/>
      <w:ind w:left="1200" w:leftChars="1200"/>
    </w:pPr>
    <w:rPr>
      <w:rFonts w:eastAsia="楷体_GB2312"/>
      <w:sz w:val="24"/>
    </w:rPr>
  </w:style>
  <w:style w:type="paragraph" w:styleId="65">
    <w:name w:val="index 9"/>
    <w:basedOn w:val="1"/>
    <w:next w:val="1"/>
    <w:uiPriority w:val="0"/>
    <w:pPr>
      <w:spacing w:line="360" w:lineRule="auto"/>
      <w:ind w:left="1600" w:leftChars="1600"/>
    </w:pPr>
    <w:rPr>
      <w:rFonts w:eastAsia="楷体_GB2312"/>
      <w:sz w:val="24"/>
    </w:rPr>
  </w:style>
  <w:style w:type="paragraph" w:styleId="66">
    <w:name w:val="table of figures"/>
    <w:basedOn w:val="1"/>
    <w:next w:val="1"/>
    <w:uiPriority w:val="0"/>
    <w:pPr>
      <w:ind w:left="560" w:hanging="560"/>
      <w:jc w:val="left"/>
    </w:pPr>
    <w:rPr>
      <w:rFonts w:ascii="Calibri" w:hAnsi="Calibri" w:eastAsia="??" w:cs="宋体"/>
      <w:smallCaps/>
      <w:sz w:val="20"/>
      <w:szCs w:val="28"/>
    </w:rPr>
  </w:style>
  <w:style w:type="paragraph" w:styleId="67">
    <w:name w:val="toc 2"/>
    <w:basedOn w:val="1"/>
    <w:next w:val="1"/>
    <w:uiPriority w:val="39"/>
    <w:pPr>
      <w:ind w:left="210"/>
      <w:jc w:val="left"/>
    </w:pPr>
    <w:rPr>
      <w:smallCaps/>
      <w:sz w:val="20"/>
      <w:szCs w:val="20"/>
    </w:rPr>
  </w:style>
  <w:style w:type="paragraph" w:styleId="68">
    <w:name w:val="toc 9"/>
    <w:basedOn w:val="1"/>
    <w:next w:val="1"/>
    <w:uiPriority w:val="0"/>
    <w:pPr>
      <w:ind w:left="1680"/>
      <w:jc w:val="left"/>
    </w:pPr>
    <w:rPr>
      <w:sz w:val="18"/>
      <w:szCs w:val="18"/>
    </w:rPr>
  </w:style>
  <w:style w:type="paragraph" w:styleId="69">
    <w:name w:val="Body Text 2"/>
    <w:basedOn w:val="1"/>
    <w:link w:val="114"/>
    <w:uiPriority w:val="0"/>
    <w:pPr>
      <w:spacing w:after="120" w:line="480" w:lineRule="auto"/>
    </w:pPr>
    <w:rPr>
      <w:rFonts w:ascii="Times New Roman" w:hAnsi="Times New Roman"/>
      <w:szCs w:val="20"/>
    </w:rPr>
  </w:style>
  <w:style w:type="paragraph" w:styleId="70">
    <w:name w:val="List Continue 2"/>
    <w:basedOn w:val="1"/>
    <w:uiPriority w:val="0"/>
    <w:pPr>
      <w:spacing w:after="120" w:line="360" w:lineRule="auto"/>
      <w:ind w:left="840" w:leftChars="400"/>
    </w:pPr>
    <w:rPr>
      <w:rFonts w:eastAsia="楷体_GB2312"/>
      <w:sz w:val="24"/>
    </w:rPr>
  </w:style>
  <w:style w:type="paragraph" w:styleId="71">
    <w:name w:val="HTML Preformatted"/>
    <w:basedOn w:val="1"/>
    <w:link w:val="115"/>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hAnsi="??" w:eastAsia="??" w:cs="Courier New"/>
      <w:kern w:val="0"/>
      <w:sz w:val="20"/>
      <w:szCs w:val="28"/>
    </w:rPr>
  </w:style>
  <w:style w:type="paragraph" w:styleId="72">
    <w:name w:val="Normal (Web)"/>
    <w:basedOn w:val="1"/>
    <w:uiPriority w:val="0"/>
    <w:pPr>
      <w:widowControl/>
      <w:spacing w:before="100" w:beforeAutospacing="1" w:after="100" w:afterAutospacing="1"/>
      <w:jc w:val="left"/>
    </w:pPr>
    <w:rPr>
      <w:rFonts w:ascii="??" w:hAnsi="??" w:eastAsia="??" w:cs="宋体"/>
      <w:kern w:val="0"/>
      <w:sz w:val="24"/>
    </w:rPr>
  </w:style>
  <w:style w:type="paragraph" w:styleId="73">
    <w:name w:val="index 2"/>
    <w:basedOn w:val="1"/>
    <w:next w:val="1"/>
    <w:uiPriority w:val="0"/>
    <w:pPr>
      <w:spacing w:line="360" w:lineRule="auto"/>
      <w:ind w:left="200" w:leftChars="200"/>
    </w:pPr>
    <w:rPr>
      <w:rFonts w:eastAsia="楷体_GB2312"/>
      <w:sz w:val="24"/>
    </w:rPr>
  </w:style>
  <w:style w:type="paragraph" w:styleId="74">
    <w:name w:val="Title"/>
    <w:basedOn w:val="1"/>
    <w:link w:val="116"/>
    <w:qFormat/>
    <w:uiPriority w:val="0"/>
    <w:pPr>
      <w:widowControl/>
      <w:overflowPunct w:val="0"/>
      <w:autoSpaceDE w:val="0"/>
      <w:autoSpaceDN w:val="0"/>
      <w:adjustRightInd w:val="0"/>
      <w:jc w:val="center"/>
      <w:textAlignment w:val="baseline"/>
    </w:pPr>
    <w:rPr>
      <w:rFonts w:ascii="Times New Roman" w:hAnsi="Times New Roman" w:eastAsia="??"/>
      <w:b/>
      <w:kern w:val="0"/>
      <w:sz w:val="24"/>
      <w:szCs w:val="28"/>
      <w:lang w:val="en-GB"/>
    </w:rPr>
  </w:style>
  <w:style w:type="paragraph" w:styleId="75">
    <w:name w:val="annotation subject"/>
    <w:basedOn w:val="27"/>
    <w:next w:val="27"/>
    <w:link w:val="117"/>
    <w:uiPriority w:val="0"/>
    <w:rPr>
      <w:rFonts w:ascii="Times New Roman" w:hAnsi="Times New Roman" w:cs="Times New Roman"/>
      <w:b/>
    </w:rPr>
  </w:style>
  <w:style w:type="paragraph" w:styleId="76">
    <w:name w:val="Body Text First Indent 2"/>
    <w:basedOn w:val="2"/>
    <w:uiPriority w:val="0"/>
    <w:pPr>
      <w:spacing w:after="120" w:line="240" w:lineRule="auto"/>
      <w:ind w:left="420" w:leftChars="200" w:firstLine="420" w:firstLineChars="200"/>
    </w:pPr>
    <w:rPr>
      <w:rFonts w:ascii="Times New Roman" w:hAnsi="Times New Roman" w:eastAsia="宋体" w:cs="Times New Roman"/>
      <w:sz w:val="21"/>
      <w:szCs w:val="20"/>
    </w:rPr>
  </w:style>
  <w:style w:type="table" w:styleId="78">
    <w:name w:val="Table Grid"/>
    <w:basedOn w:val="77"/>
    <w:qFormat/>
    <w:uiPriority w:val="0"/>
    <w:tblPr>
      <w:tblStyle w:val="7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0">
    <w:name w:val="Strong"/>
    <w:qFormat/>
    <w:uiPriority w:val="0"/>
    <w:rPr>
      <w:b/>
    </w:rPr>
  </w:style>
  <w:style w:type="character" w:styleId="81">
    <w:name w:val="page number"/>
    <w:uiPriority w:val="0"/>
  </w:style>
  <w:style w:type="character" w:styleId="82">
    <w:name w:val="FollowedHyperlink"/>
    <w:uiPriority w:val="0"/>
    <w:rPr>
      <w:color w:val="800080"/>
      <w:u w:val="single"/>
    </w:rPr>
  </w:style>
  <w:style w:type="character" w:styleId="83">
    <w:name w:val="Emphasis"/>
    <w:basedOn w:val="79"/>
    <w:qFormat/>
    <w:uiPriority w:val="0"/>
    <w:rPr>
      <w:b w:val="0"/>
    </w:rPr>
  </w:style>
  <w:style w:type="character" w:styleId="84">
    <w:name w:val="line number"/>
    <w:basedOn w:val="79"/>
    <w:uiPriority w:val="0"/>
  </w:style>
  <w:style w:type="character" w:styleId="85">
    <w:name w:val="Hyperlink"/>
    <w:uiPriority w:val="99"/>
    <w:rPr>
      <w:color w:val="0000FF"/>
      <w:u w:val="single"/>
    </w:rPr>
  </w:style>
  <w:style w:type="character" w:styleId="86">
    <w:name w:val="annotation reference"/>
    <w:uiPriority w:val="0"/>
    <w:rPr>
      <w:sz w:val="21"/>
    </w:rPr>
  </w:style>
  <w:style w:type="character" w:customStyle="1" w:styleId="87">
    <w:name w:val="正文文本缩进 字符"/>
    <w:link w:val="2"/>
    <w:uiPriority w:val="0"/>
    <w:rPr>
      <w:rFonts w:ascii="??" w:hAnsi="??" w:eastAsia="??" w:cs="宋体"/>
      <w:kern w:val="2"/>
      <w:sz w:val="28"/>
      <w:szCs w:val="28"/>
    </w:rPr>
  </w:style>
  <w:style w:type="character" w:customStyle="1" w:styleId="88">
    <w:name w:val="宏文本 字符"/>
    <w:link w:val="4"/>
    <w:uiPriority w:val="0"/>
    <w:rPr>
      <w:rFonts w:ascii="Courier New" w:hAnsi="Courier New" w:cs="Courier New"/>
      <w:kern w:val="2"/>
      <w:sz w:val="24"/>
      <w:szCs w:val="24"/>
      <w:lang w:val="en-US" w:eastAsia="zh-CN" w:bidi="ar-SA"/>
    </w:rPr>
  </w:style>
  <w:style w:type="character" w:customStyle="1" w:styleId="89">
    <w:name w:val="标题 1 字符"/>
    <w:link w:val="5"/>
    <w:uiPriority w:val="0"/>
    <w:rPr>
      <w:rFonts w:ascii="??" w:hAnsi="??" w:eastAsia="??" w:cs="宋体"/>
      <w:b/>
      <w:kern w:val="36"/>
      <w:sz w:val="32"/>
      <w:szCs w:val="28"/>
      <w:lang w:val="en-US" w:eastAsia="zh-CN" w:bidi="ar-SA"/>
    </w:rPr>
  </w:style>
  <w:style w:type="character" w:customStyle="1" w:styleId="90">
    <w:name w:val="标题 2 字符"/>
    <w:link w:val="6"/>
    <w:uiPriority w:val="0"/>
    <w:rPr>
      <w:rFonts w:ascii="Arial" w:hAnsi="Arial" w:eastAsia="??" w:cs="Arial"/>
      <w:b/>
      <w:bCs/>
      <w:kern w:val="2"/>
      <w:sz w:val="21"/>
      <w:szCs w:val="32"/>
      <w:lang w:val="en-US" w:eastAsia="zh-CN" w:bidi="ar-SA"/>
    </w:rPr>
  </w:style>
  <w:style w:type="character" w:customStyle="1" w:styleId="91">
    <w:name w:val="标题 3 字符"/>
    <w:link w:val="7"/>
    <w:uiPriority w:val="0"/>
    <w:rPr>
      <w:rFonts w:eastAsia="??"/>
      <w:b/>
      <w:sz w:val="32"/>
      <w:szCs w:val="28"/>
      <w:lang w:val="en-US" w:eastAsia="zh-CN" w:bidi="ar-SA"/>
    </w:rPr>
  </w:style>
  <w:style w:type="character" w:customStyle="1" w:styleId="92">
    <w:name w:val="标题 4 字符"/>
    <w:link w:val="8"/>
    <w:uiPriority w:val="0"/>
    <w:rPr>
      <w:rFonts w:ascii="Arial" w:hAnsi="Arial" w:eastAsia="??" w:cs="Arial"/>
      <w:b/>
      <w:bCs/>
      <w:kern w:val="2"/>
      <w:sz w:val="28"/>
      <w:szCs w:val="28"/>
      <w:lang w:val="en-US" w:eastAsia="zh-CN" w:bidi="ar-SA"/>
    </w:rPr>
  </w:style>
  <w:style w:type="character" w:customStyle="1" w:styleId="93">
    <w:name w:val="标题 5 字符"/>
    <w:link w:val="9"/>
    <w:uiPriority w:val="0"/>
    <w:rPr>
      <w:rFonts w:eastAsia="??"/>
      <w:b/>
      <w:bCs/>
      <w:kern w:val="2"/>
      <w:sz w:val="28"/>
      <w:szCs w:val="28"/>
      <w:lang w:val="en-US" w:eastAsia="zh-CN" w:bidi="ar-SA"/>
    </w:rPr>
  </w:style>
  <w:style w:type="character" w:customStyle="1" w:styleId="94">
    <w:name w:val="标题 6 字符"/>
    <w:link w:val="10"/>
    <w:uiPriority w:val="0"/>
    <w:rPr>
      <w:rFonts w:ascii="Arial" w:hAnsi="Arial" w:eastAsia="??" w:cs="Arial"/>
      <w:b/>
      <w:bCs/>
      <w:sz w:val="24"/>
      <w:szCs w:val="28"/>
      <w:lang w:val="en-US" w:eastAsia="zh-CN" w:bidi="ar-SA"/>
    </w:rPr>
  </w:style>
  <w:style w:type="character" w:customStyle="1" w:styleId="95">
    <w:name w:val="标题 7 字符"/>
    <w:link w:val="11"/>
    <w:uiPriority w:val="0"/>
    <w:rPr>
      <w:rFonts w:eastAsia="??"/>
      <w:b/>
      <w:bCs/>
      <w:sz w:val="24"/>
      <w:szCs w:val="28"/>
      <w:lang w:val="en-US" w:eastAsia="zh-CN" w:bidi="ar-SA"/>
    </w:rPr>
  </w:style>
  <w:style w:type="character" w:customStyle="1" w:styleId="96">
    <w:name w:val="标题 8 字符"/>
    <w:link w:val="12"/>
    <w:uiPriority w:val="0"/>
    <w:rPr>
      <w:rFonts w:ascii="Arial" w:hAnsi="Arial" w:eastAsia="??" w:cs="Arial"/>
      <w:sz w:val="24"/>
      <w:szCs w:val="28"/>
      <w:lang w:val="en-US" w:eastAsia="zh-CN" w:bidi="ar-SA"/>
    </w:rPr>
  </w:style>
  <w:style w:type="character" w:customStyle="1" w:styleId="97">
    <w:name w:val="标题 9 字符"/>
    <w:link w:val="13"/>
    <w:uiPriority w:val="0"/>
    <w:rPr>
      <w:rFonts w:ascii="Arial" w:hAnsi="Arial" w:eastAsia="??" w:cs="Arial"/>
      <w:sz w:val="21"/>
      <w:szCs w:val="21"/>
      <w:lang w:val="en-US" w:eastAsia="zh-CN" w:bidi="ar-SA"/>
    </w:rPr>
  </w:style>
  <w:style w:type="character" w:customStyle="1" w:styleId="98">
    <w:name w:val="电子邮件签名 字符"/>
    <w:link w:val="19"/>
    <w:uiPriority w:val="0"/>
    <w:rPr>
      <w:rFonts w:eastAsia="楷体_GB2312"/>
      <w:kern w:val="2"/>
      <w:sz w:val="24"/>
      <w:szCs w:val="24"/>
      <w:lang w:bidi="ar-SA"/>
    </w:rPr>
  </w:style>
  <w:style w:type="character" w:customStyle="1" w:styleId="99">
    <w:name w:val="正文缩进 字符"/>
    <w:link w:val="21"/>
    <w:uiPriority w:val="0"/>
    <w:rPr>
      <w:rFonts w:eastAsia="??"/>
      <w:sz w:val="24"/>
      <w:szCs w:val="24"/>
      <w:lang w:val="en-US" w:eastAsia="zh-CN" w:bidi="ar-SA"/>
    </w:rPr>
  </w:style>
  <w:style w:type="character" w:customStyle="1" w:styleId="100">
    <w:name w:val="批注文字 字符"/>
    <w:link w:val="27"/>
    <w:uiPriority w:val="0"/>
    <w:rPr>
      <w:rFonts w:eastAsia="宋体" w:cs="Lucida Sans"/>
      <w:kern w:val="2"/>
      <w:sz w:val="21"/>
      <w:lang w:val="en-US" w:eastAsia="zh-CN" w:bidi="ar-SA"/>
    </w:rPr>
  </w:style>
  <w:style w:type="character" w:customStyle="1" w:styleId="101">
    <w:name w:val="称呼 字符"/>
    <w:link w:val="29"/>
    <w:uiPriority w:val="0"/>
    <w:rPr>
      <w:rFonts w:ascii="仿宋_GB2312" w:eastAsia="仿宋_GB2312"/>
      <w:kern w:val="2"/>
      <w:sz w:val="28"/>
      <w:lang w:bidi="ar-SA"/>
    </w:rPr>
  </w:style>
  <w:style w:type="character" w:customStyle="1" w:styleId="102">
    <w:name w:val="正文文本 3 字符"/>
    <w:link w:val="30"/>
    <w:uiPriority w:val="0"/>
    <w:rPr>
      <w:rFonts w:eastAsia="宋体"/>
      <w:kern w:val="2"/>
      <w:sz w:val="21"/>
      <w:lang w:bidi="ar-SA"/>
    </w:rPr>
  </w:style>
  <w:style w:type="character" w:customStyle="1" w:styleId="103">
    <w:name w:val="正文文本首行缩进 字符"/>
    <w:link w:val="33"/>
    <w:uiPriority w:val="0"/>
    <w:rPr>
      <w:rFonts w:ascii="宋体" w:eastAsia="宋体"/>
      <w:kern w:val="2"/>
      <w:sz w:val="24"/>
      <w:lang w:val="zh-CN" w:eastAsia="zh-CN" w:bidi="ar-SA"/>
    </w:rPr>
  </w:style>
  <w:style w:type="character" w:customStyle="1" w:styleId="104">
    <w:name w:val="纯文本 字符1"/>
    <w:link w:val="42"/>
    <w:uiPriority w:val="0"/>
    <w:rPr>
      <w:rFonts w:ascii="??" w:hAnsi="??" w:eastAsia="??" w:cs="宋体"/>
      <w:kern w:val="2"/>
      <w:sz w:val="21"/>
      <w:szCs w:val="21"/>
    </w:rPr>
  </w:style>
  <w:style w:type="character" w:customStyle="1" w:styleId="105">
    <w:name w:val="日期 字符"/>
    <w:link w:val="47"/>
    <w:uiPriority w:val="0"/>
    <w:rPr>
      <w:rFonts w:eastAsia="??_GB2312"/>
      <w:b/>
      <w:sz w:val="28"/>
      <w:szCs w:val="28"/>
      <w:lang w:val="en-US" w:eastAsia="zh-CN" w:bidi="ar-SA"/>
    </w:rPr>
  </w:style>
  <w:style w:type="character" w:customStyle="1" w:styleId="106">
    <w:name w:val="正文文本缩进 2 字符"/>
    <w:link w:val="48"/>
    <w:uiPriority w:val="0"/>
    <w:rPr>
      <w:rFonts w:ascii="??" w:hAnsi="??" w:eastAsia="??" w:cs="宋体"/>
      <w:kern w:val="2"/>
      <w:sz w:val="28"/>
      <w:szCs w:val="28"/>
      <w:lang w:val="en-US" w:eastAsia="zh-CN" w:bidi="ar-SA"/>
    </w:rPr>
  </w:style>
  <w:style w:type="character" w:customStyle="1" w:styleId="107">
    <w:name w:val="尾注文本 字符"/>
    <w:link w:val="49"/>
    <w:uiPriority w:val="0"/>
    <w:rPr>
      <w:rFonts w:eastAsia="楷体_GB2312"/>
      <w:kern w:val="2"/>
      <w:sz w:val="24"/>
      <w:szCs w:val="24"/>
      <w:lang w:bidi="ar-SA"/>
    </w:rPr>
  </w:style>
  <w:style w:type="character" w:customStyle="1" w:styleId="108">
    <w:name w:val="批注框文本 字符"/>
    <w:link w:val="51"/>
    <w:uiPriority w:val="0"/>
    <w:rPr>
      <w:rFonts w:eastAsia="??"/>
      <w:kern w:val="2"/>
      <w:sz w:val="18"/>
      <w:szCs w:val="18"/>
      <w:lang w:val="en-US" w:eastAsia="zh-CN" w:bidi="ar-SA"/>
    </w:rPr>
  </w:style>
  <w:style w:type="character" w:customStyle="1" w:styleId="109">
    <w:name w:val="页脚 字符"/>
    <w:link w:val="52"/>
    <w:uiPriority w:val="0"/>
    <w:rPr>
      <w:rFonts w:eastAsia="??"/>
      <w:kern w:val="2"/>
      <w:sz w:val="18"/>
      <w:szCs w:val="28"/>
      <w:lang w:val="en-US" w:eastAsia="zh-CN" w:bidi="ar-SA"/>
    </w:rPr>
  </w:style>
  <w:style w:type="character" w:customStyle="1" w:styleId="110">
    <w:name w:val="页眉 字符"/>
    <w:link w:val="53"/>
    <w:uiPriority w:val="0"/>
    <w:rPr>
      <w:rFonts w:eastAsia="??"/>
      <w:kern w:val="2"/>
      <w:sz w:val="18"/>
      <w:szCs w:val="28"/>
      <w:lang w:val="en-US" w:eastAsia="zh-CN" w:bidi="ar-SA"/>
    </w:rPr>
  </w:style>
  <w:style w:type="character" w:customStyle="1" w:styleId="111">
    <w:name w:val="签名 字符"/>
    <w:link w:val="54"/>
    <w:uiPriority w:val="0"/>
    <w:rPr>
      <w:rFonts w:eastAsia="仿宋_GB2312"/>
      <w:sz w:val="24"/>
      <w:lang w:bidi="ar-SA"/>
    </w:rPr>
  </w:style>
  <w:style w:type="character" w:customStyle="1" w:styleId="112">
    <w:name w:val="脚注文本 字符"/>
    <w:link w:val="61"/>
    <w:uiPriority w:val="0"/>
    <w:rPr>
      <w:rFonts w:eastAsia="楷体_GB2312"/>
      <w:kern w:val="2"/>
      <w:sz w:val="18"/>
      <w:szCs w:val="18"/>
      <w:lang w:bidi="ar-SA"/>
    </w:rPr>
  </w:style>
  <w:style w:type="character" w:customStyle="1" w:styleId="113">
    <w:name w:val="正文文本缩进 3 字符"/>
    <w:link w:val="63"/>
    <w:uiPriority w:val="0"/>
    <w:rPr>
      <w:rFonts w:eastAsia="??"/>
      <w:kern w:val="2"/>
      <w:sz w:val="28"/>
      <w:szCs w:val="28"/>
      <w:lang w:val="en-US" w:eastAsia="zh-CN" w:bidi="ar-SA"/>
    </w:rPr>
  </w:style>
  <w:style w:type="character" w:customStyle="1" w:styleId="114">
    <w:name w:val="正文文本 2 字符"/>
    <w:link w:val="69"/>
    <w:uiPriority w:val="0"/>
    <w:rPr>
      <w:rFonts w:eastAsia="宋体"/>
      <w:kern w:val="2"/>
      <w:sz w:val="21"/>
      <w:lang w:bidi="ar-SA"/>
    </w:rPr>
  </w:style>
  <w:style w:type="character" w:customStyle="1" w:styleId="115">
    <w:name w:val="HTML 预设格式 字符"/>
    <w:link w:val="71"/>
    <w:uiPriority w:val="0"/>
    <w:rPr>
      <w:rFonts w:ascii="??" w:hAnsi="??" w:eastAsia="??" w:cs="Courier New"/>
      <w:szCs w:val="28"/>
      <w:lang w:val="en-US" w:eastAsia="zh-CN" w:bidi="ar-SA"/>
    </w:rPr>
  </w:style>
  <w:style w:type="character" w:customStyle="1" w:styleId="116">
    <w:name w:val="标题 字符"/>
    <w:link w:val="74"/>
    <w:uiPriority w:val="0"/>
    <w:rPr>
      <w:rFonts w:eastAsia="??"/>
      <w:b/>
      <w:sz w:val="24"/>
      <w:szCs w:val="28"/>
      <w:lang w:val="en-GB" w:eastAsia="zh-CN" w:bidi="ar-SA"/>
    </w:rPr>
  </w:style>
  <w:style w:type="character" w:customStyle="1" w:styleId="117">
    <w:name w:val="批注主题 字符"/>
    <w:link w:val="75"/>
    <w:uiPriority w:val="0"/>
    <w:rPr>
      <w:rFonts w:eastAsia="宋体"/>
      <w:b/>
      <w:kern w:val="2"/>
      <w:sz w:val="21"/>
      <w:lang w:bidi="ar-SA"/>
    </w:rPr>
  </w:style>
  <w:style w:type="character" w:customStyle="1" w:styleId="118">
    <w:name w:val=" Char Char16"/>
    <w:uiPriority w:val="0"/>
    <w:rPr>
      <w:rFonts w:ascii="宋体" w:hAnsi="宋体" w:eastAsia="宋体" w:cs="Lucida Sans"/>
    </w:rPr>
  </w:style>
  <w:style w:type="character" w:styleId="119">
    <w:name w:val="Placeholder Text"/>
    <w:semiHidden/>
    <w:uiPriority w:val="0"/>
    <w:rPr>
      <w:color w:val="808080"/>
    </w:rPr>
  </w:style>
  <w:style w:type="character" w:customStyle="1" w:styleId="120">
    <w:name w:val="样式4 Char Char"/>
    <w:uiPriority w:val="0"/>
    <w:rPr>
      <w:rFonts w:eastAsia="宋体" w:cs="宋体"/>
      <w:color w:val="000000"/>
      <w:sz w:val="24"/>
      <w:szCs w:val="24"/>
      <w:lang w:val="en-US" w:eastAsia="zh-CN" w:bidi="ar-SA"/>
    </w:rPr>
  </w:style>
  <w:style w:type="character" w:customStyle="1" w:styleId="121">
    <w:name w:val="正文首行缩进两字 Char"/>
    <w:link w:val="122"/>
    <w:uiPriority w:val="0"/>
    <w:rPr>
      <w:sz w:val="24"/>
      <w:szCs w:val="24"/>
      <w:lang w:val="en-US" w:eastAsia="zh-CN" w:bidi="ar-SA"/>
    </w:rPr>
  </w:style>
  <w:style w:type="paragraph" w:customStyle="1" w:styleId="122">
    <w:name w:val="正文首行缩进两字"/>
    <w:link w:val="121"/>
    <w:uiPriority w:val="0"/>
    <w:pPr>
      <w:spacing w:after="163" w:afterLines="50" w:line="300" w:lineRule="auto"/>
      <w:ind w:firstLine="480" w:firstLineChars="200"/>
    </w:pPr>
    <w:rPr>
      <w:sz w:val="24"/>
      <w:szCs w:val="24"/>
      <w:lang w:val="en-US" w:eastAsia="zh-CN" w:bidi="ar-SA"/>
    </w:rPr>
  </w:style>
  <w:style w:type="character" w:customStyle="1" w:styleId="123">
    <w:name w:val="normalfont1"/>
    <w:uiPriority w:val="0"/>
    <w:rPr>
      <w:rFonts w:hint="default" w:ascii="ˎ̥" w:hAnsi="ˎ̥"/>
      <w:sz w:val="18"/>
      <w:szCs w:val="18"/>
      <w:u w:val="none"/>
    </w:rPr>
  </w:style>
  <w:style w:type="character" w:customStyle="1" w:styleId="124">
    <w:name w:val="font21"/>
    <w:uiPriority w:val="0"/>
    <w:rPr>
      <w:rFonts w:hint="eastAsia" w:ascii="宋体" w:hAnsi="宋体" w:eastAsia="宋体"/>
      <w:kern w:val="2"/>
      <w:sz w:val="28"/>
      <w:szCs w:val="28"/>
      <w:lang w:val="en-US" w:eastAsia="zh-CN" w:bidi="ar-SA"/>
    </w:rPr>
  </w:style>
  <w:style w:type="character" w:customStyle="1" w:styleId="125">
    <w:name w:val="pword"/>
    <w:uiPriority w:val="0"/>
  </w:style>
  <w:style w:type="character" w:customStyle="1" w:styleId="126">
    <w:name w:val="dectext1"/>
    <w:uiPriority w:val="0"/>
    <w:rPr>
      <w:rFonts w:ascii="宋体" w:hAnsi="宋体" w:eastAsia="宋体"/>
      <w:color w:val="333333"/>
      <w:sz w:val="21"/>
      <w:u w:val="none"/>
    </w:rPr>
  </w:style>
  <w:style w:type="character" w:customStyle="1" w:styleId="127">
    <w:name w:val="无间隔 字符"/>
    <w:link w:val="128"/>
    <w:uiPriority w:val="0"/>
    <w:rPr>
      <w:rFonts w:eastAsia="楷体_GB2312" w:cs="Lucida Sans"/>
      <w:kern w:val="2"/>
      <w:sz w:val="24"/>
      <w:szCs w:val="24"/>
      <w:lang w:val="en-US" w:eastAsia="zh-CN" w:bidi="ar-SA"/>
    </w:rPr>
  </w:style>
  <w:style w:type="paragraph" w:styleId="128">
    <w:name w:val="No Spacing"/>
    <w:link w:val="127"/>
    <w:qFormat/>
    <w:uiPriority w:val="0"/>
    <w:pPr>
      <w:widowControl w:val="0"/>
      <w:jc w:val="both"/>
    </w:pPr>
    <w:rPr>
      <w:rFonts w:eastAsia="楷体_GB2312" w:cs="Lucida Sans"/>
      <w:kern w:val="2"/>
      <w:sz w:val="24"/>
      <w:szCs w:val="24"/>
      <w:lang w:val="en-US" w:eastAsia="zh-CN" w:bidi="ar-SA"/>
    </w:rPr>
  </w:style>
  <w:style w:type="character" w:customStyle="1" w:styleId="129">
    <w:name w:val="shadow11"/>
    <w:uiPriority w:val="0"/>
    <w:rPr>
      <w:color w:val="000000"/>
      <w:sz w:val="21"/>
    </w:rPr>
  </w:style>
  <w:style w:type="character" w:customStyle="1" w:styleId="130">
    <w:name w:val="样式1 Char Char"/>
    <w:link w:val="131"/>
    <w:qFormat/>
    <w:uiPriority w:val="0"/>
    <w:rPr>
      <w:rFonts w:ascii="??" w:hAnsi="??" w:eastAsia="??" w:cs="宋体"/>
      <w:b/>
      <w:sz w:val="32"/>
      <w:szCs w:val="28"/>
    </w:rPr>
  </w:style>
  <w:style w:type="paragraph" w:customStyle="1" w:styleId="131">
    <w:name w:val="样式1"/>
    <w:basedOn w:val="5"/>
    <w:link w:val="130"/>
    <w:qFormat/>
    <w:uiPriority w:val="0"/>
    <w:pPr>
      <w:numPr>
        <w:ilvl w:val="0"/>
        <w:numId w:val="2"/>
      </w:numPr>
    </w:pPr>
    <w:rPr>
      <w:rFonts w:cs="Times New Roman"/>
      <w:kern w:val="0"/>
    </w:rPr>
  </w:style>
  <w:style w:type="character" w:customStyle="1" w:styleId="132">
    <w:name w:val="纯文本 字符"/>
    <w:uiPriority w:val="0"/>
    <w:rPr>
      <w:rFonts w:ascii="??" w:hAnsi="??" w:eastAsia="??" w:cs="宋体"/>
      <w:kern w:val="2"/>
      <w:sz w:val="21"/>
      <w:szCs w:val="21"/>
    </w:rPr>
  </w:style>
  <w:style w:type="character" w:customStyle="1" w:styleId="133">
    <w:name w:val="font51"/>
    <w:qFormat/>
    <w:uiPriority w:val="0"/>
    <w:rPr>
      <w:rFonts w:hint="eastAsia" w:ascii="宋体" w:hAnsi="宋体" w:eastAsia="宋体" w:cs="宋体"/>
      <w:b/>
      <w:color w:val="000000"/>
      <w:sz w:val="20"/>
      <w:szCs w:val="20"/>
      <w:u w:val="none"/>
    </w:rPr>
  </w:style>
  <w:style w:type="character" w:customStyle="1" w:styleId="134">
    <w:name w:val="纯文本 Char"/>
    <w:uiPriority w:val="0"/>
    <w:rPr>
      <w:rFonts w:ascii="??" w:hAnsi="??" w:eastAsia="??" w:cs="宋体"/>
      <w:kern w:val="2"/>
      <w:sz w:val="21"/>
      <w:szCs w:val="21"/>
    </w:rPr>
  </w:style>
  <w:style w:type="character" w:customStyle="1" w:styleId="135">
    <w:name w:val="正文 首行缩进:  2 字符 Char Char Char"/>
    <w:uiPriority w:val="0"/>
    <w:rPr>
      <w:rFonts w:eastAsia="宋体" w:cs="宋体"/>
      <w:kern w:val="2"/>
      <w:sz w:val="24"/>
      <w:lang w:val="en-US" w:eastAsia="zh-CN" w:bidi="ar-SA"/>
    </w:rPr>
  </w:style>
  <w:style w:type="character" w:customStyle="1" w:styleId="136">
    <w:name w:val="正文1 Char"/>
    <w:uiPriority w:val="0"/>
    <w:rPr>
      <w:rFonts w:ascii="宋体" w:eastAsia="宋体"/>
      <w:snapToGrid w:val="0"/>
      <w:color w:val="000000"/>
      <w:kern w:val="28"/>
      <w:sz w:val="28"/>
      <w:lang w:val="en-US" w:eastAsia="zh-CN" w:bidi="ar-SA"/>
    </w:rPr>
  </w:style>
  <w:style w:type="character" w:customStyle="1" w:styleId="137">
    <w:name w:val="标题 2 Char1"/>
    <w:aliases w:val="h2 Char,H2 Char,h21 Char,h22 Char,H21 Char,h23 Char,H22 Char,Heading2 Char,list2 Char,H2-Heading 2 Char,2 Char,Header 2 Char,l2 Char,Header 2 Char,h24 Char,Header2 Char,22 Char,heading2 Char,heading 2 Char,2 2 Char,heading 2 Char,H23 Char"/>
    <w:uiPriority w:val="0"/>
    <w:rPr>
      <w:rFonts w:ascii="宋体" w:hAnsi="宋体" w:eastAsia="黑体"/>
      <w:bCs/>
      <w:kern w:val="2"/>
      <w:sz w:val="32"/>
      <w:szCs w:val="32"/>
    </w:rPr>
  </w:style>
  <w:style w:type="character" w:customStyle="1" w:styleId="138">
    <w:name w:val="段 Char Char Char"/>
    <w:uiPriority w:val="0"/>
    <w:rPr>
      <w:rFonts w:ascii="宋体" w:eastAsia="宋体"/>
      <w:sz w:val="21"/>
      <w:lang w:val="en-US" w:eastAsia="zh-CN" w:bidi="ar-SA"/>
    </w:rPr>
  </w:style>
  <w:style w:type="character" w:customStyle="1" w:styleId="139">
    <w:name w:val="普通文字 Char Char"/>
    <w:aliases w:val="纯文本 Char Char Char,普通文字 Char1,纯文本 Char Char1,普通文字 Char Char Char Char Char,普通文字 Char Char Char Char1,纯文本 Char Char Char Char Char Char Char Char Char Char Char Char Char Char,小 Char,普通文字1 Char,普通文字2 Char,普通文字3 Char,普通文字4 Char,普通文字5 Char"/>
    <w:uiPriority w:val="0"/>
    <w:rPr>
      <w:rFonts w:ascii="宋体" w:hAnsi="Courier New" w:eastAsia="宋体"/>
      <w:kern w:val="2"/>
      <w:sz w:val="21"/>
      <w:szCs w:val="21"/>
      <w:lang w:bidi="ar-SA"/>
    </w:rPr>
  </w:style>
  <w:style w:type="character" w:customStyle="1" w:styleId="140">
    <w:name w:val="h3 Char1"/>
    <w:aliases w:val="H3 Char1,sect1.2.3 Char1,Bold Head Char1,bh Char1,l3 Char1,CT Char1,Level 3 Head Char1,Heading 3 - old Char1,level_3 Char1,PIM 3 Char1,prop3 Char1,3 Char1,3heading Char1,heading 3 Char1,Heading 31 Char1,1.1.1 Heading 3 Char1,heading 3TOC Char1"/>
    <w:uiPriority w:val="0"/>
    <w:rPr>
      <w:rFonts w:eastAsia="宋体"/>
      <w:b/>
      <w:bCs/>
      <w:kern w:val="2"/>
      <w:sz w:val="32"/>
      <w:szCs w:val="32"/>
      <w:lang w:val="en-US" w:eastAsia="zh-CN" w:bidi="ar-SA"/>
    </w:rPr>
  </w:style>
  <w:style w:type="character" w:customStyle="1" w:styleId="141">
    <w:name w:val="样式 样式 标书正文 + 首行缩进:  0.01 字符 + 首行缩进:  0.01 字符 Char"/>
    <w:link w:val="142"/>
    <w:uiPriority w:val="0"/>
    <w:rPr>
      <w:rFonts w:ascii="宋体" w:hAnsi="宋体" w:eastAsia="宋体" w:cs="宋体"/>
      <w:sz w:val="28"/>
      <w:lang w:val="en-US" w:eastAsia="zh-CN" w:bidi="ar-SA"/>
    </w:rPr>
  </w:style>
  <w:style w:type="paragraph" w:customStyle="1" w:styleId="142">
    <w:name w:val="样式 样式 标书正文 + 首行缩进:  0.01 字符 + 首行缩进:  0.01 字符"/>
    <w:basedOn w:val="1"/>
    <w:link w:val="141"/>
    <w:uiPriority w:val="0"/>
    <w:pPr>
      <w:widowControl/>
      <w:adjustRightInd w:val="0"/>
      <w:snapToGrid w:val="0"/>
      <w:spacing w:after="50" w:afterLines="50" w:line="360" w:lineRule="auto"/>
      <w:ind w:left="-2" w:leftChars="-2" w:firstLine="200" w:firstLineChars="200"/>
      <w:jc w:val="left"/>
    </w:pPr>
    <w:rPr>
      <w:rFonts w:ascii="宋体" w:hAnsi="宋体" w:cs="宋体"/>
      <w:kern w:val="0"/>
      <w:sz w:val="28"/>
      <w:szCs w:val="20"/>
    </w:rPr>
  </w:style>
  <w:style w:type="character" w:customStyle="1" w:styleId="143">
    <w:name w:val="font01"/>
    <w:uiPriority w:val="0"/>
    <w:rPr>
      <w:rFonts w:hint="eastAsia" w:ascii="宋体" w:hAnsi="宋体" w:eastAsia="宋体" w:cs="宋体"/>
      <w:b/>
      <w:color w:val="000000"/>
      <w:sz w:val="22"/>
      <w:szCs w:val="22"/>
      <w:u w:val="none"/>
    </w:rPr>
  </w:style>
  <w:style w:type="character" w:customStyle="1" w:styleId="144">
    <w:name w:val=" Char Char6"/>
    <w:uiPriority w:val="0"/>
    <w:rPr>
      <w:rFonts w:ascii="Times New Roman" w:hAnsi="Times New Roman"/>
      <w:kern w:val="28"/>
      <w:sz w:val="24"/>
      <w:szCs w:val="24"/>
    </w:rPr>
  </w:style>
  <w:style w:type="character" w:customStyle="1" w:styleId="145">
    <w:name w:val="样式 样式4 + 加粗 首行缩进: Char Char Char Char"/>
    <w:uiPriority w:val="0"/>
    <w:rPr>
      <w:rFonts w:eastAsia="宋体" w:cs="宋体"/>
      <w:b/>
      <w:bCs/>
      <w:color w:val="000000"/>
      <w:kern w:val="2"/>
      <w:sz w:val="24"/>
      <w:szCs w:val="24"/>
      <w:lang w:val="en-US" w:eastAsia="zh-CN" w:bidi="ar-SA"/>
    </w:rPr>
  </w:style>
  <w:style w:type="character" w:customStyle="1" w:styleId="146">
    <w:name w:val="font41"/>
    <w:qFormat/>
    <w:uiPriority w:val="0"/>
    <w:rPr>
      <w:rFonts w:hint="eastAsia" w:ascii="宋体" w:hAnsi="宋体" w:eastAsia="宋体" w:cs="宋体"/>
      <w:b/>
      <w:color w:val="000000"/>
      <w:sz w:val="20"/>
      <w:szCs w:val="20"/>
      <w:u w:val="none"/>
    </w:rPr>
  </w:style>
  <w:style w:type="character" w:customStyle="1" w:styleId="147">
    <w:name w:val="纯文本 Char2"/>
    <w:uiPriority w:val="0"/>
    <w:rPr>
      <w:rFonts w:ascii="??" w:hAnsi="??" w:eastAsia="??" w:cs="宋体"/>
      <w:kern w:val="2"/>
      <w:sz w:val="21"/>
      <w:szCs w:val="21"/>
    </w:rPr>
  </w:style>
  <w:style w:type="character" w:customStyle="1" w:styleId="148">
    <w:name w:val="FA正文 Char Char"/>
    <w:link w:val="149"/>
    <w:uiPriority w:val="0"/>
    <w:rPr>
      <w:rFonts w:hAnsi="宋体"/>
      <w:kern w:val="2"/>
      <w:sz w:val="24"/>
      <w:lang w:bidi="ar-SA"/>
    </w:rPr>
  </w:style>
  <w:style w:type="paragraph" w:customStyle="1" w:styleId="149">
    <w:name w:val="FA正文"/>
    <w:basedOn w:val="1"/>
    <w:link w:val="148"/>
    <w:uiPriority w:val="0"/>
    <w:pPr>
      <w:spacing w:line="360" w:lineRule="auto"/>
      <w:ind w:firstLine="480" w:firstLineChars="200"/>
    </w:pPr>
    <w:rPr>
      <w:rFonts w:ascii="Times New Roman" w:hAnsi="宋体"/>
      <w:sz w:val="24"/>
      <w:szCs w:val="20"/>
    </w:rPr>
  </w:style>
  <w:style w:type="character" w:customStyle="1" w:styleId="150">
    <w:name w:val="pubtime"/>
    <w:uiPriority w:val="0"/>
    <w:rPr>
      <w:rFonts w:ascii="??_GB2312" w:hAnsi="??_GB2312" w:eastAsia="??_GB2312" w:cs="宋体"/>
      <w:color w:val="000000"/>
      <w:sz w:val="18"/>
      <w:szCs w:val="18"/>
    </w:rPr>
  </w:style>
  <w:style w:type="character" w:customStyle="1" w:styleId="151">
    <w:name w:val="ca-41"/>
    <w:uiPriority w:val="0"/>
    <w:rPr>
      <w:rFonts w:hint="eastAsia" w:ascii="仿宋_GB2312" w:eastAsia="仿宋_GB2312"/>
      <w:sz w:val="24"/>
      <w:szCs w:val="24"/>
    </w:rPr>
  </w:style>
  <w:style w:type="character" w:customStyle="1" w:styleId="152">
    <w:name w:val="fonts11"/>
    <w:uiPriority w:val="0"/>
    <w:rPr>
      <w:sz w:val="18"/>
      <w:szCs w:val="18"/>
    </w:rPr>
  </w:style>
  <w:style w:type="character" w:customStyle="1" w:styleId="153">
    <w:name w:val="哈哈正文 Char"/>
    <w:link w:val="154"/>
    <w:uiPriority w:val="0"/>
    <w:rPr>
      <w:rFonts w:ascii="宋体" w:hAnsi="宋体" w:eastAsia="宋体"/>
      <w:kern w:val="2"/>
      <w:sz w:val="24"/>
      <w:lang w:bidi="ar-SA"/>
    </w:rPr>
  </w:style>
  <w:style w:type="paragraph" w:customStyle="1" w:styleId="154">
    <w:name w:val="哈哈正文"/>
    <w:basedOn w:val="1"/>
    <w:link w:val="153"/>
    <w:uiPriority w:val="0"/>
    <w:pPr>
      <w:spacing w:line="360" w:lineRule="auto"/>
      <w:ind w:firstLine="200" w:firstLineChars="200"/>
    </w:pPr>
    <w:rPr>
      <w:rFonts w:ascii="宋体" w:hAnsi="宋体"/>
      <w:sz w:val="24"/>
      <w:szCs w:val="20"/>
    </w:rPr>
  </w:style>
  <w:style w:type="character" w:customStyle="1" w:styleId="155">
    <w:name w:val="页脚 Char"/>
    <w:uiPriority w:val="0"/>
    <w:rPr>
      <w:rFonts w:eastAsia="Calibri"/>
      <w:sz w:val="21"/>
    </w:rPr>
  </w:style>
  <w:style w:type="character" w:customStyle="1" w:styleId="156">
    <w:name w:val="param_td12"/>
    <w:uiPriority w:val="0"/>
  </w:style>
  <w:style w:type="character" w:customStyle="1" w:styleId="157">
    <w:name w:val=" Char Char19"/>
    <w:uiPriority w:val="0"/>
    <w:rPr>
      <w:kern w:val="2"/>
      <w:sz w:val="18"/>
    </w:rPr>
  </w:style>
  <w:style w:type="character" w:customStyle="1" w:styleId="158">
    <w:name w:val="标准正文 Char"/>
    <w:link w:val="159"/>
    <w:locked/>
    <w:uiPriority w:val="0"/>
    <w:rPr>
      <w:sz w:val="24"/>
      <w:lang w:bidi="ar-SA"/>
    </w:rPr>
  </w:style>
  <w:style w:type="paragraph" w:customStyle="1" w:styleId="159">
    <w:name w:val="标准正文"/>
    <w:basedOn w:val="1"/>
    <w:link w:val="158"/>
    <w:uiPriority w:val="0"/>
    <w:pPr>
      <w:spacing w:line="360" w:lineRule="auto"/>
      <w:ind w:firstLine="480" w:firstLineChars="200"/>
    </w:pPr>
    <w:rPr>
      <w:rFonts w:ascii="Times New Roman" w:hAnsi="Times New Roman"/>
      <w:kern w:val="0"/>
      <w:sz w:val="24"/>
      <w:szCs w:val="20"/>
    </w:rPr>
  </w:style>
  <w:style w:type="character" w:customStyle="1" w:styleId="160">
    <w:name w:val="哈哈改 Char"/>
    <w:link w:val="161"/>
    <w:uiPriority w:val="0"/>
    <w:rPr>
      <w:rFonts w:ascii="宋体" w:hAnsi="宋体" w:eastAsia="宋体"/>
      <w:b/>
      <w:kern w:val="2"/>
      <w:sz w:val="24"/>
      <w:szCs w:val="24"/>
      <w:lang w:bidi="ar-SA"/>
    </w:rPr>
  </w:style>
  <w:style w:type="paragraph" w:customStyle="1" w:styleId="161">
    <w:name w:val="哈哈改"/>
    <w:basedOn w:val="154"/>
    <w:link w:val="160"/>
    <w:uiPriority w:val="0"/>
    <w:pPr>
      <w:ind w:firstLine="480"/>
    </w:pPr>
    <w:rPr>
      <w:b/>
      <w:szCs w:val="24"/>
    </w:rPr>
  </w:style>
  <w:style w:type="character" w:customStyle="1" w:styleId="162">
    <w:name w:val="md"/>
    <w:basedOn w:val="79"/>
    <w:uiPriority w:val="0"/>
  </w:style>
  <w:style w:type="character" w:customStyle="1" w:styleId="163">
    <w:name w:val="ca-61"/>
    <w:uiPriority w:val="0"/>
    <w:rPr>
      <w:rFonts w:hint="eastAsia" w:ascii="仿宋_GB2312" w:eastAsia="仿宋_GB2312"/>
      <w:b/>
      <w:bCs/>
      <w:spacing w:val="-20"/>
      <w:sz w:val="24"/>
      <w:szCs w:val="24"/>
    </w:rPr>
  </w:style>
  <w:style w:type="character" w:customStyle="1" w:styleId="164">
    <w:name w:val="font71"/>
    <w:qFormat/>
    <w:uiPriority w:val="0"/>
    <w:rPr>
      <w:rFonts w:hint="eastAsia" w:ascii="仿宋" w:hAnsi="仿宋" w:eastAsia="仿宋" w:cs="仿宋"/>
      <w:b/>
      <w:color w:val="000000"/>
      <w:sz w:val="18"/>
      <w:szCs w:val="18"/>
      <w:u w:val="none"/>
    </w:rPr>
  </w:style>
  <w:style w:type="character" w:customStyle="1" w:styleId="165">
    <w:name w:val="time"/>
    <w:uiPriority w:val="0"/>
    <w:rPr>
      <w:rFonts w:ascii="??_GB2312" w:hAnsi="??_GB2312" w:eastAsia="??_GB2312" w:cs="宋体"/>
      <w:b/>
      <w:color w:val="769199"/>
      <w:sz w:val="32"/>
      <w:szCs w:val="32"/>
    </w:rPr>
  </w:style>
  <w:style w:type="character" w:customStyle="1" w:styleId="166">
    <w:name w:val="正文2 Char Char"/>
    <w:uiPriority w:val="0"/>
    <w:rPr>
      <w:rFonts w:eastAsia="??"/>
      <w:kern w:val="2"/>
      <w:sz w:val="24"/>
      <w:szCs w:val="28"/>
      <w:lang w:val="en-US" w:eastAsia="zh-CN" w:bidi="ar-SA"/>
    </w:rPr>
  </w:style>
  <w:style w:type="character" w:customStyle="1" w:styleId="167">
    <w:name w:val="标题 5 Char Char Char Char Char Char Char Char Char Char Char Char Char"/>
    <w:uiPriority w:val="0"/>
    <w:rPr>
      <w:rFonts w:eastAsia="宋体"/>
      <w:b/>
      <w:bCs/>
      <w:kern w:val="2"/>
      <w:sz w:val="28"/>
      <w:szCs w:val="28"/>
      <w:lang w:val="en-US" w:eastAsia="zh-CN" w:bidi="ar-SA"/>
    </w:rPr>
  </w:style>
  <w:style w:type="character" w:customStyle="1" w:styleId="168">
    <w:name w:val="正文4 Char"/>
    <w:link w:val="169"/>
    <w:uiPriority w:val="0"/>
    <w:rPr>
      <w:rFonts w:eastAsia="楷体_GB2312"/>
      <w:kern w:val="2"/>
      <w:sz w:val="24"/>
      <w:szCs w:val="24"/>
      <w:lang w:bidi="ar-SA"/>
    </w:rPr>
  </w:style>
  <w:style w:type="paragraph" w:customStyle="1" w:styleId="169">
    <w:name w:val="正文4"/>
    <w:basedOn w:val="1"/>
    <w:link w:val="168"/>
    <w:uiPriority w:val="0"/>
    <w:pPr>
      <w:spacing w:before="60" w:after="60" w:line="360" w:lineRule="auto"/>
    </w:pPr>
    <w:rPr>
      <w:rFonts w:ascii="Times New Roman" w:hAnsi="Times New Roman" w:eastAsia="楷体_GB2312"/>
      <w:sz w:val="24"/>
    </w:rPr>
  </w:style>
  <w:style w:type="character" w:customStyle="1" w:styleId="170">
    <w:name w:val="font81"/>
    <w:qFormat/>
    <w:uiPriority w:val="0"/>
    <w:rPr>
      <w:rFonts w:hint="eastAsia" w:ascii="宋体" w:hAnsi="宋体" w:eastAsia="宋体" w:cs="宋体"/>
      <w:b/>
      <w:color w:val="000000"/>
      <w:sz w:val="20"/>
      <w:szCs w:val="20"/>
      <w:u w:val="none"/>
    </w:rPr>
  </w:style>
  <w:style w:type="character" w:customStyle="1" w:styleId="171">
    <w:name w:val=" Char12"/>
    <w:semiHidden/>
    <w:uiPriority w:val="0"/>
    <w:rPr>
      <w:rFonts w:eastAsia="宋体"/>
      <w:kern w:val="2"/>
      <w:sz w:val="24"/>
      <w:szCs w:val="24"/>
      <w:lang w:val="en-US" w:eastAsia="zh-CN" w:bidi="ar-SA"/>
    </w:rPr>
  </w:style>
  <w:style w:type="character" w:customStyle="1" w:styleId="172">
    <w:name w:val=" Char Char7"/>
    <w:uiPriority w:val="0"/>
    <w:rPr>
      <w:rFonts w:ascii="宋体" w:eastAsia="宋体"/>
      <w:snapToGrid w:val="0"/>
      <w:color w:val="000000"/>
      <w:kern w:val="28"/>
      <w:sz w:val="28"/>
      <w:lang w:val="en-US" w:eastAsia="zh-CN"/>
    </w:rPr>
  </w:style>
  <w:style w:type="character" w:customStyle="1" w:styleId="173">
    <w:name w:val="font101"/>
    <w:qFormat/>
    <w:uiPriority w:val="0"/>
    <w:rPr>
      <w:rFonts w:hint="eastAsia" w:ascii="宋体" w:hAnsi="宋体" w:eastAsia="宋体" w:cs="宋体"/>
      <w:b/>
      <w:color w:val="000000"/>
      <w:sz w:val="18"/>
      <w:szCs w:val="18"/>
      <w:u w:val="none"/>
    </w:rPr>
  </w:style>
  <w:style w:type="character" w:customStyle="1" w:styleId="174">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uiPriority w:val="0"/>
    <w:rPr>
      <w:rFonts w:ascii="??" w:eastAsia="??"/>
      <w:snapToGrid w:val="0"/>
      <w:color w:val="000000"/>
      <w:kern w:val="28"/>
      <w:sz w:val="28"/>
      <w:lang w:val="en-US" w:eastAsia="zh-CN" w:bidi="ar-SA"/>
    </w:rPr>
  </w:style>
  <w:style w:type="character" w:customStyle="1" w:styleId="175">
    <w:name w:val="正文2 Char"/>
    <w:link w:val="176"/>
    <w:locked/>
    <w:uiPriority w:val="0"/>
    <w:rPr>
      <w:rFonts w:eastAsia="??"/>
      <w:kern w:val="2"/>
      <w:sz w:val="24"/>
      <w:szCs w:val="28"/>
    </w:rPr>
  </w:style>
  <w:style w:type="paragraph" w:customStyle="1" w:styleId="176">
    <w:name w:val="正文2"/>
    <w:basedOn w:val="1"/>
    <w:link w:val="175"/>
    <w:uiPriority w:val="0"/>
    <w:pPr>
      <w:spacing w:before="156" w:line="360" w:lineRule="auto"/>
      <w:ind w:firstLine="200" w:firstLineChars="200"/>
    </w:pPr>
    <w:rPr>
      <w:rFonts w:ascii="Times New Roman" w:hAnsi="Times New Roman" w:eastAsia="??"/>
      <w:sz w:val="24"/>
      <w:szCs w:val="28"/>
    </w:rPr>
  </w:style>
  <w:style w:type="character" w:customStyle="1" w:styleId="177">
    <w:name w:val=" Char Char14"/>
    <w:uiPriority w:val="0"/>
    <w:rPr>
      <w:kern w:val="2"/>
      <w:sz w:val="21"/>
    </w:rPr>
  </w:style>
  <w:style w:type="character" w:customStyle="1" w:styleId="178">
    <w:name w:val="font31"/>
    <w:uiPriority w:val="0"/>
    <w:rPr>
      <w:rFonts w:hint="eastAsia" w:ascii="宋体" w:hAnsi="宋体" w:eastAsia="宋体" w:cs="宋体"/>
      <w:b/>
      <w:color w:val="000000"/>
      <w:sz w:val="22"/>
      <w:szCs w:val="22"/>
      <w:u w:val="none"/>
    </w:rPr>
  </w:style>
  <w:style w:type="character" w:customStyle="1" w:styleId="179">
    <w:name w:val="title141"/>
    <w:uiPriority w:val="0"/>
    <w:rPr>
      <w:sz w:val="25"/>
      <w:szCs w:val="25"/>
    </w:rPr>
  </w:style>
  <w:style w:type="character" w:customStyle="1" w:styleId="180">
    <w:name w:val="sony121"/>
    <w:uiPriority w:val="0"/>
    <w:rPr>
      <w:rFonts w:hint="eastAsia" w:ascii="宋体" w:hAnsi="宋体" w:eastAsia="宋体"/>
      <w:sz w:val="18"/>
      <w:szCs w:val="18"/>
    </w:rPr>
  </w:style>
  <w:style w:type="character" w:customStyle="1" w:styleId="181">
    <w:name w:val="正文 首行缩进2字符 Char Char Char"/>
    <w:uiPriority w:val="0"/>
    <w:rPr>
      <w:rFonts w:eastAsia="宋体"/>
      <w:kern w:val="2"/>
      <w:sz w:val="24"/>
      <w:szCs w:val="24"/>
      <w:lang w:val="en-US" w:eastAsia="zh-CN" w:bidi="ar-SA"/>
    </w:rPr>
  </w:style>
  <w:style w:type="character" w:customStyle="1" w:styleId="182">
    <w:name w:val="more"/>
    <w:basedOn w:val="79"/>
    <w:uiPriority w:val="0"/>
  </w:style>
  <w:style w:type="character" w:customStyle="1" w:styleId="183">
    <w:name w:val="纯文本 Char1"/>
    <w:uiPriority w:val="0"/>
    <w:rPr>
      <w:rFonts w:ascii="宋体" w:hAnsi="Courier New"/>
    </w:rPr>
  </w:style>
  <w:style w:type="character" w:customStyle="1" w:styleId="184">
    <w:name w:val="subtitle1"/>
    <w:uiPriority w:val="0"/>
    <w:rPr>
      <w:rFonts w:hint="default" w:ascii="Georgia" w:hAnsi="Georgia"/>
      <w:b/>
      <w:bCs/>
      <w:color w:val="666666"/>
      <w:sz w:val="18"/>
      <w:szCs w:val="18"/>
    </w:rPr>
  </w:style>
  <w:style w:type="character" w:customStyle="1" w:styleId="185">
    <w:name w:val="公文正文 Char"/>
    <w:link w:val="186"/>
    <w:uiPriority w:val="0"/>
    <w:rPr>
      <w:rFonts w:ascii="??_GB2312" w:hAnsi="??_GB2312" w:eastAsia="??_GB2312" w:cs="宋体"/>
      <w:kern w:val="2"/>
      <w:sz w:val="24"/>
      <w:szCs w:val="24"/>
      <w:lang w:val="en-US" w:eastAsia="zh-CN" w:bidi="ar-SA"/>
    </w:rPr>
  </w:style>
  <w:style w:type="paragraph" w:customStyle="1" w:styleId="186">
    <w:name w:val="公文正文"/>
    <w:basedOn w:val="1"/>
    <w:link w:val="185"/>
    <w:uiPriority w:val="0"/>
    <w:pPr>
      <w:spacing w:before="156" w:line="360" w:lineRule="auto"/>
      <w:ind w:firstLine="200" w:firstLineChars="200"/>
    </w:pPr>
    <w:rPr>
      <w:rFonts w:ascii="??_GB2312" w:hAnsi="??_GB2312" w:eastAsia="??_GB2312" w:cs="宋体"/>
      <w:sz w:val="24"/>
    </w:rPr>
  </w:style>
  <w:style w:type="character" w:customStyle="1" w:styleId="187">
    <w:name w:val="正文缩 Char"/>
    <w:link w:val="188"/>
    <w:uiPriority w:val="0"/>
    <w:rPr>
      <w:rFonts w:eastAsia="楷体_GB2312"/>
      <w:kern w:val="2"/>
      <w:sz w:val="24"/>
      <w:szCs w:val="24"/>
      <w:lang w:bidi="ar-SA"/>
    </w:rPr>
  </w:style>
  <w:style w:type="paragraph" w:customStyle="1" w:styleId="188">
    <w:name w:val="正文缩"/>
    <w:basedOn w:val="1"/>
    <w:link w:val="187"/>
    <w:uiPriority w:val="0"/>
    <w:pPr>
      <w:spacing w:line="360" w:lineRule="auto"/>
      <w:ind w:firstLine="200" w:firstLineChars="200"/>
    </w:pPr>
    <w:rPr>
      <w:rFonts w:ascii="Times New Roman" w:hAnsi="Times New Roman" w:eastAsia="楷体_GB2312"/>
      <w:sz w:val="24"/>
    </w:rPr>
  </w:style>
  <w:style w:type="character" w:customStyle="1" w:styleId="189">
    <w:name w:val="ih151"/>
    <w:uiPriority w:val="0"/>
    <w:rPr>
      <w:color w:val="666666"/>
      <w:sz w:val="18"/>
      <w:szCs w:val="18"/>
      <w:u w:val="none"/>
    </w:rPr>
  </w:style>
  <w:style w:type="character" w:customStyle="1" w:styleId="190">
    <w:name w:val="style161"/>
    <w:uiPriority w:val="0"/>
    <w:rPr>
      <w:sz w:val="20"/>
      <w:szCs w:val="20"/>
    </w:rPr>
  </w:style>
  <w:style w:type="character" w:customStyle="1" w:styleId="191">
    <w:name w:val="unnamed11"/>
    <w:uiPriority w:val="0"/>
    <w:rPr>
      <w:sz w:val="20"/>
    </w:rPr>
  </w:style>
  <w:style w:type="character" w:customStyle="1" w:styleId="192">
    <w:name w:val="t_tag"/>
    <w:basedOn w:val="79"/>
    <w:uiPriority w:val="0"/>
  </w:style>
  <w:style w:type="character" w:customStyle="1" w:styleId="193">
    <w:name w:val="font-121"/>
    <w:uiPriority w:val="0"/>
    <w:rPr>
      <w:color w:val="666666"/>
      <w:sz w:val="18"/>
      <w:szCs w:val="18"/>
      <w:u w:val="none"/>
    </w:rPr>
  </w:style>
  <w:style w:type="character" w:customStyle="1" w:styleId="194">
    <w:name w:val=" Char Char15"/>
    <w:uiPriority w:val="0"/>
    <w:rPr>
      <w:rFonts w:ascii="Times New Roman" w:hAnsi="Times New Roman"/>
      <w:sz w:val="18"/>
    </w:rPr>
  </w:style>
  <w:style w:type="character" w:customStyle="1" w:styleId="195">
    <w:name w:val="标题 3 Char Char Char Char Char Char Char Char Char Char Char Char Char Char Char Char Char Char Char Char Char Char Char Char Char Char Char Char Char Char Char Char Char Char Char Char Char Char Char Char Char Char Char Char Char Char Char Char Cha Char"/>
    <w:uiPriority w:val="0"/>
    <w:rPr>
      <w:rFonts w:eastAsia="宋体"/>
      <w:b/>
      <w:bCs/>
      <w:kern w:val="2"/>
      <w:sz w:val="32"/>
      <w:szCs w:val="32"/>
      <w:lang w:val="en-US" w:eastAsia="zh-CN" w:bidi="ar-SA"/>
    </w:rPr>
  </w:style>
  <w:style w:type="character" w:customStyle="1" w:styleId="196">
    <w:name w:val="DN-正文 Char Char"/>
    <w:link w:val="197"/>
    <w:uiPriority w:val="0"/>
    <w:rPr>
      <w:kern w:val="2"/>
      <w:sz w:val="21"/>
      <w:szCs w:val="24"/>
      <w:lang w:bidi="ar-SA"/>
    </w:rPr>
  </w:style>
  <w:style w:type="paragraph" w:customStyle="1" w:styleId="197">
    <w:name w:val="DN-正文"/>
    <w:basedOn w:val="21"/>
    <w:link w:val="196"/>
    <w:uiPriority w:val="0"/>
    <w:pPr>
      <w:widowControl w:val="0"/>
      <w:spacing w:line="400" w:lineRule="exact"/>
      <w:ind w:firstLine="200" w:firstLineChars="200"/>
      <w:jc w:val="both"/>
    </w:pPr>
    <w:rPr>
      <w:rFonts w:eastAsia="宋体"/>
      <w:kern w:val="2"/>
      <w:sz w:val="21"/>
    </w:rPr>
  </w:style>
  <w:style w:type="character" w:customStyle="1" w:styleId="198">
    <w:name w:val="gf正文1 Char"/>
    <w:link w:val="199"/>
    <w:uiPriority w:val="0"/>
    <w:rPr>
      <w:rFonts w:ascii="宋体" w:hAnsi="宋体" w:eastAsia="宋体"/>
      <w:kern w:val="2"/>
      <w:sz w:val="24"/>
      <w:lang w:val="en-US" w:eastAsia="zh-CN" w:bidi="ar-SA"/>
    </w:rPr>
  </w:style>
  <w:style w:type="paragraph" w:customStyle="1" w:styleId="199">
    <w:name w:val="gf正文1"/>
    <w:basedOn w:val="1"/>
    <w:link w:val="198"/>
    <w:uiPriority w:val="0"/>
    <w:pPr>
      <w:adjustRightInd w:val="0"/>
      <w:snapToGrid w:val="0"/>
      <w:spacing w:before="156" w:beforeLines="50" w:line="360" w:lineRule="auto"/>
      <w:ind w:firstLine="480" w:firstLineChars="200"/>
    </w:pPr>
    <w:rPr>
      <w:rFonts w:ascii="宋体" w:hAnsi="宋体"/>
      <w:sz w:val="24"/>
      <w:szCs w:val="20"/>
    </w:rPr>
  </w:style>
  <w:style w:type="paragraph" w:customStyle="1" w:styleId="200">
    <w:name w:val=" Char Char1"/>
    <w:basedOn w:val="1"/>
    <w:uiPriority w:val="0"/>
    <w:pPr>
      <w:widowControl/>
      <w:spacing w:after="160" w:line="240" w:lineRule="exact"/>
      <w:jc w:val="left"/>
    </w:pPr>
    <w:rPr>
      <w:rFonts w:eastAsia="仿宋_GB2312"/>
      <w:sz w:val="28"/>
      <w:szCs w:val="20"/>
    </w:rPr>
  </w:style>
  <w:style w:type="paragraph" w:customStyle="1" w:styleId="201">
    <w:name w:val="编号 1"/>
    <w:basedOn w:val="1"/>
    <w:uiPriority w:val="0"/>
    <w:pPr>
      <w:tabs>
        <w:tab w:val="left" w:pos="1320"/>
      </w:tabs>
      <w:spacing w:before="100" w:beforeAutospacing="1" w:after="100" w:afterAutospacing="1" w:line="360" w:lineRule="auto"/>
      <w:ind w:left="400" w:firstLine="560"/>
    </w:pPr>
    <w:rPr>
      <w:rFonts w:ascii="宋体" w:eastAsia="楷体_GB2312"/>
      <w:sz w:val="24"/>
    </w:rPr>
  </w:style>
  <w:style w:type="paragraph" w:customStyle="1" w:styleId="202">
    <w:name w:val="xl140"/>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24"/>
      <w:szCs w:val="20"/>
    </w:rPr>
  </w:style>
  <w:style w:type="paragraph" w:customStyle="1" w:styleId="203">
    <w:name w:val="xl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kern w:val="0"/>
      <w:sz w:val="18"/>
      <w:szCs w:val="20"/>
    </w:rPr>
  </w:style>
  <w:style w:type="paragraph" w:customStyle="1" w:styleId="204">
    <w:name w:val=" Char Char1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205">
    <w:name w:val="xl94"/>
    <w:basedOn w:val="1"/>
    <w:uiPriority w:val="0"/>
    <w:pPr>
      <w:widowControl/>
      <w:pBdr>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206">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FF0000"/>
      <w:kern w:val="0"/>
      <w:sz w:val="18"/>
      <w:szCs w:val="20"/>
    </w:rPr>
  </w:style>
  <w:style w:type="paragraph" w:customStyle="1" w:styleId="207">
    <w:name w:val="xl74"/>
    <w:basedOn w:val="1"/>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Autospacing="1" w:after="100" w:afterAutospacing="1"/>
      <w:jc w:val="center"/>
    </w:pPr>
    <w:rPr>
      <w:rFonts w:ascii="宋体" w:hAnsi="宋体"/>
      <w:kern w:val="0"/>
      <w:sz w:val="20"/>
      <w:szCs w:val="20"/>
    </w:rPr>
  </w:style>
  <w:style w:type="paragraph" w:customStyle="1" w:styleId="208">
    <w:name w:val="样式 宋体 小四 行距: 1.5 倍行距 首行缩进:  2 字符"/>
    <w:basedOn w:val="1"/>
    <w:uiPriority w:val="0"/>
    <w:pPr>
      <w:spacing w:line="360" w:lineRule="auto"/>
      <w:ind w:firstLine="200" w:firstLineChars="200"/>
    </w:pPr>
    <w:rPr>
      <w:rFonts w:ascii="宋体" w:hAnsi="宋体" w:cs="宋体"/>
      <w:sz w:val="24"/>
    </w:rPr>
  </w:style>
  <w:style w:type="paragraph" w:customStyle="1" w:styleId="209">
    <w:name w:val="Body text|1"/>
    <w:basedOn w:val="1"/>
    <w:qFormat/>
    <w:uiPriority w:val="0"/>
    <w:pPr>
      <w:widowControl w:val="0"/>
      <w:shd w:val="clear" w:color="auto" w:fill="auto"/>
      <w:spacing w:line="425" w:lineRule="auto"/>
      <w:ind w:firstLine="400"/>
    </w:pPr>
    <w:rPr>
      <w:rFonts w:ascii="宋体" w:hAnsi="宋体" w:eastAsia="宋体" w:cs="宋体"/>
      <w:sz w:val="20"/>
      <w:szCs w:val="20"/>
      <w:u w:val="none"/>
      <w:shd w:val="clear" w:color="auto" w:fill="auto"/>
      <w:lang w:val="zh-CN" w:eastAsia="zh-CN" w:bidi="zh-CN"/>
    </w:rPr>
  </w:style>
  <w:style w:type="paragraph" w:customStyle="1" w:styleId="210">
    <w:name w:val="Char Char Char Char Char Char Char Char Char Char"/>
    <w:basedOn w:val="1"/>
    <w:uiPriority w:val="0"/>
    <w:rPr>
      <w:rFonts w:ascii="仿宋_GB2312" w:eastAsia="仿宋_GB2312"/>
      <w:b/>
      <w:sz w:val="32"/>
      <w:szCs w:val="20"/>
    </w:rPr>
  </w:style>
  <w:style w:type="paragraph" w:customStyle="1" w:styleId="211">
    <w:name w:val="样式 仿宋_GB2312 三号"/>
    <w:basedOn w:val="1"/>
    <w:uiPriority w:val="0"/>
    <w:pPr>
      <w:adjustRightInd w:val="0"/>
      <w:snapToGrid w:val="0"/>
      <w:spacing w:line="360" w:lineRule="auto"/>
      <w:ind w:firstLine="560" w:firstLineChars="200"/>
    </w:pPr>
    <w:rPr>
      <w:rFonts w:ascii="仿宋_GB2312" w:eastAsia="仿宋_GB2312" w:cs="宋体"/>
      <w:sz w:val="32"/>
      <w:szCs w:val="20"/>
    </w:rPr>
  </w:style>
  <w:style w:type="paragraph" w:customStyle="1" w:styleId="212">
    <w:name w:val="样式"/>
    <w:basedOn w:val="1"/>
    <w:uiPriority w:val="0"/>
    <w:pPr>
      <w:autoSpaceDE w:val="0"/>
      <w:autoSpaceDN w:val="0"/>
      <w:snapToGrid w:val="0"/>
      <w:spacing w:before="120" w:after="120" w:line="360" w:lineRule="auto"/>
    </w:pPr>
    <w:rPr>
      <w:rFonts w:ascii="宋体"/>
      <w:sz w:val="24"/>
      <w:szCs w:val="20"/>
    </w:rPr>
  </w:style>
  <w:style w:type="paragraph" w:customStyle="1" w:styleId="213">
    <w:name w:val="xl117"/>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color w:val="FF0000"/>
      <w:kern w:val="0"/>
      <w:sz w:val="18"/>
      <w:szCs w:val="20"/>
    </w:rPr>
  </w:style>
  <w:style w:type="paragraph" w:customStyle="1" w:styleId="214">
    <w:name w:val="Char Char"/>
    <w:basedOn w:val="1"/>
    <w:uiPriority w:val="0"/>
    <w:pPr>
      <w:spacing w:line="360" w:lineRule="auto"/>
    </w:pPr>
    <w:rPr>
      <w:rFonts w:ascii="Tahoma" w:hAnsi="Tahoma" w:cs="Lucida Sans"/>
      <w:sz w:val="24"/>
      <w:szCs w:val="20"/>
    </w:rPr>
  </w:style>
  <w:style w:type="paragraph" w:customStyle="1" w:styleId="215">
    <w:name w:val="正文文字表格居中"/>
    <w:basedOn w:val="1"/>
    <w:next w:val="69"/>
    <w:uiPriority w:val="0"/>
    <w:pPr>
      <w:snapToGrid w:val="0"/>
      <w:spacing w:line="360" w:lineRule="auto"/>
    </w:pPr>
    <w:rPr>
      <w:rFonts w:ascii="宋体"/>
      <w:b/>
      <w:sz w:val="24"/>
      <w:szCs w:val="20"/>
    </w:rPr>
  </w:style>
  <w:style w:type="paragraph" w:customStyle="1" w:styleId="216">
    <w:name w:val=" Char2 Char Char Char"/>
    <w:basedOn w:val="1"/>
    <w:uiPriority w:val="0"/>
    <w:rPr>
      <w:rFonts w:ascii="仿宋_GB2312" w:eastAsia="仿宋_GB2312"/>
      <w:b/>
      <w:sz w:val="32"/>
      <w:szCs w:val="32"/>
    </w:rPr>
  </w:style>
  <w:style w:type="paragraph" w:customStyle="1" w:styleId="217">
    <w:name w:val="样式 Arial 左侧:  0.43 厘米 段前: 1.4 磅 段后: 2.8 磅"/>
    <w:basedOn w:val="1"/>
    <w:uiPriority w:val="0"/>
    <w:pPr>
      <w:spacing w:before="28" w:after="56" w:line="360" w:lineRule="auto"/>
      <w:ind w:left="244" w:firstLine="540" w:firstLineChars="225"/>
    </w:pPr>
    <w:rPr>
      <w:rFonts w:ascii="Arial" w:hAnsi="Arial" w:eastAsia="楷体_GB2312" w:cs="宋体"/>
      <w:sz w:val="24"/>
    </w:rPr>
  </w:style>
  <w:style w:type="paragraph" w:customStyle="1" w:styleId="218">
    <w:name w:val="Defaul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219">
    <w:name w:val="列出段落3"/>
    <w:basedOn w:val="1"/>
    <w:uiPriority w:val="99"/>
    <w:pPr>
      <w:snapToGrid w:val="0"/>
      <w:spacing w:line="276" w:lineRule="auto"/>
      <w:ind w:firstLine="420" w:firstLineChars="200"/>
    </w:pPr>
    <w:rPr>
      <w:rFonts w:ascii="Calibri" w:hAnsi="Calibri" w:eastAsia="微软雅黑" w:cs="Times New Roman"/>
      <w:sz w:val="24"/>
      <w:szCs w:val="21"/>
    </w:rPr>
  </w:style>
  <w:style w:type="paragraph" w:customStyle="1" w:styleId="220">
    <w:name w:val="xl135"/>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bottom"/>
    </w:pPr>
    <w:rPr>
      <w:rFonts w:ascii="Arial" w:hAnsi="Arial"/>
      <w:kern w:val="0"/>
      <w:sz w:val="20"/>
      <w:szCs w:val="20"/>
    </w:rPr>
  </w:style>
  <w:style w:type="paragraph" w:customStyle="1" w:styleId="221">
    <w:name w:val="正文3"/>
    <w:basedOn w:val="1"/>
    <w:uiPriority w:val="0"/>
    <w:pPr>
      <w:spacing w:beforeLines="50" w:afterLines="50" w:line="360" w:lineRule="auto"/>
      <w:outlineLvl w:val="8"/>
    </w:pPr>
    <w:rPr>
      <w:rFonts w:ascii="Segoe UI" w:hAnsi="宋体" w:eastAsia="楷体_GB2312" w:cs="Latha"/>
      <w:sz w:val="24"/>
      <w:szCs w:val="21"/>
    </w:rPr>
  </w:style>
  <w:style w:type="paragraph" w:customStyle="1" w:styleId="222">
    <w:name w:val="样式 样式 样式 我的正文首行缩进 + 首行缩进:  2 字符 + 首行缩进:  2 字符 + 首行缩进:  2 字符1"/>
    <w:basedOn w:val="1"/>
    <w:uiPriority w:val="0"/>
    <w:pPr>
      <w:widowControl/>
      <w:spacing w:after="120"/>
      <w:ind w:firstLine="200" w:firstLineChars="200"/>
      <w:jc w:val="left"/>
    </w:pPr>
    <w:rPr>
      <w:rFonts w:eastAsia="华文细黑"/>
      <w:sz w:val="24"/>
    </w:rPr>
  </w:style>
  <w:style w:type="paragraph" w:customStyle="1" w:styleId="223">
    <w:name w:val="xl127"/>
    <w:basedOn w:val="1"/>
    <w:uiPriority w:val="0"/>
    <w:pPr>
      <w:widowControl/>
      <w:spacing w:before="100" w:beforeAutospacing="1" w:after="100" w:afterAutospacing="1"/>
      <w:jc w:val="center"/>
      <w:textAlignment w:val="bottom"/>
    </w:pPr>
    <w:rPr>
      <w:rFonts w:ascii="Arial" w:hAnsi="Arial"/>
      <w:kern w:val="0"/>
      <w:sz w:val="18"/>
      <w:szCs w:val="20"/>
    </w:rPr>
  </w:style>
  <w:style w:type="paragraph" w:customStyle="1" w:styleId="224">
    <w:name w:val=" Char"/>
    <w:basedOn w:val="1"/>
    <w:uiPriority w:val="0"/>
    <w:rPr>
      <w:rFonts w:ascii="仿宋_GB2312" w:eastAsia="仿宋_GB2312"/>
      <w:b/>
      <w:sz w:val="32"/>
      <w:szCs w:val="32"/>
    </w:rPr>
  </w:style>
  <w:style w:type="paragraph" w:customStyle="1" w:styleId="225">
    <w:name w:val="xl137"/>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textAlignment w:val="bottom"/>
    </w:pPr>
    <w:rPr>
      <w:rFonts w:ascii="Arial" w:hAnsi="Arial"/>
      <w:kern w:val="0"/>
      <w:sz w:val="20"/>
      <w:szCs w:val="20"/>
    </w:rPr>
  </w:style>
  <w:style w:type="paragraph" w:customStyle="1" w:styleId="226">
    <w:name w:val="xl4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227">
    <w:name w:val="xl7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color w:val="FF0000"/>
      <w:kern w:val="0"/>
      <w:sz w:val="18"/>
      <w:szCs w:val="20"/>
    </w:rPr>
  </w:style>
  <w:style w:type="paragraph" w:customStyle="1" w:styleId="228">
    <w:name w:val="_Style 40"/>
    <w:basedOn w:val="1"/>
    <w:uiPriority w:val="0"/>
    <w:rPr>
      <w:rFonts w:eastAsia="??"/>
      <w:szCs w:val="28"/>
    </w:rPr>
  </w:style>
  <w:style w:type="paragraph" w:customStyle="1" w:styleId="229">
    <w:name w:val="font5"/>
    <w:basedOn w:val="1"/>
    <w:uiPriority w:val="0"/>
    <w:pPr>
      <w:widowControl/>
      <w:spacing w:before="100" w:beforeAutospacing="1" w:after="100" w:afterAutospacing="1"/>
      <w:jc w:val="left"/>
    </w:pPr>
    <w:rPr>
      <w:rFonts w:ascii="宋体" w:hAnsi="宋体"/>
      <w:kern w:val="0"/>
      <w:sz w:val="24"/>
      <w:szCs w:val="20"/>
    </w:rPr>
  </w:style>
  <w:style w:type="paragraph" w:customStyle="1" w:styleId="230">
    <w:name w:val="封面一致性程度标识"/>
    <w:uiPriority w:val="0"/>
    <w:pPr>
      <w:spacing w:before="440" w:line="400" w:lineRule="exact"/>
      <w:jc w:val="center"/>
    </w:pPr>
    <w:rPr>
      <w:rFonts w:ascii="宋体"/>
      <w:sz w:val="28"/>
      <w:lang w:val="en-US" w:eastAsia="zh-CN" w:bidi="ar-SA"/>
    </w:rPr>
  </w:style>
  <w:style w:type="paragraph" w:customStyle="1" w:styleId="231">
    <w:name w:val=" Char1"/>
    <w:basedOn w:val="1"/>
    <w:uiPriority w:val="0"/>
    <w:rPr>
      <w:rFonts w:ascii="仿宋_GB2312" w:eastAsia="仿宋_GB2312"/>
      <w:b/>
      <w:sz w:val="32"/>
      <w:szCs w:val="20"/>
    </w:rPr>
  </w:style>
  <w:style w:type="paragraph" w:customStyle="1" w:styleId="232">
    <w:name w:val="网格型1"/>
    <w:qFormat/>
    <w:uiPriority w:val="0"/>
    <w:rPr>
      <w:rFonts w:ascii="Cambria" w:hAnsi="Cambria" w:eastAsia="Cambria" w:cs="Cambria"/>
      <w:color w:val="000000"/>
      <w:sz w:val="24"/>
      <w:szCs w:val="24"/>
      <w:lang w:val="en-US" w:eastAsia="zh-CN" w:bidi="ar-SA"/>
    </w:rPr>
  </w:style>
  <w:style w:type="paragraph" w:customStyle="1" w:styleId="233">
    <w:name w:val="彩色列表 - 强调文字颜色 11"/>
    <w:basedOn w:val="1"/>
    <w:qFormat/>
    <w:uiPriority w:val="34"/>
    <w:pPr>
      <w:ind w:firstLine="420" w:firstLineChars="200"/>
    </w:pPr>
  </w:style>
  <w:style w:type="paragraph" w:styleId="234">
    <w:name w:val="List Paragraph"/>
    <w:basedOn w:val="1"/>
    <w:qFormat/>
    <w:uiPriority w:val="34"/>
    <w:pPr>
      <w:widowControl/>
      <w:ind w:firstLine="200" w:firstLineChars="200"/>
      <w:jc w:val="left"/>
    </w:pPr>
    <w:rPr>
      <w:rFonts w:ascii="??" w:hAnsi="??" w:eastAsia="??" w:cs="??"/>
      <w:kern w:val="0"/>
      <w:sz w:val="24"/>
    </w:rPr>
  </w:style>
  <w:style w:type="paragraph" w:customStyle="1" w:styleId="235">
    <w:name w:val=" Char2 Char Char"/>
    <w:basedOn w:val="1"/>
    <w:uiPriority w:val="0"/>
    <w:rPr>
      <w:rFonts w:ascii="Tahoma" w:hAnsi="Tahoma"/>
      <w:sz w:val="24"/>
      <w:szCs w:val="20"/>
    </w:rPr>
  </w:style>
  <w:style w:type="paragraph" w:customStyle="1" w:styleId="236">
    <w:name w:val="默认段落字体 Para Char Char Char Char Char Char Char Char Char1 Char Char Char Char"/>
    <w:basedOn w:val="1"/>
    <w:qFormat/>
    <w:uiPriority w:val="0"/>
    <w:rPr>
      <w:rFonts w:ascii="Tahoma" w:hAnsi="Tahoma"/>
      <w:kern w:val="2"/>
      <w:sz w:val="24"/>
    </w:rPr>
  </w:style>
  <w:style w:type="paragraph" w:customStyle="1" w:styleId="237">
    <w:name w:val="Code"/>
    <w:basedOn w:val="1"/>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eastAsia="楷体_GB2312" w:cs="Courier New"/>
      <w:sz w:val="18"/>
    </w:rPr>
  </w:style>
  <w:style w:type="paragraph" w:customStyle="1" w:styleId="238">
    <w:name w:val="xl101"/>
    <w:basedOn w:val="1"/>
    <w:uiPriority w:val="0"/>
    <w:pPr>
      <w:widowControl/>
      <w:spacing w:before="100" w:beforeAutospacing="1" w:after="100" w:afterAutospacing="1"/>
      <w:jc w:val="center"/>
    </w:pPr>
    <w:rPr>
      <w:rFonts w:ascii="Arial" w:hAnsi="Arial"/>
      <w:kern w:val="0"/>
      <w:sz w:val="18"/>
      <w:szCs w:val="20"/>
    </w:rPr>
  </w:style>
  <w:style w:type="paragraph" w:customStyle="1" w:styleId="239">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FF0000"/>
      <w:kern w:val="0"/>
      <w:sz w:val="18"/>
      <w:szCs w:val="20"/>
    </w:rPr>
  </w:style>
  <w:style w:type="paragraph" w:customStyle="1" w:styleId="240">
    <w:name w:val="公文标题 4"/>
    <w:basedOn w:val="241"/>
    <w:next w:val="186"/>
    <w:uiPriority w:val="0"/>
    <w:pPr>
      <w:outlineLvl w:val="9"/>
    </w:pPr>
  </w:style>
  <w:style w:type="paragraph" w:customStyle="1" w:styleId="241">
    <w:name w:val="公文标题 3"/>
    <w:basedOn w:val="242"/>
    <w:next w:val="186"/>
    <w:uiPriority w:val="0"/>
    <w:pPr>
      <w:outlineLvl w:val="2"/>
    </w:pPr>
  </w:style>
  <w:style w:type="paragraph" w:customStyle="1" w:styleId="242">
    <w:name w:val="公文标题 2"/>
    <w:basedOn w:val="243"/>
    <w:next w:val="186"/>
    <w:uiPriority w:val="0"/>
    <w:pPr>
      <w:ind w:firstLine="561"/>
      <w:outlineLvl w:val="1"/>
    </w:pPr>
    <w:rPr>
      <w:sz w:val="28"/>
      <w:lang w:val="en-US"/>
    </w:rPr>
  </w:style>
  <w:style w:type="paragraph" w:customStyle="1" w:styleId="243">
    <w:name w:val="公文标题 1"/>
    <w:basedOn w:val="1"/>
    <w:next w:val="1"/>
    <w:uiPriority w:val="0"/>
    <w:pPr>
      <w:spacing w:line="360" w:lineRule="auto"/>
      <w:outlineLvl w:val="0"/>
    </w:pPr>
    <w:rPr>
      <w:rFonts w:ascii="仿宋_GB2312" w:hAnsi="宋体" w:eastAsia="仿宋_GB2312"/>
      <w:kern w:val="28"/>
      <w:sz w:val="24"/>
      <w:lang w:val="zh-CN"/>
    </w:rPr>
  </w:style>
  <w:style w:type="paragraph" w:customStyle="1" w:styleId="244">
    <w:name w:val="font13"/>
    <w:basedOn w:val="1"/>
    <w:uiPriority w:val="0"/>
    <w:pPr>
      <w:widowControl/>
      <w:spacing w:before="100" w:beforeAutospacing="1" w:after="100" w:afterAutospacing="1"/>
      <w:jc w:val="left"/>
    </w:pPr>
    <w:rPr>
      <w:rFonts w:ascii="Arial" w:hAnsi="Arial"/>
      <w:kern w:val="0"/>
      <w:sz w:val="24"/>
      <w:szCs w:val="20"/>
    </w:rPr>
  </w:style>
  <w:style w:type="paragraph" w:customStyle="1" w:styleId="245">
    <w:name w:val="Char Char2"/>
    <w:basedOn w:val="1"/>
    <w:uiPriority w:val="0"/>
    <w:rPr>
      <w:rFonts w:ascii="Tahoma" w:hAnsi="Tahoma" w:eastAsia="??" w:cs="Tahoma"/>
      <w:sz w:val="24"/>
      <w:szCs w:val="28"/>
    </w:rPr>
  </w:style>
  <w:style w:type="paragraph" w:customStyle="1" w:styleId="246">
    <w:name w:val=" Char Char Char Char Char Char Char Char Char Char Char Char Char Char Char Char Char Char Char Char Char Char Char Char Char"/>
    <w:basedOn w:val="1"/>
    <w:uiPriority w:val="0"/>
    <w:rPr>
      <w:rFonts w:ascii="Tahoma" w:hAnsi="Tahoma"/>
      <w:sz w:val="24"/>
      <w:szCs w:val="20"/>
    </w:rPr>
  </w:style>
  <w:style w:type="paragraph" w:customStyle="1" w:styleId="247">
    <w:name w:val="模板普通正文"/>
    <w:basedOn w:val="2"/>
    <w:uiPriority w:val="0"/>
    <w:pPr>
      <w:spacing w:before="156" w:beforeLines="50" w:after="10" w:line="360" w:lineRule="auto"/>
      <w:ind w:firstLine="490" w:firstLineChars="175"/>
      <w:jc w:val="left"/>
    </w:pPr>
    <w:rPr>
      <w:rFonts w:ascii="Times New Roman" w:hAnsi="Times New Roman" w:eastAsia="楷体_GB2312" w:cs="Times New Roman"/>
      <w:sz w:val="24"/>
      <w:szCs w:val="24"/>
    </w:rPr>
  </w:style>
  <w:style w:type="paragraph" w:customStyle="1" w:styleId="248">
    <w:name w:val="Char1"/>
    <w:basedOn w:val="1"/>
    <w:uiPriority w:val="0"/>
    <w:rPr>
      <w:rFonts w:ascii="??_GB2312" w:hAnsi="??_GB2312" w:eastAsia="??_GB2312" w:cs="宋体"/>
      <w:b/>
      <w:sz w:val="32"/>
      <w:szCs w:val="32"/>
    </w:rPr>
  </w:style>
  <w:style w:type="paragraph" w:customStyle="1" w:styleId="249">
    <w:name w:val="xl124"/>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250">
    <w:name w:val="xl126"/>
    <w:basedOn w:val="1"/>
    <w:uiPriority w:val="0"/>
    <w:pPr>
      <w:widowControl/>
      <w:spacing w:before="100" w:beforeAutospacing="1" w:after="100" w:afterAutospacing="1"/>
      <w:jc w:val="left"/>
      <w:textAlignment w:val="bottom"/>
    </w:pPr>
    <w:rPr>
      <w:rFonts w:ascii="Arial" w:hAnsi="Arial"/>
      <w:kern w:val="0"/>
      <w:sz w:val="18"/>
      <w:szCs w:val="20"/>
    </w:rPr>
  </w:style>
  <w:style w:type="paragraph" w:customStyle="1" w:styleId="251">
    <w:name w:val="常用正文"/>
    <w:uiPriority w:val="0"/>
    <w:pPr>
      <w:widowControl w:val="0"/>
      <w:spacing w:line="360" w:lineRule="auto"/>
      <w:ind w:firstLine="200"/>
      <w:textAlignment w:val="bottom"/>
    </w:pPr>
    <w:rPr>
      <w:rFonts w:ascii="Arial" w:hAnsi="Arial" w:eastAsia="楷体_GB2312"/>
      <w:sz w:val="28"/>
      <w:lang w:val="en-US" w:eastAsia="zh-CN" w:bidi="ar-SA"/>
    </w:rPr>
  </w:style>
  <w:style w:type="paragraph" w:customStyle="1" w:styleId="252">
    <w:name w:val="xl92"/>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kern w:val="0"/>
      <w:sz w:val="24"/>
      <w:szCs w:val="20"/>
    </w:rPr>
  </w:style>
  <w:style w:type="paragraph" w:customStyle="1" w:styleId="253">
    <w:name w:val="xl95"/>
    <w:basedOn w:val="1"/>
    <w:uiPriority w:val="0"/>
    <w:pPr>
      <w:widowControl/>
      <w:pBdr>
        <w:left w:val="single" w:color="auto" w:sz="4" w:space="0"/>
        <w:bottom w:val="single" w:color="auto" w:sz="8"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254">
    <w:name w:val="中文标题 2"/>
    <w:basedOn w:val="2"/>
    <w:next w:val="2"/>
    <w:uiPriority w:val="0"/>
    <w:pPr>
      <w:spacing w:before="100" w:beforeAutospacing="1" w:after="100" w:afterAutospacing="1" w:line="360" w:lineRule="auto"/>
      <w:ind w:firstLine="482"/>
      <w:outlineLvl w:val="1"/>
    </w:pPr>
    <w:rPr>
      <w:rFonts w:ascii="Times New Roman" w:hAnsi="Times New Roman" w:eastAsia="楷体_GB2312" w:cs="Times New Roman"/>
      <w:kern w:val="28"/>
      <w:sz w:val="24"/>
      <w:szCs w:val="24"/>
    </w:rPr>
  </w:style>
  <w:style w:type="paragraph" w:customStyle="1" w:styleId="255">
    <w:name w:val="xl86"/>
    <w:basedOn w:val="1"/>
    <w:uiPriority w:val="0"/>
    <w:pPr>
      <w:widowControl/>
      <w:pBdr>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256">
    <w:name w:val="xl5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kern w:val="0"/>
      <w:sz w:val="18"/>
      <w:szCs w:val="20"/>
    </w:rPr>
  </w:style>
  <w:style w:type="paragraph" w:customStyle="1" w:styleId="257">
    <w:name w:val="xl85"/>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olor w:val="FF0000"/>
      <w:kern w:val="0"/>
      <w:sz w:val="20"/>
      <w:szCs w:val="20"/>
    </w:rPr>
  </w:style>
  <w:style w:type="paragraph" w:customStyle="1" w:styleId="258">
    <w:name w:val="正文1"/>
    <w:basedOn w:val="1"/>
    <w:next w:val="1"/>
    <w:uiPriority w:val="0"/>
    <w:pPr>
      <w:spacing w:before="156" w:line="360" w:lineRule="auto"/>
      <w:ind w:left="426"/>
    </w:pPr>
    <w:rPr>
      <w:sz w:val="24"/>
      <w:szCs w:val="20"/>
    </w:rPr>
  </w:style>
  <w:style w:type="paragraph" w:customStyle="1" w:styleId="259">
    <w:name w:val="Normal_13"/>
    <w:qFormat/>
    <w:uiPriority w:val="0"/>
    <w:pPr>
      <w:spacing w:before="120" w:after="240"/>
      <w:jc w:val="both"/>
    </w:pPr>
    <w:rPr>
      <w:rFonts w:eastAsia="Calibri"/>
      <w:sz w:val="22"/>
      <w:szCs w:val="22"/>
      <w:lang w:val="ru-RU" w:eastAsia="en-US" w:bidi="ar-SA"/>
    </w:rPr>
  </w:style>
  <w:style w:type="paragraph" w:customStyle="1" w:styleId="260">
    <w:name w:val="编号 3"/>
    <w:basedOn w:val="1"/>
    <w:uiPriority w:val="0"/>
    <w:pPr>
      <w:tabs>
        <w:tab w:val="left" w:pos="1155"/>
      </w:tabs>
      <w:spacing w:line="360" w:lineRule="auto"/>
      <w:ind w:left="1155" w:hanging="735"/>
    </w:pPr>
    <w:rPr>
      <w:rFonts w:ascii="宋体" w:hAnsi="宋体" w:eastAsia="楷体_GB2312"/>
      <w:color w:val="000000"/>
      <w:sz w:val="24"/>
      <w:szCs w:val="20"/>
    </w:rPr>
  </w:style>
  <w:style w:type="paragraph" w:customStyle="1" w:styleId="261">
    <w:name w:val="xl9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kern w:val="0"/>
      <w:sz w:val="24"/>
      <w:szCs w:val="20"/>
    </w:rPr>
  </w:style>
  <w:style w:type="paragraph" w:customStyle="1" w:styleId="262">
    <w:name w:val="xl4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20"/>
      <w:szCs w:val="20"/>
    </w:rPr>
  </w:style>
  <w:style w:type="paragraph" w:customStyle="1" w:styleId="263">
    <w:name w:val="xl131"/>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kern w:val="0"/>
      <w:sz w:val="20"/>
      <w:szCs w:val="20"/>
    </w:rPr>
  </w:style>
  <w:style w:type="paragraph" w:customStyle="1" w:styleId="264">
    <w:name w:val="xl65"/>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265">
    <w:name w:val="1册标题1"/>
    <w:basedOn w:val="1"/>
    <w:next w:val="1"/>
    <w:qFormat/>
    <w:uiPriority w:val="0"/>
    <w:pPr>
      <w:spacing w:before="156" w:beforeLines="50" w:after="156" w:afterLines="50" w:line="300" w:lineRule="auto"/>
      <w:jc w:val="center"/>
      <w:outlineLvl w:val="0"/>
    </w:pPr>
    <w:rPr>
      <w:rFonts w:ascii="Arial" w:hAnsi="Arial" w:eastAsia="黑体"/>
      <w:b/>
      <w:bCs/>
      <w:sz w:val="48"/>
      <w:szCs w:val="20"/>
    </w:rPr>
  </w:style>
  <w:style w:type="paragraph" w:customStyle="1" w:styleId="266">
    <w:name w:val="xl120"/>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267">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268">
    <w:name w:val="xl71"/>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宋体" w:hAnsi="宋体"/>
      <w:kern w:val="0"/>
      <w:sz w:val="20"/>
      <w:szCs w:val="20"/>
    </w:rPr>
  </w:style>
  <w:style w:type="paragraph" w:customStyle="1" w:styleId="269">
    <w:name w:val="4"/>
    <w:basedOn w:val="1"/>
    <w:next w:val="48"/>
    <w:uiPriority w:val="0"/>
    <w:pPr>
      <w:spacing w:after="120" w:line="480" w:lineRule="auto"/>
      <w:ind w:left="420" w:leftChars="200"/>
    </w:pPr>
    <w:rPr>
      <w:sz w:val="24"/>
      <w:szCs w:val="20"/>
    </w:rPr>
  </w:style>
  <w:style w:type="paragraph" w:customStyle="1" w:styleId="270">
    <w:name w:val="5 Char"/>
    <w:basedOn w:val="1"/>
    <w:uiPriority w:val="0"/>
    <w:rPr>
      <w:rFonts w:eastAsia="楷体_GB2312"/>
    </w:rPr>
  </w:style>
  <w:style w:type="paragraph" w:customStyle="1" w:styleId="271">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styleId="272">
    <w:name w:val=""/>
    <w:semiHidden/>
    <w:uiPriority w:val="0"/>
    <w:rPr>
      <w:kern w:val="2"/>
      <w:sz w:val="21"/>
      <w:lang w:val="en-US" w:eastAsia="zh-CN" w:bidi="ar-SA"/>
    </w:rPr>
  </w:style>
  <w:style w:type="paragraph" w:customStyle="1" w:styleId="273">
    <w:name w:val="xl67"/>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18"/>
      <w:szCs w:val="20"/>
    </w:rPr>
  </w:style>
  <w:style w:type="paragraph" w:customStyle="1" w:styleId="274">
    <w:name w:val="条1"/>
    <w:basedOn w:val="1"/>
    <w:uiPriority w:val="0"/>
    <w:pPr>
      <w:tabs>
        <w:tab w:val="left" w:pos="900"/>
      </w:tabs>
      <w:spacing w:before="156" w:line="360" w:lineRule="auto"/>
      <w:ind w:left="900" w:hanging="420"/>
    </w:pPr>
    <w:rPr>
      <w:rFonts w:eastAsia="黑体"/>
      <w:sz w:val="24"/>
      <w:szCs w:val="20"/>
    </w:rPr>
  </w:style>
  <w:style w:type="paragraph" w:customStyle="1" w:styleId="275">
    <w:name w:val="样式 正文缩进 + 首行缩进:  2 字符"/>
    <w:basedOn w:val="21"/>
    <w:uiPriority w:val="0"/>
    <w:pPr>
      <w:widowControl w:val="0"/>
      <w:spacing w:line="360" w:lineRule="auto"/>
      <w:ind w:firstLine="200" w:firstLineChars="200"/>
      <w:jc w:val="both"/>
    </w:pPr>
    <w:rPr>
      <w:rFonts w:eastAsia="宋体" w:cs="宋体"/>
      <w:kern w:val="2"/>
      <w:szCs w:val="20"/>
    </w:rPr>
  </w:style>
  <w:style w:type="paragraph" w:customStyle="1" w:styleId="276">
    <w:name w:val=" Char Char12"/>
    <w:basedOn w:val="1"/>
    <w:uiPriority w:val="0"/>
  </w:style>
  <w:style w:type="paragraph" w:customStyle="1" w:styleId="277">
    <w:name w:val="正文文字缩进 3"/>
    <w:basedOn w:val="1"/>
    <w:uiPriority w:val="0"/>
    <w:pPr>
      <w:suppressAutoHyphens/>
      <w:spacing w:line="360" w:lineRule="auto"/>
      <w:ind w:left="481" w:firstLine="480"/>
    </w:pPr>
    <w:rPr>
      <w:rFonts w:eastAsia="楷体_GB2312"/>
      <w:kern w:val="1"/>
      <w:sz w:val="24"/>
      <w:szCs w:val="20"/>
      <w:lang w:eastAsia="ar-SA"/>
    </w:rPr>
  </w:style>
  <w:style w:type="paragraph" w:customStyle="1" w:styleId="278">
    <w:name w:val="xl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0"/>
      <w:szCs w:val="20"/>
    </w:rPr>
  </w:style>
  <w:style w:type="paragraph" w:customStyle="1" w:styleId="279">
    <w:name w:val="样式 样式 样式 我的正文首行缩进 + 首行缩进:  2 字符 + 首行缩进:  2 字符 + 首行缩进:  2 字符"/>
    <w:basedOn w:val="1"/>
    <w:uiPriority w:val="0"/>
    <w:pPr>
      <w:widowControl/>
      <w:tabs>
        <w:tab w:val="left" w:pos="840"/>
      </w:tabs>
      <w:spacing w:after="120" w:line="300" w:lineRule="auto"/>
      <w:ind w:left="840" w:hanging="360"/>
      <w:jc w:val="left"/>
    </w:pPr>
    <w:rPr>
      <w:rFonts w:eastAsia="华文细黑"/>
      <w:kern w:val="0"/>
      <w:sz w:val="24"/>
    </w:rPr>
  </w:style>
  <w:style w:type="paragraph" w:customStyle="1" w:styleId="280">
    <w:name w:val="规范正文"/>
    <w:basedOn w:val="1"/>
    <w:uiPriority w:val="0"/>
    <w:pPr>
      <w:tabs>
        <w:tab w:val="left" w:pos="900"/>
      </w:tabs>
      <w:adjustRightInd w:val="0"/>
      <w:spacing w:before="156" w:beforeLines="50" w:line="360" w:lineRule="auto"/>
      <w:ind w:left="900" w:hanging="420"/>
      <w:textAlignment w:val="baseline"/>
    </w:pPr>
    <w:rPr>
      <w:szCs w:val="20"/>
    </w:rPr>
  </w:style>
  <w:style w:type="paragraph" w:customStyle="1" w:styleId="281">
    <w:name w:val="样式 正文文本缩进 2 + 仿宋_GB2312 黑色 行距: 1.5 倍行距"/>
    <w:basedOn w:val="48"/>
    <w:uiPriority w:val="0"/>
    <w:pPr>
      <w:spacing w:line="360" w:lineRule="auto"/>
      <w:ind w:firstLine="560" w:firstLineChars="200"/>
    </w:pPr>
    <w:rPr>
      <w:rFonts w:ascii="宋体" w:hAnsi="宋体" w:eastAsia="宋体"/>
      <w:color w:val="000000"/>
      <w:sz w:val="24"/>
      <w:szCs w:val="20"/>
    </w:rPr>
  </w:style>
  <w:style w:type="paragraph" w:customStyle="1" w:styleId="282">
    <w:name w:val="正文 居中"/>
    <w:basedOn w:val="1"/>
    <w:uiPriority w:val="0"/>
    <w:pPr>
      <w:spacing w:line="360" w:lineRule="auto"/>
      <w:jc w:val="center"/>
    </w:pPr>
    <w:rPr>
      <w:sz w:val="24"/>
      <w:szCs w:val="20"/>
    </w:rPr>
  </w:style>
  <w:style w:type="paragraph" w:customStyle="1" w:styleId="283">
    <w:name w:val="paragraph1"/>
    <w:basedOn w:val="1"/>
    <w:qFormat/>
    <w:uiPriority w:val="0"/>
    <w:pPr>
      <w:spacing w:beforeLines="20" w:afterLines="30" w:line="360" w:lineRule="auto"/>
      <w:ind w:firstLine="200" w:firstLineChars="200"/>
    </w:pPr>
    <w:rPr>
      <w:sz w:val="24"/>
    </w:rPr>
  </w:style>
  <w:style w:type="paragraph" w:customStyle="1" w:styleId="284">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olor w:val="FF0000"/>
      <w:kern w:val="0"/>
      <w:sz w:val="18"/>
      <w:szCs w:val="20"/>
    </w:rPr>
  </w:style>
  <w:style w:type="paragraph" w:customStyle="1" w:styleId="285">
    <w:name w:val="默认段落字体 Para Char Char Char1 Char"/>
    <w:basedOn w:val="1"/>
    <w:next w:val="1"/>
    <w:uiPriority w:val="0"/>
    <w:pPr>
      <w:spacing w:line="240" w:lineRule="atLeast"/>
      <w:ind w:left="420" w:firstLine="420"/>
      <w:jc w:val="left"/>
    </w:pPr>
    <w:rPr>
      <w:kern w:val="0"/>
      <w:szCs w:val="21"/>
    </w:rPr>
  </w:style>
  <w:style w:type="paragraph" w:customStyle="1" w:styleId="286">
    <w:name w:val="xl10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18"/>
      <w:szCs w:val="20"/>
    </w:rPr>
  </w:style>
  <w:style w:type="paragraph" w:customStyle="1" w:styleId="287">
    <w:name w:val="xl106"/>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Arial" w:hAnsi="Arial"/>
      <w:kern w:val="0"/>
      <w:sz w:val="18"/>
      <w:szCs w:val="20"/>
    </w:rPr>
  </w:style>
  <w:style w:type="paragraph" w:customStyle="1" w:styleId="288">
    <w:name w:val="默认段落字体 Para Char Char Char Char Char Char Char"/>
    <w:basedOn w:val="1"/>
    <w:uiPriority w:val="0"/>
    <w:rPr>
      <w:rFonts w:eastAsia="仿宋_GB2312"/>
      <w:sz w:val="28"/>
      <w:szCs w:val="20"/>
    </w:rPr>
  </w:style>
  <w:style w:type="paragraph" w:customStyle="1" w:styleId="289">
    <w:name w:val="jd-正文1"/>
    <w:basedOn w:val="1"/>
    <w:qFormat/>
    <w:uiPriority w:val="0"/>
    <w:pPr>
      <w:widowControl/>
      <w:adjustRightInd/>
      <w:spacing w:line="360" w:lineRule="auto"/>
      <w:ind w:firstLine="482" w:firstLineChars="200"/>
    </w:pPr>
    <w:rPr>
      <w:rFonts w:ascii="宋体" w:hAnsi="宋体" w:cs="宋体"/>
      <w:sz w:val="24"/>
      <w:szCs w:val="20"/>
    </w:rPr>
  </w:style>
  <w:style w:type="paragraph" w:customStyle="1" w:styleId="290">
    <w:name w:val="xl125"/>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w:hAnsi="Arial"/>
      <w:kern w:val="0"/>
      <w:sz w:val="18"/>
      <w:szCs w:val="20"/>
    </w:rPr>
  </w:style>
  <w:style w:type="paragraph" w:customStyle="1" w:styleId="291">
    <w:name w:val="List Paragraph"/>
    <w:basedOn w:val="1"/>
    <w:uiPriority w:val="0"/>
    <w:pPr>
      <w:ind w:firstLine="420" w:firstLineChars="200"/>
    </w:pPr>
    <w:rPr>
      <w:szCs w:val="20"/>
    </w:rPr>
  </w:style>
  <w:style w:type="paragraph" w:customStyle="1" w:styleId="292">
    <w:name w:val="font11"/>
    <w:basedOn w:val="1"/>
    <w:uiPriority w:val="0"/>
    <w:pPr>
      <w:widowControl/>
      <w:spacing w:before="100" w:beforeAutospacing="1" w:after="100" w:afterAutospacing="1"/>
      <w:jc w:val="left"/>
    </w:pPr>
    <w:rPr>
      <w:rFonts w:ascii="宋体" w:hAnsi="宋体"/>
      <w:color w:val="FF0000"/>
      <w:kern w:val="0"/>
      <w:sz w:val="18"/>
      <w:szCs w:val="20"/>
    </w:rPr>
  </w:style>
  <w:style w:type="paragraph" w:customStyle="1" w:styleId="293">
    <w:name w:val="xl100"/>
    <w:basedOn w:val="1"/>
    <w:uiPriority w:val="0"/>
    <w:pPr>
      <w:widowControl/>
      <w:spacing w:before="100" w:beforeAutospacing="1" w:after="100" w:afterAutospacing="1"/>
      <w:jc w:val="left"/>
    </w:pPr>
    <w:rPr>
      <w:rFonts w:ascii="Arial" w:hAnsi="Arial"/>
      <w:kern w:val="0"/>
      <w:sz w:val="24"/>
      <w:szCs w:val="20"/>
    </w:rPr>
  </w:style>
  <w:style w:type="paragraph" w:customStyle="1" w:styleId="294">
    <w:name w:val="font6"/>
    <w:basedOn w:val="1"/>
    <w:uiPriority w:val="0"/>
    <w:pPr>
      <w:widowControl/>
      <w:spacing w:before="100" w:beforeAutospacing="1" w:after="100" w:afterAutospacing="1"/>
      <w:jc w:val="left"/>
    </w:pPr>
    <w:rPr>
      <w:rFonts w:ascii="宋体" w:hAnsi="宋体"/>
      <w:kern w:val="0"/>
      <w:sz w:val="18"/>
      <w:szCs w:val="20"/>
    </w:rPr>
  </w:style>
  <w:style w:type="paragraph" w:customStyle="1" w:styleId="295">
    <w:name w:val=" Char3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296">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kern w:val="0"/>
      <w:sz w:val="20"/>
      <w:szCs w:val="20"/>
    </w:rPr>
  </w:style>
  <w:style w:type="paragraph" w:customStyle="1" w:styleId="297">
    <w:name w:val="xl89"/>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Arial" w:hAnsi="Arial"/>
      <w:kern w:val="0"/>
      <w:sz w:val="20"/>
      <w:szCs w:val="20"/>
    </w:rPr>
  </w:style>
  <w:style w:type="paragraph" w:customStyle="1" w:styleId="298">
    <w:name w:val="正文内"/>
    <w:basedOn w:val="1"/>
    <w:uiPriority w:val="0"/>
    <w:pPr>
      <w:spacing w:line="400" w:lineRule="exact"/>
      <w:ind w:firstLine="200" w:firstLineChars="200"/>
    </w:pPr>
    <w:rPr>
      <w:rFonts w:ascii="??" w:hAnsi="??" w:eastAsia="??" w:cs="宋体"/>
      <w:szCs w:val="28"/>
    </w:rPr>
  </w:style>
  <w:style w:type="paragraph" w:customStyle="1" w:styleId="299">
    <w:name w:val="xl14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宋体" w:hAnsi="宋体" w:cs="宋体"/>
      <w:kern w:val="0"/>
      <w:sz w:val="20"/>
      <w:szCs w:val="20"/>
    </w:rPr>
  </w:style>
  <w:style w:type="paragraph" w:customStyle="1" w:styleId="300">
    <w:name w:val="标题4"/>
    <w:basedOn w:val="1"/>
    <w:uiPriority w:val="0"/>
    <w:rPr>
      <w:rFonts w:eastAsia="??_GB2312"/>
      <w:sz w:val="32"/>
      <w:szCs w:val="28"/>
    </w:rPr>
  </w:style>
  <w:style w:type="paragraph" w:customStyle="1" w:styleId="301">
    <w:name w:val="正文段"/>
    <w:basedOn w:val="1"/>
    <w:uiPriority w:val="0"/>
    <w:pPr>
      <w:widowControl/>
      <w:snapToGrid w:val="0"/>
      <w:spacing w:afterLines="50"/>
      <w:ind w:firstLine="200" w:firstLineChars="200"/>
    </w:pPr>
    <w:rPr>
      <w:rFonts w:eastAsia="??"/>
      <w:kern w:val="0"/>
      <w:sz w:val="24"/>
      <w:szCs w:val="28"/>
    </w:rPr>
  </w:style>
  <w:style w:type="paragraph" w:customStyle="1" w:styleId="302">
    <w:name w:val="表格标题"/>
    <w:basedOn w:val="303"/>
    <w:uiPriority w:val="0"/>
    <w:pPr>
      <w:jc w:val="center"/>
    </w:pPr>
    <w:rPr>
      <w:b/>
    </w:rPr>
  </w:style>
  <w:style w:type="paragraph" w:customStyle="1" w:styleId="303">
    <w:name w:val="表格正文"/>
    <w:basedOn w:val="1"/>
    <w:uiPriority w:val="0"/>
    <w:pPr>
      <w:spacing w:line="360" w:lineRule="auto"/>
    </w:pPr>
    <w:rPr>
      <w:rFonts w:ascii="宋体" w:hAnsi="宋体" w:eastAsia="楷体_GB2312" w:cs="宋体"/>
      <w:sz w:val="24"/>
      <w:szCs w:val="20"/>
    </w:rPr>
  </w:style>
  <w:style w:type="paragraph" w:customStyle="1" w:styleId="304">
    <w:name w:val="xl49"/>
    <w:basedOn w:val="1"/>
    <w:uiPriority w:val="0"/>
    <w:pPr>
      <w:widowControl/>
      <w:pBdr>
        <w:top w:val="single" w:color="auto" w:sz="8" w:space="0"/>
        <w:left w:val="single" w:color="auto" w:sz="8"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305">
    <w:name w:val="样式 标题 2H2h2Heading 2 HiddenHeading 2 CCBSl2heading 2I22n...1"/>
    <w:basedOn w:val="6"/>
    <w:uiPriority w:val="0"/>
    <w:pPr>
      <w:numPr>
        <w:ilvl w:val="0"/>
        <w:numId w:val="0"/>
      </w:numPr>
      <w:tabs>
        <w:tab w:val="left" w:pos="1560"/>
        <w:tab w:val="clear" w:pos="706"/>
      </w:tabs>
      <w:spacing w:before="260" w:after="260" w:line="416" w:lineRule="auto"/>
      <w:ind w:left="1560" w:hanging="420"/>
    </w:pPr>
    <w:rPr>
      <w:rFonts w:ascii="Times New Roman" w:hAnsi="Times New Roman" w:eastAsia="黑体" w:cs="Times New Roman"/>
      <w:b w:val="0"/>
      <w:sz w:val="24"/>
    </w:rPr>
  </w:style>
  <w:style w:type="paragraph" w:customStyle="1" w:styleId="306">
    <w:name w:val="xl138"/>
    <w:basedOn w:val="1"/>
    <w:uiPriority w:val="0"/>
    <w:pPr>
      <w:widowControl/>
      <w:spacing w:before="100" w:beforeAutospacing="1" w:after="100" w:afterAutospacing="1"/>
      <w:jc w:val="center"/>
      <w:textAlignment w:val="bottom"/>
    </w:pPr>
    <w:rPr>
      <w:rFonts w:ascii="Arial" w:hAnsi="Arial"/>
      <w:kern w:val="0"/>
      <w:sz w:val="18"/>
      <w:szCs w:val="20"/>
    </w:rPr>
  </w:style>
  <w:style w:type="paragraph" w:customStyle="1" w:styleId="307">
    <w:name w:val="Char"/>
    <w:basedOn w:val="1"/>
    <w:uiPriority w:val="0"/>
    <w:rPr>
      <w:rFonts w:eastAsia="??_GB2312"/>
      <w:sz w:val="28"/>
    </w:rPr>
  </w:style>
  <w:style w:type="paragraph" w:customStyle="1" w:styleId="308">
    <w:name w:val="正文 首行缩进:  2 字符 Char Char Char Char"/>
    <w:basedOn w:val="1"/>
    <w:uiPriority w:val="0"/>
    <w:pPr>
      <w:spacing w:line="360" w:lineRule="auto"/>
      <w:ind w:firstLine="480"/>
    </w:pPr>
    <w:rPr>
      <w:rFonts w:eastAsia="楷体_GB2312" w:cs="宋体"/>
      <w:sz w:val="24"/>
    </w:rPr>
  </w:style>
  <w:style w:type="paragraph" w:customStyle="1" w:styleId="309">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310">
    <w:name w:val="xl96"/>
    <w:basedOn w:val="1"/>
    <w:uiPriority w:val="0"/>
    <w:pPr>
      <w:widowControl/>
      <w:pBdr>
        <w:left w:val="single" w:color="auto" w:sz="4" w:space="0"/>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311">
    <w:name w:val="正文 首行缩进:  2 字符 Char Char"/>
    <w:basedOn w:val="1"/>
    <w:uiPriority w:val="0"/>
    <w:pPr>
      <w:spacing w:line="360" w:lineRule="auto"/>
      <w:ind w:firstLine="480"/>
    </w:pPr>
    <w:rPr>
      <w:rFonts w:ascii="楷体_GB2312" w:eastAsia="楷体_GB2312"/>
      <w:bCs/>
      <w:sz w:val="24"/>
    </w:rPr>
  </w:style>
  <w:style w:type="paragraph" w:customStyle="1" w:styleId="312">
    <w:name w:val="Char Char Char Char Char Char Char"/>
    <w:basedOn w:val="1"/>
    <w:semiHidden/>
    <w:uiPriority w:val="0"/>
    <w:pPr>
      <w:spacing w:line="360" w:lineRule="auto"/>
      <w:ind w:firstLine="480" w:firstLineChars="200"/>
    </w:pPr>
    <w:rPr>
      <w:rFonts w:ascii="Tahoma" w:hAnsi="Tahoma" w:cs="宋体"/>
      <w:sz w:val="24"/>
      <w:szCs w:val="20"/>
    </w:rPr>
  </w:style>
  <w:style w:type="paragraph" w:customStyle="1" w:styleId="313">
    <w:name w:val="xl5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314">
    <w:name w:val="xl111"/>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b/>
      <w:color w:val="FF0000"/>
      <w:kern w:val="0"/>
      <w:sz w:val="18"/>
      <w:szCs w:val="20"/>
    </w:rPr>
  </w:style>
  <w:style w:type="paragraph" w:customStyle="1" w:styleId="315">
    <w:name w:val="公文标题"/>
    <w:basedOn w:val="186"/>
    <w:next w:val="186"/>
    <w:uiPriority w:val="0"/>
    <w:pPr>
      <w:spacing w:before="0"/>
      <w:ind w:firstLine="0" w:firstLineChars="0"/>
      <w:jc w:val="center"/>
    </w:pPr>
    <w:rPr>
      <w:rFonts w:ascii="仿宋_GB2312" w:hAnsi="宋体" w:eastAsia="仿宋_GB2312" w:cs="Times New Roman"/>
      <w:b/>
      <w:bCs/>
      <w:kern w:val="28"/>
      <w:sz w:val="44"/>
    </w:rPr>
  </w:style>
  <w:style w:type="paragraph" w:customStyle="1" w:styleId="316">
    <w:name w:val="样式 标题 1H1标书1h1Level 1 Topic Heading1st levelSection Headl..."/>
    <w:basedOn w:val="5"/>
    <w:uiPriority w:val="0"/>
    <w:pPr>
      <w:keepNext w:val="0"/>
      <w:keepLines/>
      <w:widowControl w:val="0"/>
      <w:tabs>
        <w:tab w:val="left" w:pos="432"/>
        <w:tab w:val="left" w:pos="780"/>
      </w:tabs>
      <w:spacing w:before="340" w:beforeLines="50" w:after="330" w:afterLines="50" w:line="578" w:lineRule="auto"/>
      <w:ind w:left="420" w:leftChars="100" w:right="210" w:rightChars="100" w:firstLine="160" w:firstLineChars="50"/>
      <w:jc w:val="both"/>
    </w:pPr>
    <w:rPr>
      <w:rFonts w:ascii="Times New Roman" w:hAnsi="Times New Roman" w:eastAsia="楷体_GB2312"/>
      <w:bCs/>
      <w:kern w:val="44"/>
      <w:szCs w:val="20"/>
    </w:rPr>
  </w:style>
  <w:style w:type="paragraph" w:customStyle="1" w:styleId="317">
    <w:name w:val="Char Char Char"/>
    <w:basedOn w:val="1"/>
    <w:uiPriority w:val="0"/>
    <w:pPr>
      <w:adjustRightInd w:val="0"/>
      <w:spacing w:line="312" w:lineRule="atLeast"/>
      <w:textAlignment w:val="baseline"/>
    </w:pPr>
    <w:rPr>
      <w:rFonts w:ascii="Tahoma" w:hAnsi="Tahoma"/>
      <w:b/>
      <w:kern w:val="0"/>
      <w:sz w:val="28"/>
      <w:szCs w:val="20"/>
    </w:rPr>
  </w:style>
  <w:style w:type="paragraph" w:customStyle="1" w:styleId="318">
    <w:name w:val="xl87"/>
    <w:basedOn w:val="1"/>
    <w:uiPriority w:val="0"/>
    <w:pPr>
      <w:widowControl/>
      <w:spacing w:before="100" w:beforeAutospacing="1" w:after="100" w:afterAutospacing="1"/>
      <w:jc w:val="left"/>
      <w:textAlignment w:val="bottom"/>
    </w:pPr>
    <w:rPr>
      <w:rFonts w:ascii="宋体" w:hAnsi="宋体"/>
      <w:kern w:val="0"/>
      <w:sz w:val="18"/>
      <w:szCs w:val="20"/>
    </w:rPr>
  </w:style>
  <w:style w:type="paragraph" w:customStyle="1" w:styleId="319">
    <w:name w:val="样式4 Char"/>
    <w:basedOn w:val="1"/>
    <w:uiPriority w:val="0"/>
    <w:pPr>
      <w:widowControl/>
      <w:spacing w:line="360" w:lineRule="auto"/>
      <w:ind w:firstLine="480"/>
      <w:jc w:val="left"/>
    </w:pPr>
    <w:rPr>
      <w:rFonts w:eastAsia="楷体_GB2312" w:cs="宋体"/>
      <w:color w:val="000000"/>
      <w:kern w:val="0"/>
      <w:sz w:val="24"/>
    </w:rPr>
  </w:style>
  <w:style w:type="paragraph" w:customStyle="1" w:styleId="320">
    <w:name w:val="xl34"/>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321">
    <w:name w:val="xl11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18"/>
      <w:szCs w:val="20"/>
    </w:rPr>
  </w:style>
  <w:style w:type="paragraph" w:customStyle="1" w:styleId="322">
    <w:name w:val="Char Char1 Char Char Char"/>
    <w:basedOn w:val="1"/>
    <w:uiPriority w:val="0"/>
    <w:rPr>
      <w:rFonts w:ascii="仿宋_GB2312" w:eastAsia="仿宋_GB2312"/>
      <w:b/>
      <w:sz w:val="32"/>
      <w:szCs w:val="20"/>
    </w:rPr>
  </w:style>
  <w:style w:type="paragraph" w:customStyle="1" w:styleId="323">
    <w:name w:val="正文 首行缩进2字符 Char Char"/>
    <w:basedOn w:val="1"/>
    <w:uiPriority w:val="0"/>
    <w:pPr>
      <w:spacing w:line="360" w:lineRule="auto"/>
      <w:ind w:firstLine="200" w:firstLineChars="200"/>
    </w:pPr>
    <w:rPr>
      <w:rFonts w:eastAsia="楷体_GB2312"/>
      <w:sz w:val="24"/>
    </w:rPr>
  </w:style>
  <w:style w:type="paragraph" w:customStyle="1" w:styleId="324">
    <w:name w:val="xl128"/>
    <w:basedOn w:val="1"/>
    <w:uiPriority w:val="0"/>
    <w:pPr>
      <w:widowControl/>
      <w:spacing w:before="100" w:beforeAutospacing="1" w:after="100" w:afterAutospacing="1"/>
      <w:jc w:val="center"/>
    </w:pPr>
    <w:rPr>
      <w:rFonts w:ascii="Arial" w:hAnsi="Arial"/>
      <w:kern w:val="0"/>
      <w:sz w:val="24"/>
      <w:szCs w:val="20"/>
    </w:rPr>
  </w:style>
  <w:style w:type="paragraph" w:customStyle="1" w:styleId="325">
    <w:name w:val="xl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326">
    <w:name w:val="font12"/>
    <w:basedOn w:val="1"/>
    <w:uiPriority w:val="0"/>
    <w:pPr>
      <w:widowControl/>
      <w:spacing w:before="100" w:beforeAutospacing="1" w:after="100" w:afterAutospacing="1"/>
      <w:jc w:val="left"/>
    </w:pPr>
    <w:rPr>
      <w:rFonts w:ascii="Arial" w:hAnsi="Arial"/>
      <w:color w:val="FF0000"/>
      <w:kern w:val="0"/>
      <w:sz w:val="18"/>
      <w:szCs w:val="20"/>
    </w:rPr>
  </w:style>
  <w:style w:type="paragraph" w:customStyle="1" w:styleId="327">
    <w:name w:val="xl4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328">
    <w:name w:val="xl116"/>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color w:val="000000"/>
      <w:kern w:val="0"/>
      <w:sz w:val="18"/>
      <w:szCs w:val="20"/>
    </w:rPr>
  </w:style>
  <w:style w:type="paragraph" w:customStyle="1" w:styleId="329">
    <w:name w:val="[Normal]"/>
    <w:qFormat/>
    <w:uiPriority w:val="0"/>
    <w:rPr>
      <w:rFonts w:ascii="宋体" w:hAnsi="宋体"/>
      <w:sz w:val="24"/>
      <w:szCs w:val="22"/>
      <w:lang w:val="zh-CN" w:eastAsia="zh-CN" w:bidi="ar-SA"/>
    </w:rPr>
  </w:style>
  <w:style w:type="paragraph" w:customStyle="1" w:styleId="330">
    <w:name w:val="Normal_3"/>
    <w:qFormat/>
    <w:uiPriority w:val="0"/>
    <w:pPr>
      <w:spacing w:before="120" w:after="240"/>
      <w:jc w:val="both"/>
    </w:pPr>
    <w:rPr>
      <w:rFonts w:eastAsia="Calibri"/>
      <w:sz w:val="22"/>
      <w:szCs w:val="22"/>
      <w:lang w:val="ru-RU" w:eastAsia="en-US" w:bidi="ar-SA"/>
    </w:rPr>
  </w:style>
  <w:style w:type="paragraph" w:customStyle="1" w:styleId="331">
    <w:name w:val="正文 首行缩进"/>
    <w:basedOn w:val="1"/>
    <w:uiPriority w:val="0"/>
    <w:pPr>
      <w:spacing w:line="360" w:lineRule="auto"/>
      <w:ind w:firstLine="200" w:firstLineChars="200"/>
    </w:pPr>
    <w:rPr>
      <w:rFonts w:eastAsia="楷体_GB2312"/>
      <w:sz w:val="28"/>
      <w:szCs w:val="20"/>
    </w:rPr>
  </w:style>
  <w:style w:type="paragraph" w:customStyle="1" w:styleId="332">
    <w:name w:val=" Char1 Char Char Char"/>
    <w:basedOn w:val="1"/>
    <w:uiPriority w:val="0"/>
    <w:rPr>
      <w:rFonts w:ascii="仿宋_GB2312" w:hAnsi="仿宋_GB2312" w:eastAsia="仿宋_GB2312" w:cs="Lucida Sans"/>
      <w:b/>
      <w:sz w:val="32"/>
      <w:szCs w:val="32"/>
    </w:rPr>
  </w:style>
  <w:style w:type="paragraph" w:customStyle="1" w:styleId="333">
    <w:name w:val="xl1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olor w:val="FF0000"/>
      <w:kern w:val="0"/>
      <w:sz w:val="18"/>
      <w:szCs w:val="20"/>
    </w:rPr>
  </w:style>
  <w:style w:type="paragraph" w:customStyle="1" w:styleId="334">
    <w:name w:val="无间隔1"/>
    <w:qFormat/>
    <w:uiPriority w:val="0"/>
    <w:rPr>
      <w:rFonts w:eastAsia="??" w:cs="宋体"/>
      <w:sz w:val="22"/>
      <w:szCs w:val="22"/>
      <w:lang w:val="en-US" w:eastAsia="en-US" w:bidi="ar-SA"/>
    </w:rPr>
  </w:style>
  <w:style w:type="paragraph" w:customStyle="1" w:styleId="335">
    <w:name w:val="标题 5l"/>
    <w:basedOn w:val="9"/>
    <w:uiPriority w:val="0"/>
    <w:pPr>
      <w:numPr>
        <w:ilvl w:val="0"/>
        <w:numId w:val="0"/>
      </w:numPr>
      <w:tabs>
        <w:tab w:val="left" w:pos="0"/>
      </w:tabs>
      <w:adjustRightInd w:val="0"/>
      <w:spacing w:line="376" w:lineRule="atLeast"/>
      <w:textAlignment w:val="baseline"/>
    </w:pPr>
    <w:rPr>
      <w:rFonts w:eastAsia="楷体_GB2312"/>
      <w:kern w:val="0"/>
    </w:rPr>
  </w:style>
  <w:style w:type="paragraph" w:customStyle="1" w:styleId="336">
    <w:name w:val="默认段落字体 Para Char"/>
    <w:basedOn w:val="1"/>
    <w:uiPriority w:val="0"/>
    <w:rPr>
      <w:rFonts w:ascii="Tahoma" w:hAnsi="Tahoma"/>
      <w:sz w:val="24"/>
      <w:szCs w:val="20"/>
    </w:rPr>
  </w:style>
  <w:style w:type="paragraph" w:customStyle="1" w:styleId="337">
    <w:name w:val="xl1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338">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olor w:val="FF0000"/>
      <w:kern w:val="0"/>
      <w:sz w:val="20"/>
      <w:szCs w:val="20"/>
    </w:rPr>
  </w:style>
  <w:style w:type="paragraph" w:customStyle="1" w:styleId="339">
    <w:name w:val="xl30"/>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340">
    <w:name w:val="xl11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color w:val="FF0000"/>
      <w:kern w:val="0"/>
      <w:sz w:val="18"/>
      <w:szCs w:val="20"/>
    </w:rPr>
  </w:style>
  <w:style w:type="paragraph" w:customStyle="1" w:styleId="341">
    <w:name w:val="_Style 47"/>
    <w:basedOn w:val="1"/>
    <w:uiPriority w:val="0"/>
    <w:rPr>
      <w:rFonts w:ascii="仿宋_GB2312" w:eastAsia="仿宋_GB2312"/>
      <w:b/>
      <w:sz w:val="32"/>
      <w:szCs w:val="32"/>
    </w:rPr>
  </w:style>
  <w:style w:type="paragraph" w:customStyle="1" w:styleId="342">
    <w:name w:val="正文6"/>
    <w:basedOn w:val="1"/>
    <w:uiPriority w:val="0"/>
    <w:pPr>
      <w:numPr>
        <w:ilvl w:val="0"/>
        <w:numId w:val="4"/>
      </w:numPr>
      <w:tabs>
        <w:tab w:val="left" w:pos="900"/>
        <w:tab w:val="clear" w:pos="720"/>
      </w:tabs>
      <w:spacing w:before="156" w:beforeLines="50" w:after="156" w:afterLines="50" w:line="360" w:lineRule="auto"/>
      <w:ind w:left="1290" w:leftChars="500" w:hanging="240" w:hangingChars="100"/>
    </w:pPr>
    <w:rPr>
      <w:rFonts w:ascii="Book Antiqua" w:hAnsi="Book Antiqua" w:eastAsia="楷体_GB2312"/>
      <w:sz w:val="24"/>
      <w:szCs w:val="21"/>
    </w:rPr>
  </w:style>
  <w:style w:type="paragraph" w:customStyle="1" w:styleId="343">
    <w:name w:val="样式 标题 3标题 3 Char第二层条h33Bold Headbh章标题1小标题level_3PIM 3..."/>
    <w:basedOn w:val="7"/>
    <w:uiPriority w:val="0"/>
    <w:pPr>
      <w:widowControl w:val="0"/>
      <w:numPr>
        <w:ilvl w:val="2"/>
        <w:numId w:val="0"/>
      </w:numPr>
      <w:adjustRightInd w:val="0"/>
      <w:snapToGrid w:val="0"/>
      <w:spacing w:before="0" w:after="0"/>
      <w:jc w:val="both"/>
    </w:pPr>
    <w:rPr>
      <w:rFonts w:ascii="黑体" w:hAnsi="宋体" w:eastAsia="黑体"/>
      <w:b w:val="0"/>
      <w:color w:val="000000"/>
      <w:sz w:val="28"/>
      <w:szCs w:val="20"/>
    </w:rPr>
  </w:style>
  <w:style w:type="paragraph" w:customStyle="1" w:styleId="344">
    <w:name w:val="Body Text 2"/>
    <w:basedOn w:val="1"/>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345">
    <w:name w:val="xl38"/>
    <w:basedOn w:val="1"/>
    <w:uiPriority w:val="0"/>
    <w:pPr>
      <w:widowControl/>
      <w:spacing w:before="100" w:beforeAutospacing="1" w:after="100" w:afterAutospacing="1"/>
      <w:jc w:val="center"/>
    </w:pPr>
    <w:rPr>
      <w:rFonts w:ascii="Arial" w:hAnsi="Arial"/>
      <w:kern w:val="0"/>
      <w:sz w:val="20"/>
      <w:szCs w:val="20"/>
    </w:rPr>
  </w:style>
  <w:style w:type="paragraph" w:customStyle="1" w:styleId="346">
    <w:name w:val="pa-69"/>
    <w:basedOn w:val="1"/>
    <w:uiPriority w:val="0"/>
    <w:pPr>
      <w:widowControl/>
      <w:spacing w:line="330" w:lineRule="atLeast"/>
      <w:ind w:firstLine="3840"/>
      <w:jc w:val="left"/>
    </w:pPr>
    <w:rPr>
      <w:rFonts w:ascii="宋体" w:hAnsi="宋体" w:cs="宋体"/>
      <w:kern w:val="0"/>
      <w:sz w:val="24"/>
    </w:rPr>
  </w:style>
  <w:style w:type="paragraph" w:customStyle="1" w:styleId="347">
    <w:name w:val=" Char Char1 Char"/>
    <w:basedOn w:val="1"/>
    <w:uiPriority w:val="0"/>
    <w:rPr>
      <w:rFonts w:ascii="仿宋_GB2312" w:eastAsia="仿宋_GB2312"/>
      <w:b/>
      <w:sz w:val="32"/>
      <w:szCs w:val="32"/>
    </w:rPr>
  </w:style>
  <w:style w:type="paragraph" w:customStyle="1" w:styleId="348">
    <w:name w:val="段 1"/>
    <w:basedOn w:val="1"/>
    <w:uiPriority w:val="0"/>
    <w:pPr>
      <w:spacing w:line="360" w:lineRule="auto"/>
    </w:pPr>
    <w:rPr>
      <w:rFonts w:eastAsia="楷体_GB2312"/>
      <w:b/>
      <w:bCs/>
      <w:sz w:val="24"/>
    </w:rPr>
  </w:style>
  <w:style w:type="paragraph" w:customStyle="1" w:styleId="349">
    <w:name w:val="标准小三"/>
    <w:basedOn w:val="1"/>
    <w:uiPriority w:val="0"/>
    <w:pPr>
      <w:widowControl/>
      <w:numPr>
        <w:ilvl w:val="0"/>
        <w:numId w:val="5"/>
      </w:numPr>
      <w:tabs>
        <w:tab w:val="clear" w:pos="700"/>
      </w:tabs>
      <w:spacing w:line="700" w:lineRule="exact"/>
      <w:ind w:left="0" w:firstLine="200" w:firstLineChars="200"/>
      <w:jc w:val="left"/>
    </w:pPr>
    <w:rPr>
      <w:rFonts w:ascii="宋体" w:hAnsi="Arial" w:eastAsia="仿宋_GB2312" w:cs="宋体"/>
      <w:snapToGrid w:val="0"/>
      <w:kern w:val="0"/>
      <w:sz w:val="30"/>
      <w:szCs w:val="32"/>
    </w:rPr>
  </w:style>
  <w:style w:type="paragraph" w:customStyle="1" w:styleId="350">
    <w:name w:val="中文标题 1"/>
    <w:basedOn w:val="2"/>
    <w:next w:val="2"/>
    <w:uiPriority w:val="0"/>
    <w:pPr>
      <w:keepNext/>
      <w:spacing w:before="156" w:beforeLines="50" w:after="100" w:afterAutospacing="1" w:line="360" w:lineRule="auto"/>
      <w:ind w:firstLine="482"/>
      <w:outlineLvl w:val="0"/>
    </w:pPr>
    <w:rPr>
      <w:rFonts w:ascii="Times New Roman" w:hAnsi="Times New Roman" w:eastAsia="楷体_GB2312" w:cs="Times New Roman"/>
      <w:kern w:val="28"/>
      <w:sz w:val="24"/>
      <w:szCs w:val="24"/>
    </w:rPr>
  </w:style>
  <w:style w:type="paragraph" w:customStyle="1" w:styleId="351">
    <w:name w:val="段"/>
    <w:uiPriority w:val="0"/>
    <w:pPr>
      <w:autoSpaceDE w:val="0"/>
      <w:autoSpaceDN w:val="0"/>
      <w:ind w:firstLine="200" w:firstLineChars="200"/>
      <w:jc w:val="both"/>
    </w:pPr>
    <w:rPr>
      <w:rFonts w:ascii="宋体"/>
      <w:sz w:val="21"/>
      <w:lang w:val="en-US" w:eastAsia="zh-CN" w:bidi="ar-SA"/>
    </w:rPr>
  </w:style>
  <w:style w:type="paragraph" w:customStyle="1" w:styleId="352">
    <w:name w:val="xl13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18"/>
      <w:szCs w:val="20"/>
    </w:rPr>
  </w:style>
  <w:style w:type="paragraph" w:customStyle="1" w:styleId="353">
    <w:name w:val="中文标题 4"/>
    <w:basedOn w:val="2"/>
    <w:uiPriority w:val="0"/>
    <w:pPr>
      <w:spacing w:before="100" w:beforeAutospacing="1" w:after="100" w:afterAutospacing="1" w:line="360" w:lineRule="auto"/>
      <w:ind w:firstLine="482"/>
    </w:pPr>
    <w:rPr>
      <w:rFonts w:ascii="Times New Roman" w:hAnsi="Times New Roman" w:eastAsia="楷体_GB2312" w:cs="Times New Roman"/>
      <w:kern w:val="28"/>
      <w:sz w:val="24"/>
      <w:szCs w:val="24"/>
    </w:rPr>
  </w:style>
  <w:style w:type="paragraph" w:customStyle="1" w:styleId="354">
    <w:name w:val="样式 正文缩进正文（首行缩进两字）表正文正文非缩进特点段1段1 Charno-step正文双线四号首行缩进..."/>
    <w:basedOn w:val="21"/>
    <w:uiPriority w:val="0"/>
    <w:pPr>
      <w:widowControl w:val="0"/>
      <w:adjustRightInd w:val="0"/>
      <w:snapToGrid w:val="0"/>
      <w:spacing w:line="360" w:lineRule="auto"/>
      <w:ind w:firstLine="560" w:firstLineChars="200"/>
      <w:jc w:val="both"/>
    </w:pPr>
    <w:rPr>
      <w:rFonts w:ascii="仿宋_GB2312" w:eastAsia="仿宋_GB2312" w:cs="Century"/>
      <w:color w:val="000000"/>
      <w:kern w:val="2"/>
      <w:sz w:val="28"/>
      <w:szCs w:val="20"/>
    </w:rPr>
  </w:style>
  <w:style w:type="paragraph" w:customStyle="1" w:styleId="355">
    <w:name w:val="xl77"/>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356">
    <w:name w:val="首行缩进正文"/>
    <w:basedOn w:val="1"/>
    <w:uiPriority w:val="0"/>
    <w:pPr>
      <w:spacing w:line="360" w:lineRule="auto"/>
      <w:ind w:firstLine="480"/>
    </w:pPr>
    <w:rPr>
      <w:rFonts w:eastAsia="楷体_GB2312"/>
      <w:sz w:val="24"/>
      <w:szCs w:val="20"/>
    </w:rPr>
  </w:style>
  <w:style w:type="paragraph" w:customStyle="1" w:styleId="357">
    <w:name w:val="符号 2"/>
    <w:basedOn w:val="358"/>
    <w:uiPriority w:val="0"/>
    <w:pPr>
      <w:tabs>
        <w:tab w:val="left" w:pos="1320"/>
      </w:tabs>
      <w:ind w:left="1320"/>
    </w:pPr>
  </w:style>
  <w:style w:type="paragraph" w:customStyle="1" w:styleId="358">
    <w:name w:val="符号 1"/>
    <w:basedOn w:val="2"/>
    <w:uiPriority w:val="0"/>
    <w:pPr>
      <w:tabs>
        <w:tab w:val="left" w:pos="900"/>
      </w:tabs>
      <w:spacing w:line="360" w:lineRule="auto"/>
      <w:ind w:left="900" w:hanging="420"/>
    </w:pPr>
    <w:rPr>
      <w:rFonts w:ascii="Times New Roman" w:hAnsi="Times New Roman" w:eastAsia="楷体_GB2312" w:cs="Times New Roman"/>
      <w:kern w:val="28"/>
      <w:sz w:val="24"/>
      <w:szCs w:val="24"/>
    </w:rPr>
  </w:style>
  <w:style w:type="paragraph" w:customStyle="1" w:styleId="359">
    <w:name w:val="xl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kern w:val="0"/>
      <w:sz w:val="20"/>
      <w:szCs w:val="20"/>
    </w:rPr>
  </w:style>
  <w:style w:type="paragraph" w:customStyle="1" w:styleId="360">
    <w:name w:val="正文 2"/>
    <w:qFormat/>
    <w:uiPriority w:val="0"/>
    <w:pPr>
      <w:pBdr>
        <w:top w:val="none" w:color="FFFFFF" w:sz="0" w:space="31"/>
        <w:left w:val="none" w:color="FFFFFF" w:sz="0" w:space="31"/>
        <w:bottom w:val="none" w:color="FFFFFF" w:sz="0" w:space="31"/>
        <w:right w:val="none" w:color="FFFFFF" w:sz="0" w:space="31"/>
      </w:pBdr>
      <w:spacing w:after="80" w:line="288" w:lineRule="auto"/>
    </w:pPr>
    <w:rPr>
      <w:rFonts w:ascii="Baskerville" w:hAnsi="Arial Unicode MS" w:eastAsia="Times New Roman" w:cs="Arial Unicode MS"/>
      <w:color w:val="434343"/>
      <w:sz w:val="24"/>
      <w:szCs w:val="24"/>
      <w:lang w:val="en-US" w:eastAsia="zh-CN" w:bidi="ar-SA"/>
    </w:rPr>
  </w:style>
  <w:style w:type="paragraph" w:customStyle="1" w:styleId="361">
    <w:name w:val="xl75"/>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362">
    <w:name w:val="二级条标题"/>
    <w:basedOn w:val="1"/>
    <w:next w:val="351"/>
    <w:uiPriority w:val="0"/>
    <w:pPr>
      <w:widowControl/>
      <w:jc w:val="left"/>
      <w:outlineLvl w:val="3"/>
    </w:pPr>
    <w:rPr>
      <w:rFonts w:ascii="黑体" w:eastAsia="黑体"/>
      <w:kern w:val="0"/>
      <w:sz w:val="24"/>
      <w:szCs w:val="20"/>
    </w:rPr>
  </w:style>
  <w:style w:type="paragraph" w:styleId="363">
    <w:name w:val=""/>
    <w:basedOn w:val="1"/>
    <w:next w:val="1"/>
    <w:uiPriority w:val="0"/>
    <w:pPr>
      <w:pBdr>
        <w:top w:val="single" w:color="auto" w:sz="6" w:space="1"/>
      </w:pBdr>
      <w:jc w:val="center"/>
    </w:pPr>
    <w:rPr>
      <w:rFonts w:ascii="Arial" w:eastAsia="宋体"/>
      <w:vanish/>
      <w:sz w:val="16"/>
    </w:rPr>
  </w:style>
  <w:style w:type="paragraph" w:customStyle="1" w:styleId="364">
    <w:name w:val="Test2"/>
    <w:basedOn w:val="6"/>
    <w:uiPriority w:val="0"/>
    <w:pPr>
      <w:widowControl/>
      <w:numPr>
        <w:ilvl w:val="0"/>
        <w:numId w:val="0"/>
      </w:numPr>
      <w:tabs>
        <w:tab w:val="left" w:pos="1110"/>
        <w:tab w:val="clear" w:pos="706"/>
      </w:tabs>
      <w:adjustRightInd w:val="0"/>
      <w:snapToGrid w:val="0"/>
      <w:spacing w:before="360" w:after="360" w:line="240" w:lineRule="atLeast"/>
      <w:jc w:val="left"/>
    </w:pPr>
    <w:rPr>
      <w:rFonts w:ascii="宋体" w:eastAsia="宋体" w:cs="Times New Roman"/>
      <w:bCs w:val="0"/>
      <w:snapToGrid w:val="0"/>
      <w:kern w:val="0"/>
      <w:sz w:val="28"/>
      <w:szCs w:val="20"/>
    </w:rPr>
  </w:style>
  <w:style w:type="paragraph" w:customStyle="1" w:styleId="365">
    <w:name w:val="xl76"/>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b/>
      <w:kern w:val="0"/>
      <w:sz w:val="20"/>
      <w:szCs w:val="20"/>
    </w:rPr>
  </w:style>
  <w:style w:type="paragraph" w:customStyle="1" w:styleId="366">
    <w:name w:val="内文正文"/>
    <w:uiPriority w:val="0"/>
    <w:pPr>
      <w:autoSpaceDE w:val="0"/>
      <w:autoSpaceDN w:val="0"/>
      <w:spacing w:line="400" w:lineRule="exact"/>
      <w:ind w:firstLine="200" w:firstLineChars="200"/>
      <w:jc w:val="both"/>
      <w:textAlignment w:val="bottom"/>
    </w:pPr>
    <w:rPr>
      <w:rFonts w:ascii="??" w:hAnsi="??" w:eastAsia="??" w:cs="宋体"/>
      <w:sz w:val="21"/>
      <w:szCs w:val="28"/>
      <w:lang w:val="en-US" w:eastAsia="zh-CN" w:bidi="ar-SA"/>
    </w:rPr>
  </w:style>
  <w:style w:type="paragraph" w:customStyle="1" w:styleId="367">
    <w:name w:val="xl1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368">
    <w:name w:val="xl7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kern w:val="0"/>
      <w:sz w:val="20"/>
      <w:szCs w:val="20"/>
    </w:rPr>
  </w:style>
  <w:style w:type="paragraph" w:customStyle="1" w:styleId="369">
    <w:name w:val="xl7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pPr>
    <w:rPr>
      <w:rFonts w:ascii="Arial" w:hAnsi="Arial"/>
      <w:color w:val="FF0000"/>
      <w:kern w:val="0"/>
      <w:sz w:val="18"/>
      <w:szCs w:val="20"/>
    </w:rPr>
  </w:style>
  <w:style w:type="paragraph" w:customStyle="1" w:styleId="370">
    <w:name w:val="xl42"/>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kern w:val="0"/>
      <w:sz w:val="18"/>
      <w:szCs w:val="20"/>
    </w:rPr>
  </w:style>
  <w:style w:type="paragraph" w:customStyle="1" w:styleId="371">
    <w:name w:val="符号》"/>
    <w:basedOn w:val="1"/>
    <w:uiPriority w:val="0"/>
    <w:pPr>
      <w:widowControl/>
      <w:numPr>
        <w:ilvl w:val="0"/>
        <w:numId w:val="6"/>
      </w:numPr>
      <w:spacing w:line="360" w:lineRule="auto"/>
      <w:jc w:val="left"/>
    </w:pPr>
    <w:rPr>
      <w:rFonts w:ascii="宋体" w:hAnsi="宋体" w:eastAsia="楷体_GB2312" w:cs="宋体"/>
      <w:kern w:val="0"/>
      <w:sz w:val="24"/>
    </w:rPr>
  </w:style>
  <w:style w:type="paragraph" w:customStyle="1" w:styleId="372">
    <w:name w:val="xl50"/>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b/>
      <w:color w:val="FF0000"/>
      <w:kern w:val="0"/>
      <w:sz w:val="18"/>
      <w:szCs w:val="20"/>
    </w:rPr>
  </w:style>
  <w:style w:type="paragraph" w:customStyle="1" w:styleId="373">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374">
    <w:name w:val="p1"/>
    <w:uiPriority w:val="0"/>
    <w:pPr>
      <w:spacing w:line="320" w:lineRule="atLeast"/>
    </w:pPr>
    <w:rPr>
      <w:rFonts w:ascii="Helvetica Neue" w:hAnsi="Helvetica Neue" w:eastAsia="Helvetica Neue"/>
      <w:color w:val="000000"/>
      <w:sz w:val="22"/>
      <w:szCs w:val="22"/>
      <w:lang w:val="en-US" w:eastAsia="zh-CN" w:bidi="ar-SA"/>
    </w:rPr>
  </w:style>
  <w:style w:type="paragraph" w:customStyle="1" w:styleId="375">
    <w:name w:val="标题1"/>
    <w:basedOn w:val="1"/>
    <w:uiPriority w:val="0"/>
    <w:pPr>
      <w:widowControl/>
      <w:tabs>
        <w:tab w:val="left" w:pos="450"/>
      </w:tabs>
      <w:autoSpaceDE w:val="0"/>
      <w:autoSpaceDN w:val="0"/>
      <w:adjustRightInd w:val="0"/>
      <w:spacing w:before="240" w:after="240"/>
      <w:jc w:val="left"/>
      <w:textAlignment w:val="center"/>
    </w:pPr>
    <w:rPr>
      <w:rFonts w:ascii="宋体" w:eastAsia="楷体_GB2312"/>
      <w:b/>
      <w:kern w:val="0"/>
      <w:sz w:val="32"/>
      <w:szCs w:val="20"/>
    </w:rPr>
  </w:style>
  <w:style w:type="paragraph" w:customStyle="1" w:styleId="376">
    <w:name w:val=" Char Char Char Char Char Char Char Char"/>
    <w:basedOn w:val="1"/>
    <w:uiPriority w:val="0"/>
    <w:pPr>
      <w:tabs>
        <w:tab w:val="left" w:pos="360"/>
      </w:tabs>
    </w:pPr>
    <w:rPr>
      <w:sz w:val="24"/>
      <w:szCs w:val="20"/>
    </w:rPr>
  </w:style>
  <w:style w:type="paragraph" w:customStyle="1" w:styleId="377">
    <w:name w:val="正文规范1"/>
    <w:basedOn w:val="1"/>
    <w:uiPriority w:val="0"/>
    <w:pPr>
      <w:spacing w:line="360" w:lineRule="auto"/>
      <w:ind w:firstLine="480" w:firstLineChars="200"/>
    </w:pPr>
    <w:rPr>
      <w:sz w:val="24"/>
    </w:rPr>
  </w:style>
  <w:style w:type="paragraph" w:customStyle="1" w:styleId="378">
    <w:name w:val="xl62"/>
    <w:basedOn w:val="1"/>
    <w:uiPriority w:val="0"/>
    <w:pPr>
      <w:widowControl/>
      <w:pBdr>
        <w:top w:val="single" w:color="auto" w:sz="8" w:space="0"/>
        <w:left w:val="single" w:color="auto" w:sz="4" w:space="0"/>
        <w:bottom w:val="single" w:color="auto" w:sz="4" w:space="0"/>
        <w:right w:val="single" w:color="auto" w:sz="8"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379">
    <w:name w:val="xl132"/>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w:hAnsi="Arial"/>
      <w:kern w:val="0"/>
      <w:sz w:val="20"/>
      <w:szCs w:val="20"/>
    </w:rPr>
  </w:style>
  <w:style w:type="paragraph" w:customStyle="1" w:styleId="380">
    <w:name w:val="xl32"/>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381">
    <w:name w:val="xl145"/>
    <w:basedOn w:val="1"/>
    <w:uiPriority w:val="0"/>
    <w:pPr>
      <w:widowControl/>
      <w:spacing w:before="100" w:beforeAutospacing="1" w:after="100" w:afterAutospacing="1"/>
      <w:jc w:val="left"/>
    </w:pPr>
    <w:rPr>
      <w:rFonts w:ascii="宋体" w:hAnsi="宋体" w:cs="宋体"/>
      <w:kern w:val="0"/>
      <w:sz w:val="24"/>
    </w:rPr>
  </w:style>
  <w:style w:type="paragraph" w:customStyle="1" w:styleId="382">
    <w:name w:val="正文 首行缩进2字符"/>
    <w:basedOn w:val="1"/>
    <w:uiPriority w:val="0"/>
    <w:pPr>
      <w:spacing w:line="360" w:lineRule="auto"/>
      <w:ind w:firstLine="200" w:firstLineChars="200"/>
    </w:pPr>
    <w:rPr>
      <w:rFonts w:eastAsia="楷体_GB2312"/>
      <w:sz w:val="24"/>
      <w:szCs w:val="20"/>
    </w:rPr>
  </w:style>
  <w:style w:type="paragraph" w:customStyle="1" w:styleId="383">
    <w:name w:val=" Char Char Char Char Char Char Char"/>
    <w:basedOn w:val="1"/>
    <w:uiPriority w:val="0"/>
    <w:rPr>
      <w:rFonts w:ascii="仿宋_GB2312" w:eastAsia="仿宋_GB2312"/>
      <w:b/>
      <w:sz w:val="32"/>
      <w:szCs w:val="20"/>
    </w:rPr>
  </w:style>
  <w:style w:type="paragraph" w:customStyle="1" w:styleId="384">
    <w:name w:val=" Char Char2"/>
    <w:basedOn w:val="1"/>
    <w:uiPriority w:val="0"/>
    <w:rPr>
      <w:rFonts w:ascii="仿宋_GB2312" w:eastAsia="仿宋_GB2312"/>
      <w:b/>
      <w:sz w:val="32"/>
      <w:szCs w:val="32"/>
    </w:rPr>
  </w:style>
  <w:style w:type="paragraph" w:customStyle="1" w:styleId="385">
    <w:name w:val=" Char2"/>
    <w:basedOn w:val="1"/>
    <w:uiPriority w:val="0"/>
    <w:rPr>
      <w:rFonts w:ascii="仿宋_GB2312" w:hAnsi="仿宋_GB2312" w:eastAsia="仿宋_GB2312" w:cs="Lucida Sans"/>
      <w:b/>
      <w:sz w:val="32"/>
      <w:szCs w:val="32"/>
    </w:rPr>
  </w:style>
  <w:style w:type="paragraph" w:customStyle="1" w:styleId="386">
    <w:name w:val=" Char Char1 Char Char Char"/>
    <w:basedOn w:val="1"/>
    <w:uiPriority w:val="0"/>
    <w:rPr>
      <w:rFonts w:ascii="仿宋_GB2312" w:eastAsia="仿宋_GB2312"/>
      <w:b/>
      <w:sz w:val="32"/>
      <w:szCs w:val="20"/>
    </w:rPr>
  </w:style>
  <w:style w:type="paragraph" w:customStyle="1" w:styleId="387">
    <w:name w:val="xl54"/>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宋体" w:hAnsi="宋体"/>
      <w:kern w:val="0"/>
      <w:sz w:val="24"/>
      <w:szCs w:val="20"/>
    </w:rPr>
  </w:style>
  <w:style w:type="paragraph" w:customStyle="1" w:styleId="388">
    <w:name w:val="样式4"/>
    <w:basedOn w:val="1"/>
    <w:uiPriority w:val="0"/>
    <w:pPr>
      <w:widowControl/>
      <w:spacing w:line="360" w:lineRule="auto"/>
      <w:ind w:firstLine="480"/>
      <w:jc w:val="left"/>
    </w:pPr>
    <w:rPr>
      <w:rFonts w:eastAsia="楷体_GB2312" w:cs="宋体"/>
      <w:color w:val="000000"/>
      <w:sz w:val="24"/>
    </w:rPr>
  </w:style>
  <w:style w:type="paragraph" w:customStyle="1" w:styleId="389">
    <w:name w:val="xl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390">
    <w:name w:val=" Char Char Char"/>
    <w:basedOn w:val="1"/>
    <w:uiPriority w:val="0"/>
    <w:rPr>
      <w:rFonts w:ascii="Tahoma" w:hAnsi="Tahoma"/>
      <w:sz w:val="24"/>
      <w:szCs w:val="20"/>
    </w:rPr>
  </w:style>
  <w:style w:type="paragraph" w:customStyle="1" w:styleId="391">
    <w:name w:val="样式 正文文本缩进 + 仿宋_GB2312 四号"/>
    <w:basedOn w:val="1"/>
    <w:next w:val="10"/>
    <w:uiPriority w:val="0"/>
    <w:pPr>
      <w:widowControl/>
      <w:spacing w:line="360" w:lineRule="auto"/>
      <w:jc w:val="left"/>
    </w:pPr>
    <w:rPr>
      <w:rFonts w:ascii="宋体" w:hAnsi="宋体" w:cs="宋体"/>
      <w:b/>
      <w:snapToGrid w:val="0"/>
      <w:kern w:val="0"/>
      <w:sz w:val="28"/>
      <w:szCs w:val="28"/>
    </w:rPr>
  </w:style>
  <w:style w:type="paragraph" w:customStyle="1" w:styleId="392">
    <w:name w:val="xl98"/>
    <w:basedOn w:val="1"/>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Autospacing="1" w:after="100" w:afterAutospacing="1"/>
      <w:jc w:val="center"/>
      <w:textAlignment w:val="bottom"/>
    </w:pPr>
    <w:rPr>
      <w:rFonts w:ascii="宋体" w:hAnsi="宋体"/>
      <w:kern w:val="0"/>
      <w:sz w:val="20"/>
      <w:szCs w:val="20"/>
    </w:rPr>
  </w:style>
  <w:style w:type="paragraph" w:customStyle="1" w:styleId="393">
    <w:name w:val="Char Char1 Char"/>
    <w:basedOn w:val="1"/>
    <w:uiPriority w:val="0"/>
    <w:pPr>
      <w:widowControl/>
      <w:snapToGrid w:val="0"/>
      <w:spacing w:before="120" w:after="160" w:line="360" w:lineRule="auto"/>
      <w:ind w:right="-360"/>
      <w:jc w:val="left"/>
    </w:pPr>
    <w:rPr>
      <w:rFonts w:ascii="Arial" w:hAnsi="Arial"/>
      <w:kern w:val="0"/>
      <w:sz w:val="24"/>
      <w:lang w:eastAsia="en-US"/>
    </w:rPr>
  </w:style>
  <w:style w:type="paragraph" w:customStyle="1" w:styleId="394">
    <w:name w:val="标题 ４"/>
    <w:basedOn w:val="7"/>
    <w:uiPriority w:val="0"/>
    <w:pPr>
      <w:widowControl w:val="0"/>
      <w:numPr>
        <w:ilvl w:val="2"/>
        <w:numId w:val="0"/>
      </w:numPr>
      <w:tabs>
        <w:tab w:val="left" w:pos="993"/>
        <w:tab w:val="left" w:pos="1980"/>
        <w:tab w:val="clear" w:pos="720"/>
      </w:tabs>
      <w:spacing w:before="260" w:after="260" w:line="416" w:lineRule="auto"/>
      <w:ind w:left="1980" w:hanging="420"/>
      <w:jc w:val="both"/>
    </w:pPr>
    <w:rPr>
      <w:rFonts w:eastAsia="宋体"/>
      <w:bCs/>
      <w:kern w:val="2"/>
      <w:szCs w:val="32"/>
    </w:rPr>
  </w:style>
  <w:style w:type="paragraph" w:customStyle="1" w:styleId="395">
    <w:name w:val="xl4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kern w:val="0"/>
      <w:sz w:val="18"/>
      <w:szCs w:val="20"/>
    </w:rPr>
  </w:style>
  <w:style w:type="paragraph" w:customStyle="1" w:styleId="396">
    <w:name w:val="2"/>
    <w:basedOn w:val="1"/>
    <w:uiPriority w:val="0"/>
    <w:rPr>
      <w:rFonts w:ascii="Tahoma" w:hAnsi="Tahoma" w:eastAsia="??" w:cs="Tahoma"/>
      <w:sz w:val="24"/>
      <w:szCs w:val="28"/>
    </w:rPr>
  </w:style>
  <w:style w:type="paragraph" w:customStyle="1" w:styleId="397">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398">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olor w:val="FF0000"/>
      <w:kern w:val="0"/>
      <w:sz w:val="18"/>
      <w:szCs w:val="20"/>
    </w:rPr>
  </w:style>
  <w:style w:type="paragraph" w:customStyle="1" w:styleId="399">
    <w:name w:val="Char Char Char1 Char Char Char1 Char"/>
    <w:basedOn w:val="1"/>
    <w:uiPriority w:val="0"/>
    <w:pPr>
      <w:tabs>
        <w:tab w:val="left" w:pos="360"/>
      </w:tabs>
    </w:pPr>
    <w:rPr>
      <w:sz w:val="24"/>
    </w:rPr>
  </w:style>
  <w:style w:type="paragraph" w:customStyle="1" w:styleId="400">
    <w:name w:val="普通段落"/>
    <w:basedOn w:val="1"/>
    <w:uiPriority w:val="0"/>
    <w:pPr>
      <w:adjustRightInd w:val="0"/>
      <w:snapToGrid w:val="0"/>
      <w:spacing w:line="360" w:lineRule="auto"/>
      <w:ind w:firstLine="480" w:firstLineChars="200"/>
    </w:pPr>
    <w:rPr>
      <w:sz w:val="24"/>
      <w:szCs w:val="20"/>
    </w:rPr>
  </w:style>
  <w:style w:type="paragraph" w:styleId="401">
    <w:name w:val=""/>
    <w:basedOn w:val="1"/>
    <w:next w:val="1"/>
    <w:uiPriority w:val="0"/>
    <w:pPr>
      <w:pBdr>
        <w:bottom w:val="single" w:color="auto" w:sz="6" w:space="1"/>
      </w:pBdr>
      <w:jc w:val="center"/>
    </w:pPr>
    <w:rPr>
      <w:rFonts w:ascii="Arial" w:eastAsia="宋体"/>
      <w:vanish/>
      <w:sz w:val="16"/>
    </w:rPr>
  </w:style>
  <w:style w:type="paragraph" w:customStyle="1" w:styleId="402">
    <w:name w:val="样式 首行缩进:  2 字符"/>
    <w:basedOn w:val="1"/>
    <w:uiPriority w:val="0"/>
    <w:pPr>
      <w:snapToGrid w:val="0"/>
      <w:spacing w:line="360" w:lineRule="auto"/>
    </w:pPr>
    <w:rPr>
      <w:rFonts w:ascii="仿宋_GB2312" w:hAnsi="宋体" w:eastAsia="仿宋_GB2312"/>
      <w:color w:val="000000"/>
      <w:kern w:val="0"/>
      <w:sz w:val="28"/>
      <w:szCs w:val="20"/>
    </w:rPr>
  </w:style>
  <w:style w:type="paragraph" w:customStyle="1" w:styleId="403">
    <w:name w:val="Normal_20"/>
    <w:qFormat/>
    <w:uiPriority w:val="0"/>
    <w:pPr>
      <w:spacing w:before="120" w:after="240"/>
      <w:jc w:val="both"/>
    </w:pPr>
    <w:rPr>
      <w:rFonts w:eastAsia="Calibri"/>
      <w:sz w:val="22"/>
      <w:szCs w:val="22"/>
      <w:lang w:val="ru-RU" w:eastAsia="en-US" w:bidi="ar-SA"/>
    </w:rPr>
  </w:style>
  <w:style w:type="paragraph" w:customStyle="1" w:styleId="404">
    <w:name w:val="xl69"/>
    <w:basedOn w:val="1"/>
    <w:uiPriority w:val="0"/>
    <w:pPr>
      <w:widowControl/>
      <w:pBdr>
        <w:left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405">
    <w:name w:val="xl110"/>
    <w:basedOn w:val="1"/>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textAlignment w:val="bottom"/>
    </w:pPr>
    <w:rPr>
      <w:rFonts w:ascii="Arial" w:hAnsi="Arial"/>
      <w:kern w:val="0"/>
      <w:sz w:val="18"/>
      <w:szCs w:val="20"/>
    </w:rPr>
  </w:style>
  <w:style w:type="paragraph" w:customStyle="1" w:styleId="406">
    <w:name w:val="xl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20"/>
    </w:rPr>
  </w:style>
  <w:style w:type="paragraph" w:customStyle="1" w:styleId="407">
    <w:name w:val="文档正文"/>
    <w:basedOn w:val="1"/>
    <w:uiPriority w:val="0"/>
    <w:pPr>
      <w:adjustRightInd w:val="0"/>
      <w:spacing w:line="480" w:lineRule="atLeast"/>
      <w:ind w:firstLine="567"/>
      <w:textAlignment w:val="baseline"/>
    </w:pPr>
    <w:rPr>
      <w:kern w:val="0"/>
      <w:sz w:val="24"/>
      <w:szCs w:val="20"/>
    </w:rPr>
  </w:style>
  <w:style w:type="paragraph" w:customStyle="1" w:styleId="408">
    <w:name w:val=" Char Char Char Char"/>
    <w:basedOn w:val="1"/>
    <w:uiPriority w:val="0"/>
    <w:rPr>
      <w:rFonts w:ascii="Tahoma" w:hAnsi="Tahoma"/>
      <w:sz w:val="24"/>
      <w:szCs w:val="20"/>
    </w:rPr>
  </w:style>
  <w:style w:type="paragraph" w:customStyle="1" w:styleId="409">
    <w:name w:val="button"/>
    <w:basedOn w:val="1"/>
    <w:uiPriority w:val="0"/>
    <w:pPr>
      <w:widowControl/>
      <w:spacing w:before="100" w:beforeAutospacing="1" w:after="100" w:afterAutospacing="1"/>
      <w:jc w:val="left"/>
    </w:pPr>
    <w:rPr>
      <w:rFonts w:ascii="Arial Unicode MS" w:hAnsi="Arial Unicode MS"/>
      <w:color w:val="000000"/>
      <w:kern w:val="0"/>
      <w:sz w:val="24"/>
      <w:szCs w:val="20"/>
    </w:rPr>
  </w:style>
  <w:style w:type="paragraph" w:customStyle="1" w:styleId="410">
    <w:name w:val="xl11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color w:val="FF0000"/>
      <w:kern w:val="0"/>
      <w:sz w:val="18"/>
      <w:szCs w:val="20"/>
    </w:rPr>
  </w:style>
  <w:style w:type="paragraph" w:customStyle="1" w:styleId="411">
    <w:name w:val=" Char Char1 Char Char Char Char Char Char"/>
    <w:basedOn w:val="1"/>
    <w:uiPriority w:val="0"/>
    <w:rPr>
      <w:rFonts w:ascii="仿宋_GB2312" w:eastAsia="仿宋_GB2312"/>
      <w:b/>
      <w:sz w:val="32"/>
      <w:szCs w:val="20"/>
    </w:rPr>
  </w:style>
  <w:style w:type="paragraph" w:customStyle="1" w:styleId="412">
    <w:name w:val="xl99"/>
    <w:basedOn w:val="1"/>
    <w:uiPriority w:val="0"/>
    <w:pPr>
      <w:widowControl/>
      <w:spacing w:before="100" w:beforeAutospacing="1" w:after="100" w:afterAutospacing="1"/>
      <w:jc w:val="left"/>
    </w:pPr>
    <w:rPr>
      <w:rFonts w:ascii="宋体" w:hAnsi="宋体"/>
      <w:kern w:val="0"/>
      <w:sz w:val="24"/>
      <w:szCs w:val="20"/>
    </w:rPr>
  </w:style>
  <w:style w:type="paragraph" w:customStyle="1" w:styleId="413">
    <w:name w:val="word"/>
    <w:basedOn w:val="1"/>
    <w:uiPriority w:val="0"/>
    <w:pPr>
      <w:widowControl/>
      <w:spacing w:before="100" w:beforeAutospacing="1" w:after="100" w:afterAutospacing="1" w:line="270" w:lineRule="atLeast"/>
      <w:jc w:val="left"/>
    </w:pPr>
    <w:rPr>
      <w:rFonts w:ascii="宋体" w:hAnsi="宋体" w:eastAsia="楷体_GB2312" w:cs="宋体"/>
      <w:kern w:val="0"/>
      <w:sz w:val="18"/>
      <w:szCs w:val="18"/>
    </w:rPr>
  </w:style>
  <w:style w:type="paragraph" w:customStyle="1" w:styleId="414">
    <w:name w:val="xl31"/>
    <w:basedOn w:val="1"/>
    <w:uiPriority w:val="0"/>
    <w:pPr>
      <w:widowControl/>
      <w:pBdr>
        <w:bottom w:val="single" w:color="auto" w:sz="4" w:space="0"/>
      </w:pBdr>
      <w:spacing w:before="100" w:beforeAutospacing="1" w:after="100" w:afterAutospacing="1"/>
      <w:jc w:val="center"/>
    </w:pPr>
    <w:rPr>
      <w:rFonts w:ascii="??" w:hAnsi="??" w:eastAsia="??" w:cs="宋体"/>
      <w:kern w:val="0"/>
      <w:sz w:val="24"/>
    </w:rPr>
  </w:style>
  <w:style w:type="paragraph" w:customStyle="1" w:styleId="415">
    <w:name w:val="font7"/>
    <w:basedOn w:val="1"/>
    <w:uiPriority w:val="0"/>
    <w:pPr>
      <w:widowControl/>
      <w:spacing w:before="100" w:beforeAutospacing="1" w:after="100" w:afterAutospacing="1"/>
      <w:jc w:val="left"/>
    </w:pPr>
    <w:rPr>
      <w:rFonts w:ascii="Arial" w:hAnsi="Arial"/>
      <w:kern w:val="0"/>
      <w:sz w:val="20"/>
      <w:szCs w:val="20"/>
    </w:rPr>
  </w:style>
  <w:style w:type="paragraph" w:customStyle="1" w:styleId="416">
    <w:name w:val="表格文字"/>
    <w:basedOn w:val="1"/>
    <w:uiPriority w:val="0"/>
    <w:pPr>
      <w:autoSpaceDE w:val="0"/>
      <w:autoSpaceDN w:val="0"/>
      <w:adjustRightInd w:val="0"/>
      <w:spacing w:before="100" w:beforeAutospacing="1" w:after="100" w:afterAutospacing="1" w:line="360" w:lineRule="auto"/>
      <w:jc w:val="center"/>
      <w:textAlignment w:val="baseline"/>
    </w:pPr>
    <w:rPr>
      <w:rFonts w:eastAsia="楷体_GB2312"/>
      <w:color w:val="000000"/>
      <w:kern w:val="0"/>
      <w:sz w:val="24"/>
      <w:szCs w:val="20"/>
    </w:rPr>
  </w:style>
  <w:style w:type="paragraph" w:customStyle="1" w:styleId="417">
    <w:name w:val="0"/>
    <w:basedOn w:val="1"/>
    <w:uiPriority w:val="0"/>
    <w:pPr>
      <w:widowControl/>
    </w:pPr>
    <w:rPr>
      <w:kern w:val="0"/>
      <w:sz w:val="24"/>
      <w:szCs w:val="20"/>
    </w:rPr>
  </w:style>
  <w:style w:type="paragraph" w:customStyle="1" w:styleId="418">
    <w:name w:val="xl33"/>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419">
    <w:name w:val="xl3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Arial" w:hAnsi="Arial"/>
      <w:kern w:val="0"/>
      <w:sz w:val="20"/>
      <w:szCs w:val="20"/>
    </w:rPr>
  </w:style>
  <w:style w:type="paragraph" w:customStyle="1" w:styleId="420">
    <w:name w:val="Char Char Char Char1"/>
    <w:basedOn w:val="1"/>
    <w:uiPriority w:val="0"/>
    <w:rPr>
      <w:szCs w:val="20"/>
    </w:rPr>
  </w:style>
  <w:style w:type="paragraph" w:customStyle="1" w:styleId="421">
    <w:name w:val="功能列表"/>
    <w:basedOn w:val="1"/>
    <w:uiPriority w:val="0"/>
    <w:pPr>
      <w:tabs>
        <w:tab w:val="left" w:pos="0"/>
        <w:tab w:val="left" w:pos="900"/>
      </w:tabs>
      <w:spacing w:line="360" w:lineRule="auto"/>
      <w:ind w:firstLineChars="200"/>
    </w:pPr>
    <w:rPr>
      <w:sz w:val="24"/>
      <w:szCs w:val="20"/>
    </w:rPr>
  </w:style>
  <w:style w:type="paragraph" w:customStyle="1" w:styleId="422">
    <w:name w:val="pa-68"/>
    <w:basedOn w:val="1"/>
    <w:uiPriority w:val="0"/>
    <w:pPr>
      <w:widowControl/>
      <w:spacing w:line="330" w:lineRule="atLeast"/>
      <w:jc w:val="left"/>
    </w:pPr>
    <w:rPr>
      <w:rFonts w:ascii="宋体" w:hAnsi="宋体" w:cs="宋体"/>
      <w:kern w:val="0"/>
      <w:sz w:val="24"/>
    </w:rPr>
  </w:style>
  <w:style w:type="paragraph" w:customStyle="1" w:styleId="423">
    <w:name w:val="xl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424">
    <w:name w:val="font8"/>
    <w:basedOn w:val="1"/>
    <w:uiPriority w:val="0"/>
    <w:pPr>
      <w:widowControl/>
      <w:spacing w:before="100" w:beforeAutospacing="1" w:after="100" w:afterAutospacing="1"/>
      <w:jc w:val="left"/>
    </w:pPr>
    <w:rPr>
      <w:rFonts w:ascii="宋体" w:hAnsi="宋体"/>
      <w:kern w:val="0"/>
      <w:sz w:val="20"/>
      <w:szCs w:val="20"/>
    </w:rPr>
  </w:style>
  <w:style w:type="paragraph" w:customStyle="1" w:styleId="425">
    <w:name w:val="xl66"/>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宋体" w:hAnsi="宋体"/>
      <w:kern w:val="0"/>
      <w:sz w:val="18"/>
      <w:szCs w:val="20"/>
    </w:rPr>
  </w:style>
  <w:style w:type="paragraph" w:customStyle="1" w:styleId="426">
    <w:name w:val=" Char Char Char1 Char"/>
    <w:basedOn w:val="1"/>
    <w:uiPriority w:val="0"/>
    <w:rPr>
      <w:szCs w:val="20"/>
    </w:rPr>
  </w:style>
  <w:style w:type="paragraph" w:customStyle="1" w:styleId="427">
    <w:name w:val="自由格式"/>
    <w:qFormat/>
    <w:uiPriority w:val="0"/>
    <w:rPr>
      <w:rFonts w:ascii="Cambria" w:hAnsi="Cambria" w:eastAsia="Cambria" w:cs="Cambria"/>
      <w:color w:val="000000"/>
      <w:sz w:val="24"/>
      <w:szCs w:val="24"/>
      <w:lang w:val="en-US" w:eastAsia="zh-CN" w:bidi="ar-SA"/>
    </w:rPr>
  </w:style>
  <w:style w:type="paragraph" w:customStyle="1" w:styleId="428">
    <w:name w:val="大标题"/>
    <w:basedOn w:val="1"/>
    <w:next w:val="1"/>
    <w:uiPriority w:val="0"/>
    <w:pPr>
      <w:pageBreakBefore/>
      <w:tabs>
        <w:tab w:val="left" w:pos="900"/>
      </w:tabs>
      <w:spacing w:line="360" w:lineRule="auto"/>
      <w:ind w:hanging="420" w:firstLineChars="200"/>
      <w:outlineLvl w:val="0"/>
    </w:pPr>
    <w:rPr>
      <w:b/>
      <w:iCs/>
      <w:sz w:val="44"/>
    </w:rPr>
  </w:style>
  <w:style w:type="paragraph" w:customStyle="1" w:styleId="429">
    <w:name w:val="xl25"/>
    <w:basedOn w:val="1"/>
    <w:uiPriority w:val="0"/>
    <w:pPr>
      <w:widowControl/>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430">
    <w:name w:val="段 Char"/>
    <w:uiPriority w:val="0"/>
    <w:pPr>
      <w:autoSpaceDE w:val="0"/>
      <w:autoSpaceDN w:val="0"/>
      <w:ind w:firstLine="200" w:firstLineChars="200"/>
      <w:jc w:val="both"/>
    </w:pPr>
    <w:rPr>
      <w:rFonts w:ascii="宋体"/>
      <w:sz w:val="21"/>
      <w:lang w:val="en-US" w:eastAsia="zh-CN" w:bidi="ar-SA"/>
    </w:rPr>
  </w:style>
  <w:style w:type="paragraph" w:customStyle="1" w:styleId="431">
    <w:name w:val="列出段落2"/>
    <w:basedOn w:val="1"/>
    <w:uiPriority w:val="0"/>
    <w:pPr>
      <w:ind w:firstLine="420" w:firstLineChars="200"/>
    </w:pPr>
    <w:rPr>
      <w:rFonts w:ascii="Calibri" w:hAnsi="Calibri"/>
      <w:szCs w:val="22"/>
    </w:rPr>
  </w:style>
  <w:style w:type="paragraph" w:customStyle="1" w:styleId="432">
    <w:name w:val="xl52"/>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宋体" w:hAnsi="宋体"/>
      <w:kern w:val="0"/>
      <w:sz w:val="24"/>
      <w:szCs w:val="20"/>
    </w:rPr>
  </w:style>
  <w:style w:type="paragraph" w:customStyle="1" w:styleId="433">
    <w:name w:val="af17cgridlangnp1033langf"/>
    <w:uiPriority w:val="0"/>
    <w:pPr>
      <w:widowControl w:val="0"/>
      <w:autoSpaceDE w:val="0"/>
      <w:autoSpaceDN w:val="0"/>
      <w:adjustRightInd w:val="0"/>
      <w:spacing w:before="156" w:line="360" w:lineRule="atLeast"/>
      <w:ind w:left="567" w:firstLine="510"/>
      <w:jc w:val="both"/>
    </w:pPr>
    <w:rPr>
      <w:rFonts w:eastAsia="??"/>
      <w:szCs w:val="28"/>
      <w:lang w:val="en-US" w:eastAsia="zh-CN" w:bidi="ar-SA"/>
    </w:rPr>
  </w:style>
  <w:style w:type="paragraph" w:customStyle="1" w:styleId="434">
    <w:name w:val="正文 A"/>
    <w:unhideWhenUsed/>
    <w:qFormat/>
    <w:uiPriority w:val="99"/>
    <w:pPr>
      <w:widowControl w:val="0"/>
      <w:jc w:val="both"/>
    </w:pPr>
    <w:rPr>
      <w:rFonts w:hint="eastAsia" w:ascii="Arial Unicode MS" w:hAnsi="Arial Unicode MS"/>
      <w:color w:val="000000"/>
      <w:kern w:val="2"/>
      <w:sz w:val="21"/>
      <w:szCs w:val="22"/>
      <w:u w:val="none" w:color="000000"/>
      <w:lang w:val="en-US" w:eastAsia="zh-CN" w:bidi="ar-SA"/>
    </w:rPr>
  </w:style>
  <w:style w:type="paragraph" w:customStyle="1" w:styleId="435">
    <w:name w:val="xl104"/>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436">
    <w:name w:val="xl70"/>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Arial" w:hAnsi="Arial"/>
      <w:kern w:val="0"/>
      <w:sz w:val="20"/>
      <w:szCs w:val="20"/>
    </w:rPr>
  </w:style>
  <w:style w:type="paragraph" w:customStyle="1" w:styleId="437">
    <w:name w:val="xl107"/>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color w:val="FF0000"/>
      <w:kern w:val="0"/>
      <w:sz w:val="18"/>
      <w:szCs w:val="20"/>
    </w:rPr>
  </w:style>
  <w:style w:type="paragraph" w:customStyle="1" w:styleId="438">
    <w:name w:val="样式 正文文本缩进 + 左侧:  0.63 厘米 首行缩进:  0 厘米"/>
    <w:basedOn w:val="2"/>
    <w:uiPriority w:val="0"/>
    <w:pPr>
      <w:autoSpaceDE w:val="0"/>
      <w:autoSpaceDN w:val="0"/>
      <w:adjustRightInd w:val="0"/>
      <w:spacing w:after="120" w:line="360" w:lineRule="auto"/>
      <w:ind w:left="278" w:leftChars="116" w:right="17" w:firstLine="461" w:firstLineChars="192"/>
    </w:pPr>
    <w:rPr>
      <w:rFonts w:ascii="宋体" w:hAnsi="宋体" w:eastAsia="楷体_GB2312"/>
      <w:sz w:val="24"/>
      <w:szCs w:val="24"/>
    </w:rPr>
  </w:style>
  <w:style w:type="paragraph" w:customStyle="1" w:styleId="439">
    <w:name w:val="样式 样式 首行缩进:  0.74 厘米 行距: 1.5 倍行距 + 段后: 0.5 行"/>
    <w:basedOn w:val="1"/>
    <w:uiPriority w:val="0"/>
    <w:pPr>
      <w:widowControl/>
      <w:spacing w:after="200" w:line="360" w:lineRule="auto"/>
      <w:ind w:firstLine="420" w:firstLineChars="200"/>
      <w:jc w:val="left"/>
    </w:pPr>
    <w:rPr>
      <w:rFonts w:ascii="Calibri" w:hAnsi="Calibri"/>
      <w:kern w:val="0"/>
      <w:sz w:val="22"/>
      <w:szCs w:val="20"/>
      <w:lang w:eastAsia="en-US" w:bidi="en-US"/>
    </w:rPr>
  </w:style>
  <w:style w:type="paragraph" w:customStyle="1" w:styleId="440">
    <w:name w:val="部分1"/>
    <w:basedOn w:val="1"/>
    <w:uiPriority w:val="0"/>
    <w:pPr>
      <w:keepNext/>
      <w:pageBreakBefore/>
      <w:tabs>
        <w:tab w:val="left" w:pos="720"/>
      </w:tabs>
      <w:spacing w:line="360" w:lineRule="auto"/>
      <w:jc w:val="center"/>
      <w:outlineLvl w:val="0"/>
    </w:pPr>
    <w:rPr>
      <w:rFonts w:eastAsia="??"/>
      <w:b/>
      <w:kern w:val="44"/>
      <w:sz w:val="36"/>
      <w:szCs w:val="28"/>
    </w:rPr>
  </w:style>
  <w:style w:type="paragraph" w:styleId="441">
    <w:name w:val=""/>
    <w:basedOn w:val="5"/>
    <w:next w:val="1"/>
    <w:qFormat/>
    <w:uiPriority w:val="0"/>
    <w:pPr>
      <w:keepLines/>
      <w:spacing w:before="480" w:line="276" w:lineRule="auto"/>
      <w:jc w:val="left"/>
      <w:outlineLvl w:val="9"/>
    </w:pPr>
    <w:rPr>
      <w:rFonts w:ascii="Cambria" w:hAnsi="Cambria"/>
      <w:bCs/>
      <w:color w:val="365F91"/>
      <w:kern w:val="0"/>
      <w:sz w:val="28"/>
    </w:rPr>
  </w:style>
  <w:style w:type="paragraph" w:customStyle="1" w:styleId="442">
    <w:name w:val="中文标题 3"/>
    <w:basedOn w:val="2"/>
    <w:uiPriority w:val="0"/>
    <w:pPr>
      <w:spacing w:before="100" w:beforeAutospacing="1" w:after="100" w:afterAutospacing="1" w:line="360" w:lineRule="auto"/>
      <w:ind w:firstLine="482"/>
    </w:pPr>
    <w:rPr>
      <w:rFonts w:ascii="Times New Roman" w:hAnsi="Times New Roman" w:eastAsia="楷体_GB2312" w:cs="Times New Roman"/>
      <w:kern w:val="28"/>
      <w:sz w:val="24"/>
      <w:szCs w:val="24"/>
    </w:rPr>
  </w:style>
  <w:style w:type="paragraph" w:customStyle="1" w:styleId="443">
    <w:name w:val="带标题正文"/>
    <w:basedOn w:val="1"/>
    <w:uiPriority w:val="0"/>
    <w:pPr>
      <w:numPr>
        <w:ilvl w:val="0"/>
        <w:numId w:val="7"/>
      </w:numPr>
      <w:snapToGrid w:val="0"/>
      <w:spacing w:before="100" w:after="100"/>
      <w:ind w:firstLine="115"/>
    </w:pPr>
    <w:rPr>
      <w:rFonts w:ascii="楷体" w:eastAsia="楷体"/>
      <w:b/>
      <w:sz w:val="28"/>
      <w:szCs w:val="20"/>
    </w:rPr>
  </w:style>
  <w:style w:type="paragraph" w:customStyle="1" w:styleId="444">
    <w:name w:val="xl144"/>
    <w:basedOn w:val="1"/>
    <w:uiPriority w:val="0"/>
    <w:pPr>
      <w:widowControl/>
      <w:pBdr>
        <w:top w:val="single" w:color="auto" w:sz="4" w:space="0"/>
        <w:left w:val="single" w:color="auto" w:sz="4" w:space="0"/>
        <w:bottom w:val="single" w:color="auto" w:sz="8" w:space="0"/>
        <w:right w:val="single" w:color="auto" w:sz="8" w:space="0"/>
      </w:pBdr>
      <w:shd w:val="clear" w:color="000000" w:fill="FFFF00"/>
      <w:spacing w:before="100" w:beforeAutospacing="1" w:after="100" w:afterAutospacing="1"/>
      <w:jc w:val="right"/>
    </w:pPr>
    <w:rPr>
      <w:rFonts w:ascii="宋体" w:hAnsi="宋体" w:cs="宋体"/>
      <w:kern w:val="0"/>
      <w:sz w:val="24"/>
    </w:rPr>
  </w:style>
  <w:style w:type="paragraph" w:customStyle="1" w:styleId="445">
    <w:name w:val="p0"/>
    <w:basedOn w:val="1"/>
    <w:uiPriority w:val="0"/>
    <w:pPr>
      <w:widowControl/>
    </w:pPr>
    <w:rPr>
      <w:kern w:val="0"/>
      <w:szCs w:val="21"/>
    </w:rPr>
  </w:style>
  <w:style w:type="paragraph" w:customStyle="1" w:styleId="446">
    <w:name w:val="样式 样式 我的正文首行缩进 + 首行缩进:  2 字符 + 首行缩进:  2 字符 Char Char Char Char Char Char Char Char Char Char Char Char"/>
    <w:basedOn w:val="1"/>
    <w:uiPriority w:val="0"/>
    <w:pPr>
      <w:widowControl/>
      <w:spacing w:after="120"/>
      <w:ind w:firstLine="200" w:firstLineChars="200"/>
      <w:jc w:val="left"/>
    </w:pPr>
    <w:rPr>
      <w:rFonts w:eastAsia="华文细黑"/>
      <w:kern w:val="0"/>
      <w:sz w:val="24"/>
    </w:rPr>
  </w:style>
  <w:style w:type="paragraph" w:customStyle="1" w:styleId="447">
    <w:name w:val="xl123"/>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Arial" w:hAnsi="Arial"/>
      <w:kern w:val="0"/>
      <w:sz w:val="18"/>
      <w:szCs w:val="20"/>
    </w:rPr>
  </w:style>
  <w:style w:type="paragraph" w:customStyle="1" w:styleId="448">
    <w:name w:val="图"/>
    <w:basedOn w:val="1"/>
    <w:uiPriority w:val="0"/>
    <w:pPr>
      <w:spacing w:line="360" w:lineRule="auto"/>
      <w:jc w:val="center"/>
    </w:pPr>
    <w:rPr>
      <w:rFonts w:ascii="宋体" w:hAnsi="宋体" w:eastAsia="楷体_GB2312" w:cs="宋体"/>
      <w:sz w:val="24"/>
      <w:szCs w:val="20"/>
    </w:rPr>
  </w:style>
  <w:style w:type="paragraph" w:customStyle="1" w:styleId="449">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olor w:val="FF0000"/>
      <w:kern w:val="0"/>
      <w:sz w:val="20"/>
      <w:szCs w:val="20"/>
    </w:rPr>
  </w:style>
  <w:style w:type="paragraph" w:customStyle="1" w:styleId="450">
    <w:name w:val="xl63"/>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451">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olor w:val="FF0000"/>
      <w:kern w:val="0"/>
      <w:sz w:val="18"/>
      <w:szCs w:val="20"/>
    </w:rPr>
  </w:style>
  <w:style w:type="paragraph" w:customStyle="1" w:styleId="452">
    <w:name w:val="font9"/>
    <w:basedOn w:val="1"/>
    <w:uiPriority w:val="0"/>
    <w:pPr>
      <w:widowControl/>
      <w:spacing w:before="100" w:beforeAutospacing="1" w:after="100" w:afterAutospacing="1"/>
      <w:jc w:val="left"/>
    </w:pPr>
    <w:rPr>
      <w:kern w:val="0"/>
      <w:sz w:val="18"/>
      <w:szCs w:val="20"/>
    </w:rPr>
  </w:style>
  <w:style w:type="paragraph" w:customStyle="1" w:styleId="453">
    <w:name w:val="Char Char Char Char"/>
    <w:basedOn w:val="1"/>
    <w:uiPriority w:val="0"/>
    <w:pPr>
      <w:widowControl/>
      <w:spacing w:after="160" w:line="240" w:lineRule="exact"/>
      <w:jc w:val="left"/>
    </w:pPr>
    <w:rPr>
      <w:rFonts w:ascii="Arial" w:hAnsi="Arial" w:eastAsia="Times New Roman" w:cs="Verdana"/>
      <w:b/>
      <w:kern w:val="0"/>
      <w:sz w:val="24"/>
      <w:szCs w:val="28"/>
      <w:lang w:eastAsia="en-US"/>
    </w:rPr>
  </w:style>
  <w:style w:type="paragraph" w:customStyle="1" w:styleId="454">
    <w:name w:val=" Char Char Char Char Char Char Char Char Char Char"/>
    <w:basedOn w:val="1"/>
    <w:uiPriority w:val="0"/>
    <w:rPr>
      <w:rFonts w:ascii="仿宋_GB2312" w:eastAsia="仿宋_GB2312"/>
      <w:b/>
      <w:sz w:val="32"/>
      <w:szCs w:val="20"/>
    </w:rPr>
  </w:style>
  <w:style w:type="paragraph" w:customStyle="1" w:styleId="455">
    <w:name w:val="xl90"/>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Arial" w:hAnsi="Arial"/>
      <w:kern w:val="0"/>
      <w:sz w:val="20"/>
      <w:szCs w:val="20"/>
    </w:rPr>
  </w:style>
  <w:style w:type="paragraph" w:customStyle="1" w:styleId="456">
    <w:name w:val="xl72"/>
    <w:basedOn w:val="1"/>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457">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kern w:val="0"/>
      <w:sz w:val="20"/>
      <w:szCs w:val="20"/>
    </w:rPr>
  </w:style>
  <w:style w:type="paragraph" w:customStyle="1" w:styleId="458">
    <w:name w:val="段 Char Char"/>
    <w:uiPriority w:val="0"/>
    <w:pPr>
      <w:autoSpaceDE w:val="0"/>
      <w:autoSpaceDN w:val="0"/>
      <w:ind w:firstLine="200" w:firstLineChars="200"/>
      <w:jc w:val="both"/>
    </w:pPr>
    <w:rPr>
      <w:rFonts w:ascii="宋体"/>
      <w:sz w:val="21"/>
      <w:lang w:val="en-US" w:eastAsia="zh-CN" w:bidi="ar-SA"/>
    </w:rPr>
  </w:style>
  <w:style w:type="paragraph" w:customStyle="1" w:styleId="459">
    <w:name w:val="xl61"/>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18"/>
      <w:szCs w:val="20"/>
    </w:rPr>
  </w:style>
  <w:style w:type="paragraph" w:customStyle="1" w:styleId="460">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olor w:val="FF0000"/>
      <w:kern w:val="0"/>
      <w:sz w:val="18"/>
      <w:szCs w:val="20"/>
    </w:rPr>
  </w:style>
  <w:style w:type="paragraph" w:customStyle="1" w:styleId="461">
    <w:name w:val="正文缩进1"/>
    <w:basedOn w:val="1"/>
    <w:next w:val="2"/>
    <w:uiPriority w:val="0"/>
    <w:pPr>
      <w:autoSpaceDE w:val="0"/>
      <w:autoSpaceDN w:val="0"/>
      <w:adjustRightInd w:val="0"/>
      <w:snapToGrid w:val="0"/>
      <w:spacing w:after="120" w:line="360" w:lineRule="auto"/>
      <w:ind w:left="420" w:leftChars="200" w:firstLine="480" w:firstLineChars="200"/>
    </w:pPr>
    <w:rPr>
      <w:sz w:val="24"/>
      <w:szCs w:val="20"/>
    </w:rPr>
  </w:style>
  <w:style w:type="paragraph" w:customStyle="1" w:styleId="462">
    <w:name w:val="标准小四"/>
    <w:basedOn w:val="1"/>
    <w:uiPriority w:val="0"/>
    <w:pPr>
      <w:spacing w:line="360" w:lineRule="auto"/>
      <w:ind w:firstLine="480" w:firstLineChars="200"/>
    </w:pPr>
    <w:rPr>
      <w:rFonts w:ascii="Arial" w:hAnsi="Arial"/>
      <w:sz w:val="24"/>
      <w:szCs w:val="20"/>
    </w:rPr>
  </w:style>
  <w:style w:type="paragraph" w:customStyle="1" w:styleId="463">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464">
    <w:name w:val="正文 首行缩进:  2 字符"/>
    <w:basedOn w:val="1"/>
    <w:uiPriority w:val="0"/>
    <w:pPr>
      <w:spacing w:line="360" w:lineRule="auto"/>
      <w:ind w:firstLine="480" w:firstLineChars="200"/>
    </w:pPr>
    <w:rPr>
      <w:rFonts w:eastAsia="楷体_GB2312" w:cs="宋体"/>
      <w:sz w:val="24"/>
      <w:szCs w:val="20"/>
    </w:rPr>
  </w:style>
  <w:style w:type="paragraph" w:customStyle="1" w:styleId="465">
    <w:name w:val="aspnumfaautoadjustrightr"/>
    <w:uiPriority w:val="0"/>
    <w:pPr>
      <w:widowControl w:val="0"/>
      <w:autoSpaceDE w:val="0"/>
      <w:autoSpaceDN w:val="0"/>
      <w:adjustRightInd w:val="0"/>
      <w:ind w:firstLine="720"/>
      <w:jc w:val="both"/>
    </w:pPr>
    <w:rPr>
      <w:rFonts w:eastAsia="??"/>
      <w:szCs w:val="28"/>
      <w:lang w:val="en-US" w:eastAsia="zh-CN" w:bidi="ar-SA"/>
    </w:rPr>
  </w:style>
  <w:style w:type="paragraph" w:customStyle="1" w:styleId="466">
    <w:name w:val="xl68"/>
    <w:basedOn w:val="1"/>
    <w:uiPriority w:val="0"/>
    <w:pPr>
      <w:widowControl/>
      <w:pBdr>
        <w:left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467">
    <w:name w:val=" Char Char1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468">
    <w:name w:val="正文 + 首行缩进:  2 字符"/>
    <w:basedOn w:val="1"/>
    <w:qFormat/>
    <w:uiPriority w:val="0"/>
    <w:pPr>
      <w:spacing w:line="360" w:lineRule="auto"/>
      <w:ind w:left="-34" w:firstLine="482"/>
    </w:pPr>
    <w:rPr>
      <w:rFonts w:ascii="宋体" w:hAnsi="宋体" w:eastAsia="宋体" w:cs="Times New Roman"/>
      <w:bCs/>
      <w:sz w:val="24"/>
      <w:szCs w:val="20"/>
    </w:rPr>
  </w:style>
  <w:style w:type="paragraph" w:customStyle="1" w:styleId="469">
    <w:name w:val="xl12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470">
    <w:name w:val="页眉与页脚"/>
    <w:unhideWhenUsed/>
    <w:uiPriority w:val="99"/>
    <w:pPr>
      <w:tabs>
        <w:tab w:val="right" w:pos="9020"/>
      </w:tabs>
    </w:pPr>
    <w:rPr>
      <w:rFonts w:hint="eastAsia" w:ascii="Helvetica" w:hAnsi="Arial Unicode MS" w:eastAsia="Times New Roman"/>
      <w:color w:val="000000"/>
      <w:sz w:val="24"/>
      <w:szCs w:val="22"/>
      <w:lang w:val="en-US" w:eastAsia="zh-CN" w:bidi="ar-SA"/>
    </w:rPr>
  </w:style>
  <w:style w:type="paragraph" w:customStyle="1" w:styleId="471">
    <w:name w:val="a1"/>
    <w:basedOn w:val="1"/>
    <w:uiPriority w:val="0"/>
    <w:pPr>
      <w:widowControl/>
      <w:spacing w:line="300" w:lineRule="atLeast"/>
      <w:jc w:val="left"/>
    </w:pPr>
    <w:rPr>
      <w:rFonts w:ascii="宋体" w:hAnsi="宋体"/>
      <w:kern w:val="0"/>
      <w:sz w:val="18"/>
      <w:szCs w:val="20"/>
    </w:rPr>
  </w:style>
  <w:style w:type="paragraph" w:customStyle="1" w:styleId="472">
    <w:name w:val="xl141"/>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24"/>
      <w:szCs w:val="20"/>
    </w:rPr>
  </w:style>
  <w:style w:type="paragraph" w:customStyle="1" w:styleId="473">
    <w:name w:val="Char Char Char Char Char Char Char Char Char Char Char Char Char Char Char Char Char Char Char Char Char Char Char Char Char"/>
    <w:basedOn w:val="1"/>
    <w:uiPriority w:val="0"/>
    <w:rPr>
      <w:rFonts w:ascii="Tahoma" w:hAnsi="Tahoma" w:eastAsia="??" w:cs="Tahoma"/>
      <w:sz w:val="24"/>
      <w:szCs w:val="28"/>
    </w:rPr>
  </w:style>
  <w:style w:type="paragraph" w:customStyle="1" w:styleId="474">
    <w:name w:val="xl88"/>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475">
    <w:name w:val="xl2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宋体" w:hAnsi="宋体"/>
      <w:kern w:val="0"/>
      <w:sz w:val="18"/>
      <w:szCs w:val="20"/>
    </w:rPr>
  </w:style>
  <w:style w:type="paragraph" w:customStyle="1" w:styleId="476">
    <w:name w:val="中等深浅网格 21"/>
    <w:qFormat/>
    <w:uiPriority w:val="1"/>
    <w:pPr>
      <w:widowControl w:val="0"/>
      <w:jc w:val="both"/>
    </w:pPr>
    <w:rPr>
      <w:kern w:val="2"/>
      <w:sz w:val="21"/>
      <w:szCs w:val="22"/>
      <w:lang w:val="en-US" w:eastAsia="zh-CN" w:bidi="ar-SA"/>
    </w:rPr>
  </w:style>
  <w:style w:type="paragraph" w:customStyle="1" w:styleId="477">
    <w:name w:val="表格内容"/>
    <w:basedOn w:val="1"/>
    <w:uiPriority w:val="0"/>
    <w:pPr>
      <w:widowControl/>
      <w:autoSpaceDE w:val="0"/>
      <w:autoSpaceDN w:val="0"/>
      <w:adjustRightInd w:val="0"/>
      <w:spacing w:before="60" w:line="300" w:lineRule="auto"/>
      <w:jc w:val="center"/>
      <w:textAlignment w:val="bottom"/>
    </w:pPr>
    <w:rPr>
      <w:kern w:val="0"/>
      <w:szCs w:val="20"/>
    </w:rPr>
  </w:style>
  <w:style w:type="paragraph" w:customStyle="1" w:styleId="478">
    <w:name w:val="xl5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20"/>
      <w:szCs w:val="20"/>
    </w:rPr>
  </w:style>
  <w:style w:type="paragraph" w:customStyle="1" w:styleId="479">
    <w:name w:val="Blockquote"/>
    <w:basedOn w:val="1"/>
    <w:uiPriority w:val="0"/>
    <w:pPr>
      <w:autoSpaceDE w:val="0"/>
      <w:autoSpaceDN w:val="0"/>
      <w:adjustRightInd w:val="0"/>
      <w:spacing w:before="100" w:after="100"/>
      <w:ind w:left="360" w:right="360"/>
      <w:jc w:val="left"/>
    </w:pPr>
    <w:rPr>
      <w:rFonts w:eastAsia="??"/>
      <w:kern w:val="0"/>
      <w:sz w:val="24"/>
      <w:szCs w:val="28"/>
    </w:rPr>
  </w:style>
  <w:style w:type="paragraph" w:customStyle="1" w:styleId="480">
    <w:name w:val="xl114"/>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481">
    <w:name w:val="pa-67"/>
    <w:basedOn w:val="1"/>
    <w:uiPriority w:val="0"/>
    <w:pPr>
      <w:widowControl/>
      <w:spacing w:line="360" w:lineRule="atLeast"/>
      <w:ind w:firstLine="480"/>
      <w:jc w:val="center"/>
    </w:pPr>
    <w:rPr>
      <w:rFonts w:ascii="宋体" w:hAnsi="宋体" w:cs="宋体"/>
      <w:kern w:val="0"/>
      <w:sz w:val="24"/>
    </w:rPr>
  </w:style>
  <w:style w:type="paragraph" w:customStyle="1" w:styleId="482">
    <w:name w:val="xl13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color w:val="FF0000"/>
      <w:kern w:val="0"/>
      <w:sz w:val="18"/>
      <w:szCs w:val="20"/>
    </w:rPr>
  </w:style>
  <w:style w:type="paragraph" w:customStyle="1" w:styleId="483">
    <w:name w:val="编号 2"/>
    <w:basedOn w:val="201"/>
    <w:uiPriority w:val="0"/>
    <w:pPr>
      <w:tabs>
        <w:tab w:val="left" w:pos="1560"/>
        <w:tab w:val="clear" w:pos="1320"/>
      </w:tabs>
      <w:ind w:left="-80"/>
    </w:pPr>
    <w:rPr>
      <w:szCs w:val="20"/>
    </w:rPr>
  </w:style>
  <w:style w:type="paragraph" w:customStyle="1" w:styleId="484">
    <w:name w:val="xl102"/>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485">
    <w:name w:val="No Spacing"/>
    <w:uiPriority w:val="0"/>
    <w:rPr>
      <w:rFonts w:eastAsia="??" w:cs="宋体"/>
      <w:sz w:val="22"/>
      <w:szCs w:val="22"/>
      <w:lang w:val="en-US" w:eastAsia="en-US" w:bidi="ar-SA"/>
    </w:rPr>
  </w:style>
  <w:style w:type="paragraph" w:customStyle="1" w:styleId="486">
    <w:name w:val="xl142"/>
    <w:basedOn w:val="1"/>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487">
    <w:name w:val="xl64"/>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kern w:val="0"/>
      <w:sz w:val="20"/>
      <w:szCs w:val="20"/>
    </w:rPr>
  </w:style>
  <w:style w:type="paragraph" w:customStyle="1" w:styleId="488">
    <w:name w:val="font10"/>
    <w:basedOn w:val="1"/>
    <w:uiPriority w:val="0"/>
    <w:pPr>
      <w:widowControl/>
      <w:spacing w:before="100" w:beforeAutospacing="1" w:after="100" w:afterAutospacing="1"/>
      <w:jc w:val="left"/>
    </w:pPr>
    <w:rPr>
      <w:rFonts w:ascii="Arial" w:hAnsi="Arial"/>
      <w:kern w:val="0"/>
      <w:sz w:val="18"/>
      <w:szCs w:val="20"/>
    </w:rPr>
  </w:style>
  <w:style w:type="paragraph" w:customStyle="1" w:styleId="489">
    <w:name w:val="正文 首行缩进:  2 字符 Char"/>
    <w:basedOn w:val="1"/>
    <w:uiPriority w:val="0"/>
    <w:pPr>
      <w:spacing w:line="360" w:lineRule="auto"/>
      <w:ind w:firstLine="480"/>
    </w:pPr>
    <w:rPr>
      <w:rFonts w:cs="宋体"/>
      <w:sz w:val="24"/>
      <w:szCs w:val="20"/>
    </w:rPr>
  </w:style>
  <w:style w:type="paragraph" w:customStyle="1" w:styleId="490">
    <w:name w:val="图样式"/>
    <w:basedOn w:val="1"/>
    <w:uiPriority w:val="0"/>
    <w:pPr>
      <w:keepNext/>
      <w:widowControl/>
      <w:tabs>
        <w:tab w:val="left" w:pos="840"/>
      </w:tabs>
      <w:snapToGrid w:val="0"/>
      <w:spacing w:before="80" w:after="80" w:line="300" w:lineRule="auto"/>
      <w:ind w:left="851" w:hanging="420"/>
      <w:jc w:val="center"/>
    </w:pPr>
    <w:rPr>
      <w:rFonts w:ascii="Arial" w:hAnsi="Arial"/>
      <w:kern w:val="0"/>
      <w:szCs w:val="20"/>
    </w:rPr>
  </w:style>
  <w:style w:type="paragraph" w:customStyle="1" w:styleId="491">
    <w:name w:val="样式 正文首行缩进 + 首行缩进:  1 字符"/>
    <w:basedOn w:val="33"/>
    <w:uiPriority w:val="0"/>
    <w:pPr>
      <w:widowControl/>
      <w:autoSpaceDE/>
      <w:autoSpaceDN/>
      <w:adjustRightInd/>
      <w:spacing w:after="120" w:line="240" w:lineRule="auto"/>
      <w:ind w:firstLine="200" w:firstLineChars="200"/>
      <w:jc w:val="left"/>
    </w:pPr>
    <w:rPr>
      <w:rFonts w:ascii="Times New Roman" w:eastAsia="华文细黑"/>
      <w:kern w:val="0"/>
      <w:szCs w:val="24"/>
      <w:lang w:val="en-US"/>
    </w:rPr>
  </w:style>
  <w:style w:type="paragraph" w:customStyle="1" w:styleId="492">
    <w:name w:val="正文蓝"/>
    <w:basedOn w:val="1"/>
    <w:uiPriority w:val="0"/>
    <w:pPr>
      <w:spacing w:before="156" w:line="360" w:lineRule="auto"/>
      <w:ind w:firstLine="360" w:firstLineChars="200"/>
    </w:pPr>
    <w:rPr>
      <w:rFonts w:ascii="仿宋_GB2312" w:eastAsia="仿宋_GB2312"/>
      <w:color w:val="000080"/>
      <w:sz w:val="24"/>
      <w:szCs w:val="20"/>
    </w:rPr>
  </w:style>
  <w:style w:type="paragraph" w:customStyle="1" w:styleId="493">
    <w:name w:val="列出段落1"/>
    <w:basedOn w:val="1"/>
    <w:qFormat/>
    <w:uiPriority w:val="34"/>
    <w:pPr>
      <w:snapToGrid w:val="0"/>
      <w:spacing w:line="276" w:lineRule="auto"/>
      <w:ind w:firstLine="420" w:firstLineChars="200"/>
    </w:pPr>
    <w:rPr>
      <w:rFonts w:ascii="Calibri" w:hAnsi="Calibri" w:eastAsia="微软雅黑" w:cs="Times New Roman"/>
      <w:sz w:val="24"/>
      <w:szCs w:val="21"/>
    </w:rPr>
  </w:style>
  <w:style w:type="paragraph" w:customStyle="1" w:styleId="494">
    <w:name w:val="xl112"/>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18"/>
      <w:szCs w:val="20"/>
    </w:rPr>
  </w:style>
  <w:style w:type="paragraph" w:customStyle="1" w:styleId="495">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4"/>
      <w:szCs w:val="20"/>
    </w:rPr>
  </w:style>
  <w:style w:type="paragraph" w:customStyle="1" w:styleId="496">
    <w:name w:val="xl1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kern w:val="0"/>
      <w:sz w:val="18"/>
      <w:szCs w:val="20"/>
    </w:rPr>
  </w:style>
  <w:style w:type="table" w:customStyle="1" w:styleId="497">
    <w:name w:val="Table Normal"/>
    <w:qFormat/>
    <w:uiPriority w:val="0"/>
    <w:rPr>
      <w:lang w:val="en-US" w:eastAsia="zh-CN" w:bidi="ar-SA"/>
    </w:rPr>
    <w:tblPr>
      <w:tblStyle w:val="77"/>
      <w:tblCellMar>
        <w:top w:w="0" w:type="dxa"/>
        <w:left w:w="0" w:type="dxa"/>
        <w:bottom w:w="0" w:type="dxa"/>
        <w:right w:w="0" w:type="dxa"/>
      </w:tblCellMar>
    </w:tblPr>
  </w:style>
  <w:style w:type="table" w:customStyle="1" w:styleId="498">
    <w:name w:val="中等深浅网格 2 - 强调文字颜色 11"/>
    <w:basedOn w:val="77"/>
    <w:uiPriority w:val="68"/>
    <w:rPr>
      <w:rFonts w:ascii="Cambria" w:hAnsi="Cambria" w:eastAsia="宋体" w:cs="Times New Roman"/>
      <w:color w:val="000000"/>
    </w:rPr>
    <w:tblPr>
      <w:tblStyle w:val="77"/>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cPr>
      <w:shd w:val="clear" w:color="auto" w:fill="D3DFEE"/>
    </w:tcPr>
    <w:tblStylePr w:type="firstRow">
      <w:rPr>
        <w:b/>
        <w:bCs/>
        <w:color w:val="000000"/>
      </w:rPr>
      <w:tblPr>
        <w:tblStyle w:val="77"/>
      </w:tblPr>
      <w:tcPr>
        <w:shd w:val="clear" w:color="auto" w:fill="EDF2F8"/>
      </w:tcPr>
    </w:tblStylePr>
    <w:tblStylePr w:type="lastRow">
      <w:rPr>
        <w:b/>
        <w:bCs/>
        <w:color w:val="000000"/>
      </w:rPr>
      <w:tblPr>
        <w:tblStyle w:val="77"/>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blStyle w:val="77"/>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blStyle w:val="77"/>
      </w:tblPr>
      <w:tcPr>
        <w:tcBorders>
          <w:top w:val="nil"/>
          <w:left w:val="nil"/>
          <w:bottom w:val="nil"/>
          <w:right w:val="nil"/>
          <w:insideH w:val="nil"/>
          <w:insideV w:val="nil"/>
          <w:tl2br w:val="nil"/>
          <w:tr2bl w:val="nil"/>
        </w:tcBorders>
        <w:shd w:val="clear" w:color="auto" w:fill="DBE5F1"/>
      </w:tcPr>
    </w:tblStylePr>
    <w:tblStylePr w:type="band1Vert">
      <w:tblPr>
        <w:tblStyle w:val="77"/>
      </w:tblPr>
      <w:tcPr>
        <w:shd w:val="clear" w:color="auto" w:fill="A7C0DE"/>
      </w:tcPr>
    </w:tblStylePr>
    <w:tblStylePr w:type="band1Horz">
      <w:tblPr>
        <w:tblStyle w:val="77"/>
      </w:tblPr>
      <w:tcPr>
        <w:shd w:val="clear" w:color="auto" w:fill="A7C0DE"/>
      </w:tcPr>
    </w:tblStylePr>
    <w:tblStylePr w:type="nwCell">
      <w:tblPr>
        <w:tblStyle w:val="77"/>
      </w:tblPr>
      <w:tcPr>
        <w:shd w:val="clear" w:color="auto" w:fill="FFFFFF"/>
      </w:tcPr>
    </w:tblStylePr>
  </w:style>
  <w:style w:type="table" w:customStyle="1" w:styleId="499">
    <w:name w:val="Table Normal2"/>
    <w:uiPriority w:val="0"/>
    <w:rPr>
      <w:lang w:val="en-US" w:eastAsia="zh-CN" w:bidi="ar-SA"/>
    </w:rPr>
    <w:tblPr>
      <w:tblStyle w:val="77"/>
      <w:tblCellMar>
        <w:top w:w="0" w:type="dxa"/>
        <w:left w:w="0" w:type="dxa"/>
        <w:bottom w:w="0" w:type="dxa"/>
        <w:right w:w="0" w:type="dxa"/>
      </w:tblCellMar>
    </w:tblPr>
  </w:style>
  <w:style w:type="table" w:customStyle="1" w:styleId="500">
    <w:name w:val="Table Normal1"/>
    <w:uiPriority w:val="0"/>
    <w:rPr>
      <w:lang w:val="en-US" w:eastAsia="zh-CN" w:bidi="ar-SA"/>
    </w:rPr>
    <w:tblPr>
      <w:tblStyle w:val="77"/>
      <w:tblCellMar>
        <w:top w:w="0" w:type="dxa"/>
        <w:left w:w="0" w:type="dxa"/>
        <w:bottom w:w="0" w:type="dxa"/>
        <w:right w:w="0" w:type="dxa"/>
      </w:tblCellMar>
    </w:tblPr>
  </w:style>
  <w:style w:type="table" w:customStyle="1" w:styleId="501">
    <w:name w:val="TableGrid"/>
    <w:qFormat/>
    <w:uiPriority w:val="0"/>
    <w:rPr>
      <w:rFonts w:ascii="等线" w:hAnsi="等线" w:eastAsia="等线"/>
      <w:lang w:val="en-US" w:eastAsia="zh-CN" w:bidi="ar-SA"/>
    </w:rPr>
    <w:tblPr>
      <w:tblStyle w:val="77"/>
      <w:tblCellMar>
        <w:top w:w="0" w:type="dxa"/>
        <w:left w:w="0" w:type="dxa"/>
        <w:bottom w:w="0" w:type="dxa"/>
        <w:right w:w="0"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header1.xml" Type="http://schemas.openxmlformats.org/officeDocument/2006/relationships/header"/><Relationship Id="rId5" Target="footer2.xml" Type="http://schemas.openxmlformats.org/officeDocument/2006/relationships/footer"/><Relationship Id="rId6" Target="theme/theme1.xml" Type="http://schemas.openxmlformats.org/officeDocument/2006/relationships/theme"/><Relationship Id="rId7" Target="media/image1.png" Type="http://schemas.openxmlformats.org/officeDocument/2006/relationships/image"/><Relationship Id="rId8" Target="../customXml/item1.xml" Type="http://schemas.openxmlformats.org/officeDocument/2006/relationships/customXml"/><Relationship Id="rId9" Target="numbering.xml" Type="http://schemas.openxmlformats.org/officeDocument/2006/relationships/numberi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76</Pages>
  <Words>5768</Words>
  <Characters>32882</Characters>
  <Lines>274</Lines>
  <Paragraphs>77</Paragraphs>
  <TotalTime>2</TotalTime>
  <ScaleCrop>false</ScaleCrop>
  <LinksUpToDate>false</LinksUpToDate>
  <CharactersWithSpaces>38573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2020-09-28T07:11:00Z</dcterms:created>
  <dc:creator>CBC</dc:creator>
  <cp:lastModifiedBy>WPS_1701756769</cp:lastModifiedBy>
  <cp:lastPrinted>2021-07-19T02:41:44Z</cp:lastPrinted>
  <dcterms:modified xsi:type="dcterms:W3CDTF">2024-02-22T06:59:20Z</dcterms:modified>
  <cp:revision>3</cp:revision>
  <dc:title>余杭街道城区公厕保洁服务外包项目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45478FEDF3E245A4A5EE666E53031F24_13</vt:lpwstr>
  </property>
</Properties>
</file>