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b/>
        </w:rPr>
        <w:t>标段编号</w:t>
      </w:r>
      <w:r>
        <w:rPr>
          <w:rFonts w:hint="eastAsia"/>
          <w:lang w:val="en-US" w:eastAsia="zh-CN"/>
        </w:rPr>
        <w:t>：淳安县教育局淳安县第二幼儿园教具项目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b/>
          <w:lang w:val="en-US" w:eastAsia="zh-CN"/>
        </w:rPr>
        <w:t>标段名称</w:t>
      </w:r>
      <w:r>
        <w:rPr>
          <w:rFonts w:hint="eastAsia"/>
          <w:lang w:val="en-US" w:eastAsia="zh-CN"/>
        </w:rPr>
        <w:t>：CAZFCGGK2022-9号</w:t>
      </w:r>
      <w:bookmarkStart w:id="0" w:name="_GoBack"/>
      <w:bookmarkEnd w:id="0"/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杭州美室装饰设计有限公司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详见得分明细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杭州睿涵博文教用品有限公司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详见得分明细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245C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0</TotalTime>
  <ScaleCrop>false</ScaleCrop>
  <LinksUpToDate>false</LinksUpToDate>
  <CharactersWithSpaces>79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民</cp:lastModifiedBy>
  <dcterms:modified xsi:type="dcterms:W3CDTF">2022-06-01T01:22:14Z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