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4018"/>
        </w:tabs>
        <w:snapToGrid w:val="0"/>
        <w:spacing w:line="360" w:lineRule="auto"/>
        <w:ind w:firstLine="643" w:firstLineChars="200"/>
        <w:jc w:val="center"/>
        <w:rPr>
          <w:rFonts w:hint="default" w:ascii="仿宋" w:hAnsi="仿宋" w:eastAsia="仿宋" w:cs="仿宋"/>
          <w:b/>
          <w:bCs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color w:val="000000"/>
          <w:kern w:val="2"/>
          <w:sz w:val="32"/>
          <w:szCs w:val="32"/>
          <w:lang w:val="en-US" w:eastAsia="zh-CN" w:bidi="ar-SA"/>
        </w:rPr>
        <w:t>农村生活污水处理设施大修范围（不包含在本次报价中及运维范围内）</w:t>
      </w:r>
      <w:bookmarkStart w:id="0" w:name="_GoBack"/>
      <w:bookmarkEnd w:id="0"/>
    </w:p>
    <w:p>
      <w:pPr>
        <w:tabs>
          <w:tab w:val="left" w:pos="4018"/>
        </w:tabs>
        <w:snapToGrid w:val="0"/>
        <w:spacing w:line="360" w:lineRule="auto"/>
        <w:ind w:firstLine="640" w:firstLineChars="200"/>
        <w:rPr>
          <w:rFonts w:hint="eastAsia" w:ascii="仿宋" w:hAnsi="仿宋" w:eastAsia="仿宋" w:cs="仿宋"/>
          <w:b w:val="0"/>
          <w:color w:val="000000"/>
          <w:kern w:val="2"/>
          <w:sz w:val="32"/>
          <w:szCs w:val="32"/>
          <w:lang w:val="en-US" w:eastAsia="zh-CN" w:bidi="ar-SA"/>
        </w:rPr>
      </w:pPr>
    </w:p>
    <w:tbl>
      <w:tblPr>
        <w:tblStyle w:val="4"/>
        <w:tblW w:w="5000" w:type="pct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30" w:type="dxa"/>
          <w:bottom w:w="0" w:type="dxa"/>
          <w:right w:w="30" w:type="dxa"/>
        </w:tblCellMar>
      </w:tblPr>
      <w:tblGrid>
        <w:gridCol w:w="1349"/>
        <w:gridCol w:w="2059"/>
        <w:gridCol w:w="2053"/>
        <w:gridCol w:w="8557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1264" w:hRule="atLeast"/>
        </w:trPr>
        <w:tc>
          <w:tcPr>
            <w:tcW w:w="481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left" w:pos="4018"/>
              </w:tabs>
              <w:snapToGrid w:val="0"/>
              <w:spacing w:line="360" w:lineRule="auto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农村生活污水处理设施大修范围</w:t>
            </w:r>
          </w:p>
        </w:tc>
        <w:tc>
          <w:tcPr>
            <w:tcW w:w="1466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1.意外损毁修复</w:t>
            </w:r>
          </w:p>
        </w:tc>
        <w:tc>
          <w:tcPr>
            <w:tcW w:w="3051" w:type="pct"/>
            <w:tcBorders>
              <w:tl2br w:val="nil"/>
              <w:tr2bl w:val="nil"/>
            </w:tcBorders>
            <w:noWrap w:val="0"/>
            <w:vAlign w:val="top"/>
          </w:tcPr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1、暴雨、洪水、台风、海啸、地震、雷电、火灾等不可预见原因造成的处理设施损坏的修复；</w:t>
            </w:r>
          </w:p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2、沉降引起处理设施损坏的修复；</w:t>
            </w:r>
          </w:p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3、违法排污、人为破坏等造成的处理设施损毁的修复；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532" w:hRule="atLeast"/>
        </w:trPr>
        <w:tc>
          <w:tcPr>
            <w:tcW w:w="481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734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left" w:pos="4018"/>
              </w:tabs>
              <w:snapToGrid w:val="0"/>
              <w:spacing w:line="360" w:lineRule="auto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2.其他损毁修复</w:t>
            </w:r>
          </w:p>
        </w:tc>
        <w:tc>
          <w:tcPr>
            <w:tcW w:w="73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left" w:pos="4018"/>
              </w:tabs>
              <w:snapToGrid w:val="0"/>
              <w:spacing w:line="360" w:lineRule="auto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终端问题修复</w:t>
            </w:r>
          </w:p>
        </w:tc>
        <w:tc>
          <w:tcPr>
            <w:tcW w:w="3051" w:type="pct"/>
            <w:tcBorders>
              <w:tl2br w:val="nil"/>
              <w:tr2bl w:val="nil"/>
            </w:tcBorders>
            <w:noWrap w:val="0"/>
            <w:vAlign w:val="top"/>
          </w:tcPr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1、池体（罐体）倾斜、开裂、上浮等问题的修复；</w:t>
            </w:r>
          </w:p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2、水泵、风机、控制柜、消毒设备的更换修复；</w:t>
            </w:r>
          </w:p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3、人工湿地填料的更换，池体填料（包括球类填料、弹性填料、生物膜等）及曝气设施的更换；</w:t>
            </w:r>
          </w:p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4、摄像头、流量计、在线监测设备等仪表设备的修复；</w:t>
            </w:r>
          </w:p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5、终端范围内绿化的整体更换；</w:t>
            </w:r>
          </w:p>
          <w:p>
            <w:pPr>
              <w:pStyle w:val="2"/>
              <w:ind w:firstLine="640" w:firstLineChars="200"/>
              <w:rPr>
                <w:rFonts w:hint="default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color w:val="auto"/>
                <w:kern w:val="2"/>
                <w:sz w:val="32"/>
                <w:szCs w:val="32"/>
                <w:lang w:val="en-US" w:eastAsia="zh-CN" w:bidi="ar-SA"/>
              </w:rPr>
              <w:t>6、终端环境美化建设；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100" w:hRule="atLeast"/>
        </w:trPr>
        <w:tc>
          <w:tcPr>
            <w:tcW w:w="481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734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73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left" w:pos="4018"/>
              </w:tabs>
              <w:snapToGrid w:val="0"/>
              <w:spacing w:line="360" w:lineRule="auto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管网问题修复</w:t>
            </w:r>
          </w:p>
        </w:tc>
        <w:tc>
          <w:tcPr>
            <w:tcW w:w="3051" w:type="pct"/>
            <w:tcBorders>
              <w:tl2br w:val="nil"/>
              <w:tr2bl w:val="nil"/>
            </w:tcBorders>
            <w:noWrap w:val="0"/>
            <w:vAlign w:val="top"/>
          </w:tcPr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1、管道开裂、脱节问题的开挖修复；</w:t>
            </w:r>
          </w:p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2、管道变形产生堵塞的开挖修复；</w:t>
            </w:r>
          </w:p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3、池体（罐体）倾斜、开裂、上浮等问题的修复；</w:t>
            </w:r>
          </w:p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4、水泵、控制柜的更换；</w:t>
            </w:r>
          </w:p>
          <w:p>
            <w:pPr>
              <w:tabs>
                <w:tab w:val="left" w:pos="4018"/>
              </w:tabs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2"/>
                <w:sz w:val="32"/>
                <w:szCs w:val="32"/>
                <w:lang w:val="en-US" w:eastAsia="zh-CN" w:bidi="ar-SA"/>
              </w:rPr>
              <w:t>5、检查井（井盖除外）损坏的重建；</w:t>
            </w:r>
          </w:p>
        </w:tc>
      </w:tr>
    </w:tbl>
    <w:p>
      <w:pPr>
        <w:pStyle w:val="3"/>
        <w:rPr>
          <w:rFonts w:hint="eastAsia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C75FB4"/>
    <w:rsid w:val="03E86EE7"/>
    <w:rsid w:val="1C707B1D"/>
    <w:rsid w:val="54551D35"/>
    <w:rsid w:val="54CF7AF9"/>
    <w:rsid w:val="567F0C59"/>
    <w:rsid w:val="65766487"/>
    <w:rsid w:val="706573D7"/>
    <w:rsid w:val="721A1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Wingdings" w:hAnsi="Verdana" w:eastAsia="Wingdings" w:cs="等线"/>
      <w:b/>
      <w:color w:val="000000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  <w:rPr>
      <w:rFonts w:ascii="等线" w:hAnsi="等线" w:eastAsia="Verdana"/>
      <w:b w:val="0"/>
      <w:color w:val="auto"/>
      <w:kern w:val="2"/>
    </w:rPr>
  </w:style>
  <w:style w:type="paragraph" w:styleId="3">
    <w:name w:val="Body Text First Indent"/>
    <w:basedOn w:val="2"/>
    <w:next w:val="1"/>
    <w:qFormat/>
    <w:uiPriority w:val="0"/>
    <w:pPr>
      <w:ind w:firstLine="420" w:firstLineChars="100"/>
    </w:pPr>
  </w:style>
  <w:style w:type="paragraph" w:styleId="6">
    <w:name w:val="No Spacing"/>
    <w:qFormat/>
    <w:uiPriority w:val="1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94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永嘉县综合行政执法局</cp:lastModifiedBy>
  <dcterms:modified xsi:type="dcterms:W3CDTF">2021-01-04T02:27:45Z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