
<file path=[Content_Types].xml><?xml version="1.0" encoding="utf-8"?>
<Types xmlns="http://schemas.openxmlformats.org/package/2006/content-types">
  <Default ContentType="image/x-emf" Extension="emf"/>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color w:val="000000"/>
          <w:sz w:val="48"/>
          <w:szCs w:val="48"/>
        </w:rPr>
      </w:pPr>
      <w:bookmarkStart w:id="403" w:name="_GoBack"/>
      <w:bookmarkEnd w:id="403"/>
    </w:p>
    <w:p>
      <w:pPr>
        <w:spacing w:line="360" w:lineRule="auto"/>
        <w:ind w:firstLine="916" w:firstLineChars="200"/>
        <w:jc w:val="center"/>
        <w:rPr>
          <w:rFonts w:hint="default" w:ascii="宋体" w:hAnsi="宋体" w:eastAsia="宋体" w:cs="宋体"/>
          <w:b/>
          <w:color w:val="000000"/>
          <w:sz w:val="48"/>
          <w:szCs w:val="48"/>
          <w:u w:val="single"/>
          <w:lang w:val="en-US" w:eastAsia="zh-CN"/>
        </w:rPr>
      </w:pPr>
      <w:r>
        <w:rPr>
          <w:rFonts w:hint="eastAsia"/>
          <w:b/>
          <w:color w:val="000000"/>
          <w:spacing w:val="-12"/>
          <w:sz w:val="48"/>
          <w:szCs w:val="48"/>
        </w:rPr>
        <w:t>义乌市智能交通系统2023-2025年运维服务</w:t>
      </w:r>
      <w:r>
        <w:rPr>
          <w:rFonts w:hint="eastAsia"/>
          <w:b/>
          <w:color w:val="000000"/>
          <w:spacing w:val="-12"/>
          <w:sz w:val="48"/>
          <w:szCs w:val="48"/>
          <w:lang w:val="en-US" w:eastAsia="zh-CN"/>
        </w:rPr>
        <w:t>采购项目</w:t>
      </w: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rPr>
          <w:rFonts w:hint="eastAsia"/>
          <w:color w:val="000000"/>
        </w:rPr>
      </w:pPr>
    </w:p>
    <w:p>
      <w:pPr>
        <w:pStyle w:val="50"/>
        <w:ind w:left="435" w:firstLine="437"/>
        <w:rPr>
          <w:rFonts w:hint="eastAsia" w:ascii="宋体" w:hAnsi="宋体" w:cs="宋体"/>
          <w:color w:val="000000"/>
        </w:rPr>
      </w:pPr>
    </w:p>
    <w:p>
      <w:pPr>
        <w:spacing w:line="360" w:lineRule="auto"/>
        <w:ind w:firstLine="3240" w:firstLineChars="450"/>
        <w:rPr>
          <w:rFonts w:hint="eastAsia" w:ascii="宋体" w:hAnsi="宋体" w:cs="宋体"/>
          <w:color w:val="000000"/>
          <w:sz w:val="72"/>
          <w:szCs w:val="72"/>
        </w:rPr>
      </w:pPr>
      <w:r>
        <w:rPr>
          <w:rFonts w:hint="eastAsia" w:ascii="宋体" w:hAnsi="宋体" w:cs="宋体"/>
          <w:color w:val="000000"/>
          <w:sz w:val="72"/>
          <w:szCs w:val="72"/>
        </w:rPr>
        <w:t>招标文件</w:t>
      </w:r>
    </w:p>
    <w:p>
      <w:pPr>
        <w:spacing w:line="360" w:lineRule="auto"/>
        <w:ind w:firstLine="1440" w:firstLineChars="200"/>
        <w:jc w:val="center"/>
        <w:rPr>
          <w:rFonts w:hint="eastAsia" w:ascii="宋体" w:hAnsi="宋体" w:cs="宋体"/>
          <w:color w:val="000000"/>
          <w:sz w:val="72"/>
          <w:szCs w:val="72"/>
        </w:rPr>
      </w:pPr>
    </w:p>
    <w:p>
      <w:pPr>
        <w:pStyle w:val="2"/>
        <w:rPr>
          <w:rFonts w:hint="eastAsia"/>
          <w:color w:val="000000"/>
        </w:rPr>
      </w:pPr>
    </w:p>
    <w:p>
      <w:pPr>
        <w:pStyle w:val="27"/>
        <w:snapToGrid w:val="0"/>
        <w:spacing w:before="120" w:after="120" w:line="360" w:lineRule="auto"/>
        <w:ind w:firstLine="2249" w:firstLineChars="700"/>
        <w:rPr>
          <w:rFonts w:hint="eastAsia" w:hAnsi="宋体" w:cs="宋体"/>
          <w:b/>
          <w:bCs/>
          <w:color w:val="000000"/>
          <w:sz w:val="32"/>
          <w:szCs w:val="32"/>
        </w:rPr>
      </w:pPr>
      <w:r>
        <w:rPr>
          <w:rFonts w:hint="eastAsia" w:hAnsi="宋体" w:cs="宋体"/>
          <w:b/>
          <w:bCs/>
          <w:color w:val="000000"/>
          <w:sz w:val="32"/>
          <w:szCs w:val="32"/>
        </w:rPr>
        <w:t>采购编号：</w:t>
      </w:r>
      <w:r>
        <w:rPr>
          <w:rFonts w:hint="eastAsia" w:hAnsi="宋体" w:cs="宋体"/>
          <w:b/>
          <w:bCs/>
          <w:color w:val="000000"/>
          <w:sz w:val="32"/>
        </w:rPr>
        <w:t>SJZJZC2022</w:t>
      </w:r>
      <w:r>
        <w:rPr>
          <w:rFonts w:hint="eastAsia" w:hAnsi="宋体" w:cs="宋体"/>
          <w:b/>
          <w:bCs/>
          <w:color w:val="000000"/>
          <w:sz w:val="32"/>
          <w:lang w:val="en-US" w:eastAsia="zh-CN"/>
        </w:rPr>
        <w:t>5</w:t>
      </w:r>
      <w:r>
        <w:rPr>
          <w:rFonts w:hint="eastAsia" w:hAnsi="宋体" w:cs="宋体"/>
          <w:b/>
          <w:bCs/>
          <w:color w:val="000000"/>
          <w:sz w:val="32"/>
          <w:lang w:val="en-US" w:eastAsia="zh-CN"/>
        </w:rPr>
        <w:t>60</w:t>
      </w:r>
      <w:r>
        <w:rPr>
          <w:rFonts w:hint="eastAsia" w:hAnsi="宋体" w:cs="宋体"/>
          <w:b/>
          <w:bCs/>
          <w:color w:val="000000"/>
          <w:sz w:val="32"/>
        </w:rPr>
        <w:t>GK</w:t>
      </w:r>
    </w:p>
    <w:p>
      <w:pPr>
        <w:pStyle w:val="27"/>
        <w:snapToGrid w:val="0"/>
        <w:spacing w:before="120" w:after="120" w:line="360" w:lineRule="auto"/>
        <w:rPr>
          <w:rFonts w:hint="eastAsia" w:hAnsi="宋体" w:cs="宋体"/>
          <w:color w:val="000000"/>
          <w:sz w:val="30"/>
          <w:szCs w:val="72"/>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27"/>
        <w:spacing w:line="600" w:lineRule="exact"/>
        <w:rPr>
          <w:rFonts w:hint="eastAsia" w:hAnsi="宋体" w:cs="宋体"/>
          <w:b/>
          <w:color w:val="000000"/>
          <w:sz w:val="32"/>
          <w:u w:val="single"/>
        </w:rPr>
      </w:pPr>
      <w:r>
        <w:rPr>
          <w:rFonts w:hint="eastAsia" w:hAnsi="宋体" w:cs="宋体"/>
          <w:b/>
          <w:color w:val="000000"/>
          <w:sz w:val="32"/>
        </w:rPr>
        <w:t>采购人:</w:t>
      </w:r>
      <w:r>
        <w:rPr>
          <w:rFonts w:hint="eastAsia" w:hAnsi="宋体" w:cs="宋体"/>
          <w:b/>
          <w:color w:val="000000"/>
          <w:sz w:val="32"/>
          <w:u w:val="single"/>
        </w:rPr>
        <w:t xml:space="preserve"> </w:t>
      </w:r>
      <w:r>
        <w:rPr>
          <w:rFonts w:hint="eastAsia" w:hAnsi="宋体" w:cs="宋体"/>
          <w:b/>
          <w:color w:val="000000"/>
          <w:sz w:val="32"/>
          <w:u w:val="single"/>
          <w:lang w:eastAsia="zh-CN"/>
        </w:rPr>
        <w:t>义乌市公安局交通警察大队</w:t>
      </w:r>
      <w:r>
        <w:rPr>
          <w:rFonts w:hint="eastAsia" w:hAnsi="宋体" w:cs="宋体"/>
          <w:b/>
          <w:color w:val="000000"/>
          <w:sz w:val="32"/>
          <w:u w:val="single"/>
        </w:rPr>
        <w:t>(盖章)</w:t>
      </w:r>
    </w:p>
    <w:p>
      <w:pPr>
        <w:pStyle w:val="27"/>
        <w:spacing w:after="167" w:afterLines="50" w:line="600" w:lineRule="exact"/>
        <w:rPr>
          <w:rFonts w:hint="eastAsia" w:hAnsi="宋体" w:cs="宋体"/>
          <w:b/>
          <w:color w:val="000000"/>
          <w:sz w:val="32"/>
          <w:u w:val="single"/>
        </w:rPr>
      </w:pPr>
      <w:r>
        <w:rPr>
          <w:rFonts w:hint="eastAsia" w:hAnsi="宋体" w:cs="宋体"/>
          <w:b/>
          <w:color w:val="000000"/>
          <w:sz w:val="32"/>
        </w:rPr>
        <w:t>法定代表人或其授权委托人:</w:t>
      </w:r>
      <w:r>
        <w:rPr>
          <w:rFonts w:hint="eastAsia" w:hAnsi="宋体" w:cs="宋体"/>
          <w:b/>
          <w:color w:val="000000"/>
          <w:sz w:val="32"/>
          <w:u w:val="single"/>
        </w:rPr>
        <w:t xml:space="preserve">               (签字或盖章)</w:t>
      </w:r>
    </w:p>
    <w:p>
      <w:pPr>
        <w:pStyle w:val="27"/>
        <w:spacing w:after="167" w:afterLines="50" w:line="600" w:lineRule="exact"/>
        <w:rPr>
          <w:rFonts w:hint="eastAsia" w:hAnsi="宋体" w:cs="宋体"/>
          <w:b/>
          <w:color w:val="000000"/>
          <w:sz w:val="32"/>
          <w:u w:val="single"/>
        </w:rPr>
      </w:pPr>
      <w:r>
        <w:rPr>
          <w:rFonts w:hint="eastAsia" w:hAnsi="宋体" w:cs="宋体"/>
          <w:b/>
          <w:color w:val="000000"/>
          <w:sz w:val="32"/>
        </w:rPr>
        <w:t>采购代理机构:</w:t>
      </w:r>
      <w:r>
        <w:rPr>
          <w:rFonts w:hint="eastAsia" w:hAnsi="宋体" w:cs="宋体"/>
          <w:b/>
          <w:color w:val="000000"/>
          <w:sz w:val="32"/>
          <w:u w:val="single"/>
        </w:rPr>
        <w:t xml:space="preserve">  浙江至诚工程咨询有限责任公司  (盖章)</w:t>
      </w:r>
    </w:p>
    <w:p>
      <w:pPr>
        <w:pStyle w:val="27"/>
        <w:spacing w:after="167" w:afterLines="50" w:line="600" w:lineRule="exact"/>
        <w:rPr>
          <w:rFonts w:hint="eastAsia" w:hAnsi="宋体" w:cs="宋体"/>
          <w:b/>
          <w:color w:val="000000"/>
          <w:sz w:val="32"/>
          <w:u w:val="single"/>
        </w:rPr>
      </w:pPr>
      <w:r>
        <w:rPr>
          <w:rFonts w:hint="eastAsia" w:hAnsi="宋体" w:cs="宋体"/>
          <w:b/>
          <w:color w:val="000000"/>
          <w:sz w:val="32"/>
        </w:rPr>
        <w:t>法定代表人或其授权委托人:</w:t>
      </w:r>
      <w:r>
        <w:rPr>
          <w:rFonts w:hint="eastAsia" w:hAnsi="宋体" w:cs="宋体"/>
          <w:b/>
          <w:color w:val="000000"/>
          <w:sz w:val="32"/>
          <w:u w:val="single"/>
        </w:rPr>
        <w:t xml:space="preserve">               (签字或盖章)</w:t>
      </w:r>
    </w:p>
    <w:p>
      <w:pPr>
        <w:pStyle w:val="27"/>
        <w:spacing w:after="167" w:afterLines="50" w:line="600" w:lineRule="exact"/>
        <w:rPr>
          <w:rFonts w:hint="eastAsia" w:hAnsi="宋体" w:cs="宋体"/>
          <w:b/>
          <w:color w:val="000000"/>
          <w:sz w:val="32"/>
        </w:rPr>
      </w:pPr>
      <w:r>
        <w:rPr>
          <w:rFonts w:hint="eastAsia" w:hAnsi="宋体" w:cs="宋体"/>
          <w:b/>
          <w:color w:val="000000"/>
          <w:sz w:val="32"/>
        </w:rPr>
        <w:t>日       期: 二0二二年</w:t>
      </w:r>
      <w:r>
        <w:rPr>
          <w:rFonts w:hint="eastAsia" w:hAnsi="宋体" w:cs="宋体"/>
          <w:b/>
          <w:color w:val="000000"/>
          <w:sz w:val="32"/>
          <w:lang w:val="en-US" w:eastAsia="zh-CN"/>
        </w:rPr>
        <w:t>十</w:t>
      </w:r>
      <w:r>
        <w:rPr>
          <w:rFonts w:hint="eastAsia" w:hAnsi="宋体" w:cs="宋体"/>
          <w:b/>
          <w:color w:val="000000"/>
          <w:sz w:val="32"/>
          <w:lang w:val="en-US" w:eastAsia="zh-CN"/>
        </w:rPr>
        <w:t>一</w:t>
      </w:r>
      <w:r>
        <w:rPr>
          <w:rFonts w:hint="eastAsia" w:hAnsi="宋体" w:cs="宋体"/>
          <w:b/>
          <w:color w:val="000000"/>
          <w:sz w:val="32"/>
        </w:rPr>
        <w:t>月</w:t>
      </w:r>
    </w:p>
    <w:p>
      <w:pPr>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sectPr>
          <w:headerReference r:id="rId3" w:type="default"/>
          <w:footerReference r:id="rId5" w:type="default"/>
          <w:headerReference r:id="rId4" w:type="even"/>
          <w:footerReference r:id="rId6" w:type="even"/>
          <w:pgSz w:w="11906" w:h="16838"/>
          <w:pgMar w:top="1440" w:right="1633" w:bottom="1440" w:left="163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color w:val="000000"/>
        </w:rPr>
      </w:pPr>
    </w:p>
    <w:p>
      <w:pPr>
        <w:pStyle w:val="27"/>
        <w:spacing w:before="120" w:after="120" w:line="360" w:lineRule="auto"/>
        <w:jc w:val="center"/>
        <w:rPr>
          <w:rFonts w:hint="eastAsia" w:hAnsi="宋体" w:cs="宋体"/>
          <w:b/>
          <w:color w:val="000000"/>
          <w:sz w:val="44"/>
          <w:szCs w:val="44"/>
        </w:rPr>
      </w:pPr>
      <w:r>
        <w:rPr>
          <w:rFonts w:hint="eastAsia" w:hAnsi="宋体" w:cs="宋体"/>
          <w:b/>
          <w:color w:val="000000"/>
          <w:sz w:val="44"/>
          <w:szCs w:val="44"/>
        </w:rPr>
        <w:t>招标文件目录</w:t>
      </w:r>
    </w:p>
    <w:p>
      <w:pPr>
        <w:pStyle w:val="35"/>
        <w:tabs>
          <w:tab w:val="right" w:leader="dot" w:pos="8640"/>
        </w:tabs>
        <w:rPr>
          <w:color w:val="000000"/>
        </w:rPr>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_Toc5255 </w:instrText>
      </w:r>
      <w:r>
        <w:rPr>
          <w:rFonts w:hint="eastAsia" w:ascii="宋体" w:hAnsi="宋体" w:cs="宋体"/>
          <w:color w:val="000000"/>
          <w:szCs w:val="30"/>
        </w:rPr>
        <w:fldChar w:fldCharType="separate"/>
      </w:r>
      <w:r>
        <w:rPr>
          <w:rFonts w:hint="eastAsia" w:ascii="宋体" w:hAnsi="宋体" w:cs="宋体"/>
          <w:color w:val="000000"/>
        </w:rPr>
        <w:t>第一章　采购公告</w:t>
      </w:r>
      <w:r>
        <w:rPr>
          <w:color w:val="000000"/>
        </w:rPr>
        <w:tab/>
      </w:r>
      <w:r>
        <w:rPr>
          <w:color w:val="000000"/>
        </w:rPr>
        <w:fldChar w:fldCharType="begin"/>
      </w:r>
      <w:r>
        <w:rPr>
          <w:color w:val="000000"/>
        </w:rPr>
        <w:instrText xml:space="preserve"> PAGEREF _Toc5255 \h </w:instrText>
      </w:r>
      <w:r>
        <w:rPr>
          <w:color w:val="000000"/>
        </w:rPr>
        <w:fldChar w:fldCharType="separate"/>
      </w:r>
      <w:r>
        <w:rPr>
          <w:color w:val="000000"/>
        </w:rPr>
        <w:t>2</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_Toc13247 </w:instrText>
      </w:r>
      <w:r>
        <w:rPr>
          <w:rFonts w:hint="eastAsia" w:ascii="宋体" w:hAnsi="宋体" w:cs="宋体"/>
          <w:color w:val="000000"/>
          <w:szCs w:val="30"/>
        </w:rPr>
        <w:fldChar w:fldCharType="separate"/>
      </w:r>
      <w:r>
        <w:rPr>
          <w:rFonts w:hint="eastAsia" w:ascii="宋体" w:hAnsi="宋体" w:eastAsia="宋体" w:cs="宋体"/>
          <w:bCs/>
          <w:color w:val="000000"/>
        </w:rPr>
        <w:t>第二章　投标须知和投标须知前附表</w:t>
      </w:r>
      <w:r>
        <w:rPr>
          <w:color w:val="000000"/>
        </w:rPr>
        <w:tab/>
      </w:r>
      <w:r>
        <w:rPr>
          <w:color w:val="000000"/>
        </w:rPr>
        <w:fldChar w:fldCharType="begin"/>
      </w:r>
      <w:r>
        <w:rPr>
          <w:color w:val="000000"/>
        </w:rPr>
        <w:instrText xml:space="preserve"> PAGEREF _Toc13247 \h </w:instrText>
      </w:r>
      <w:r>
        <w:rPr>
          <w:color w:val="000000"/>
        </w:rPr>
        <w:fldChar w:fldCharType="separate"/>
      </w:r>
      <w:r>
        <w:rPr>
          <w:color w:val="000000"/>
        </w:rPr>
        <w:t>6</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_Toc1870 </w:instrText>
      </w:r>
      <w:r>
        <w:rPr>
          <w:rFonts w:hint="eastAsia" w:ascii="宋体" w:hAnsi="宋体" w:cs="宋体"/>
          <w:color w:val="000000"/>
          <w:szCs w:val="30"/>
        </w:rPr>
        <w:fldChar w:fldCharType="separate"/>
      </w:r>
      <w:r>
        <w:rPr>
          <w:rFonts w:hint="eastAsia" w:ascii="宋体" w:hAnsi="宋体" w:cs="宋体"/>
          <w:color w:val="000000"/>
          <w:szCs w:val="36"/>
        </w:rPr>
        <w:t>投标须知</w:t>
      </w:r>
      <w:r>
        <w:rPr>
          <w:color w:val="000000"/>
        </w:rPr>
        <w:tab/>
      </w:r>
      <w:r>
        <w:rPr>
          <w:color w:val="000000"/>
        </w:rPr>
        <w:fldChar w:fldCharType="begin"/>
      </w:r>
      <w:r>
        <w:rPr>
          <w:color w:val="000000"/>
        </w:rPr>
        <w:instrText xml:space="preserve"> PAGEREF _Toc1870 \h </w:instrText>
      </w:r>
      <w:r>
        <w:rPr>
          <w:color w:val="000000"/>
        </w:rPr>
        <w:fldChar w:fldCharType="separate"/>
      </w:r>
      <w:r>
        <w:rPr>
          <w:color w:val="000000"/>
        </w:rPr>
        <w:t>11</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_Toc1328 </w:instrText>
      </w:r>
      <w:r>
        <w:rPr>
          <w:rFonts w:hint="eastAsia" w:ascii="宋体" w:hAnsi="宋体" w:cs="宋体"/>
          <w:color w:val="000000"/>
          <w:szCs w:val="30"/>
        </w:rPr>
        <w:fldChar w:fldCharType="separate"/>
      </w:r>
      <w:r>
        <w:rPr>
          <w:rFonts w:hint="eastAsia" w:ascii="宋体" w:hAnsi="宋体" w:eastAsia="宋体" w:cs="宋体"/>
          <w:color w:val="000000"/>
          <w:szCs w:val="28"/>
        </w:rPr>
        <w:t>一、总则</w:t>
      </w:r>
      <w:r>
        <w:rPr>
          <w:color w:val="000000"/>
        </w:rPr>
        <w:tab/>
      </w:r>
      <w:r>
        <w:rPr>
          <w:color w:val="000000"/>
        </w:rPr>
        <w:fldChar w:fldCharType="begin"/>
      </w:r>
      <w:r>
        <w:rPr>
          <w:color w:val="000000"/>
        </w:rPr>
        <w:instrText xml:space="preserve"> PAGEREF _Toc1328 \h </w:instrText>
      </w:r>
      <w:r>
        <w:rPr>
          <w:color w:val="000000"/>
        </w:rPr>
        <w:fldChar w:fldCharType="separate"/>
      </w:r>
      <w:r>
        <w:rPr>
          <w:color w:val="000000"/>
        </w:rPr>
        <w:t>11</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_Toc15689 </w:instrText>
      </w:r>
      <w:r>
        <w:rPr>
          <w:rFonts w:hint="eastAsia" w:ascii="宋体" w:hAnsi="宋体" w:cs="宋体"/>
          <w:color w:val="000000"/>
          <w:szCs w:val="30"/>
        </w:rPr>
        <w:fldChar w:fldCharType="separate"/>
      </w:r>
      <w:r>
        <w:rPr>
          <w:rFonts w:hint="eastAsia" w:ascii="宋体" w:hAnsi="宋体" w:eastAsia="宋体" w:cs="宋体"/>
          <w:color w:val="000000"/>
          <w:szCs w:val="28"/>
        </w:rPr>
        <w:t>二、招标文件</w:t>
      </w:r>
      <w:r>
        <w:rPr>
          <w:color w:val="000000"/>
        </w:rPr>
        <w:tab/>
      </w:r>
      <w:r>
        <w:rPr>
          <w:color w:val="000000"/>
        </w:rPr>
        <w:fldChar w:fldCharType="begin"/>
      </w:r>
      <w:r>
        <w:rPr>
          <w:color w:val="000000"/>
        </w:rPr>
        <w:instrText xml:space="preserve"> PAGEREF _Toc15689 \h </w:instrText>
      </w:r>
      <w:r>
        <w:rPr>
          <w:color w:val="000000"/>
        </w:rPr>
        <w:fldChar w:fldCharType="separate"/>
      </w:r>
      <w:r>
        <w:rPr>
          <w:color w:val="000000"/>
        </w:rPr>
        <w:t>13</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_Toc28015 </w:instrText>
      </w:r>
      <w:r>
        <w:rPr>
          <w:rFonts w:hint="eastAsia" w:ascii="宋体" w:hAnsi="宋体" w:cs="宋体"/>
          <w:color w:val="000000"/>
          <w:szCs w:val="30"/>
        </w:rPr>
        <w:fldChar w:fldCharType="separate"/>
      </w:r>
      <w:r>
        <w:rPr>
          <w:rFonts w:hint="eastAsia" w:ascii="宋体" w:hAnsi="宋体" w:eastAsia="宋体" w:cs="宋体"/>
          <w:color w:val="000000"/>
          <w:szCs w:val="28"/>
        </w:rPr>
        <w:t>三、投标文件</w:t>
      </w:r>
      <w:r>
        <w:rPr>
          <w:color w:val="000000"/>
        </w:rPr>
        <w:tab/>
      </w:r>
      <w:r>
        <w:rPr>
          <w:color w:val="000000"/>
        </w:rPr>
        <w:fldChar w:fldCharType="begin"/>
      </w:r>
      <w:r>
        <w:rPr>
          <w:color w:val="000000"/>
        </w:rPr>
        <w:instrText xml:space="preserve"> PAGEREF _Toc28015 \h </w:instrText>
      </w:r>
      <w:r>
        <w:rPr>
          <w:color w:val="000000"/>
        </w:rPr>
        <w:fldChar w:fldCharType="separate"/>
      </w:r>
      <w:r>
        <w:rPr>
          <w:color w:val="000000"/>
        </w:rPr>
        <w:t>14</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_Toc19099 </w:instrText>
      </w:r>
      <w:r>
        <w:rPr>
          <w:rFonts w:hint="eastAsia" w:ascii="宋体" w:hAnsi="宋体" w:cs="宋体"/>
          <w:color w:val="000000"/>
          <w:szCs w:val="30"/>
        </w:rPr>
        <w:fldChar w:fldCharType="separate"/>
      </w:r>
      <w:r>
        <w:rPr>
          <w:rFonts w:hint="eastAsia" w:ascii="宋体" w:hAnsi="宋体" w:eastAsia="宋体" w:cs="宋体"/>
          <w:color w:val="000000"/>
          <w:szCs w:val="28"/>
        </w:rPr>
        <w:t>四、投标文件的递交</w:t>
      </w:r>
      <w:r>
        <w:rPr>
          <w:color w:val="000000"/>
        </w:rPr>
        <w:tab/>
      </w:r>
      <w:r>
        <w:rPr>
          <w:color w:val="000000"/>
        </w:rPr>
        <w:fldChar w:fldCharType="begin"/>
      </w:r>
      <w:r>
        <w:rPr>
          <w:color w:val="000000"/>
        </w:rPr>
        <w:instrText xml:space="preserve"> PAGEREF _Toc19099 \h </w:instrText>
      </w:r>
      <w:r>
        <w:rPr>
          <w:color w:val="000000"/>
        </w:rPr>
        <w:fldChar w:fldCharType="separate"/>
      </w:r>
      <w:r>
        <w:rPr>
          <w:color w:val="000000"/>
        </w:rPr>
        <w:t>18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_Toc17777 </w:instrText>
      </w:r>
      <w:r>
        <w:rPr>
          <w:rFonts w:hint="eastAsia" w:ascii="宋体" w:hAnsi="宋体" w:cs="宋体"/>
          <w:color w:val="000000"/>
          <w:szCs w:val="30"/>
        </w:rPr>
        <w:fldChar w:fldCharType="separate"/>
      </w:r>
      <w:r>
        <w:rPr>
          <w:rFonts w:hint="eastAsia" w:ascii="宋体" w:hAnsi="宋体" w:eastAsia="宋体" w:cs="宋体"/>
          <w:color w:val="000000"/>
          <w:szCs w:val="28"/>
        </w:rPr>
        <w:t>五、其它</w:t>
      </w:r>
      <w:r>
        <w:rPr>
          <w:color w:val="000000"/>
        </w:rPr>
        <w:tab/>
      </w:r>
      <w:r>
        <w:rPr>
          <w:color w:val="000000"/>
        </w:rPr>
        <w:fldChar w:fldCharType="begin"/>
      </w:r>
      <w:r>
        <w:rPr>
          <w:color w:val="000000"/>
        </w:rPr>
        <w:instrText xml:space="preserve"> PAGEREF _Toc17777 \h </w:instrText>
      </w:r>
      <w:r>
        <w:rPr>
          <w:color w:val="000000"/>
        </w:rPr>
        <w:fldChar w:fldCharType="separate"/>
      </w:r>
      <w:r>
        <w:rPr>
          <w:color w:val="000000"/>
        </w:rPr>
        <w:t>19</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_Toc19540 </w:instrText>
      </w:r>
      <w:r>
        <w:rPr>
          <w:rFonts w:hint="eastAsia" w:ascii="宋体" w:hAnsi="宋体" w:cs="宋体"/>
          <w:color w:val="000000"/>
          <w:szCs w:val="30"/>
        </w:rPr>
        <w:fldChar w:fldCharType="separate"/>
      </w:r>
      <w:r>
        <w:rPr>
          <w:rFonts w:hint="eastAsia" w:ascii="宋体" w:hAnsi="宋体" w:cs="宋体"/>
          <w:color w:val="000000"/>
        </w:rPr>
        <w:t>第三章  招标项目要求</w:t>
      </w:r>
      <w:r>
        <w:rPr>
          <w:color w:val="000000"/>
        </w:rPr>
        <w:tab/>
      </w:r>
      <w:r>
        <w:rPr>
          <w:color w:val="000000"/>
        </w:rPr>
        <w:fldChar w:fldCharType="begin"/>
      </w:r>
      <w:r>
        <w:rPr>
          <w:color w:val="000000"/>
        </w:rPr>
        <w:instrText xml:space="preserve"> PAGEREF _Toc19540 \h </w:instrText>
      </w:r>
      <w:r>
        <w:rPr>
          <w:color w:val="000000"/>
        </w:rPr>
        <w:fldChar w:fldCharType="separate"/>
      </w:r>
      <w:r>
        <w:rPr>
          <w:color w:val="000000"/>
        </w:rPr>
        <w:t>20</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_Toc1577 </w:instrText>
      </w:r>
      <w:r>
        <w:rPr>
          <w:rFonts w:hint="eastAsia" w:ascii="宋体" w:hAnsi="宋体" w:cs="宋体"/>
          <w:color w:val="000000"/>
          <w:szCs w:val="30"/>
        </w:rPr>
        <w:fldChar w:fldCharType="separate"/>
      </w:r>
      <w:r>
        <w:rPr>
          <w:rFonts w:hint="eastAsia" w:ascii="宋体" w:hAnsi="宋体" w:eastAsia="宋体" w:cs="Times New Roman"/>
          <w:bCs/>
          <w:color w:val="000000"/>
          <w:szCs w:val="28"/>
          <w:lang w:val="en-US" w:eastAsia="zh-CN"/>
        </w:rPr>
        <w:t>一</w:t>
      </w:r>
      <w:r>
        <w:rPr>
          <w:rFonts w:hint="eastAsia" w:ascii="宋体" w:hAnsi="宋体" w:eastAsia="宋体" w:cs="Times New Roman"/>
          <w:bCs/>
          <w:color w:val="000000"/>
          <w:szCs w:val="28"/>
          <w:lang w:val="zh-TW" w:eastAsia="zh-TW"/>
        </w:rPr>
        <w:t>、</w:t>
      </w:r>
      <w:r>
        <w:rPr>
          <w:rFonts w:hint="eastAsia" w:ascii="宋体" w:hAnsi="宋体" w:eastAsia="宋体" w:cs="Times New Roman"/>
          <w:bCs/>
          <w:color w:val="000000"/>
          <w:szCs w:val="28"/>
          <w:lang w:val="en-US" w:eastAsia="zh-CN"/>
        </w:rPr>
        <w:t>招标</w:t>
      </w:r>
      <w:r>
        <w:rPr>
          <w:rFonts w:hint="eastAsia" w:ascii="宋体" w:hAnsi="宋体" w:eastAsia="宋体" w:cs="Times New Roman"/>
          <w:bCs/>
          <w:color w:val="000000"/>
          <w:szCs w:val="28"/>
          <w:lang w:val="zh-TW" w:eastAsia="zh-TW"/>
        </w:rPr>
        <w:t>服务内容</w:t>
      </w:r>
      <w:r>
        <w:rPr>
          <w:color w:val="000000"/>
        </w:rPr>
        <w:tab/>
      </w:r>
      <w:r>
        <w:rPr>
          <w:color w:val="000000"/>
        </w:rPr>
        <w:fldChar w:fldCharType="begin"/>
      </w:r>
      <w:r>
        <w:rPr>
          <w:color w:val="000000"/>
        </w:rPr>
        <w:instrText xml:space="preserve"> PAGEREF _Toc1577 \h </w:instrText>
      </w:r>
      <w:r>
        <w:rPr>
          <w:color w:val="000000"/>
        </w:rPr>
        <w:fldChar w:fldCharType="separate"/>
      </w:r>
      <w:r>
        <w:rPr>
          <w:color w:val="000000"/>
        </w:rPr>
        <w:t>20</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_Toc3868 </w:instrText>
      </w:r>
      <w:r>
        <w:rPr>
          <w:rFonts w:hint="eastAsia" w:ascii="宋体" w:hAnsi="宋体" w:cs="宋体"/>
          <w:color w:val="000000"/>
          <w:szCs w:val="30"/>
        </w:rPr>
        <w:fldChar w:fldCharType="separate"/>
      </w:r>
      <w:r>
        <w:rPr>
          <w:rFonts w:hint="eastAsia" w:ascii="宋体" w:hAnsi="宋体" w:eastAsia="宋体" w:cs="Times New Roman"/>
          <w:bCs/>
          <w:color w:val="000000"/>
          <w:szCs w:val="28"/>
          <w:lang w:val="en-US" w:eastAsia="zh-CN"/>
        </w:rPr>
        <w:t>二、实施人员、设备要求</w:t>
      </w:r>
      <w:r>
        <w:rPr>
          <w:color w:val="000000"/>
        </w:rPr>
        <w:tab/>
      </w:r>
      <w:r>
        <w:rPr>
          <w:color w:val="000000"/>
        </w:rPr>
        <w:fldChar w:fldCharType="begin"/>
      </w:r>
      <w:r>
        <w:rPr>
          <w:color w:val="000000"/>
        </w:rPr>
        <w:instrText xml:space="preserve"> PAGEREF _Toc3868 \h </w:instrText>
      </w:r>
      <w:r>
        <w:rPr>
          <w:color w:val="000000"/>
        </w:rPr>
        <w:fldChar w:fldCharType="separate"/>
      </w:r>
      <w:r>
        <w:rPr>
          <w:color w:val="000000"/>
        </w:rPr>
        <w:t>47</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_Toc11039 </w:instrText>
      </w:r>
      <w:r>
        <w:rPr>
          <w:rFonts w:hint="eastAsia" w:ascii="宋体" w:hAnsi="宋体" w:cs="宋体"/>
          <w:color w:val="000000"/>
          <w:szCs w:val="30"/>
        </w:rPr>
        <w:fldChar w:fldCharType="separate"/>
      </w:r>
      <w:r>
        <w:rPr>
          <w:rFonts w:hint="eastAsia" w:ascii="宋体" w:hAnsi="宋体" w:eastAsia="宋体" w:cs="Times New Roman"/>
          <w:bCs/>
          <w:color w:val="000000"/>
          <w:szCs w:val="28"/>
          <w:lang w:val="en-US" w:eastAsia="zh-CN"/>
        </w:rPr>
        <w:t>三、其他工作要求</w:t>
      </w:r>
      <w:r>
        <w:rPr>
          <w:color w:val="000000"/>
        </w:rPr>
        <w:tab/>
      </w:r>
      <w:r>
        <w:rPr>
          <w:color w:val="000000"/>
        </w:rPr>
        <w:fldChar w:fldCharType="begin"/>
      </w:r>
      <w:r>
        <w:rPr>
          <w:color w:val="000000"/>
        </w:rPr>
        <w:instrText xml:space="preserve"> PAGEREF _Toc11039 \h </w:instrText>
      </w:r>
      <w:r>
        <w:rPr>
          <w:color w:val="000000"/>
        </w:rPr>
        <w:fldChar w:fldCharType="separate"/>
      </w:r>
      <w:r>
        <w:rPr>
          <w:color w:val="000000"/>
        </w:rPr>
        <w:t>48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_Toc25581 </w:instrText>
      </w:r>
      <w:r>
        <w:rPr>
          <w:rFonts w:hint="eastAsia" w:ascii="宋体" w:hAnsi="宋体" w:cs="宋体"/>
          <w:color w:val="000000"/>
          <w:szCs w:val="30"/>
        </w:rPr>
        <w:fldChar w:fldCharType="separate"/>
      </w:r>
      <w:r>
        <w:rPr>
          <w:rFonts w:hint="eastAsia" w:ascii="宋体" w:hAnsi="宋体" w:eastAsia="宋体"/>
          <w:color w:val="000000"/>
          <w:szCs w:val="28"/>
          <w:lang w:val="en-US" w:eastAsia="zh-CN"/>
        </w:rPr>
        <w:t>四</w:t>
      </w:r>
      <w:r>
        <w:rPr>
          <w:rFonts w:hint="eastAsia" w:ascii="宋体" w:hAnsi="宋体" w:eastAsia="宋体"/>
          <w:color w:val="000000"/>
          <w:szCs w:val="28"/>
        </w:rPr>
        <w:t>、服务日期要求及服务地点</w:t>
      </w:r>
      <w:r>
        <w:rPr>
          <w:color w:val="000000"/>
        </w:rPr>
        <w:tab/>
      </w:r>
      <w:r>
        <w:rPr>
          <w:color w:val="000000"/>
        </w:rPr>
        <w:fldChar w:fldCharType="begin"/>
      </w:r>
      <w:r>
        <w:rPr>
          <w:color w:val="000000"/>
        </w:rPr>
        <w:instrText xml:space="preserve"> PAGEREF _Toc25581 \h </w:instrText>
      </w:r>
      <w:r>
        <w:rPr>
          <w:color w:val="000000"/>
        </w:rPr>
        <w:fldChar w:fldCharType="separate"/>
      </w:r>
      <w:r>
        <w:rPr>
          <w:color w:val="000000"/>
        </w:rPr>
        <w:t>48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_Toc16046 </w:instrText>
      </w:r>
      <w:r>
        <w:rPr>
          <w:rFonts w:hint="eastAsia" w:ascii="宋体" w:hAnsi="宋体" w:cs="宋体"/>
          <w:color w:val="000000"/>
          <w:szCs w:val="30"/>
        </w:rPr>
        <w:fldChar w:fldCharType="separate"/>
      </w:r>
      <w:r>
        <w:rPr>
          <w:rFonts w:hint="eastAsia" w:ascii="宋体" w:hAnsi="宋体" w:eastAsia="宋体" w:cs="宋体"/>
          <w:color w:val="000000"/>
          <w:szCs w:val="28"/>
          <w:lang w:val="en-US" w:eastAsia="zh-CN"/>
        </w:rPr>
        <w:t>五</w:t>
      </w:r>
      <w:r>
        <w:rPr>
          <w:rFonts w:hint="eastAsia" w:ascii="宋体" w:hAnsi="宋体" w:eastAsia="宋体" w:cs="宋体"/>
          <w:color w:val="000000"/>
          <w:szCs w:val="28"/>
        </w:rPr>
        <w:t>、履约验收</w:t>
      </w:r>
      <w:r>
        <w:rPr>
          <w:color w:val="000000"/>
        </w:rPr>
        <w:tab/>
      </w:r>
      <w:r>
        <w:rPr>
          <w:color w:val="000000"/>
        </w:rPr>
        <w:fldChar w:fldCharType="begin"/>
      </w:r>
      <w:r>
        <w:rPr>
          <w:color w:val="000000"/>
        </w:rPr>
        <w:instrText xml:space="preserve"> PAGEREF _Toc16046 \h </w:instrText>
      </w:r>
      <w:r>
        <w:rPr>
          <w:color w:val="000000"/>
        </w:rPr>
        <w:fldChar w:fldCharType="separate"/>
      </w:r>
      <w:r>
        <w:rPr>
          <w:color w:val="000000"/>
        </w:rPr>
        <w:t>48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_Toc23516 </w:instrText>
      </w:r>
      <w:r>
        <w:rPr>
          <w:rFonts w:hint="eastAsia" w:ascii="宋体" w:hAnsi="宋体" w:cs="宋体"/>
          <w:color w:val="000000"/>
          <w:szCs w:val="30"/>
        </w:rPr>
        <w:fldChar w:fldCharType="separate"/>
      </w:r>
      <w:r>
        <w:rPr>
          <w:rFonts w:hint="eastAsia" w:ascii="宋体" w:hAnsi="宋体" w:eastAsia="宋体" w:cs="宋体"/>
          <w:color w:val="000000"/>
          <w:szCs w:val="28"/>
          <w:lang w:val="en-US" w:eastAsia="zh-CN"/>
        </w:rPr>
        <w:t>六</w:t>
      </w:r>
      <w:r>
        <w:rPr>
          <w:rFonts w:hint="eastAsia" w:ascii="宋体" w:hAnsi="宋体" w:eastAsia="宋体" w:cs="宋体"/>
          <w:color w:val="000000"/>
          <w:szCs w:val="28"/>
        </w:rPr>
        <w:t>、商务要求</w:t>
      </w:r>
      <w:r>
        <w:rPr>
          <w:color w:val="000000"/>
        </w:rPr>
        <w:tab/>
      </w:r>
      <w:r>
        <w:rPr>
          <w:color w:val="000000"/>
        </w:rPr>
        <w:fldChar w:fldCharType="begin"/>
      </w:r>
      <w:r>
        <w:rPr>
          <w:color w:val="000000"/>
        </w:rPr>
        <w:instrText xml:space="preserve"> PAGEREF _Toc23516 \h </w:instrText>
      </w:r>
      <w:r>
        <w:rPr>
          <w:color w:val="000000"/>
        </w:rPr>
        <w:fldChar w:fldCharType="separate"/>
      </w:r>
      <w:r>
        <w:rPr>
          <w:color w:val="000000"/>
        </w:rPr>
        <w:t>49</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_Toc1327 </w:instrText>
      </w:r>
      <w:r>
        <w:rPr>
          <w:rFonts w:hint="eastAsia" w:ascii="宋体" w:hAnsi="宋体" w:cs="宋体"/>
          <w:color w:val="000000"/>
          <w:szCs w:val="30"/>
        </w:rPr>
        <w:fldChar w:fldCharType="separate"/>
      </w:r>
      <w:r>
        <w:rPr>
          <w:rFonts w:hint="eastAsia" w:ascii="宋体" w:hAnsi="宋体" w:eastAsia="宋体" w:cs="宋体"/>
          <w:color w:val="000000"/>
          <w:szCs w:val="28"/>
          <w:lang w:val="en-US" w:eastAsia="zh-CN"/>
        </w:rPr>
        <w:t>七</w:t>
      </w:r>
      <w:r>
        <w:rPr>
          <w:rFonts w:hint="eastAsia" w:ascii="宋体" w:hAnsi="宋体" w:eastAsia="宋体" w:cs="宋体"/>
          <w:color w:val="000000"/>
          <w:szCs w:val="28"/>
        </w:rPr>
        <w:t>、其他</w:t>
      </w:r>
      <w:r>
        <w:rPr>
          <w:color w:val="000000"/>
        </w:rPr>
        <w:tab/>
      </w:r>
      <w:r>
        <w:rPr>
          <w:color w:val="000000"/>
        </w:rPr>
        <w:fldChar w:fldCharType="begin"/>
      </w:r>
      <w:r>
        <w:rPr>
          <w:color w:val="000000"/>
        </w:rPr>
        <w:instrText xml:space="preserve"> PAGEREF _Toc1327 \h </w:instrText>
      </w:r>
      <w:r>
        <w:rPr>
          <w:color w:val="000000"/>
        </w:rPr>
        <w:fldChar w:fldCharType="separate"/>
      </w:r>
      <w:r>
        <w:rPr>
          <w:color w:val="000000"/>
        </w:rPr>
        <w:t>49</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_Toc11020 </w:instrText>
      </w:r>
      <w:r>
        <w:rPr>
          <w:rFonts w:hint="eastAsia" w:ascii="宋体" w:hAnsi="宋体" w:cs="宋体"/>
          <w:color w:val="000000"/>
          <w:szCs w:val="30"/>
        </w:rPr>
        <w:fldChar w:fldCharType="separate"/>
      </w:r>
      <w:r>
        <w:rPr>
          <w:rFonts w:hint="eastAsia" w:ascii="宋体" w:hAnsi="宋体" w:cs="宋体"/>
          <w:color w:val="000000"/>
          <w:szCs w:val="36"/>
        </w:rPr>
        <w:t xml:space="preserve">第四章    </w:t>
      </w:r>
      <w:r>
        <w:rPr>
          <w:rFonts w:hint="eastAsia" w:ascii="宋体" w:hAnsi="宋体" w:cs="宋体"/>
          <w:color w:val="000000"/>
        </w:rPr>
        <w:t>开标、评标和定标须知</w:t>
      </w:r>
      <w:r>
        <w:rPr>
          <w:color w:val="000000"/>
        </w:rPr>
        <w:tab/>
      </w:r>
      <w:r>
        <w:rPr>
          <w:color w:val="000000"/>
        </w:rPr>
        <w:fldChar w:fldCharType="begin"/>
      </w:r>
      <w:r>
        <w:rPr>
          <w:color w:val="000000"/>
        </w:rPr>
        <w:instrText xml:space="preserve"> PAGEREF _Toc11020 \h </w:instrText>
      </w:r>
      <w:r>
        <w:rPr>
          <w:color w:val="000000"/>
        </w:rPr>
        <w:fldChar w:fldCharType="separate"/>
      </w:r>
      <w:r>
        <w:rPr>
          <w:color w:val="000000"/>
        </w:rPr>
        <w:t>50</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_Toc13362 </w:instrText>
      </w:r>
      <w:r>
        <w:rPr>
          <w:rFonts w:hint="eastAsia" w:ascii="宋体" w:hAnsi="宋体" w:cs="宋体"/>
          <w:color w:val="000000"/>
          <w:szCs w:val="30"/>
        </w:rPr>
        <w:fldChar w:fldCharType="separate"/>
      </w:r>
      <w:r>
        <w:rPr>
          <w:rFonts w:hint="eastAsia" w:ascii="宋体" w:hAnsi="宋体" w:cs="宋体"/>
          <w:color w:val="000000"/>
        </w:rPr>
        <w:t>第五章  投标文件的有效性</w:t>
      </w:r>
      <w:r>
        <w:rPr>
          <w:color w:val="000000"/>
        </w:rPr>
        <w:tab/>
      </w:r>
      <w:r>
        <w:rPr>
          <w:color w:val="000000"/>
        </w:rPr>
        <w:fldChar w:fldCharType="begin"/>
      </w:r>
      <w:r>
        <w:rPr>
          <w:color w:val="000000"/>
        </w:rPr>
        <w:instrText xml:space="preserve"> PAGEREF _Toc13362 \h </w:instrText>
      </w:r>
      <w:r>
        <w:rPr>
          <w:color w:val="000000"/>
        </w:rPr>
        <w:fldChar w:fldCharType="separate"/>
      </w:r>
      <w:r>
        <w:rPr>
          <w:color w:val="000000"/>
        </w:rPr>
        <w:t>56</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_Toc29355 </w:instrText>
      </w:r>
      <w:r>
        <w:rPr>
          <w:rFonts w:hint="eastAsia" w:ascii="宋体" w:hAnsi="宋体" w:cs="宋体"/>
          <w:color w:val="000000"/>
          <w:szCs w:val="30"/>
        </w:rPr>
        <w:fldChar w:fldCharType="separate"/>
      </w:r>
      <w:r>
        <w:rPr>
          <w:rFonts w:hint="eastAsia" w:ascii="宋体" w:hAnsi="宋体" w:cs="宋体"/>
          <w:color w:val="000000"/>
          <w:szCs w:val="36"/>
        </w:rPr>
        <w:t>第六章  评标办法</w:t>
      </w:r>
      <w:r>
        <w:rPr>
          <w:color w:val="000000"/>
        </w:rPr>
        <w:tab/>
      </w:r>
      <w:r>
        <w:rPr>
          <w:color w:val="000000"/>
        </w:rPr>
        <w:fldChar w:fldCharType="begin"/>
      </w:r>
      <w:r>
        <w:rPr>
          <w:color w:val="000000"/>
        </w:rPr>
        <w:instrText xml:space="preserve"> PAGEREF _Toc29355 \h </w:instrText>
      </w:r>
      <w:r>
        <w:rPr>
          <w:color w:val="000000"/>
        </w:rPr>
        <w:fldChar w:fldCharType="separate"/>
      </w:r>
      <w:r>
        <w:rPr>
          <w:color w:val="000000"/>
        </w:rPr>
        <w:t>58</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_Toc30870 </w:instrText>
      </w:r>
      <w:r>
        <w:rPr>
          <w:rFonts w:hint="eastAsia" w:ascii="宋体" w:hAnsi="宋体" w:cs="宋体"/>
          <w:color w:val="000000"/>
          <w:szCs w:val="30"/>
        </w:rPr>
        <w:fldChar w:fldCharType="separate"/>
      </w:r>
      <w:r>
        <w:rPr>
          <w:rFonts w:hint="eastAsia" w:ascii="宋体" w:hAnsi="宋体" w:cs="宋体"/>
          <w:color w:val="000000"/>
          <w:szCs w:val="36"/>
        </w:rPr>
        <w:t>第七章  拟签订的合同文本</w:t>
      </w:r>
      <w:r>
        <w:rPr>
          <w:color w:val="000000"/>
        </w:rPr>
        <w:tab/>
      </w:r>
      <w:r>
        <w:rPr>
          <w:color w:val="000000"/>
        </w:rPr>
        <w:fldChar w:fldCharType="begin"/>
      </w:r>
      <w:r>
        <w:rPr>
          <w:color w:val="000000"/>
        </w:rPr>
        <w:instrText xml:space="preserve"> PAGEREF _Toc30870 \h </w:instrText>
      </w:r>
      <w:r>
        <w:rPr>
          <w:color w:val="000000"/>
        </w:rPr>
        <w:fldChar w:fldCharType="separate"/>
      </w:r>
      <w:r>
        <w:rPr>
          <w:color w:val="000000"/>
        </w:rPr>
        <w:t>63</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_Toc21478 </w:instrText>
      </w:r>
      <w:r>
        <w:rPr>
          <w:rFonts w:hint="eastAsia" w:ascii="宋体" w:hAnsi="宋体" w:cs="宋体"/>
          <w:color w:val="000000"/>
          <w:szCs w:val="30"/>
        </w:rPr>
        <w:fldChar w:fldCharType="separate"/>
      </w:r>
      <w:r>
        <w:rPr>
          <w:rFonts w:hint="eastAsia" w:ascii="宋体" w:hAnsi="宋体" w:cs="宋体"/>
          <w:bCs w:val="0"/>
          <w:color w:val="000000"/>
          <w:szCs w:val="36"/>
        </w:rPr>
        <w:t>第八章  投标文件部分格式</w:t>
      </w:r>
      <w:r>
        <w:rPr>
          <w:color w:val="000000"/>
        </w:rPr>
        <w:tab/>
      </w:r>
      <w:r>
        <w:rPr>
          <w:color w:val="000000"/>
        </w:rPr>
        <w:fldChar w:fldCharType="begin"/>
      </w:r>
      <w:r>
        <w:rPr>
          <w:color w:val="000000"/>
        </w:rPr>
        <w:instrText xml:space="preserve"> PAGEREF _Toc21478 \h </w:instrText>
      </w:r>
      <w:r>
        <w:rPr>
          <w:color w:val="000000"/>
        </w:rPr>
        <w:fldChar w:fldCharType="separate"/>
      </w:r>
      <w:r>
        <w:rPr>
          <w:color w:val="000000"/>
        </w:rPr>
        <w:t>78</w:t>
      </w:r>
      <w:r>
        <w:rPr>
          <w:color w:val="000000"/>
        </w:rPr>
        <w:fldChar w:fldCharType="end"/>
      </w:r>
      <w:r>
        <w:rPr>
          <w:rFonts w:hint="eastAsia" w:ascii="宋体" w:hAnsi="宋体" w:cs="宋体"/>
          <w:color w:val="000000"/>
          <w:szCs w:val="30"/>
        </w:rPr>
        <w:fldChar w:fldCharType="end"/>
      </w:r>
    </w:p>
    <w:p>
      <w:pPr>
        <w:rPr>
          <w:rFonts w:hint="eastAsia" w:ascii="宋体" w:hAnsi="宋体" w:cs="宋体"/>
          <w:color w:val="000000"/>
        </w:rPr>
      </w:pPr>
      <w:r>
        <w:rPr>
          <w:rFonts w:hint="eastAsia" w:ascii="宋体" w:hAnsi="宋体" w:cs="宋体"/>
          <w:color w:val="000000"/>
          <w:szCs w:val="30"/>
        </w:rPr>
        <w:fldChar w:fldCharType="end"/>
      </w:r>
    </w:p>
    <w:p>
      <w:pPr>
        <w:pStyle w:val="5"/>
        <w:numPr>
          <w:ilvl w:val="0"/>
          <w:numId w:val="0"/>
        </w:numPr>
        <w:spacing w:before="0" w:after="0" w:line="360" w:lineRule="auto"/>
        <w:jc w:val="center"/>
        <w:rPr>
          <w:rFonts w:hint="eastAsia" w:ascii="宋体" w:hAnsi="宋体" w:cs="宋体"/>
          <w:color w:val="000000"/>
          <w:sz w:val="36"/>
        </w:rPr>
      </w:pPr>
      <w:r>
        <w:rPr>
          <w:rFonts w:hint="eastAsia" w:ascii="宋体" w:hAnsi="宋体" w:cs="宋体"/>
          <w:color w:val="000000"/>
          <w:sz w:val="36"/>
        </w:rPr>
        <w:br w:type="page"/>
      </w:r>
      <w:bookmarkStart w:id="0" w:name="_Toc18768"/>
      <w:bookmarkStart w:id="1" w:name="_Toc5255"/>
      <w:bookmarkStart w:id="2" w:name="_Toc14893"/>
      <w:bookmarkStart w:id="3" w:name="_Toc4997"/>
      <w:r>
        <w:rPr>
          <w:rFonts w:hint="eastAsia" w:ascii="宋体" w:hAnsi="宋体" w:cs="宋体"/>
          <w:color w:val="000000"/>
          <w:sz w:val="36"/>
        </w:rPr>
        <w:t>第一章　采购公告</w:t>
      </w:r>
      <w:bookmarkEnd w:id="0"/>
      <w:bookmarkEnd w:id="1"/>
      <w:bookmarkEnd w:id="2"/>
      <w:bookmarkEnd w:id="3"/>
    </w:p>
    <w:tbl>
      <w:tblPr>
        <w:tblStyle w:val="5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09" w:hRule="atLeast"/>
        </w:trPr>
        <w:tc>
          <w:tcPr>
            <w:tcW w:w="8740" w:type="dxa"/>
            <w:noWrap w:val="0"/>
            <w:vAlign w:val="top"/>
          </w:tcPr>
          <w:p>
            <w:pPr>
              <w:pStyle w:val="47"/>
              <w:widowControl/>
              <w:spacing w:before="60" w:beforeAutospacing="0" w:after="60" w:afterAutospacing="0"/>
              <w:rPr>
                <w:rFonts w:hint="eastAsia" w:ascii="宋体" w:hAnsi="宋体" w:cs="宋体"/>
                <w:color w:val="000000"/>
              </w:rPr>
            </w:pPr>
            <w:r>
              <w:rPr>
                <w:rFonts w:hint="eastAsia" w:ascii="宋体" w:hAnsi="宋体" w:cs="宋体"/>
                <w:b/>
                <w:bCs/>
                <w:color w:val="000000"/>
                <w:sz w:val="25"/>
                <w:szCs w:val="25"/>
              </w:rPr>
              <w:t> </w:t>
            </w:r>
            <w:r>
              <w:rPr>
                <w:rFonts w:hint="eastAsia" w:ascii="宋体" w:hAnsi="宋体" w:cs="宋体"/>
                <w:color w:val="000000"/>
                <w:sz w:val="25"/>
                <w:szCs w:val="25"/>
              </w:rPr>
              <w:t>项目概况</w:t>
            </w:r>
          </w:p>
          <w:p>
            <w:pPr>
              <w:spacing w:line="520" w:lineRule="exact"/>
              <w:rPr>
                <w:rFonts w:hint="eastAsia" w:ascii="宋体" w:hAnsi="宋体" w:cs="宋体"/>
                <w:b/>
                <w:bCs/>
                <w:color w:val="000000"/>
                <w:sz w:val="25"/>
                <w:szCs w:val="25"/>
              </w:rPr>
            </w:pPr>
            <w:r>
              <w:rPr>
                <w:rFonts w:hint="eastAsia" w:ascii="宋体" w:hAnsi="宋体" w:cs="宋体"/>
                <w:color w:val="000000"/>
                <w:sz w:val="25"/>
                <w:szCs w:val="25"/>
              </w:rPr>
              <w:t xml:space="preserve">  </w:t>
            </w:r>
            <w:r>
              <w:rPr>
                <w:rFonts w:hint="eastAsia" w:ascii="宋体" w:hAnsi="宋体" w:cs="宋体"/>
                <w:color w:val="000000"/>
                <w:sz w:val="25"/>
                <w:szCs w:val="25"/>
                <w:u w:val="single"/>
                <w:lang w:eastAsia="zh-CN"/>
              </w:rPr>
              <w:t>义乌市智能交通系统2023-2025年运维服务采购项目</w:t>
            </w:r>
            <w:r>
              <w:rPr>
                <w:rFonts w:hint="eastAsia" w:ascii="宋体" w:hAnsi="宋体" w:cs="宋体"/>
                <w:color w:val="000000"/>
                <w:sz w:val="25"/>
                <w:szCs w:val="25"/>
              </w:rPr>
              <w:t>的潜在投标人应在 </w:t>
            </w:r>
            <w:r>
              <w:rPr>
                <w:rFonts w:hint="eastAsia" w:ascii="宋体" w:hAnsi="宋体" w:cs="宋体"/>
                <w:color w:val="000000"/>
                <w:sz w:val="25"/>
                <w:szCs w:val="25"/>
                <w:u w:val="single"/>
              </w:rPr>
              <w:t>浙江政府采购网 </w:t>
            </w:r>
            <w:r>
              <w:rPr>
                <w:rFonts w:hint="eastAsia" w:ascii="宋体" w:hAnsi="宋体" w:cs="宋体"/>
                <w:color w:val="000000"/>
                <w:sz w:val="25"/>
                <w:szCs w:val="25"/>
              </w:rPr>
              <w:t>获取（下载）招标文件，并于 </w:t>
            </w:r>
            <w:r>
              <w:rPr>
                <w:rFonts w:hint="eastAsia" w:ascii="宋体" w:hAnsi="宋体" w:cs="宋体"/>
                <w:color w:val="000000"/>
                <w:sz w:val="25"/>
                <w:szCs w:val="25"/>
                <w:u w:val="single"/>
                <w:lang w:eastAsia="zh-CN"/>
              </w:rPr>
              <w:t>2022年  月  日</w:t>
            </w:r>
            <w:r>
              <w:rPr>
                <w:rFonts w:hint="eastAsia" w:ascii="宋体" w:hAnsi="宋体" w:cs="宋体"/>
                <w:color w:val="000000"/>
                <w:sz w:val="25"/>
                <w:szCs w:val="25"/>
                <w:u w:val="single"/>
              </w:rPr>
              <w:t xml:space="preserve"> 09:30 </w:t>
            </w:r>
            <w:r>
              <w:rPr>
                <w:rFonts w:hint="eastAsia" w:ascii="宋体" w:hAnsi="宋体" w:cs="宋体"/>
                <w:color w:val="000000"/>
                <w:sz w:val="25"/>
                <w:szCs w:val="25"/>
              </w:rPr>
              <w:t>（北京时间）前递交（上传）投标文件。</w:t>
            </w:r>
          </w:p>
        </w:tc>
      </w:tr>
    </w:tbl>
    <w:p>
      <w:pPr>
        <w:pStyle w:val="47"/>
        <w:widowControl/>
        <w:spacing w:before="60" w:beforeAutospacing="0" w:after="60" w:afterAutospacing="0" w:line="420" w:lineRule="exact"/>
        <w:rPr>
          <w:rStyle w:val="54"/>
          <w:rFonts w:hint="eastAsia" w:ascii="宋体" w:hAnsi="宋体" w:cs="宋体"/>
          <w:bCs/>
          <w:color w:val="000000"/>
          <w:sz w:val="25"/>
          <w:szCs w:val="25"/>
        </w:rPr>
      </w:pPr>
      <w:r>
        <w:rPr>
          <w:rStyle w:val="54"/>
          <w:rFonts w:hint="eastAsia" w:ascii="宋体" w:hAnsi="宋体" w:cs="宋体"/>
          <w:bCs/>
          <w:color w:val="000000"/>
          <w:sz w:val="25"/>
          <w:szCs w:val="25"/>
        </w:rPr>
        <w:t>一、项目基本情况</w:t>
      </w:r>
    </w:p>
    <w:p>
      <w:pPr>
        <w:pStyle w:val="47"/>
        <w:widowControl/>
        <w:spacing w:before="0" w:beforeAutospacing="0" w:after="0" w:afterAutospacing="0" w:line="420" w:lineRule="exact"/>
        <w:ind w:firstLine="500" w:firstLineChars="200"/>
        <w:rPr>
          <w:rFonts w:hint="eastAsia" w:ascii="宋体" w:hAnsi="宋体" w:cs="宋体"/>
          <w:color w:val="000000"/>
        </w:rPr>
      </w:pPr>
      <w:r>
        <w:rPr>
          <w:rFonts w:hint="eastAsia" w:ascii="宋体" w:hAnsi="宋体" w:cs="宋体"/>
          <w:color w:val="000000"/>
          <w:sz w:val="25"/>
          <w:szCs w:val="25"/>
        </w:rPr>
        <w:t>项目编号：</w:t>
      </w:r>
      <w:r>
        <w:rPr>
          <w:rFonts w:hint="eastAsia" w:ascii="宋体" w:hAnsi="宋体" w:cs="宋体"/>
          <w:color w:val="000000"/>
        </w:rPr>
        <w:t>SJZJZC2022</w:t>
      </w:r>
      <w:r>
        <w:rPr>
          <w:rFonts w:hint="eastAsia" w:ascii="宋体" w:hAnsi="宋体" w:cs="宋体"/>
          <w:color w:val="000000"/>
          <w:lang w:val="en-US" w:eastAsia="zh-CN"/>
        </w:rPr>
        <w:t>560</w:t>
      </w:r>
      <w:r>
        <w:rPr>
          <w:rFonts w:hint="eastAsia" w:ascii="宋体" w:hAnsi="宋体" w:cs="宋体"/>
          <w:color w:val="000000"/>
        </w:rPr>
        <w:t>GK</w:t>
      </w:r>
    </w:p>
    <w:p>
      <w:pPr>
        <w:pStyle w:val="47"/>
        <w:widowControl/>
        <w:spacing w:before="60" w:beforeAutospacing="0" w:after="60" w:afterAutospacing="0" w:line="420" w:lineRule="exact"/>
        <w:ind w:firstLine="500" w:firstLineChars="200"/>
        <w:rPr>
          <w:rFonts w:hint="eastAsia" w:ascii="宋体" w:hAnsi="宋体" w:eastAsia="宋体" w:cs="宋体"/>
          <w:color w:val="000000"/>
          <w:lang w:eastAsia="zh-CN"/>
        </w:rPr>
      </w:pPr>
      <w:r>
        <w:rPr>
          <w:rFonts w:hint="eastAsia" w:ascii="宋体" w:hAnsi="宋体" w:cs="宋体"/>
          <w:color w:val="000000"/>
          <w:sz w:val="25"/>
          <w:szCs w:val="25"/>
        </w:rPr>
        <w:t>项目名称：</w:t>
      </w:r>
      <w:r>
        <w:rPr>
          <w:rFonts w:hint="eastAsia" w:ascii="宋体" w:hAnsi="宋体" w:cs="宋体"/>
          <w:color w:val="000000"/>
          <w:sz w:val="25"/>
          <w:szCs w:val="25"/>
          <w:lang w:eastAsia="zh-CN"/>
        </w:rPr>
        <w:t>义乌市智能交通系统2023-2025年运维服务采购项目</w:t>
      </w:r>
    </w:p>
    <w:p>
      <w:pPr>
        <w:spacing w:line="440" w:lineRule="exact"/>
        <w:ind w:firstLine="500" w:firstLineChars="200"/>
        <w:jc w:val="left"/>
        <w:rPr>
          <w:rFonts w:hint="eastAsia" w:ascii="宋体" w:hAnsi="宋体" w:cs="宋体"/>
          <w:color w:val="000000"/>
        </w:rPr>
      </w:pPr>
      <w:r>
        <w:rPr>
          <w:rFonts w:hint="eastAsia" w:ascii="宋体" w:hAnsi="宋体" w:cs="宋体"/>
          <w:color w:val="000000"/>
          <w:sz w:val="25"/>
          <w:szCs w:val="25"/>
        </w:rPr>
        <w:t>采购预算及最高限价</w:t>
      </w:r>
      <w:r>
        <w:rPr>
          <w:rFonts w:hint="eastAsia" w:ascii="宋体" w:hAnsi="宋体" w:cs="宋体"/>
          <w:color w:val="000000"/>
          <w:kern w:val="0"/>
          <w:sz w:val="25"/>
          <w:szCs w:val="25"/>
          <w:lang w:bidi="ar"/>
        </w:rPr>
        <w:t>（元）</w:t>
      </w:r>
      <w:r>
        <w:rPr>
          <w:rFonts w:hint="eastAsia" w:ascii="宋体" w:hAnsi="宋体" w:cs="宋体"/>
          <w:color w:val="000000"/>
          <w:sz w:val="25"/>
          <w:szCs w:val="25"/>
        </w:rPr>
        <w:t>：</w:t>
      </w:r>
      <w:r>
        <w:rPr>
          <w:rFonts w:hint="eastAsia" w:ascii="宋体" w:hAnsi="宋体" w:eastAsia="宋体" w:cs="宋体"/>
          <w:color w:val="000000"/>
          <w:sz w:val="25"/>
          <w:szCs w:val="25"/>
          <w:lang w:eastAsia="zh-CN"/>
        </w:rPr>
        <w:t>85200000</w:t>
      </w:r>
      <w:r>
        <w:rPr>
          <w:rFonts w:hint="eastAsia" w:ascii="宋体" w:hAnsi="宋体" w:cs="宋体"/>
          <w:color w:val="000000"/>
          <w:sz w:val="25"/>
          <w:szCs w:val="25"/>
        </w:rPr>
        <w:t>元。</w:t>
      </w:r>
    </w:p>
    <w:p>
      <w:pPr>
        <w:pStyle w:val="47"/>
        <w:widowControl/>
        <w:spacing w:before="60" w:beforeAutospacing="0" w:after="60" w:afterAutospacing="0" w:line="420" w:lineRule="exact"/>
        <w:ind w:firstLine="500" w:firstLineChars="200"/>
        <w:rPr>
          <w:rFonts w:hint="eastAsia" w:ascii="宋体" w:hAnsi="宋体" w:cs="宋体"/>
          <w:color w:val="000000"/>
        </w:rPr>
      </w:pPr>
      <w:r>
        <w:rPr>
          <w:rFonts w:hint="eastAsia" w:ascii="宋体" w:hAnsi="宋体" w:cs="宋体"/>
          <w:color w:val="000000"/>
          <w:sz w:val="25"/>
          <w:szCs w:val="25"/>
        </w:rPr>
        <w:t>采购需求：     </w:t>
      </w:r>
    </w:p>
    <w:tbl>
      <w:tblPr>
        <w:tblStyle w:val="51"/>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6"/>
        <w:gridCol w:w="2290"/>
        <w:gridCol w:w="872"/>
        <w:gridCol w:w="1331"/>
        <w:gridCol w:w="682"/>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686"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序号</w:t>
            </w:r>
          </w:p>
        </w:tc>
        <w:tc>
          <w:tcPr>
            <w:tcW w:w="2290"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标项名称</w:t>
            </w:r>
          </w:p>
        </w:tc>
        <w:tc>
          <w:tcPr>
            <w:tcW w:w="87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数量</w:t>
            </w:r>
          </w:p>
        </w:tc>
        <w:tc>
          <w:tcPr>
            <w:tcW w:w="1331"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预算金额(元)</w:t>
            </w:r>
          </w:p>
        </w:tc>
        <w:tc>
          <w:tcPr>
            <w:tcW w:w="68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单位</w:t>
            </w:r>
          </w:p>
        </w:tc>
        <w:tc>
          <w:tcPr>
            <w:tcW w:w="2978"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2" w:hRule="atLeast"/>
        </w:trPr>
        <w:tc>
          <w:tcPr>
            <w:tcW w:w="686"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1</w:t>
            </w:r>
          </w:p>
        </w:tc>
        <w:tc>
          <w:tcPr>
            <w:tcW w:w="2290"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lang w:eastAsia="zh-CN"/>
              </w:rPr>
            </w:pPr>
            <w:r>
              <w:rPr>
                <w:rFonts w:hint="eastAsia" w:ascii="宋体" w:hAnsi="宋体" w:cs="宋体"/>
                <w:color w:val="000000"/>
                <w:sz w:val="24"/>
                <w:lang w:eastAsia="zh-CN"/>
              </w:rPr>
              <w:t>义乌市智能交通系统2023-2025年运维服务采购项目</w:t>
            </w:r>
          </w:p>
        </w:tc>
        <w:tc>
          <w:tcPr>
            <w:tcW w:w="87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c>
          <w:tcPr>
            <w:tcW w:w="1331"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sz w:val="24"/>
                <w:lang w:eastAsia="zh-CN"/>
              </w:rPr>
            </w:pPr>
            <w:r>
              <w:rPr>
                <w:rFonts w:hint="eastAsia" w:ascii="宋体" w:hAnsi="宋体" w:eastAsia="宋体" w:cs="宋体"/>
                <w:color w:val="000000"/>
                <w:sz w:val="25"/>
                <w:szCs w:val="25"/>
                <w:lang w:eastAsia="zh-CN"/>
              </w:rPr>
              <w:t>85200000</w:t>
            </w:r>
          </w:p>
        </w:tc>
        <w:tc>
          <w:tcPr>
            <w:tcW w:w="68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年</w:t>
            </w:r>
          </w:p>
        </w:tc>
        <w:tc>
          <w:tcPr>
            <w:tcW w:w="2978" w:type="dxa"/>
            <w:noWrap w:val="0"/>
            <w:tcMar>
              <w:top w:w="60" w:type="dxa"/>
              <w:left w:w="120" w:type="dxa"/>
              <w:bottom w:w="60" w:type="dxa"/>
              <w:right w:w="120" w:type="dxa"/>
            </w:tcMar>
            <w:vAlign w:val="center"/>
          </w:tcPr>
          <w:p>
            <w:pPr>
              <w:widowControl/>
              <w:wordWrap w:val="0"/>
              <w:spacing w:line="400" w:lineRule="exact"/>
              <w:jc w:val="center"/>
              <w:rPr>
                <w:rFonts w:hint="eastAsia" w:ascii="宋体" w:hAnsi="宋体" w:cs="宋体"/>
                <w:color w:val="000000"/>
              </w:rPr>
            </w:pPr>
            <w:r>
              <w:rPr>
                <w:rFonts w:hint="eastAsia" w:ascii="宋体" w:hAnsi="宋体" w:cs="宋体"/>
                <w:color w:val="000000"/>
                <w:sz w:val="25"/>
                <w:szCs w:val="25"/>
              </w:rPr>
              <w:t>具体内容及要求详见第三章“招标项目要求”。</w:t>
            </w:r>
          </w:p>
        </w:tc>
      </w:tr>
    </w:tbl>
    <w:p>
      <w:pPr>
        <w:widowControl/>
        <w:spacing w:line="520" w:lineRule="exact"/>
        <w:ind w:firstLine="500" w:firstLineChars="200"/>
        <w:rPr>
          <w:rFonts w:hint="eastAsia" w:ascii="宋体" w:hAnsi="宋体" w:cs="宋体"/>
          <w:color w:val="000000"/>
        </w:rPr>
      </w:pPr>
      <w:r>
        <w:rPr>
          <w:rFonts w:hint="eastAsia" w:ascii="宋体" w:hAnsi="宋体" w:cs="宋体"/>
          <w:color w:val="000000"/>
          <w:sz w:val="25"/>
          <w:szCs w:val="25"/>
        </w:rPr>
        <w:t>合同履行期限：详见第三章“招标项目要求”。</w:t>
      </w:r>
    </w:p>
    <w:p>
      <w:pPr>
        <w:pStyle w:val="47"/>
        <w:widowControl/>
        <w:spacing w:before="0" w:beforeAutospacing="0" w:after="0"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二、申请人的资格要求：</w:t>
      </w:r>
    </w:p>
    <w:p>
      <w:pPr>
        <w:widowControl/>
        <w:spacing w:line="400" w:lineRule="exact"/>
        <w:ind w:firstLine="240" w:firstLineChars="100"/>
        <w:jc w:val="left"/>
        <w:rPr>
          <w:rFonts w:hint="eastAsia" w:ascii="宋体" w:hAnsi="宋体" w:cs="宋体"/>
          <w:color w:val="000000"/>
        </w:rPr>
      </w:pPr>
      <w:r>
        <w:rPr>
          <w:rFonts w:hint="eastAsia" w:ascii="宋体" w:hAnsi="宋体" w:cs="宋体"/>
          <w:color w:val="000000"/>
          <w:sz w:val="24"/>
        </w:rPr>
        <w:t>（1）满足《中华人民共和国政府采购法》第二十二条规定或符合浙财采监【2013】24号《关于规范政府采购投标人资格设定及资格审查的通知》第六条规定的投标人；</w:t>
      </w:r>
    </w:p>
    <w:p>
      <w:pPr>
        <w:pStyle w:val="27"/>
        <w:adjustRightInd w:val="0"/>
        <w:snapToGrid w:val="0"/>
        <w:spacing w:line="440" w:lineRule="exact"/>
        <w:ind w:firstLine="360" w:firstLineChars="150"/>
        <w:jc w:val="left"/>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2</w:t>
      </w:r>
      <w:r>
        <w:rPr>
          <w:rFonts w:hint="eastAsia" w:hAnsi="宋体" w:cs="宋体"/>
          <w:color w:val="000000"/>
          <w:sz w:val="24"/>
          <w:szCs w:val="24"/>
        </w:rPr>
        <w:t>）信誉要求：投标人自2019年1月1日起到中标公告期结束前无行贿犯罪记录（发放中标通知书前，采购人将在中国裁判文书网查询中标候选人的行贿犯罪记录，查询结果以网站页面显示内容为准）；</w:t>
      </w:r>
    </w:p>
    <w:p>
      <w:pPr>
        <w:pStyle w:val="27"/>
        <w:adjustRightInd w:val="0"/>
        <w:snapToGrid w:val="0"/>
        <w:spacing w:line="440" w:lineRule="exact"/>
        <w:ind w:firstLine="480" w:firstLineChars="200"/>
        <w:jc w:val="left"/>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)信用要求：根据《关于在全市公共资源交易活动中应用信用报告的通知》（义行服管【2017】17号）规定，投标人义乌市综合信用报告评级为D、E类的投标将被拒绝，以采购代理机构在开标当天查询结果为准；</w:t>
      </w:r>
    </w:p>
    <w:p>
      <w:pPr>
        <w:pStyle w:val="27"/>
        <w:adjustRightInd w:val="0"/>
        <w:snapToGrid w:val="0"/>
        <w:spacing w:line="440" w:lineRule="exact"/>
        <w:ind w:firstLine="480" w:firstLineChars="200"/>
        <w:jc w:val="left"/>
        <w:rPr>
          <w:rFonts w:hint="eastAsia" w:hAnsi="宋体" w:cs="宋体"/>
          <w:color w:val="000000"/>
          <w:kern w:val="0"/>
          <w:sz w:val="24"/>
          <w:szCs w:val="24"/>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参加本次政府采购活动前三年内，在经营活动中没有重大违法记录，且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或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hAnsi="宋体" w:cs="宋体"/>
          <w:color w:val="000000"/>
          <w:kern w:val="0"/>
          <w:sz w:val="24"/>
          <w:szCs w:val="24"/>
        </w:rPr>
        <w:t>；</w:t>
      </w:r>
    </w:p>
    <w:p>
      <w:pPr>
        <w:widowControl/>
        <w:spacing w:line="440" w:lineRule="exact"/>
        <w:ind w:firstLine="360" w:firstLineChars="15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)本项目</w:t>
      </w:r>
      <w:r>
        <w:rPr>
          <w:rFonts w:hint="eastAsia" w:ascii="宋体" w:hAnsi="宋体" w:cs="宋体"/>
          <w:color w:val="000000"/>
          <w:sz w:val="24"/>
          <w:lang w:val="en-US" w:eastAsia="zh-CN"/>
        </w:rPr>
        <w:t>允许</w:t>
      </w:r>
      <w:r>
        <w:rPr>
          <w:rFonts w:hint="eastAsia" w:ascii="宋体" w:hAnsi="宋体" w:cs="宋体"/>
          <w:color w:val="000000"/>
          <w:sz w:val="24"/>
        </w:rPr>
        <w:t>联合体投标；</w:t>
      </w:r>
    </w:p>
    <w:p>
      <w:pPr>
        <w:widowControl/>
        <w:spacing w:line="440" w:lineRule="exact"/>
        <w:ind w:firstLine="360" w:firstLineChars="15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）公益一类事业单位不属于政府购买服务的承接主体，不得参与承接购买服务。</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三、获取招标文件</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时间：</w:t>
      </w:r>
      <w:r>
        <w:rPr>
          <w:rFonts w:hint="eastAsia" w:ascii="宋体" w:hAnsi="宋体" w:cs="宋体"/>
          <w:color w:val="000000"/>
          <w:u w:val="single"/>
          <w:shd w:val="clear" w:color="auto" w:fill="FFFFFF"/>
        </w:rPr>
        <w:t>公告发布日期</w:t>
      </w:r>
      <w:r>
        <w:rPr>
          <w:rFonts w:hint="eastAsia" w:ascii="宋体" w:hAnsi="宋体" w:cs="宋体"/>
          <w:color w:val="000000"/>
          <w:sz w:val="25"/>
          <w:szCs w:val="25"/>
        </w:rPr>
        <w:t>至</w:t>
      </w:r>
      <w:r>
        <w:rPr>
          <w:rFonts w:hint="eastAsia" w:ascii="宋体" w:hAnsi="宋体" w:cs="宋体"/>
          <w:color w:val="000000"/>
          <w:sz w:val="25"/>
          <w:szCs w:val="25"/>
          <w:u w:val="single"/>
        </w:rPr>
        <w:t> </w:t>
      </w:r>
      <w:r>
        <w:rPr>
          <w:rFonts w:hint="eastAsia" w:ascii="宋体" w:hAnsi="宋体" w:cs="宋体"/>
          <w:color w:val="000000"/>
          <w:sz w:val="25"/>
          <w:szCs w:val="25"/>
          <w:u w:val="single"/>
          <w:lang w:eastAsia="zh-CN"/>
        </w:rPr>
        <w:t>2022年  月  日</w:t>
      </w:r>
      <w:r>
        <w:rPr>
          <w:rFonts w:hint="eastAsia" w:ascii="宋体" w:hAnsi="宋体" w:cs="宋体"/>
          <w:color w:val="000000"/>
        </w:rPr>
        <w:t>上午09:30止</w:t>
      </w:r>
      <w:r>
        <w:rPr>
          <w:rFonts w:hint="eastAsia" w:ascii="宋体" w:hAnsi="宋体" w:cs="宋体"/>
          <w:color w:val="000000"/>
          <w:sz w:val="25"/>
          <w:szCs w:val="25"/>
        </w:rPr>
        <w:t>，每天上午</w:t>
      </w:r>
      <w:r>
        <w:rPr>
          <w:rFonts w:hint="eastAsia" w:ascii="宋体" w:hAnsi="宋体" w:cs="宋体"/>
          <w:color w:val="000000"/>
          <w:sz w:val="25"/>
          <w:szCs w:val="25"/>
          <w:u w:val="single"/>
        </w:rPr>
        <w:t> 00:00至12:00</w:t>
      </w:r>
      <w:r>
        <w:rPr>
          <w:rFonts w:hint="eastAsia" w:ascii="宋体" w:hAnsi="宋体" w:cs="宋体"/>
          <w:color w:val="000000"/>
          <w:sz w:val="25"/>
          <w:szCs w:val="25"/>
        </w:rPr>
        <w:t>，下午</w:t>
      </w:r>
      <w:r>
        <w:rPr>
          <w:rFonts w:hint="eastAsia" w:ascii="宋体" w:hAnsi="宋体" w:cs="宋体"/>
          <w:color w:val="000000"/>
          <w:sz w:val="25"/>
          <w:szCs w:val="25"/>
          <w:u w:val="single"/>
        </w:rPr>
        <w:t> 12:00至23:59</w:t>
      </w:r>
      <w:r>
        <w:rPr>
          <w:rFonts w:hint="eastAsia" w:ascii="宋体" w:hAnsi="宋体" w:cs="宋体"/>
          <w:color w:val="000000"/>
          <w:sz w:val="25"/>
          <w:szCs w:val="25"/>
        </w:rPr>
        <w:t>（北京时间，线上获取法定节假日均可，线下获取文件法定节假日除外）</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地点（网址）：浙江政府采购网 </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方式：投标人请自行登录浙江政府采购网(http://www.zjzfcg.gov.cn/ )免费下载且无需报名【登录政采云平台账号→点击获取招标文件→填写获取招标文件信息（包含联系人、联系方式、邮箱、地址）或至公告附件处下载】。</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四、提交投标文件截止时间、开标时间和地点</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提交投标文件截止时间：</w:t>
      </w:r>
      <w:r>
        <w:rPr>
          <w:rFonts w:hint="eastAsia" w:ascii="宋体" w:hAnsi="宋体" w:cs="宋体"/>
          <w:color w:val="000000"/>
          <w:sz w:val="25"/>
          <w:szCs w:val="25"/>
          <w:u w:val="single"/>
          <w:lang w:eastAsia="zh-CN"/>
        </w:rPr>
        <w:t>2022年  月  日</w:t>
      </w:r>
      <w:r>
        <w:rPr>
          <w:rFonts w:hint="eastAsia" w:ascii="宋体" w:hAnsi="宋体" w:cs="宋体"/>
          <w:color w:val="000000"/>
          <w:sz w:val="25"/>
          <w:szCs w:val="25"/>
          <w:u w:val="single"/>
        </w:rPr>
        <w:t xml:space="preserve"> 09:30  </w:t>
      </w:r>
      <w:r>
        <w:rPr>
          <w:rFonts w:hint="eastAsia" w:ascii="宋体" w:hAnsi="宋体" w:cs="宋体"/>
          <w:color w:val="000000"/>
          <w:sz w:val="25"/>
          <w:szCs w:val="25"/>
        </w:rPr>
        <w:t>（北京时间）</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投标地点（网址）：</w:t>
      </w:r>
      <w:r>
        <w:rPr>
          <w:rFonts w:hint="eastAsia" w:ascii="宋体" w:hAnsi="宋体" w:cs="宋体"/>
          <w:color w:val="000000"/>
          <w:sz w:val="25"/>
          <w:szCs w:val="25"/>
          <w:u w:val="single"/>
        </w:rPr>
        <w:t> </w:t>
      </w:r>
      <w:r>
        <w:rPr>
          <w:rFonts w:hint="eastAsia" w:ascii="宋体" w:hAnsi="宋体" w:cs="宋体"/>
          <w:color w:val="000000"/>
          <w:u w:val="single"/>
          <w:shd w:val="clear" w:color="auto" w:fill="FFFFFF"/>
        </w:rPr>
        <w:t>在浙江政府采购网上传电子投标文件</w:t>
      </w:r>
      <w:r>
        <w:rPr>
          <w:rFonts w:hint="eastAsia" w:ascii="宋体" w:hAnsi="宋体" w:cs="宋体"/>
          <w:color w:val="000000"/>
          <w:sz w:val="25"/>
          <w:szCs w:val="25"/>
          <w:u w:val="single"/>
        </w:rPr>
        <w:t> </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开标时间：</w:t>
      </w:r>
      <w:r>
        <w:rPr>
          <w:rFonts w:hint="eastAsia" w:ascii="宋体" w:hAnsi="宋体" w:cs="宋体"/>
          <w:color w:val="000000"/>
          <w:sz w:val="25"/>
          <w:szCs w:val="25"/>
          <w:u w:val="single"/>
        </w:rPr>
        <w:t> </w:t>
      </w:r>
      <w:r>
        <w:rPr>
          <w:rFonts w:hint="eastAsia" w:ascii="宋体" w:hAnsi="宋体" w:cs="宋体"/>
          <w:color w:val="000000"/>
          <w:sz w:val="25"/>
          <w:szCs w:val="25"/>
          <w:u w:val="single"/>
          <w:lang w:eastAsia="zh-CN"/>
        </w:rPr>
        <w:t>2022年  月  日</w:t>
      </w:r>
      <w:r>
        <w:rPr>
          <w:rFonts w:hint="eastAsia" w:ascii="宋体" w:hAnsi="宋体" w:cs="宋体"/>
          <w:color w:val="000000"/>
          <w:sz w:val="25"/>
          <w:szCs w:val="25"/>
          <w:u w:val="single"/>
        </w:rPr>
        <w:t xml:space="preserve"> 09:30 </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开标地点（网址）：</w:t>
      </w:r>
      <w:r>
        <w:rPr>
          <w:rFonts w:hint="eastAsia" w:ascii="宋体" w:hAnsi="宋体" w:cs="宋体"/>
          <w:color w:val="000000"/>
          <w:sz w:val="25"/>
          <w:szCs w:val="25"/>
          <w:u w:val="single"/>
        </w:rPr>
        <w:t> 义乌市望道路300号行政服务中心四楼电子评标室 </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五、公告期限</w:t>
      </w:r>
    </w:p>
    <w:p>
      <w:pPr>
        <w:pStyle w:val="47"/>
        <w:widowControl/>
        <w:spacing w:before="0" w:beforeAutospacing="0" w:after="0" w:afterAutospacing="0" w:line="440" w:lineRule="exact"/>
        <w:rPr>
          <w:rFonts w:hint="eastAsia" w:ascii="宋体" w:hAnsi="宋体" w:cs="宋体"/>
          <w:color w:val="000000"/>
        </w:rPr>
      </w:pPr>
      <w:r>
        <w:rPr>
          <w:rFonts w:hint="eastAsia" w:ascii="宋体" w:hAnsi="宋体" w:cs="宋体"/>
          <w:color w:val="000000"/>
          <w:sz w:val="25"/>
          <w:szCs w:val="25"/>
        </w:rPr>
        <w:t>    自本公告发布之日起5个工作日。</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六、其他补充事宜</w:t>
      </w:r>
    </w:p>
    <w:p>
      <w:pPr>
        <w:pStyle w:val="47"/>
        <w:widowControl/>
        <w:spacing w:before="0" w:beforeAutospacing="0" w:after="0" w:afterAutospacing="0" w:line="440" w:lineRule="exact"/>
        <w:ind w:firstLine="250" w:firstLineChars="100"/>
        <w:rPr>
          <w:rFonts w:hint="eastAsia" w:ascii="宋体" w:hAnsi="宋体" w:cs="宋体"/>
          <w:color w:val="000000"/>
          <w:shd w:val="clear" w:color="auto" w:fill="FFFFFF"/>
        </w:rPr>
      </w:pPr>
      <w:r>
        <w:rPr>
          <w:rFonts w:hint="eastAsia" w:ascii="宋体" w:hAnsi="宋体" w:cs="宋体"/>
          <w:color w:val="000000"/>
          <w:sz w:val="25"/>
          <w:szCs w:val="25"/>
        </w:rPr>
        <w:t> </w:t>
      </w:r>
      <w:r>
        <w:rPr>
          <w:rFonts w:hint="eastAsia" w:ascii="宋体" w:hAnsi="宋体" w:cs="宋体"/>
          <w:color w:val="000000"/>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shd w:val="clear" w:color="auto" w:fill="FFFFFF"/>
        </w:rPr>
        <w:t> 2、其他事项：</w:t>
      </w:r>
    </w:p>
    <w:p>
      <w:pPr>
        <w:pStyle w:val="27"/>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w:t>
      </w:r>
      <w:r>
        <w:rPr>
          <w:rFonts w:hint="eastAsia" w:hAnsi="宋体" w:cs="宋体"/>
          <w:color w:val="000000"/>
          <w:sz w:val="24"/>
        </w:rPr>
        <w:t>投标人</w:t>
      </w:r>
      <w:r>
        <w:rPr>
          <w:rFonts w:hint="eastAsia" w:hAnsi="宋体" w:cs="宋体"/>
          <w:color w:val="000000"/>
          <w:sz w:val="24"/>
          <w:szCs w:val="24"/>
        </w:rPr>
        <w:t>即可参投，投标人在投标截止时间之前上传电子投标文件。投标人参与投标，需自行承担投标一切费用。</w:t>
      </w:r>
    </w:p>
    <w:p>
      <w:pPr>
        <w:pStyle w:val="27"/>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27"/>
        <w:adjustRightInd w:val="0"/>
        <w:snapToGrid w:val="0"/>
        <w:spacing w:line="440" w:lineRule="exact"/>
        <w:ind w:firstLine="480" w:firstLineChars="200"/>
        <w:rPr>
          <w:rFonts w:hint="eastAsia" w:hAnsi="宋体" w:cs="宋体"/>
          <w:color w:val="000000"/>
        </w:rPr>
      </w:pPr>
      <w:r>
        <w:rPr>
          <w:rFonts w:hint="eastAsia" w:hAnsi="宋体" w:cs="宋体"/>
          <w:color w:val="000000"/>
          <w:sz w:val="24"/>
          <w:szCs w:val="24"/>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七、对本次招标提出询问、质疑、投诉，请按以下方式联系。</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1.采购人信息</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名    称： </w:t>
      </w:r>
      <w:r>
        <w:rPr>
          <w:rFonts w:hint="eastAsia" w:ascii="宋体" w:hAnsi="宋体" w:cs="宋体"/>
          <w:color w:val="000000"/>
          <w:sz w:val="25"/>
          <w:szCs w:val="25"/>
          <w:lang w:eastAsia="zh-CN"/>
        </w:rPr>
        <w:t>义乌市公安局交通警察大队</w:t>
      </w:r>
      <w:r>
        <w:rPr>
          <w:rFonts w:hint="eastAsia" w:ascii="宋体" w:hAnsi="宋体" w:cs="宋体"/>
          <w:color w:val="000000"/>
          <w:sz w:val="25"/>
          <w:szCs w:val="25"/>
        </w:rPr>
        <w:t>　　</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项目联系人（询问）： </w:t>
      </w:r>
      <w:r>
        <w:rPr>
          <w:rFonts w:hint="eastAsia" w:ascii="宋体" w:hAnsi="宋体" w:eastAsia="宋体" w:cs="宋体"/>
          <w:color w:val="000000"/>
          <w:sz w:val="25"/>
          <w:szCs w:val="25"/>
          <w:u w:val="single"/>
          <w:lang w:val="en-US" w:eastAsia="zh-CN"/>
        </w:rPr>
        <w:t>黄志超　</w:t>
      </w:r>
      <w:r>
        <w:rPr>
          <w:rFonts w:hint="eastAsia" w:ascii="宋体" w:hAnsi="宋体" w:cs="宋体"/>
          <w:color w:val="000000"/>
          <w:sz w:val="25"/>
          <w:szCs w:val="25"/>
        </w:rPr>
        <w:t>　　　　　</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项目联系方式（询问）：</w:t>
      </w:r>
      <w:r>
        <w:rPr>
          <w:rFonts w:hint="eastAsia" w:ascii="宋体" w:hAnsi="宋体" w:cs="宋体"/>
          <w:color w:val="000000"/>
          <w:sz w:val="25"/>
          <w:szCs w:val="25"/>
          <w:u w:val="single"/>
          <w:lang w:val="en-US" w:eastAsia="zh-CN"/>
        </w:rPr>
        <w:t xml:space="preserve">0579-85414373     </w:t>
      </w:r>
      <w:r>
        <w:rPr>
          <w:rFonts w:hint="eastAsia" w:ascii="宋体" w:hAnsi="宋体" w:cs="宋体"/>
          <w:color w:val="000000"/>
          <w:sz w:val="25"/>
          <w:szCs w:val="25"/>
          <w:u w:val="single"/>
        </w:rPr>
        <w:t> </w:t>
      </w:r>
    </w:p>
    <w:p>
      <w:pPr>
        <w:pStyle w:val="47"/>
        <w:widowControl/>
        <w:spacing w:before="0" w:beforeAutospacing="0" w:after="0" w:afterAutospacing="0" w:line="420" w:lineRule="exact"/>
        <w:ind w:firstLine="750"/>
        <w:rPr>
          <w:rFonts w:hint="eastAsia" w:ascii="宋体" w:hAnsi="宋体" w:cs="宋体"/>
          <w:color w:val="000000"/>
          <w:sz w:val="25"/>
          <w:szCs w:val="25"/>
          <w:u w:val="single"/>
          <w:lang w:val="en-US" w:eastAsia="zh-CN"/>
        </w:rPr>
      </w:pPr>
      <w:r>
        <w:rPr>
          <w:rFonts w:hint="eastAsia" w:ascii="宋体" w:hAnsi="宋体" w:cs="宋体"/>
          <w:color w:val="000000"/>
          <w:sz w:val="25"/>
          <w:szCs w:val="25"/>
        </w:rPr>
        <w:t>质疑联系人：</w:t>
      </w:r>
      <w:r>
        <w:rPr>
          <w:rFonts w:hint="eastAsia" w:ascii="宋体" w:hAnsi="宋体" w:cs="宋体"/>
          <w:color w:val="000000"/>
          <w:sz w:val="25"/>
          <w:szCs w:val="25"/>
          <w:u w:val="single"/>
          <w:lang w:val="en-US" w:eastAsia="zh-CN"/>
        </w:rPr>
        <w:t xml:space="preserve">毛碧荣   </w:t>
      </w:r>
    </w:p>
    <w:p>
      <w:pPr>
        <w:pStyle w:val="47"/>
        <w:widowControl/>
        <w:spacing w:before="0" w:beforeAutospacing="0" w:after="0" w:afterAutospacing="0" w:line="420" w:lineRule="exact"/>
        <w:ind w:firstLine="750"/>
        <w:rPr>
          <w:rFonts w:hint="eastAsia" w:ascii="宋体" w:hAnsi="宋体" w:eastAsia="宋体" w:cs="宋体"/>
          <w:color w:val="000000"/>
          <w:sz w:val="25"/>
          <w:szCs w:val="25"/>
          <w:lang w:eastAsia="zh-CN"/>
        </w:rPr>
      </w:pPr>
      <w:r>
        <w:rPr>
          <w:rFonts w:hint="eastAsia" w:ascii="宋体" w:hAnsi="宋体" w:cs="宋体"/>
          <w:color w:val="000000"/>
          <w:sz w:val="25"/>
          <w:szCs w:val="25"/>
        </w:rPr>
        <w:t>质疑联系方式：</w:t>
      </w:r>
      <w:r>
        <w:rPr>
          <w:rFonts w:hint="eastAsia" w:ascii="宋体" w:hAnsi="宋体" w:eastAsia="宋体" w:cs="Times New Roman"/>
          <w:color w:val="000000"/>
          <w:sz w:val="24"/>
          <w:u w:val="single"/>
          <w:lang w:val="en-US" w:eastAsia="zh-CN"/>
        </w:rPr>
        <w:t>13588678066</w:t>
      </w:r>
      <w:r>
        <w:rPr>
          <w:rFonts w:hint="eastAsia" w:ascii="宋体" w:hAnsi="宋体" w:cs="宋体"/>
          <w:color w:val="000000"/>
          <w:sz w:val="25"/>
          <w:szCs w:val="25"/>
        </w:rPr>
        <w:t xml:space="preserve">    </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2.采购代理机构信息</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 </w:t>
      </w:r>
      <w:r>
        <w:rPr>
          <w:rFonts w:hint="eastAsia" w:ascii="宋体" w:hAnsi="宋体" w:cs="宋体"/>
          <w:color w:val="000000"/>
          <w:sz w:val="25"/>
          <w:szCs w:val="25"/>
          <w:u w:val="single"/>
        </w:rPr>
        <w:t>浙江至诚工程咨询有限责任公司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地    址： </w:t>
      </w:r>
      <w:r>
        <w:rPr>
          <w:rFonts w:hint="eastAsia" w:ascii="宋体" w:hAnsi="宋体" w:cs="宋体"/>
          <w:color w:val="000000"/>
          <w:sz w:val="25"/>
          <w:szCs w:val="25"/>
          <w:u w:val="single"/>
        </w:rPr>
        <w:t>义乌市春晗路111号4楼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传    真：</w:t>
      </w:r>
      <w:r>
        <w:rPr>
          <w:rFonts w:hint="eastAsia" w:ascii="宋体" w:hAnsi="宋体" w:cs="宋体"/>
          <w:color w:val="000000"/>
          <w:sz w:val="25"/>
          <w:szCs w:val="25"/>
          <w:u w:val="single"/>
        </w:rPr>
        <w:t> 0579-83809111-8079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项目联系人（询问）：</w:t>
      </w:r>
      <w:r>
        <w:rPr>
          <w:rFonts w:hint="eastAsia" w:ascii="宋体" w:hAnsi="宋体" w:cs="宋体"/>
          <w:color w:val="000000"/>
          <w:sz w:val="25"/>
          <w:szCs w:val="25"/>
          <w:u w:val="single"/>
        </w:rPr>
        <w:t>　  胡春健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项目联系方式（询问）：</w:t>
      </w:r>
      <w:r>
        <w:rPr>
          <w:rFonts w:hint="eastAsia" w:ascii="宋体" w:hAnsi="宋体" w:cs="宋体"/>
          <w:color w:val="000000"/>
          <w:sz w:val="25"/>
          <w:szCs w:val="25"/>
          <w:u w:val="single"/>
        </w:rPr>
        <w:t> 0579-83809111-8055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w:t>
      </w:r>
      <w:r>
        <w:rPr>
          <w:rFonts w:hint="eastAsia" w:ascii="宋体" w:hAnsi="宋体" w:cs="宋体"/>
          <w:color w:val="000000"/>
          <w:sz w:val="19"/>
          <w:szCs w:val="19"/>
        </w:rPr>
        <w:t>   </w:t>
      </w:r>
      <w:r>
        <w:rPr>
          <w:rFonts w:hint="eastAsia" w:ascii="宋体" w:hAnsi="宋体" w:cs="宋体"/>
          <w:color w:val="000000"/>
          <w:sz w:val="25"/>
          <w:szCs w:val="25"/>
        </w:rPr>
        <w:t>质疑联系人： </w:t>
      </w:r>
      <w:r>
        <w:rPr>
          <w:rFonts w:hint="eastAsia" w:ascii="宋体" w:hAnsi="宋体" w:cs="宋体"/>
          <w:color w:val="000000"/>
          <w:sz w:val="25"/>
          <w:szCs w:val="25"/>
          <w:u w:val="single"/>
        </w:rPr>
        <w:t>华晴杰</w:t>
      </w:r>
    </w:p>
    <w:p>
      <w:pPr>
        <w:pStyle w:val="47"/>
        <w:widowControl/>
        <w:spacing w:before="0" w:beforeAutospacing="0" w:after="0" w:afterAutospacing="0" w:line="420" w:lineRule="exact"/>
        <w:ind w:firstLine="757"/>
        <w:rPr>
          <w:rFonts w:hint="eastAsia" w:ascii="宋体" w:hAnsi="宋体" w:cs="宋体"/>
          <w:color w:val="000000"/>
          <w:sz w:val="25"/>
          <w:szCs w:val="25"/>
          <w:u w:val="single"/>
        </w:rPr>
      </w:pPr>
      <w:r>
        <w:rPr>
          <w:rFonts w:hint="eastAsia" w:ascii="宋体" w:hAnsi="宋体" w:cs="宋体"/>
          <w:color w:val="000000"/>
          <w:sz w:val="25"/>
          <w:szCs w:val="25"/>
        </w:rPr>
        <w:t>质疑联系方式：</w:t>
      </w:r>
      <w:r>
        <w:rPr>
          <w:rFonts w:hint="eastAsia" w:ascii="宋体" w:hAnsi="宋体" w:cs="宋体"/>
          <w:color w:val="000000"/>
          <w:sz w:val="25"/>
          <w:szCs w:val="25"/>
          <w:u w:val="single"/>
        </w:rPr>
        <w:t>0579-83809111-8052 </w:t>
      </w:r>
    </w:p>
    <w:p>
      <w:pPr>
        <w:pStyle w:val="47"/>
        <w:widowControl/>
        <w:spacing w:before="0" w:beforeAutospacing="0" w:after="0" w:afterAutospacing="0" w:line="420" w:lineRule="exact"/>
        <w:ind w:firstLine="757"/>
        <w:rPr>
          <w:rFonts w:hint="eastAsia" w:ascii="宋体" w:hAnsi="宋体" w:cs="宋体"/>
          <w:color w:val="000000"/>
        </w:rPr>
      </w:pPr>
      <w:r>
        <w:rPr>
          <w:rFonts w:hint="eastAsia" w:ascii="宋体" w:hAnsi="宋体" w:cs="宋体"/>
          <w:color w:val="000000"/>
          <w:sz w:val="25"/>
          <w:szCs w:val="25"/>
        </w:rPr>
        <w:t>3.同级政府采购监督管理部门</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 </w:t>
      </w:r>
      <w:r>
        <w:rPr>
          <w:rFonts w:hint="eastAsia" w:ascii="宋体" w:hAnsi="宋体" w:cs="宋体"/>
          <w:color w:val="000000"/>
          <w:sz w:val="25"/>
          <w:szCs w:val="25"/>
          <w:u w:val="single"/>
        </w:rPr>
        <w:t>义乌市财政局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联系人 ： </w:t>
      </w:r>
      <w:r>
        <w:rPr>
          <w:rFonts w:hint="eastAsia" w:ascii="宋体" w:hAnsi="宋体" w:cs="宋体"/>
          <w:color w:val="000000"/>
          <w:sz w:val="25"/>
          <w:szCs w:val="25"/>
          <w:u w:val="single"/>
        </w:rPr>
        <w:t>骆女士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监督投诉电话：</w:t>
      </w:r>
      <w:r>
        <w:rPr>
          <w:rFonts w:hint="eastAsia" w:ascii="宋体" w:hAnsi="宋体" w:cs="宋体"/>
          <w:color w:val="000000"/>
          <w:sz w:val="25"/>
          <w:szCs w:val="25"/>
          <w:u w:val="single"/>
        </w:rPr>
        <w:t>0579—89915066 　</w:t>
      </w:r>
    </w:p>
    <w:p>
      <w:pPr>
        <w:widowControl/>
        <w:spacing w:line="420" w:lineRule="exact"/>
        <w:jc w:val="left"/>
        <w:rPr>
          <w:rFonts w:hint="eastAsia" w:ascii="宋体" w:hAnsi="宋体" w:eastAsia="宋体" w:cs="宋体"/>
          <w:color w:val="000000"/>
          <w:kern w:val="0"/>
          <w:sz w:val="22"/>
          <w:szCs w:val="22"/>
          <w:lang w:eastAsia="zh-CN" w:bidi="ar"/>
        </w:rPr>
      </w:pPr>
    </w:p>
    <w:p>
      <w:pPr>
        <w:pStyle w:val="2"/>
        <w:rPr>
          <w:rFonts w:hint="eastAsia"/>
          <w:color w:val="000000"/>
          <w:lang w:eastAsia="zh-CN"/>
        </w:rPr>
      </w:pPr>
    </w:p>
    <w:p>
      <w:pPr>
        <w:widowControl/>
        <w:spacing w:line="420" w:lineRule="exact"/>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20" w:lineRule="exact"/>
        <w:jc w:val="left"/>
        <w:rPr>
          <w:rFonts w:hint="eastAsia" w:ascii="宋体" w:hAnsi="宋体" w:cs="宋体"/>
          <w:color w:val="000000"/>
          <w:sz w:val="24"/>
        </w:rPr>
      </w:pPr>
      <w:r>
        <w:rPr>
          <w:rFonts w:hint="eastAsia" w:ascii="宋体" w:hAnsi="宋体" w:cs="宋体"/>
          <w:color w:val="000000"/>
          <w:kern w:val="0"/>
          <w:sz w:val="24"/>
          <w:lang w:bidi="ar"/>
        </w:rPr>
        <w:t>CA问题联系电话（人工）：汇信CA 400-888-4636；天谷CA 400-087-8198。</w:t>
      </w:r>
    </w:p>
    <w:p>
      <w:pPr>
        <w:rPr>
          <w:rFonts w:hint="eastAsia" w:ascii="宋体" w:hAnsi="宋体" w:cs="宋体"/>
          <w:color w:val="000000"/>
        </w:rPr>
      </w:pPr>
    </w:p>
    <w:p>
      <w:pPr>
        <w:pStyle w:val="27"/>
        <w:adjustRightInd w:val="0"/>
        <w:snapToGrid w:val="0"/>
        <w:spacing w:line="460" w:lineRule="exact"/>
        <w:jc w:val="center"/>
        <w:rPr>
          <w:rFonts w:hint="eastAsia" w:hAnsi="宋体" w:cs="宋体"/>
          <w:b/>
          <w:bCs/>
          <w:color w:val="000000"/>
          <w:sz w:val="36"/>
        </w:rPr>
      </w:pPr>
      <w:r>
        <w:rPr>
          <w:rFonts w:hint="eastAsia" w:hAnsi="宋体" w:cs="宋体"/>
          <w:color w:val="000000"/>
          <w:sz w:val="24"/>
        </w:rPr>
        <w:t xml:space="preserve"> </w:t>
      </w:r>
    </w:p>
    <w:p>
      <w:pPr>
        <w:pStyle w:val="27"/>
        <w:adjustRightInd w:val="0"/>
        <w:snapToGrid w:val="0"/>
        <w:spacing w:line="460" w:lineRule="exact"/>
        <w:jc w:val="center"/>
        <w:rPr>
          <w:rFonts w:hint="eastAsia" w:hAnsi="宋体" w:cs="宋体"/>
          <w:b/>
          <w:bCs/>
          <w:color w:val="000000"/>
          <w:sz w:val="36"/>
        </w:rPr>
      </w:pPr>
    </w:p>
    <w:p>
      <w:pPr>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0" w:leftChars="0" w:firstLine="0" w:firstLineChars="0"/>
        <w:rPr>
          <w:rFonts w:hint="eastAsia" w:ascii="宋体" w:hAnsi="宋体" w:cs="宋体"/>
          <w:color w:val="000000"/>
        </w:rPr>
      </w:pPr>
    </w:p>
    <w:p>
      <w:pPr>
        <w:pStyle w:val="5"/>
        <w:numPr>
          <w:ilvl w:val="0"/>
          <w:numId w:val="0"/>
        </w:numPr>
        <w:spacing w:before="0" w:after="0" w:line="360" w:lineRule="auto"/>
        <w:jc w:val="center"/>
        <w:rPr>
          <w:rFonts w:hint="eastAsia" w:ascii="宋体" w:hAnsi="宋体" w:eastAsia="宋体" w:cs="宋体"/>
          <w:b/>
          <w:bCs/>
          <w:color w:val="000000"/>
          <w:sz w:val="36"/>
        </w:rPr>
      </w:pPr>
      <w:bookmarkStart w:id="4" w:name="_Toc30973"/>
      <w:bookmarkStart w:id="5" w:name="_Toc31758"/>
      <w:bookmarkStart w:id="6" w:name="_Toc13247"/>
      <w:r>
        <w:rPr>
          <w:rFonts w:hint="eastAsia" w:ascii="宋体" w:hAnsi="宋体" w:eastAsia="宋体" w:cs="宋体"/>
          <w:b/>
          <w:bCs/>
          <w:color w:val="000000"/>
          <w:sz w:val="36"/>
        </w:rPr>
        <w:t>第二章　投标须知和投标须知前附表</w:t>
      </w:r>
      <w:bookmarkEnd w:id="4"/>
      <w:bookmarkEnd w:id="5"/>
      <w:bookmarkEnd w:id="6"/>
    </w:p>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51"/>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12"/>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b/>
                <w:color w:val="000000"/>
                <w:sz w:val="24"/>
              </w:rPr>
            </w:pPr>
            <w:r>
              <w:rPr>
                <w:rFonts w:hint="eastAsia" w:ascii="宋体" w:hAnsi="宋体" w:cs="宋体"/>
                <w:b/>
                <w:color w:val="000000"/>
                <w:sz w:val="24"/>
              </w:rPr>
              <w:t>序号</w:t>
            </w:r>
          </w:p>
        </w:tc>
        <w:tc>
          <w:tcPr>
            <w:tcW w:w="8330" w:type="dxa"/>
            <w:gridSpan w:val="2"/>
            <w:noWrap w:val="0"/>
            <w:vAlign w:val="center"/>
          </w:tcPr>
          <w:p>
            <w:pPr>
              <w:spacing w:line="37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49" w:type="dxa"/>
            <w:noWrap w:val="0"/>
            <w:vAlign w:val="center"/>
          </w:tcPr>
          <w:p>
            <w:pPr>
              <w:spacing w:line="37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70" w:lineRule="exact"/>
              <w:jc w:val="center"/>
              <w:rPr>
                <w:rFonts w:hint="eastAsia" w:ascii="宋体" w:hAnsi="宋体" w:cs="宋体"/>
                <w:color w:val="000000"/>
                <w:sz w:val="24"/>
              </w:rPr>
            </w:pPr>
            <w:r>
              <w:rPr>
                <w:rFonts w:hint="eastAsia" w:ascii="宋体" w:hAnsi="宋体" w:cs="宋体"/>
                <w:color w:val="000000"/>
                <w:sz w:val="24"/>
              </w:rPr>
              <w:t>说明</w:t>
            </w:r>
          </w:p>
        </w:tc>
        <w:tc>
          <w:tcPr>
            <w:tcW w:w="6718" w:type="dxa"/>
            <w:noWrap w:val="0"/>
            <w:vAlign w:val="center"/>
          </w:tcPr>
          <w:p>
            <w:pPr>
              <w:spacing w:before="167" w:beforeLines="50" w:line="370" w:lineRule="exact"/>
              <w:rPr>
                <w:rFonts w:hint="eastAsia" w:ascii="宋体" w:hAnsi="宋体" w:eastAsia="宋体" w:cs="宋体"/>
                <w:color w:val="000000"/>
                <w:sz w:val="24"/>
                <w:lang w:eastAsia="zh-CN"/>
              </w:rPr>
            </w:pPr>
            <w:r>
              <w:rPr>
                <w:rFonts w:hint="eastAsia" w:ascii="宋体" w:hAnsi="宋体" w:cs="宋体"/>
                <w:b/>
                <w:color w:val="000000"/>
                <w:sz w:val="24"/>
              </w:rPr>
              <w:t>项目名称：</w:t>
            </w:r>
            <w:r>
              <w:rPr>
                <w:rFonts w:hint="eastAsia" w:ascii="宋体" w:hAnsi="宋体" w:cs="宋体"/>
                <w:bCs/>
                <w:color w:val="000000"/>
                <w:sz w:val="24"/>
                <w:lang w:eastAsia="zh-CN"/>
              </w:rPr>
              <w:t>义乌市智能交通系统2023-2025年运维服务采购项目</w:t>
            </w:r>
          </w:p>
          <w:p>
            <w:pPr>
              <w:widowControl/>
              <w:wordWrap w:val="0"/>
              <w:spacing w:line="400" w:lineRule="exact"/>
              <w:jc w:val="left"/>
              <w:rPr>
                <w:rFonts w:hint="eastAsia" w:ascii="宋体" w:hAnsi="宋体" w:cs="宋体"/>
                <w:color w:val="000000"/>
                <w:sz w:val="24"/>
              </w:rPr>
            </w:pPr>
            <w:r>
              <w:rPr>
                <w:rFonts w:hint="eastAsia" w:ascii="宋体" w:hAnsi="宋体" w:cs="宋体"/>
                <w:b/>
                <w:color w:val="000000"/>
                <w:kern w:val="0"/>
                <w:sz w:val="24"/>
              </w:rPr>
              <w:t>采购项目内容：</w:t>
            </w:r>
            <w:r>
              <w:rPr>
                <w:rFonts w:hint="eastAsia" w:ascii="宋体" w:hAnsi="宋体" w:cs="宋体"/>
                <w:bCs/>
                <w:color w:val="000000"/>
                <w:sz w:val="24"/>
                <w:lang w:eastAsia="zh-CN"/>
              </w:rPr>
              <w:t>义乌市智能交通系统2023-2025年运维服务采购</w:t>
            </w:r>
            <w:r>
              <w:rPr>
                <w:rFonts w:hint="eastAsia" w:ascii="宋体" w:hAnsi="宋体" w:cs="宋体"/>
                <w:bCs/>
                <w:color w:val="000000"/>
                <w:sz w:val="24"/>
                <w:lang w:val="en-US" w:eastAsia="zh-CN"/>
              </w:rPr>
              <w:t>；</w:t>
            </w:r>
            <w:r>
              <w:rPr>
                <w:rFonts w:hint="eastAsia" w:ascii="宋体" w:hAnsi="宋体" w:cs="宋体"/>
                <w:color w:val="000000"/>
                <w:sz w:val="25"/>
                <w:szCs w:val="25"/>
              </w:rPr>
              <w:t>具体内容及要求详见第三章“招标项目要求”。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采购</w:t>
            </w:r>
            <w:r>
              <w:rPr>
                <w:rFonts w:hint="eastAsia" w:ascii="宋体" w:hAnsi="宋体" w:cs="宋体"/>
                <w:color w:val="000000"/>
                <w:sz w:val="24"/>
                <w:lang w:val="en-US" w:eastAsia="zh-CN"/>
              </w:rPr>
              <w:t>方</w:t>
            </w:r>
            <w:r>
              <w:rPr>
                <w:rFonts w:hint="eastAsia" w:ascii="宋体" w:hAnsi="宋体" w:cs="宋体"/>
                <w:color w:val="000000"/>
                <w:sz w:val="24"/>
              </w:rPr>
              <w:t>式</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3</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投标人资格要求</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4</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服务期限</w:t>
            </w:r>
          </w:p>
        </w:tc>
        <w:tc>
          <w:tcPr>
            <w:tcW w:w="6718" w:type="dxa"/>
            <w:noWrap w:val="0"/>
            <w:vAlign w:val="center"/>
          </w:tcPr>
          <w:p>
            <w:pPr>
              <w:spacing w:line="370" w:lineRule="exact"/>
              <w:rPr>
                <w:rFonts w:ascii="宋体" w:hAnsi="宋体" w:cs="宋体"/>
                <w:color w:val="000000"/>
                <w:sz w:val="24"/>
              </w:rPr>
            </w:pPr>
            <w:r>
              <w:rPr>
                <w:rFonts w:hint="eastAsia" w:ascii="宋体" w:hAnsi="宋体" w:cs="宋体"/>
                <w:color w:val="000000"/>
                <w:sz w:val="24"/>
              </w:rPr>
              <w:t>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5</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6</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现场踏勘时间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7</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8</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自</w:t>
            </w:r>
            <w:r>
              <w:rPr>
                <w:rFonts w:hint="eastAsia" w:ascii="宋体" w:hAnsi="宋体" w:cs="宋体"/>
                <w:color w:val="000000"/>
                <w:sz w:val="24"/>
                <w:lang w:val="en-US" w:eastAsia="zh-CN"/>
              </w:rPr>
              <w:t>提交投标文件截止</w:t>
            </w:r>
            <w:r>
              <w:rPr>
                <w:rFonts w:hint="eastAsia" w:ascii="宋体" w:hAnsi="宋体" w:cs="宋体"/>
                <w:color w:val="000000"/>
                <w:sz w:val="24"/>
              </w:rPr>
              <w:t>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9</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投标文件递交地点</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在浙江政府采购网“政采云”平台上上传电子投标文件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10</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上传电子投标文件时间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投标人应于</w:t>
            </w:r>
            <w:r>
              <w:rPr>
                <w:rFonts w:hint="eastAsia" w:ascii="宋体" w:hAnsi="宋体" w:cs="宋体"/>
                <w:color w:val="000000"/>
                <w:sz w:val="24"/>
                <w:lang w:eastAsia="zh-CN"/>
              </w:rPr>
              <w:t>2022年  月  日</w:t>
            </w:r>
            <w:r>
              <w:rPr>
                <w:rFonts w:hint="eastAsia" w:ascii="宋体" w:hAnsi="宋体" w:cs="宋体"/>
                <w:color w:val="000000"/>
                <w:sz w:val="24"/>
              </w:rPr>
              <w:t>上午09:30前在“政采云”上自行加密上传电子投标文件，逾期上传或未按要求上传的投标文件将予以拒收。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11</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12</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开标时间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开标时间：</w:t>
            </w:r>
            <w:r>
              <w:rPr>
                <w:rFonts w:hint="eastAsia" w:ascii="宋体" w:hAnsi="宋体" w:cs="宋体"/>
                <w:color w:val="000000"/>
                <w:sz w:val="24"/>
                <w:lang w:eastAsia="zh-CN"/>
              </w:rPr>
              <w:t>2022年  月  日</w:t>
            </w:r>
            <w:r>
              <w:rPr>
                <w:rFonts w:hint="eastAsia" w:ascii="宋体" w:hAnsi="宋体" w:cs="宋体"/>
                <w:color w:val="000000"/>
                <w:sz w:val="24"/>
              </w:rPr>
              <w:t>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13</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开标地点</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开标地点：义乌市望道路300号义乌市行政服务中心大楼4楼开标室</w:t>
            </w:r>
          </w:p>
          <w:p>
            <w:pPr>
              <w:spacing w:line="370" w:lineRule="exact"/>
              <w:rPr>
                <w:rFonts w:hint="eastAsia" w:ascii="宋体" w:hAnsi="宋体" w:cs="宋体"/>
                <w:color w:val="000000"/>
                <w:sz w:val="24"/>
              </w:rPr>
            </w:pPr>
            <w:r>
              <w:rPr>
                <w:rFonts w:hint="eastAsia" w:ascii="宋体" w:hAnsi="宋体" w:cs="宋体"/>
                <w:color w:val="000000"/>
                <w:sz w:val="24"/>
              </w:rPr>
              <w:t>投标截止时间后，采购组织机构将向各投标人发出“电子解密投标文件”的解密通知，各投标人代表在接到解密通知后1小时内（</w:t>
            </w:r>
            <w:r>
              <w:rPr>
                <w:rFonts w:hint="eastAsia" w:ascii="宋体" w:hAnsi="宋体" w:cs="宋体"/>
                <w:color w:val="000000"/>
                <w:sz w:val="24"/>
                <w:lang w:eastAsia="zh-CN"/>
              </w:rPr>
              <w:t>2022年  月  日</w:t>
            </w:r>
            <w:r>
              <w:rPr>
                <w:rFonts w:hint="eastAsia" w:ascii="宋体" w:hAnsi="宋体" w:cs="宋体"/>
                <w:color w:val="000000"/>
                <w:sz w:val="24"/>
              </w:rPr>
              <w:t>10:30前）投标人可以登录“政采云”平台，用“项目采购-开标评标”功能进行解密投标文件。若投标人在规定时间内无法解密或解密失败，将导致投标无效或失败。</w:t>
            </w:r>
          </w:p>
          <w:p>
            <w:pPr>
              <w:spacing w:line="370" w:lineRule="exact"/>
              <w:rPr>
                <w:rFonts w:hint="eastAsia" w:ascii="宋体" w:hAnsi="宋体" w:cs="宋体"/>
                <w:color w:val="000000"/>
                <w:sz w:val="24"/>
              </w:rPr>
            </w:pPr>
            <w:r>
              <w:rPr>
                <w:rFonts w:hint="eastAsia" w:ascii="宋体" w:hAnsi="宋体" w:cs="宋体"/>
                <w:b/>
                <w:bCs/>
                <w:color w:val="000000"/>
                <w:sz w:val="24"/>
              </w:rPr>
              <w:t>备注：为确保采购项目顺利实施，避免因政采云上电子投标文件解密失败导致投标人投标无效，投标人可在</w:t>
            </w:r>
            <w:r>
              <w:rPr>
                <w:rFonts w:hint="eastAsia" w:ascii="宋体" w:hAnsi="宋体" w:cs="宋体"/>
                <w:b/>
                <w:bCs/>
                <w:color w:val="000000"/>
                <w:sz w:val="24"/>
                <w:lang w:eastAsia="zh-CN"/>
              </w:rPr>
              <w:t>2022年  月  日</w:t>
            </w:r>
            <w:r>
              <w:rPr>
                <w:rFonts w:hint="eastAsia" w:ascii="宋体" w:hAnsi="宋体" w:cs="宋体"/>
                <w:b/>
                <w:bCs/>
                <w:color w:val="000000"/>
                <w:sz w:val="24"/>
              </w:rPr>
              <w:t>上午09: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w:t>
            </w:r>
            <w:r>
              <w:rPr>
                <w:rFonts w:hint="eastAsia" w:ascii="宋体" w:hAnsi="宋体" w:cs="宋体"/>
                <w:b/>
                <w:bCs/>
                <w:color w:val="000000"/>
                <w:sz w:val="24"/>
                <w:szCs w:val="21"/>
              </w:rPr>
              <w:t>如政采云上电子投标文件出现解密失败情况（开标当日09:30-10:30期间进行解密），投标人可按照自身意愿确认是否同意提供加密密码解密传送至</w:t>
            </w:r>
            <w:r>
              <w:rPr>
                <w:rFonts w:hint="eastAsia" w:ascii="宋体" w:hAnsi="宋体" w:cs="宋体"/>
                <w:b/>
                <w:bCs/>
                <w:color w:val="000000"/>
                <w:sz w:val="24"/>
              </w:rPr>
              <w:t>浙江至诚工程咨询有限责任公司邮箱（zb@zccpa.com）</w:t>
            </w:r>
            <w:r>
              <w:rPr>
                <w:rFonts w:hint="eastAsia" w:ascii="宋体" w:hAnsi="宋体" w:cs="宋体"/>
                <w:b/>
                <w:bCs/>
                <w:color w:val="000000"/>
                <w:sz w:val="24"/>
                <w:szCs w:val="21"/>
              </w:rPr>
              <w:t>的备份文件，并以备份文件作为替代电子投标文件，如投标人未按照规定时间（</w:t>
            </w:r>
            <w:r>
              <w:rPr>
                <w:rFonts w:hint="eastAsia" w:ascii="宋体" w:hAnsi="宋体" w:cs="宋体"/>
                <w:b/>
                <w:bCs/>
                <w:color w:val="000000"/>
                <w:sz w:val="24"/>
                <w:szCs w:val="21"/>
                <w:lang w:eastAsia="zh-CN"/>
              </w:rPr>
              <w:t>2022年  月  日</w:t>
            </w:r>
            <w:r>
              <w:rPr>
                <w:rFonts w:hint="eastAsia" w:ascii="宋体" w:hAnsi="宋体" w:cs="宋体"/>
                <w:b/>
                <w:bCs/>
                <w:color w:val="000000"/>
                <w:sz w:val="24"/>
                <w:szCs w:val="21"/>
              </w:rPr>
              <w:t xml:space="preserve"> 09:30时前）及要求提供有效备份文件，同时政采云上投标文件解密失败的，将导致投标无效。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14</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评标办法</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15</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16</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付款方式</w:t>
            </w:r>
          </w:p>
        </w:tc>
        <w:tc>
          <w:tcPr>
            <w:tcW w:w="6718" w:type="dxa"/>
            <w:noWrap w:val="0"/>
            <w:vAlign w:val="center"/>
          </w:tcPr>
          <w:p>
            <w:pPr>
              <w:pStyle w:val="96"/>
              <w:numPr>
                <w:ilvl w:val="0"/>
                <w:numId w:val="0"/>
              </w:numPr>
              <w:spacing w:line="240" w:lineRule="auto"/>
              <w:ind w:firstLine="0" w:firstLineChars="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本项目总</w:t>
            </w:r>
            <w:r>
              <w:rPr>
                <w:rFonts w:hint="eastAsia" w:ascii="宋体" w:hAnsi="宋体" w:cs="宋体"/>
                <w:color w:val="000000"/>
                <w:lang w:val="en-US" w:eastAsia="zh-CN"/>
              </w:rPr>
              <w:t>运维服务期</w:t>
            </w:r>
            <w:r>
              <w:rPr>
                <w:rFonts w:hint="eastAsia" w:ascii="Times New Roman" w:hAnsi="Times New Roman" w:eastAsia="宋体" w:cs="Times New Roman"/>
                <w:color w:val="000000"/>
                <w:lang w:val="en-US" w:eastAsia="zh-CN"/>
              </w:rPr>
              <w:t>为三年。</w:t>
            </w:r>
          </w:p>
          <w:p>
            <w:pPr>
              <w:pStyle w:val="96"/>
              <w:numPr>
                <w:ilvl w:val="0"/>
                <w:numId w:val="0"/>
              </w:numPr>
              <w:spacing w:line="240" w:lineRule="auto"/>
              <w:ind w:firstLine="0" w:firstLineChars="0"/>
              <w:rPr>
                <w:rFonts w:hint="eastAsia" w:ascii="Times New Roman" w:hAnsi="Times New Roman" w:eastAsia="宋体" w:cs="Times New Roman"/>
                <w:color w:val="000000"/>
                <w:lang w:val="en-US"/>
              </w:rPr>
            </w:pPr>
            <w:r>
              <w:rPr>
                <w:rFonts w:hint="eastAsia" w:ascii="Times New Roman" w:hAnsi="Times New Roman" w:eastAsia="宋体" w:cs="Times New Roman"/>
                <w:color w:val="000000"/>
                <w:lang w:val="en-US"/>
              </w:rPr>
              <w:t>1.合同签订以及具备实施条件后</w:t>
            </w:r>
            <w:r>
              <w:rPr>
                <w:rFonts w:hint="eastAsia" w:ascii="Times New Roman" w:hAnsi="Times New Roman" w:eastAsia="宋体" w:cs="Times New Roman"/>
                <w:color w:val="000000"/>
                <w:lang w:val="en-US" w:eastAsia="zh-CN"/>
              </w:rPr>
              <w:t>7个工作日内</w:t>
            </w:r>
            <w:r>
              <w:rPr>
                <w:rFonts w:hint="eastAsia" w:ascii="Times New Roman" w:hAnsi="Times New Roman" w:eastAsia="宋体" w:cs="Times New Roman"/>
                <w:color w:val="000000"/>
                <w:lang w:val="en-US"/>
              </w:rPr>
              <w:t>支付</w:t>
            </w:r>
            <w:r>
              <w:rPr>
                <w:rFonts w:hint="eastAsia" w:ascii="Times New Roman" w:hAnsi="Times New Roman" w:eastAsia="宋体" w:cs="Times New Roman"/>
                <w:color w:val="000000"/>
                <w:lang w:val="en-US" w:eastAsia="zh-CN"/>
              </w:rPr>
              <w:t>本项目第一年应支付</w:t>
            </w:r>
            <w:r>
              <w:rPr>
                <w:rFonts w:hint="eastAsia" w:ascii="Times New Roman" w:hAnsi="Times New Roman" w:eastAsia="宋体" w:cs="Times New Roman"/>
                <w:color w:val="000000"/>
                <w:lang w:val="en-US"/>
              </w:rPr>
              <w:t>金额</w:t>
            </w:r>
            <w:r>
              <w:rPr>
                <w:rFonts w:hint="eastAsia" w:ascii="Times New Roman" w:hAnsi="Times New Roman" w:eastAsia="宋体" w:cs="Times New Roman"/>
                <w:color w:val="000000"/>
                <w:lang w:val="en-US" w:eastAsia="zh-CN"/>
              </w:rPr>
              <w:t>40</w:t>
            </w:r>
            <w:r>
              <w:rPr>
                <w:rFonts w:hint="eastAsia" w:ascii="Times New Roman" w:hAnsi="Times New Roman" w:eastAsia="宋体" w:cs="Times New Roman"/>
                <w:color w:val="000000"/>
                <w:lang w:val="en-US"/>
              </w:rPr>
              <w:t>%的预付款</w:t>
            </w:r>
            <w:r>
              <w:rPr>
                <w:rFonts w:hint="eastAsia" w:ascii="Times New Roman" w:hAnsi="Times New Roman" w:eastAsia="宋体" w:cs="Times New Roman"/>
                <w:color w:val="000000"/>
                <w:lang w:val="en-US" w:eastAsia="zh-CN"/>
              </w:rPr>
              <w:t>(在签订合同时，中标方明确表示无需预付款或者主动要求降低预付款比例的，采购单位可不支付或减少预付款支付比例)</w:t>
            </w:r>
            <w:r>
              <w:rPr>
                <w:rFonts w:hint="eastAsia" w:ascii="Times New Roman" w:hAnsi="Times New Roman" w:eastAsia="宋体" w:cs="Times New Roman"/>
                <w:color w:val="000000"/>
                <w:lang w:val="en-US"/>
              </w:rPr>
              <w:t>；甲方可以要求乙方提交银行、保险公司等金融机构出具的预付款保函或其他担保措施。</w:t>
            </w:r>
          </w:p>
          <w:p>
            <w:pPr>
              <w:pStyle w:val="96"/>
              <w:numPr>
                <w:ilvl w:val="0"/>
                <w:numId w:val="0"/>
              </w:numPr>
              <w:spacing w:line="240" w:lineRule="auto"/>
              <w:ind w:firstLine="0" w:firstLineChars="0"/>
              <w:rPr>
                <w:rFonts w:hint="eastAsia" w:ascii="Times New Roman" w:hAnsi="Times New Roman" w:eastAsia="宋体" w:cs="Times New Roman"/>
                <w:color w:val="000000"/>
                <w:lang w:val="en-US"/>
              </w:rPr>
            </w:pPr>
            <w:r>
              <w:rPr>
                <w:rFonts w:hint="eastAsia" w:ascii="Times New Roman" w:hAnsi="Times New Roman" w:eastAsia="宋体" w:cs="Times New Roman"/>
                <w:color w:val="000000"/>
                <w:lang w:val="en-US" w:eastAsia="zh-CN"/>
              </w:rPr>
              <w:t>2.</w:t>
            </w:r>
            <w:r>
              <w:rPr>
                <w:rFonts w:hint="eastAsia" w:ascii="Times New Roman" w:hAnsi="Times New Roman" w:eastAsia="宋体" w:cs="Times New Roman"/>
                <w:color w:val="000000"/>
                <w:lang w:val="en-US"/>
              </w:rPr>
              <w:t>根据采购单位组织人员对中标单位的实施情况进行考核，</w:t>
            </w:r>
            <w:r>
              <w:rPr>
                <w:rFonts w:hint="eastAsia" w:ascii="Times New Roman" w:hAnsi="Times New Roman" w:eastAsia="宋体" w:cs="Times New Roman"/>
                <w:color w:val="000000"/>
                <w:lang w:val="en-US" w:eastAsia="zh-CN"/>
              </w:rPr>
              <w:t>视实际扣款情况按月计算，按季支付</w:t>
            </w:r>
            <w:r>
              <w:rPr>
                <w:rFonts w:hint="eastAsia" w:ascii="Times New Roman" w:hAnsi="Times New Roman" w:eastAsia="宋体" w:cs="Times New Roman"/>
                <w:color w:val="000000"/>
                <w:lang w:val="en-US"/>
              </w:rPr>
              <w:t>。</w:t>
            </w:r>
            <w:r>
              <w:rPr>
                <w:rFonts w:hint="eastAsia" w:ascii="Times New Roman" w:hAnsi="Times New Roman" w:eastAsia="宋体" w:cs="Times New Roman"/>
                <w:color w:val="000000"/>
                <w:lang w:val="en-US" w:eastAsia="zh-CN"/>
              </w:rPr>
              <w:t>（预付款在第一季度支付服务费时开始扣回</w:t>
            </w:r>
            <w:r>
              <w:rPr>
                <w:rFonts w:hint="eastAsia" w:ascii="Times New Roman" w:hAnsi="Times New Roman" w:eastAsia="宋体" w:cs="Times New Roman"/>
                <w:color w:val="000000"/>
                <w:lang w:val="en-US"/>
              </w:rPr>
              <w:t>，扣完为止。</w:t>
            </w:r>
            <w:r>
              <w:rPr>
                <w:rFonts w:hint="eastAsia" w:ascii="Times New Roman" w:hAnsi="Times New Roman" w:eastAsia="宋体" w:cs="Times New Roman"/>
                <w:color w:val="000000"/>
                <w:lang w:val="en-US" w:eastAsia="zh-CN"/>
              </w:rPr>
              <w:t>）运维服务费</w:t>
            </w:r>
            <w:r>
              <w:rPr>
                <w:rFonts w:hint="eastAsia" w:ascii="Times New Roman" w:hAnsi="Times New Roman" w:eastAsia="宋体" w:cs="Times New Roman"/>
                <w:color w:val="000000"/>
                <w:lang w:val="zh-CN"/>
              </w:rPr>
              <w:t>凭</w:t>
            </w:r>
            <w:r>
              <w:rPr>
                <w:rFonts w:hint="eastAsia" w:ascii="Times New Roman" w:hAnsi="Times New Roman" w:eastAsia="宋体" w:cs="Times New Roman"/>
                <w:color w:val="000000"/>
                <w:lang w:val="en-US" w:eastAsia="zh-CN"/>
              </w:rPr>
              <w:t>资金结算单</w:t>
            </w:r>
            <w:r>
              <w:rPr>
                <w:rFonts w:hint="eastAsia" w:ascii="Times New Roman" w:hAnsi="Times New Roman" w:eastAsia="宋体" w:cs="Times New Roman"/>
                <w:color w:val="000000"/>
                <w:lang w:val="zh-CN"/>
              </w:rPr>
              <w:t>、</w:t>
            </w:r>
            <w:r>
              <w:rPr>
                <w:rFonts w:hint="eastAsia" w:ascii="Times New Roman" w:hAnsi="Times New Roman" w:eastAsia="宋体" w:cs="Times New Roman"/>
                <w:color w:val="000000"/>
                <w:lang w:val="en-US" w:eastAsia="zh-CN"/>
              </w:rPr>
              <w:t>月度考核记录</w:t>
            </w:r>
            <w:r>
              <w:rPr>
                <w:rFonts w:hint="eastAsia" w:ascii="Times New Roman" w:hAnsi="Times New Roman" w:eastAsia="宋体" w:cs="Times New Roman"/>
                <w:color w:val="000000"/>
                <w:lang w:val="zh-CN"/>
              </w:rPr>
              <w:t>、合同、发票等相关资料由采购人负责办理费用支付。</w:t>
            </w:r>
            <w:r>
              <w:rPr>
                <w:rFonts w:hint="eastAsia" w:ascii="Times New Roman" w:hAnsi="Times New Roman" w:eastAsia="宋体" w:cs="Times New Roman"/>
                <w:color w:val="000000"/>
                <w:lang w:val="en-US" w:eastAsia="zh-CN"/>
              </w:rPr>
              <w:t>项目月度考核服务费计算Sy= Ywf *ａ-∑</w:t>
            </w:r>
            <w:r>
              <w:rPr>
                <w:rFonts w:hint="eastAsia" w:ascii="Times New Roman" w:hAnsi="Times New Roman" w:eastAsia="宋体" w:cs="Times New Roman"/>
                <w:color w:val="000000"/>
                <w:lang w:val="en-US"/>
              </w:rPr>
              <w:t>Rc</w:t>
            </w:r>
            <w:r>
              <w:rPr>
                <w:rFonts w:hint="eastAsia" w:ascii="Times New Roman" w:hAnsi="Times New Roman" w:eastAsia="宋体" w:cs="Times New Roman"/>
                <w:color w:val="000000"/>
                <w:lang w:val="en-US" w:eastAsia="zh-CN"/>
              </w:rPr>
              <w:t>y（Sy：月度考核服务费；Ywf：当月运维服务费；ａ：绩效全面考核支付比例，根据考核确定；</w:t>
            </w:r>
            <w:r>
              <w:rPr>
                <w:rFonts w:hint="eastAsia" w:ascii="Times New Roman" w:hAnsi="Times New Roman" w:eastAsia="宋体" w:cs="Times New Roman"/>
                <w:color w:val="000000"/>
                <w:lang w:val="en-US"/>
              </w:rPr>
              <w:t>Rc</w:t>
            </w:r>
            <w:r>
              <w:rPr>
                <w:rFonts w:hint="eastAsia" w:ascii="Times New Roman" w:hAnsi="Times New Roman" w:eastAsia="宋体" w:cs="Times New Roman"/>
                <w:color w:val="000000"/>
                <w:lang w:val="en-US" w:eastAsia="zh-CN"/>
              </w:rPr>
              <w:t>y：日常维护工作考核月服务费考核扣款，根据考核确定）。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17</w:t>
            </w:r>
          </w:p>
        </w:tc>
        <w:tc>
          <w:tcPr>
            <w:tcW w:w="1612" w:type="dxa"/>
            <w:noWrap w:val="0"/>
            <w:vAlign w:val="center"/>
          </w:tcPr>
          <w:p>
            <w:pPr>
              <w:spacing w:line="370" w:lineRule="exact"/>
              <w:jc w:val="center"/>
              <w:rPr>
                <w:rFonts w:hint="eastAsia" w:ascii="宋体" w:hAnsi="宋体" w:cs="宋体"/>
                <w:bCs/>
                <w:color w:val="000000"/>
                <w:sz w:val="24"/>
              </w:rPr>
            </w:pPr>
            <w:r>
              <w:rPr>
                <w:rFonts w:hint="eastAsia" w:ascii="宋体" w:hAnsi="宋体" w:cs="宋体"/>
                <w:color w:val="000000"/>
                <w:sz w:val="24"/>
              </w:rPr>
              <w:t>供应商注册</w:t>
            </w:r>
          </w:p>
        </w:tc>
        <w:tc>
          <w:tcPr>
            <w:tcW w:w="6718" w:type="dxa"/>
            <w:noWrap w:val="0"/>
            <w:vAlign w:val="center"/>
          </w:tcPr>
          <w:p>
            <w:pPr>
              <w:spacing w:line="370" w:lineRule="exact"/>
              <w:rPr>
                <w:rFonts w:hint="eastAsia" w:ascii="宋体" w:hAnsi="宋体" w:cs="宋体"/>
                <w:bCs/>
                <w:color w:val="000000"/>
                <w:sz w:val="24"/>
              </w:rPr>
            </w:pPr>
            <w:r>
              <w:rPr>
                <w:rFonts w:hint="eastAsia" w:ascii="宋体" w:hAnsi="宋体" w:cs="宋体"/>
                <w:color w:val="000000"/>
                <w:sz w:val="24"/>
              </w:rPr>
              <w:t>供应商注册：供应商须在浙江省政府采购网供应商库注册成为正式供应商（根据浙财采监字[2009]28号文件规定]）。非浙江政府采购网注册的供应商或发生变更且未及时更新的供应商，应当在规定时间内按照《浙江省政府采购供应商注册及诚信管理暂行办法》（浙财采监字[2009]28号）的相关规定及时办理更新或供应商注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18</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政府采购节能环保产品</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1.根据财政部 发展改革委 生态环境部 市场监管总局关于调整优化节能产品、环境标志产品政府采购执行机制的通知财库〔2019〕9号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spacing w:line="370" w:lineRule="exact"/>
              <w:rPr>
                <w:rFonts w:hint="eastAsia" w:ascii="宋体" w:hAnsi="宋体" w:cs="宋体"/>
                <w:color w:val="000000"/>
                <w:sz w:val="24"/>
              </w:rPr>
            </w:pPr>
            <w:r>
              <w:rPr>
                <w:rFonts w:hint="eastAsia" w:ascii="宋体" w:hAnsi="宋体" w:cs="宋体"/>
                <w:color w:val="000000"/>
                <w:sz w:val="24"/>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19</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小微企业有关政策</w:t>
            </w:r>
          </w:p>
        </w:tc>
        <w:tc>
          <w:tcPr>
            <w:tcW w:w="6718" w:type="dxa"/>
            <w:noWrap w:val="0"/>
            <w:vAlign w:val="center"/>
          </w:tcPr>
          <w:p>
            <w:pPr>
              <w:spacing w:line="360" w:lineRule="exact"/>
              <w:rPr>
                <w:rFonts w:hint="eastAsia" w:ascii="宋体" w:hAnsi="宋体" w:cs="宋体"/>
                <w:b/>
                <w:color w:val="000000"/>
                <w:sz w:val="24"/>
              </w:rPr>
            </w:pPr>
            <w:r>
              <w:rPr>
                <w:rFonts w:hint="eastAsia" w:ascii="宋体" w:hAnsi="宋体" w:cs="宋体"/>
                <w:b/>
                <w:color w:val="000000"/>
                <w:sz w:val="24"/>
              </w:rPr>
              <w:t>本项目属于软件和信息技术服务业。</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特别说明：</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1.小微企业有关政策：</w:t>
            </w:r>
          </w:p>
          <w:p>
            <w:pPr>
              <w:spacing w:line="400" w:lineRule="exact"/>
              <w:jc w:val="left"/>
              <w:rPr>
                <w:rFonts w:hint="eastAsia" w:ascii="宋体" w:hAnsi="宋体" w:cs="宋体"/>
                <w:color w:val="000000"/>
                <w:sz w:val="24"/>
              </w:rPr>
            </w:pPr>
            <w:r>
              <w:rPr>
                <w:rFonts w:hint="eastAsia" w:ascii="宋体" w:hAnsi="宋体" w:cs="宋体"/>
                <w:color w:val="000000"/>
                <w:sz w:val="24"/>
              </w:rPr>
              <w:t>（1）</w:t>
            </w:r>
            <w:r>
              <w:rPr>
                <w:rFonts w:ascii="宋体" w:hAnsi="宋体"/>
                <w:color w:val="000000"/>
                <w:sz w:val="24"/>
              </w:rPr>
              <w:t>根据财库[2020]46号《政府采购促进中小企业发展管理办法》</w:t>
            </w:r>
            <w:r>
              <w:rPr>
                <w:rFonts w:hint="eastAsia" w:ascii="宋体" w:hAnsi="宋体"/>
                <w:color w:val="000000"/>
                <w:sz w:val="24"/>
              </w:rPr>
              <w:t>及浙财采监【2022】8号文件</w:t>
            </w:r>
            <w:r>
              <w:rPr>
                <w:rFonts w:ascii="宋体" w:hAnsi="宋体"/>
                <w:color w:val="000000"/>
                <w:sz w:val="24"/>
              </w:rPr>
              <w:t>的相关规定</w:t>
            </w:r>
            <w:r>
              <w:rPr>
                <w:rFonts w:hint="eastAsia" w:ascii="宋体" w:hAnsi="宋体" w:cs="宋体"/>
                <w:color w:val="000000"/>
                <w:sz w:val="24"/>
              </w:rPr>
              <w:t>，在评审时对小型和微型企业的投标报价给予20%的扣除，取扣除后的价格作为最终投标报价（此最终投标报价仅作为价格分计算）。属于中型、小型和微型企业的，投标文件中必须同时提供《中小企业声明函》。中小企业应当按照《</w:t>
            </w:r>
            <w:r>
              <w:rPr>
                <w:rFonts w:ascii="宋体" w:hAnsi="宋体"/>
                <w:color w:val="000000"/>
                <w:sz w:val="24"/>
              </w:rPr>
              <w:t>政府采购促进中小企业发展管理办法</w:t>
            </w:r>
            <w:r>
              <w:rPr>
                <w:rFonts w:hint="eastAsia" w:ascii="宋体" w:hAnsi="宋体" w:cs="宋体"/>
                <w:color w:val="000000"/>
                <w:sz w:val="24"/>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（2）根据财库〔2020〕46 号</w:t>
            </w:r>
            <w:r>
              <w:rPr>
                <w:rFonts w:hint="eastAsia" w:ascii="宋体" w:hAnsi="宋体"/>
                <w:color w:val="000000"/>
                <w:sz w:val="24"/>
              </w:rPr>
              <w:t>及浙财采监【2022】8号文件</w:t>
            </w:r>
            <w:r>
              <w:rPr>
                <w:rFonts w:hint="eastAsia" w:ascii="新宋体" w:hAnsi="新宋体" w:eastAsia="新宋体"/>
                <w:color w:val="000000"/>
                <w:sz w:val="24"/>
              </w:rPr>
              <w:t>的相关规定，大中型企业与小型和微型企业组成联合体共同参加政府采购活动，联合协议中约定小型、微型企业的协议合同金额占到联合体协议合同总金额30%以上的，给予联合体6%的投标报价扣除，取扣除后的价格作为最终投标报价（此最终投标报价仅作为价格分计算）。属于小型和微型企业的，投标文件中必须同时提供《中小企业声明函》。</w:t>
            </w:r>
            <w:r>
              <w:rPr>
                <w:rFonts w:hint="eastAsia" w:ascii="宋体" w:hAnsi="宋体"/>
                <w:b/>
                <w:color w:val="000000"/>
                <w:sz w:val="24"/>
              </w:rPr>
              <w:t>组成联合体的小微企业与联合体其他企业之间存在直接控股、管理关系的，不享受价格扣除优惠政策。</w:t>
            </w:r>
          </w:p>
          <w:p>
            <w:pPr>
              <w:spacing w:line="400" w:lineRule="exact"/>
              <w:rPr>
                <w:rFonts w:hint="eastAsia"/>
                <w:color w:val="000000"/>
              </w:rPr>
            </w:pPr>
            <w:r>
              <w:rPr>
                <w:rFonts w:hint="eastAsia" w:ascii="新宋体" w:hAnsi="新宋体" w:eastAsia="新宋体"/>
                <w:color w:val="000000"/>
                <w:sz w:val="24"/>
              </w:rPr>
              <w:t>（3）根据财库〔2020〕46 号</w:t>
            </w:r>
            <w:r>
              <w:rPr>
                <w:rFonts w:hint="eastAsia" w:ascii="宋体" w:hAnsi="宋体"/>
                <w:color w:val="000000"/>
                <w:sz w:val="24"/>
              </w:rPr>
              <w:t>及浙财采监【2022】8号文件</w:t>
            </w:r>
            <w:r>
              <w:rPr>
                <w:rFonts w:hint="eastAsia" w:ascii="新宋体" w:hAnsi="新宋体" w:eastAsia="新宋体"/>
                <w:color w:val="000000"/>
                <w:sz w:val="24"/>
              </w:rPr>
              <w:t>的相关规定，联合体各方均为小型、微型企业的，联合体视同为小型、微型企业，享受评审中投标报价给予20%的扣除。属于小型和微型企业的，投标文件中必须同时提供《中小企业声明函》。</w:t>
            </w:r>
          </w:p>
          <w:p>
            <w:pPr>
              <w:spacing w:line="400" w:lineRule="exact"/>
              <w:rPr>
                <w:rFonts w:hint="eastAsia" w:ascii="新宋体" w:hAnsi="新宋体" w:eastAsia="新宋体"/>
                <w:color w:val="000000"/>
                <w:sz w:val="24"/>
              </w:rPr>
            </w:pPr>
            <w:r>
              <w:rPr>
                <w:rFonts w:hint="eastAsia" w:ascii="新宋体" w:hAnsi="新宋体" w:eastAsia="新宋体"/>
                <w:color w:val="000000"/>
                <w:sz w:val="24"/>
                <w:lang w:val="en-US" w:eastAsia="zh-CN"/>
              </w:rPr>
              <w:t>2.</w:t>
            </w:r>
            <w:r>
              <w:rPr>
                <w:rFonts w:hint="eastAsia" w:ascii="新宋体" w:hAnsi="新宋体" w:eastAsia="新宋体"/>
                <w:color w:val="000000"/>
                <w:sz w:val="24"/>
              </w:rPr>
              <w:t>根据财库〔2017〕141号的相关规定，在政府采购活动中，残疾人福利性单位视同小型、微型企业，享受评审中价格扣除政策。属于享受政府采购支持政策的残疾人福利性单位， 应满足财库〔2017〕141号文件第一条的规定，并在投标文件中提供残疾人福利性单位声明函（见附件）。</w:t>
            </w:r>
          </w:p>
          <w:p>
            <w:pPr>
              <w:spacing w:line="400" w:lineRule="exact"/>
              <w:rPr>
                <w:rFonts w:hint="eastAsia" w:ascii="新宋体" w:hAnsi="新宋体" w:eastAsia="新宋体"/>
                <w:color w:val="000000"/>
                <w:sz w:val="24"/>
              </w:rPr>
            </w:pPr>
            <w:r>
              <w:rPr>
                <w:rFonts w:hint="eastAsia" w:ascii="新宋体" w:hAnsi="新宋体" w:eastAsia="新宋体"/>
                <w:color w:val="000000"/>
                <w:sz w:val="24"/>
                <w:lang w:val="en-US" w:eastAsia="zh-CN"/>
              </w:rPr>
              <w:t>3.</w:t>
            </w:r>
            <w:r>
              <w:rPr>
                <w:rFonts w:hint="eastAsia" w:ascii="新宋体" w:hAnsi="新宋体" w:eastAsia="新宋体"/>
                <w:color w:val="000000"/>
                <w:sz w:val="24"/>
              </w:rPr>
              <w:t>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pPr>
              <w:spacing w:line="370" w:lineRule="exact"/>
              <w:rPr>
                <w:rFonts w:hint="eastAsia" w:ascii="宋体" w:hAnsi="宋体" w:cs="宋体"/>
                <w:color w:val="000000"/>
                <w:sz w:val="24"/>
              </w:rPr>
            </w:pPr>
            <w:r>
              <w:rPr>
                <w:rFonts w:hint="eastAsia" w:ascii="新宋体" w:hAnsi="新宋体" w:eastAsia="新宋体"/>
                <w:color w:val="000000"/>
                <w:sz w:val="24"/>
                <w:lang w:val="en-US" w:eastAsia="zh-CN"/>
              </w:rPr>
              <w:t>4.</w:t>
            </w:r>
            <w:r>
              <w:rPr>
                <w:rFonts w:hint="eastAsia" w:ascii="新宋体" w:hAnsi="新宋体" w:eastAsia="新宋体"/>
                <w:color w:val="000000"/>
                <w:sz w:val="24"/>
              </w:rPr>
              <w:t>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20</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信用记录</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投标人有下列行为之一的，其投标将被拒绝：</w:t>
            </w:r>
          </w:p>
          <w:p>
            <w:pPr>
              <w:spacing w:line="400" w:lineRule="exact"/>
              <w:rPr>
                <w:rFonts w:hint="eastAsia"/>
                <w:color w:val="000000"/>
              </w:rPr>
            </w:pPr>
            <w:r>
              <w:rPr>
                <w:rFonts w:hint="eastAsia" w:ascii="宋体" w:hAnsi="宋体" w:cs="宋体"/>
                <w:color w:val="000000"/>
                <w:sz w:val="24"/>
              </w:rPr>
              <w:t>1.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或义乌市综合信用报告评级为D、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21</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不良行为、信用信息查询平台</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 xml:space="preserve"> 信用信息查询以开标当天查询结果为准，凡超出以下途径的查询结果在投标文件评审时一律不作为无效标依据：</w:t>
            </w:r>
          </w:p>
          <w:p>
            <w:pPr>
              <w:numPr>
                <w:ilvl w:val="0"/>
                <w:numId w:val="3"/>
              </w:numPr>
              <w:spacing w:line="400" w:lineRule="exact"/>
              <w:rPr>
                <w:rFonts w:hint="eastAsia" w:ascii="宋体" w:hAnsi="宋体" w:cs="宋体"/>
                <w:color w:val="000000"/>
                <w:sz w:val="24"/>
              </w:rPr>
            </w:pPr>
            <w:r>
              <w:rPr>
                <w:rFonts w:hint="eastAsia" w:ascii="宋体" w:hAnsi="宋体" w:cs="宋体"/>
                <w:color w:val="000000"/>
                <w:sz w:val="24"/>
              </w:rPr>
              <w:t>义乌市公共资源交易平台</w:t>
            </w:r>
          </w:p>
          <w:p>
            <w:pPr>
              <w:spacing w:line="400" w:lineRule="exact"/>
              <w:rPr>
                <w:rFonts w:hint="eastAsia" w:ascii="宋体" w:hAnsi="宋体" w:cs="宋体"/>
                <w:color w:val="000000"/>
                <w:sz w:val="24"/>
              </w:rPr>
            </w:pPr>
            <w:r>
              <w:rPr>
                <w:rFonts w:hint="eastAsia" w:ascii="宋体" w:hAnsi="宋体" w:cs="宋体"/>
                <w:color w:val="000000"/>
                <w:sz w:val="24"/>
              </w:rPr>
              <w:t>2.浙江政府采购网</w:t>
            </w:r>
          </w:p>
          <w:p>
            <w:pPr>
              <w:spacing w:line="400" w:lineRule="exact"/>
              <w:rPr>
                <w:rFonts w:hint="eastAsia" w:ascii="宋体" w:hAnsi="宋体" w:cs="宋体"/>
                <w:color w:val="000000"/>
                <w:sz w:val="24"/>
              </w:rPr>
            </w:pPr>
            <w:r>
              <w:rPr>
                <w:rFonts w:hint="eastAsia" w:ascii="宋体" w:hAnsi="宋体" w:cs="宋体"/>
                <w:color w:val="000000"/>
                <w:sz w:val="24"/>
              </w:rPr>
              <w:t>3.信用中国</w:t>
            </w:r>
          </w:p>
          <w:p>
            <w:pPr>
              <w:pStyle w:val="73"/>
              <w:spacing w:line="370" w:lineRule="exact"/>
              <w:rPr>
                <w:rFonts w:ascii="宋体" w:hAnsi="宋体" w:eastAsia="宋体" w:cs="宋体"/>
                <w:color w:val="000000"/>
                <w:szCs w:val="24"/>
              </w:rPr>
            </w:pPr>
            <w:r>
              <w:rPr>
                <w:rFonts w:ascii="宋体" w:hAnsi="宋体" w:eastAsia="宋体" w:cs="宋体"/>
                <w:color w:val="000000"/>
              </w:rPr>
              <w:t xml:space="preserve">4.中国政府采购网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22</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信用融资</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pPr>
              <w:spacing w:line="370" w:lineRule="exact"/>
              <w:rPr>
                <w:rFonts w:hint="eastAsia" w:ascii="宋体" w:hAnsi="宋体" w:cs="宋体"/>
                <w:b/>
                <w:color w:val="000000"/>
                <w:kern w:val="0"/>
                <w:sz w:val="24"/>
              </w:rPr>
            </w:pPr>
            <w:r>
              <w:rPr>
                <w:rFonts w:hint="eastAsia" w:ascii="宋体" w:hAnsi="宋体" w:cs="宋体"/>
                <w:color w:val="000000"/>
                <w:sz w:val="24"/>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23</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40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40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400" w:lineRule="exact"/>
              <w:rPr>
                <w:rFonts w:hint="eastAsia" w:ascii="宋体" w:hAnsi="宋体" w:cs="宋体"/>
                <w:color w:val="000000"/>
                <w:sz w:val="24"/>
              </w:rPr>
            </w:pPr>
            <w:r>
              <w:rPr>
                <w:rFonts w:hint="eastAsia" w:ascii="宋体" w:hAnsi="宋体" w:cs="宋体"/>
                <w:color w:val="000000"/>
                <w:sz w:val="24"/>
              </w:rPr>
              <w:t>4.中标供应商在标后履约过程中未按合同约定的期限和要求履约的；</w:t>
            </w:r>
          </w:p>
          <w:p>
            <w:pPr>
              <w:spacing w:line="400" w:lineRule="exact"/>
              <w:rPr>
                <w:rFonts w:hint="eastAsia" w:ascii="宋体" w:hAnsi="宋体" w:cs="宋体"/>
                <w:color w:val="000000"/>
                <w:sz w:val="24"/>
              </w:rPr>
            </w:pPr>
            <w:r>
              <w:rPr>
                <w:rFonts w:hint="eastAsia" w:ascii="宋体" w:hAnsi="宋体" w:cs="宋体"/>
                <w:color w:val="000000"/>
                <w:sz w:val="24"/>
              </w:rPr>
              <w:t>5.因中标供应商原因在标后履约过程中擅自终止合同的；</w:t>
            </w:r>
          </w:p>
          <w:p>
            <w:pPr>
              <w:spacing w:line="40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7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24</w:t>
            </w:r>
          </w:p>
        </w:tc>
        <w:tc>
          <w:tcPr>
            <w:tcW w:w="1612" w:type="dxa"/>
            <w:noWrap w:val="0"/>
            <w:vAlign w:val="center"/>
          </w:tcPr>
          <w:p>
            <w:pPr>
              <w:spacing w:line="370" w:lineRule="exact"/>
              <w:jc w:val="center"/>
              <w:rPr>
                <w:rFonts w:hint="eastAsia" w:ascii="宋体" w:hAnsi="宋体" w:cs="宋体"/>
                <w:color w:val="000000"/>
                <w:sz w:val="24"/>
                <w:highlight w:val="lightGray"/>
              </w:rPr>
            </w:pPr>
            <w:r>
              <w:rPr>
                <w:rFonts w:hint="eastAsia" w:ascii="宋体" w:hAnsi="宋体" w:cs="宋体"/>
                <w:color w:val="000000"/>
                <w:sz w:val="24"/>
              </w:rPr>
              <w:t>其他</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1.本项目设有预算价和最高限价，投标报价超过最高限价的，其投标均为无效标。</w:t>
            </w:r>
          </w:p>
          <w:p>
            <w:pPr>
              <w:spacing w:line="370" w:lineRule="exact"/>
              <w:rPr>
                <w:rFonts w:hint="eastAsia" w:ascii="宋体" w:hAnsi="宋体" w:cs="宋体"/>
                <w:color w:val="000000"/>
                <w:sz w:val="24"/>
                <w:highlight w:val="lightGray"/>
              </w:rPr>
            </w:pPr>
            <w:r>
              <w:rPr>
                <w:rFonts w:hint="eastAsia" w:ascii="宋体" w:hAnsi="宋体" w:cs="宋体"/>
                <w:color w:val="000000"/>
                <w:sz w:val="24"/>
              </w:rPr>
              <w:t>2.招标文件中要求投标人在制作投标文件时，提供的复印件必须根据评审细则对评审的内容复印完整、清晰可辨，否则在评审时以最不利于投标人原则评审。</w:t>
            </w:r>
          </w:p>
        </w:tc>
      </w:tr>
    </w:tbl>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bookmarkStart w:id="7" w:name="_Toc274303228"/>
      <w:bookmarkStart w:id="8" w:name="_Toc362250686"/>
    </w:p>
    <w:p>
      <w:pPr>
        <w:pStyle w:val="2"/>
        <w:rPr>
          <w:rFonts w:hint="eastAsia" w:ascii="宋体" w:hAnsi="宋体" w:cs="宋体"/>
          <w:b w:val="0"/>
          <w:color w:val="000000"/>
          <w:sz w:val="24"/>
        </w:rPr>
      </w:pPr>
    </w:p>
    <w:p>
      <w:pPr>
        <w:pStyle w:val="3"/>
        <w:rPr>
          <w:rFonts w:hint="eastAsia" w:ascii="宋体" w:hAnsi="宋体" w:cs="宋体"/>
          <w:b w:val="0"/>
          <w:color w:val="000000"/>
          <w:sz w:val="24"/>
        </w:rPr>
      </w:pPr>
    </w:p>
    <w:p>
      <w:pPr>
        <w:pStyle w:val="4"/>
        <w:rPr>
          <w:rFonts w:hint="eastAsia" w:ascii="宋体" w:hAnsi="宋体" w:cs="宋体"/>
          <w:b/>
          <w:color w:val="000000"/>
          <w:sz w:val="24"/>
        </w:rPr>
      </w:pPr>
    </w:p>
    <w:p>
      <w:pPr>
        <w:pStyle w:val="5"/>
        <w:numPr>
          <w:ilvl w:val="0"/>
          <w:numId w:val="0"/>
        </w:numPr>
        <w:spacing w:before="0" w:after="0" w:line="500" w:lineRule="exact"/>
        <w:jc w:val="center"/>
        <w:rPr>
          <w:rFonts w:hint="eastAsia" w:ascii="宋体" w:hAnsi="宋体" w:cs="宋体"/>
          <w:color w:val="000000"/>
          <w:sz w:val="36"/>
          <w:szCs w:val="36"/>
        </w:rPr>
      </w:pPr>
      <w:bookmarkStart w:id="9" w:name="_Toc21789"/>
      <w:bookmarkStart w:id="10" w:name="_Toc23435"/>
      <w:bookmarkStart w:id="11" w:name="_Toc31879"/>
      <w:bookmarkStart w:id="12" w:name="_Toc1870"/>
      <w:r>
        <w:rPr>
          <w:rFonts w:hint="eastAsia" w:ascii="宋体" w:hAnsi="宋体" w:cs="宋体"/>
          <w:color w:val="000000"/>
          <w:sz w:val="36"/>
          <w:szCs w:val="36"/>
        </w:rPr>
        <w:t>投标须知</w:t>
      </w:r>
      <w:bookmarkEnd w:id="7"/>
      <w:bookmarkEnd w:id="8"/>
      <w:bookmarkEnd w:id="9"/>
      <w:bookmarkEnd w:id="10"/>
      <w:bookmarkEnd w:id="11"/>
      <w:bookmarkEnd w:id="12"/>
    </w:p>
    <w:p>
      <w:pPr>
        <w:pStyle w:val="6"/>
        <w:spacing w:before="167" w:beforeLines="50" w:after="167" w:afterLines="50" w:line="440" w:lineRule="exact"/>
        <w:rPr>
          <w:rFonts w:hint="eastAsia" w:ascii="宋体" w:hAnsi="宋体" w:eastAsia="宋体" w:cs="宋体"/>
          <w:color w:val="000000"/>
          <w:sz w:val="28"/>
          <w:szCs w:val="28"/>
        </w:rPr>
      </w:pPr>
      <w:bookmarkStart w:id="13" w:name="_Toc12298"/>
      <w:bookmarkStart w:id="14" w:name="_Toc1895"/>
      <w:bookmarkStart w:id="15" w:name="_Toc434849203"/>
      <w:bookmarkStart w:id="16" w:name="_Toc13056"/>
      <w:bookmarkStart w:id="17" w:name="_Toc1328"/>
      <w:bookmarkStart w:id="18" w:name="_Toc13861"/>
      <w:bookmarkStart w:id="19" w:name="_Toc274303234"/>
      <w:r>
        <w:rPr>
          <w:rFonts w:hint="eastAsia" w:ascii="宋体" w:hAnsi="宋体" w:eastAsia="宋体" w:cs="宋体"/>
          <w:color w:val="000000"/>
          <w:sz w:val="28"/>
          <w:szCs w:val="28"/>
        </w:rPr>
        <w:t>一、总则</w:t>
      </w:r>
      <w:bookmarkEnd w:id="13"/>
      <w:bookmarkEnd w:id="14"/>
      <w:bookmarkEnd w:id="15"/>
      <w:bookmarkEnd w:id="16"/>
      <w:bookmarkEnd w:id="17"/>
      <w:bookmarkEnd w:id="18"/>
    </w:p>
    <w:p>
      <w:pPr>
        <w:pStyle w:val="27"/>
        <w:spacing w:line="420" w:lineRule="exact"/>
        <w:ind w:firstLine="472" w:firstLineChars="196"/>
        <w:rPr>
          <w:rFonts w:hint="eastAsia" w:hAnsi="宋体" w:cs="宋体"/>
          <w:b/>
          <w:color w:val="000000"/>
          <w:sz w:val="24"/>
        </w:rPr>
      </w:pPr>
      <w:r>
        <w:rPr>
          <w:rFonts w:hint="eastAsia" w:hAnsi="宋体" w:cs="宋体"/>
          <w:b/>
          <w:color w:val="000000"/>
          <w:sz w:val="24"/>
        </w:rPr>
        <w:t>1.适用范围</w:t>
      </w:r>
    </w:p>
    <w:p>
      <w:pPr>
        <w:pStyle w:val="2"/>
        <w:adjustRightInd w:val="0"/>
        <w:snapToGrid w:val="0"/>
        <w:spacing w:line="420" w:lineRule="exact"/>
        <w:ind w:firstLine="480" w:firstLineChars="200"/>
        <w:jc w:val="both"/>
        <w:rPr>
          <w:rFonts w:hint="eastAsia" w:cs="宋体"/>
          <w:b w:val="0"/>
          <w:bCs w:val="0"/>
          <w:color w:val="000000"/>
          <w:sz w:val="24"/>
          <w:szCs w:val="21"/>
        </w:rPr>
      </w:pPr>
      <w:r>
        <w:rPr>
          <w:rFonts w:hint="eastAsia" w:cs="宋体"/>
          <w:b w:val="0"/>
          <w:bCs w:val="0"/>
          <w:color w:val="000000"/>
          <w:sz w:val="24"/>
          <w:szCs w:val="21"/>
        </w:rPr>
        <w:t>1.1 本招标文件仅适用于本次招标采购所叙述的货物和服务项目。</w:t>
      </w:r>
    </w:p>
    <w:p>
      <w:pPr>
        <w:widowControl/>
        <w:spacing w:line="420" w:lineRule="exact"/>
        <w:ind w:firstLine="472" w:firstLineChars="196"/>
        <w:jc w:val="left"/>
        <w:rPr>
          <w:rFonts w:hint="eastAsia" w:ascii="宋体" w:hAnsi="宋体" w:cs="宋体"/>
          <w:b/>
          <w:bCs/>
          <w:color w:val="000000"/>
          <w:kern w:val="0"/>
          <w:sz w:val="24"/>
        </w:rPr>
      </w:pPr>
      <w:r>
        <w:rPr>
          <w:rFonts w:hint="eastAsia" w:ascii="宋体" w:hAnsi="宋体" w:cs="宋体"/>
          <w:b/>
          <w:bCs/>
          <w:color w:val="000000"/>
          <w:kern w:val="0"/>
          <w:sz w:val="24"/>
        </w:rPr>
        <w:t>2</w:t>
      </w:r>
      <w:r>
        <w:rPr>
          <w:rFonts w:hint="eastAsia" w:ascii="宋体" w:hAnsi="宋体" w:cs="宋体"/>
          <w:b/>
          <w:color w:val="000000"/>
          <w:sz w:val="24"/>
        </w:rPr>
        <w:t>.</w:t>
      </w:r>
      <w:r>
        <w:rPr>
          <w:rFonts w:hint="eastAsia" w:ascii="宋体" w:hAnsi="宋体" w:cs="宋体"/>
          <w:b/>
          <w:bCs/>
          <w:color w:val="000000"/>
          <w:kern w:val="0"/>
          <w:sz w:val="24"/>
        </w:rPr>
        <w:t>定义</w:t>
      </w:r>
    </w:p>
    <w:p>
      <w:pPr>
        <w:pStyle w:val="27"/>
        <w:adjustRightInd w:val="0"/>
        <w:snapToGrid w:val="0"/>
        <w:spacing w:line="440" w:lineRule="exact"/>
        <w:ind w:firstLine="480" w:firstLineChars="200"/>
        <w:jc w:val="left"/>
        <w:rPr>
          <w:rFonts w:hint="eastAsia" w:hAnsi="宋体" w:cs="宋体"/>
          <w:color w:val="000000"/>
          <w:sz w:val="24"/>
        </w:rPr>
      </w:pPr>
      <w:r>
        <w:rPr>
          <w:rFonts w:hint="eastAsia" w:hAnsi="宋体" w:cs="宋体"/>
          <w:color w:val="000000"/>
          <w:sz w:val="24"/>
        </w:rPr>
        <w:t>2.1采购人：系指</w:t>
      </w:r>
      <w:r>
        <w:rPr>
          <w:rFonts w:hint="eastAsia" w:hAnsi="宋体" w:cs="宋体"/>
          <w:color w:val="000000"/>
          <w:sz w:val="24"/>
          <w:lang w:eastAsia="zh-CN"/>
        </w:rPr>
        <w:t>义乌市公安局交通警察大队</w:t>
      </w:r>
      <w:r>
        <w:rPr>
          <w:rFonts w:hint="eastAsia" w:hAnsi="宋体" w:cs="宋体"/>
          <w:color w:val="000000"/>
          <w:sz w:val="24"/>
        </w:rPr>
        <w:t>。</w:t>
      </w:r>
    </w:p>
    <w:p>
      <w:pPr>
        <w:pStyle w:val="27"/>
        <w:adjustRightInd w:val="0"/>
        <w:snapToGrid w:val="0"/>
        <w:spacing w:line="440" w:lineRule="exact"/>
        <w:ind w:firstLine="480" w:firstLineChars="200"/>
        <w:jc w:val="left"/>
        <w:rPr>
          <w:rFonts w:hint="eastAsia" w:hAnsi="宋体" w:cs="宋体"/>
          <w:color w:val="000000"/>
          <w:sz w:val="24"/>
        </w:rPr>
      </w:pPr>
      <w:r>
        <w:rPr>
          <w:rFonts w:hint="eastAsia" w:hAnsi="宋体" w:cs="宋体"/>
          <w:color w:val="000000"/>
          <w:sz w:val="24"/>
        </w:rPr>
        <w:t>2.2采购代理机构：系指浙江至诚工程咨询有限责任公司。</w:t>
      </w:r>
    </w:p>
    <w:p>
      <w:pPr>
        <w:pStyle w:val="27"/>
        <w:adjustRightInd w:val="0"/>
        <w:snapToGrid w:val="0"/>
        <w:spacing w:line="440" w:lineRule="exact"/>
        <w:ind w:firstLine="480" w:firstLineChars="200"/>
        <w:jc w:val="left"/>
        <w:rPr>
          <w:rFonts w:hint="eastAsia" w:hAnsi="宋体" w:cs="宋体"/>
          <w:color w:val="000000"/>
          <w:sz w:val="24"/>
        </w:rPr>
      </w:pPr>
      <w:bookmarkStart w:id="20" w:name="_Toc430337236"/>
      <w:bookmarkStart w:id="21" w:name="_Toc362250688"/>
      <w:bookmarkStart w:id="22" w:name="_Toc434849204"/>
      <w:bookmarkStart w:id="23" w:name="_Toc274303230"/>
      <w:r>
        <w:rPr>
          <w:rFonts w:hint="eastAsia" w:hAnsi="宋体" w:cs="宋体"/>
          <w:color w:val="000000"/>
          <w:sz w:val="24"/>
        </w:rPr>
        <w:t>2.3投标人：系指响应招标并且符合招标文件规定资格条件和参加投标竞争的供应商。</w:t>
      </w:r>
    </w:p>
    <w:p>
      <w:pPr>
        <w:pStyle w:val="27"/>
        <w:adjustRightInd w:val="0"/>
        <w:snapToGrid w:val="0"/>
        <w:spacing w:line="440" w:lineRule="exact"/>
        <w:ind w:firstLine="480" w:firstLineChars="200"/>
        <w:jc w:val="left"/>
        <w:rPr>
          <w:rFonts w:hint="eastAsia" w:hAnsi="宋体" w:cs="宋体"/>
          <w:color w:val="000000"/>
          <w:sz w:val="24"/>
        </w:rPr>
      </w:pPr>
      <w:r>
        <w:rPr>
          <w:rFonts w:hint="eastAsia" w:hAnsi="宋体" w:cs="宋体"/>
          <w:color w:val="000000"/>
          <w:sz w:val="24"/>
          <w:szCs w:val="20"/>
        </w:rPr>
        <w:t>2.4服务：系指招标文件规定投标人须承担的劳务及其它类似的服务。</w:t>
      </w:r>
    </w:p>
    <w:p>
      <w:pPr>
        <w:pStyle w:val="31"/>
        <w:tabs>
          <w:tab w:val="left" w:pos="0"/>
        </w:tabs>
        <w:adjustRightInd w:val="0"/>
        <w:snapToGrid w:val="0"/>
        <w:spacing w:line="440" w:lineRule="exact"/>
        <w:ind w:firstLine="480" w:firstLineChars="200"/>
        <w:jc w:val="left"/>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2"/>
        <w:spacing w:line="440" w:lineRule="exact"/>
        <w:ind w:firstLine="480" w:firstLineChars="200"/>
        <w:jc w:val="left"/>
        <w:rPr>
          <w:rFonts w:hint="eastAsia" w:cs="宋体"/>
          <w:b w:val="0"/>
          <w:color w:val="000000"/>
          <w:sz w:val="24"/>
          <w:szCs w:val="24"/>
        </w:rPr>
      </w:pPr>
      <w:r>
        <w:rPr>
          <w:rFonts w:hint="eastAsia" w:cs="宋体"/>
          <w:b w:val="0"/>
          <w:color w:val="000000"/>
          <w:sz w:val="24"/>
          <w:szCs w:val="24"/>
        </w:rPr>
        <w:t>2.6甲方：即</w:t>
      </w:r>
      <w:r>
        <w:rPr>
          <w:rFonts w:hint="eastAsia" w:cs="宋体"/>
          <w:b w:val="0"/>
          <w:color w:val="000000"/>
          <w:sz w:val="24"/>
        </w:rPr>
        <w:t>采购人</w:t>
      </w:r>
      <w:r>
        <w:rPr>
          <w:rFonts w:hint="eastAsia" w:cs="宋体"/>
          <w:b w:val="0"/>
          <w:color w:val="000000"/>
          <w:sz w:val="24"/>
          <w:szCs w:val="24"/>
        </w:rPr>
        <w:t>，在招投标阶段称为采购人，在签订和执行合同阶段称为甲方。</w:t>
      </w:r>
    </w:p>
    <w:p>
      <w:pPr>
        <w:pStyle w:val="2"/>
        <w:spacing w:line="440" w:lineRule="exact"/>
        <w:ind w:firstLine="480" w:firstLineChars="200"/>
        <w:jc w:val="left"/>
        <w:rPr>
          <w:rFonts w:hint="eastAsia" w:cs="宋体"/>
          <w:color w:val="000000"/>
        </w:rPr>
      </w:pPr>
      <w:r>
        <w:rPr>
          <w:rFonts w:hint="eastAsia" w:cs="宋体"/>
          <w:b w:val="0"/>
          <w:color w:val="000000"/>
          <w:sz w:val="24"/>
          <w:szCs w:val="24"/>
        </w:rPr>
        <w:t>2.7乙方：在招投标阶段称为投标人，中标后在签订和执行合同阶段称为乙方。</w:t>
      </w:r>
    </w:p>
    <w:p>
      <w:pPr>
        <w:pStyle w:val="31"/>
        <w:tabs>
          <w:tab w:val="left" w:pos="0"/>
        </w:tabs>
        <w:adjustRightInd w:val="0"/>
        <w:snapToGrid w:val="0"/>
        <w:spacing w:line="440" w:lineRule="exact"/>
        <w:ind w:firstLine="480" w:firstLineChars="200"/>
        <w:jc w:val="left"/>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31"/>
        <w:tabs>
          <w:tab w:val="left" w:pos="0"/>
        </w:tabs>
        <w:adjustRightInd w:val="0"/>
        <w:snapToGrid w:val="0"/>
        <w:spacing w:line="440" w:lineRule="exact"/>
        <w:ind w:firstLine="480" w:firstLineChars="200"/>
        <w:jc w:val="left"/>
        <w:rPr>
          <w:rFonts w:hint="eastAsia" w:hAnsi="宋体" w:eastAsia="宋体" w:cs="宋体"/>
          <w:color w:val="000000"/>
          <w:kern w:val="0"/>
          <w:szCs w:val="21"/>
        </w:rPr>
      </w:pPr>
      <w:r>
        <w:rPr>
          <w:rFonts w:hint="eastAsia" w:hAnsi="宋体" w:eastAsia="宋体" w:cs="宋体"/>
          <w:color w:val="000000"/>
        </w:rPr>
        <w:t>2.9“★”标记系指必须满足不能负偏离或必须应答的条款。</w:t>
      </w:r>
    </w:p>
    <w:p>
      <w:pPr>
        <w:pStyle w:val="2"/>
        <w:adjustRightInd w:val="0"/>
        <w:snapToGrid w:val="0"/>
        <w:spacing w:line="440" w:lineRule="exact"/>
        <w:ind w:firstLine="482" w:firstLineChars="200"/>
        <w:jc w:val="left"/>
        <w:rPr>
          <w:rFonts w:hint="eastAsia" w:cs="宋体"/>
          <w:color w:val="000000"/>
          <w:sz w:val="24"/>
        </w:rPr>
      </w:pPr>
      <w:r>
        <w:rPr>
          <w:rFonts w:hint="eastAsia" w:cs="宋体"/>
          <w:color w:val="000000"/>
          <w:sz w:val="24"/>
        </w:rPr>
        <w:t>3.合格的投标人</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3.3单位负责人为同一人或者存在直接控股、管理关系的不同投标人，不得参加同一合同项下的政府采购活动。</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27"/>
        <w:spacing w:line="460" w:lineRule="exact"/>
        <w:ind w:firstLine="482" w:firstLineChars="200"/>
        <w:rPr>
          <w:rFonts w:hint="eastAsia" w:hAnsi="宋体" w:cs="宋体"/>
          <w:color w:val="000000"/>
          <w:sz w:val="24"/>
        </w:rPr>
      </w:pPr>
      <w:r>
        <w:rPr>
          <w:rFonts w:hint="eastAsia" w:hAnsi="宋体" w:cs="宋体"/>
          <w:b/>
          <w:color w:val="000000"/>
          <w:sz w:val="24"/>
        </w:rPr>
        <w:t>4.保证</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4.1投标单位应保证所提交给招标机构和采购人的资料和数据是真实的。</w:t>
      </w:r>
    </w:p>
    <w:p>
      <w:pPr>
        <w:pStyle w:val="27"/>
        <w:spacing w:line="460" w:lineRule="exact"/>
        <w:ind w:firstLine="482" w:firstLineChars="200"/>
        <w:rPr>
          <w:rFonts w:hint="eastAsia" w:hAnsi="宋体" w:cs="宋体"/>
          <w:b/>
          <w:color w:val="000000"/>
          <w:sz w:val="24"/>
        </w:rPr>
      </w:pPr>
      <w:r>
        <w:rPr>
          <w:rFonts w:hint="eastAsia" w:hAnsi="宋体" w:cs="宋体"/>
          <w:b/>
          <w:color w:val="000000"/>
          <w:sz w:val="24"/>
        </w:rPr>
        <w:t>5.招标投标费用</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5.1不论投标过程中的作法和结果如何，投标人应承担所有与投标有关的全部费用。采购人和采购代理机构在任何情况下均无义务和责任承担上述这些费用。</w:t>
      </w:r>
    </w:p>
    <w:p>
      <w:pPr>
        <w:pStyle w:val="27"/>
        <w:spacing w:line="460" w:lineRule="exact"/>
        <w:ind w:firstLine="482" w:firstLineChars="200"/>
        <w:rPr>
          <w:rFonts w:hint="eastAsia" w:hAnsi="宋体" w:cs="宋体"/>
          <w:b/>
          <w:color w:val="000000"/>
          <w:sz w:val="24"/>
        </w:rPr>
      </w:pPr>
      <w:r>
        <w:rPr>
          <w:rFonts w:hint="eastAsia" w:hAnsi="宋体" w:cs="宋体"/>
          <w:b/>
          <w:color w:val="000000"/>
          <w:sz w:val="24"/>
        </w:rPr>
        <w:t>5.2 采购代理服务费</w:t>
      </w:r>
    </w:p>
    <w:p>
      <w:pPr>
        <w:pStyle w:val="27"/>
        <w:spacing w:line="460" w:lineRule="exact"/>
        <w:ind w:firstLine="360" w:firstLineChars="150"/>
        <w:rPr>
          <w:rFonts w:hint="eastAsia" w:hAnsi="宋体" w:cs="宋体"/>
          <w:color w:val="000000"/>
          <w:sz w:val="24"/>
        </w:rPr>
      </w:pPr>
      <w:r>
        <w:rPr>
          <w:rFonts w:hint="eastAsia" w:hAnsi="宋体" w:cs="宋体"/>
          <w:color w:val="000000"/>
          <w:sz w:val="24"/>
        </w:rPr>
        <w:t>5.2.1中标人须向采购代理机构交纳采购代理服务费，采购代理服务费</w:t>
      </w:r>
      <w:r>
        <w:rPr>
          <w:rFonts w:hint="eastAsia" w:hAnsi="宋体" w:cs="宋体"/>
          <w:color w:val="000000"/>
          <w:sz w:val="24"/>
          <w:lang w:val="en-US" w:eastAsia="zh-CN"/>
        </w:rPr>
        <w:t>按</w:t>
      </w:r>
      <w:r>
        <w:rPr>
          <w:rFonts w:hint="eastAsia" w:hAnsi="宋体" w:cs="宋体"/>
          <w:color w:val="000000"/>
          <w:sz w:val="24"/>
        </w:rPr>
        <w:t>不超过中标总金额的1.5%标准</w:t>
      </w:r>
      <w:r>
        <w:rPr>
          <w:rFonts w:hint="eastAsia" w:hAnsi="宋体" w:cs="宋体"/>
          <w:color w:val="000000"/>
          <w:sz w:val="24"/>
          <w:lang w:val="en-US" w:eastAsia="zh-CN"/>
        </w:rPr>
        <w:t>及与采购人签订的年度协议进行计算。</w:t>
      </w:r>
    </w:p>
    <w:p>
      <w:pPr>
        <w:pStyle w:val="27"/>
        <w:spacing w:line="460" w:lineRule="exact"/>
        <w:ind w:firstLine="480"/>
        <w:rPr>
          <w:rFonts w:hint="eastAsia" w:hAnsi="宋体" w:cs="宋体"/>
          <w:color w:val="000000"/>
          <w:sz w:val="24"/>
        </w:rPr>
      </w:pPr>
      <w:r>
        <w:rPr>
          <w:rFonts w:hint="eastAsia" w:hAnsi="宋体" w:cs="宋体"/>
          <w:color w:val="000000"/>
          <w:sz w:val="24"/>
        </w:rPr>
        <w:t>5.2.2采购代理服务费在领取中标通知书时，向采购代理机构直接交纳，可用汇票、电汇、银行本票、现金等付款方式。</w:t>
      </w:r>
    </w:p>
    <w:p>
      <w:pPr>
        <w:pStyle w:val="27"/>
        <w:spacing w:line="460" w:lineRule="exact"/>
        <w:ind w:firstLine="480"/>
        <w:rPr>
          <w:rFonts w:hint="eastAsia" w:hAnsi="宋体" w:cs="宋体"/>
          <w:color w:val="000000"/>
          <w:sz w:val="24"/>
        </w:rPr>
      </w:pPr>
      <w:r>
        <w:rPr>
          <w:rFonts w:hint="eastAsia" w:hAnsi="宋体" w:cs="宋体"/>
          <w:color w:val="000000"/>
          <w:sz w:val="24"/>
        </w:rPr>
        <w:t>5.2.3采购代理服务费不在投标报价中单列。</w:t>
      </w:r>
    </w:p>
    <w:p>
      <w:pPr>
        <w:pStyle w:val="27"/>
        <w:spacing w:line="460" w:lineRule="exact"/>
        <w:ind w:firstLine="480"/>
        <w:rPr>
          <w:rFonts w:hint="eastAsia" w:hAnsi="宋体" w:cs="宋体"/>
          <w:b/>
          <w:color w:val="000000"/>
          <w:sz w:val="24"/>
        </w:rPr>
      </w:pPr>
      <w:r>
        <w:rPr>
          <w:rFonts w:hint="eastAsia" w:hAnsi="宋体" w:cs="宋体"/>
          <w:b/>
          <w:color w:val="000000"/>
          <w:sz w:val="24"/>
        </w:rPr>
        <w:t xml:space="preserve">6.现场勘察 </w:t>
      </w:r>
    </w:p>
    <w:p>
      <w:pPr>
        <w:pStyle w:val="27"/>
        <w:spacing w:line="460" w:lineRule="exact"/>
        <w:ind w:firstLine="480"/>
        <w:rPr>
          <w:rFonts w:hint="eastAsia" w:hAnsi="宋体" w:cs="宋体"/>
          <w:color w:val="000000"/>
          <w:sz w:val="24"/>
        </w:rPr>
      </w:pPr>
      <w:r>
        <w:rPr>
          <w:rFonts w:hint="eastAsia" w:hAnsi="宋体" w:cs="宋体"/>
          <w:color w:val="000000"/>
          <w:sz w:val="24"/>
        </w:rPr>
        <w:t>6.1投标前，投标人须自行到项目所在地予以踏勘，对项目实施现场及周边环境等进行勘察，以获取编制投标文件和签署合同所需的所有资料，否则，由此所造成的一切后果由投标人自行承担。</w:t>
      </w:r>
    </w:p>
    <w:p>
      <w:pPr>
        <w:pStyle w:val="27"/>
        <w:spacing w:line="460" w:lineRule="exact"/>
        <w:ind w:firstLine="480"/>
        <w:rPr>
          <w:rFonts w:hint="eastAsia" w:hAnsi="宋体" w:cs="宋体"/>
          <w:color w:val="000000"/>
          <w:sz w:val="24"/>
        </w:rPr>
      </w:pPr>
      <w:r>
        <w:rPr>
          <w:rFonts w:hint="eastAsia" w:hAnsi="宋体" w:cs="宋体"/>
          <w:color w:val="000000"/>
          <w:sz w:val="24"/>
        </w:rPr>
        <w:t>6.2投标单位在考察过程中发生的各类事件及所发生的各项费用，均由投标单位自行承担。采购人和代理机构概不负责。</w:t>
      </w:r>
    </w:p>
    <w:p>
      <w:pPr>
        <w:pStyle w:val="27"/>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6.3采购人向投标单位提供的有关现场的数据和资料，是采购人现有的能被投标人利用的资料，采购人对投标人据此做出的任何推论、理解和结论不负责任。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6.4现场踏勘完毕，将认为投标人己了解现场情况，并充分理解了为之所承担的风险、义务和责任。</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7.联合体投标</w:t>
      </w:r>
    </w:p>
    <w:p>
      <w:pPr>
        <w:spacing w:line="360" w:lineRule="auto"/>
        <w:ind w:firstLine="480" w:firstLineChars="200"/>
        <w:jc w:val="left"/>
        <w:rPr>
          <w:rFonts w:hint="eastAsia" w:ascii="宋体" w:hAnsi="宋体" w:cs="仿宋"/>
          <w:color w:val="000000"/>
          <w:sz w:val="24"/>
        </w:rPr>
      </w:pPr>
      <w:bookmarkStart w:id="24" w:name="_Toc5142"/>
      <w:bookmarkStart w:id="25" w:name="_Toc11482"/>
      <w:r>
        <w:rPr>
          <w:rFonts w:hint="eastAsia" w:ascii="宋体" w:hAnsi="宋体" w:cs="仿宋"/>
          <w:color w:val="000000"/>
          <w:sz w:val="24"/>
        </w:rPr>
        <w:t>7.1本项目接受联合体投标。以联合体形式参加投标的，参加联合体的供应商均应当具备《中华人民共和国政府采购法》第二十二条规定的条件。</w:t>
      </w:r>
    </w:p>
    <w:p>
      <w:pPr>
        <w:spacing w:line="360" w:lineRule="auto"/>
        <w:ind w:firstLine="480" w:firstLineChars="200"/>
        <w:jc w:val="left"/>
        <w:rPr>
          <w:rFonts w:hint="eastAsia" w:ascii="宋体" w:hAnsi="宋体" w:cs="仿宋"/>
          <w:color w:val="000000"/>
          <w:sz w:val="24"/>
        </w:rPr>
      </w:pPr>
      <w:r>
        <w:rPr>
          <w:rFonts w:hint="eastAsia" w:ascii="宋体" w:hAnsi="宋体" w:cs="仿宋"/>
          <w:color w:val="000000"/>
          <w:sz w:val="24"/>
        </w:rPr>
        <w:t>7.2联合体成员各方及与其存在直接控股、管理关系的不同单位，不得再独立参加或者与其他申请人另外组成联合体参与本项目的采购活动。</w:t>
      </w:r>
    </w:p>
    <w:p>
      <w:pPr>
        <w:spacing w:line="360" w:lineRule="auto"/>
        <w:ind w:firstLine="480" w:firstLineChars="200"/>
        <w:jc w:val="left"/>
        <w:rPr>
          <w:rFonts w:hint="default" w:ascii="宋体" w:hAnsi="宋体" w:eastAsia="宋体" w:cs="仿宋"/>
          <w:color w:val="000000"/>
          <w:sz w:val="24"/>
        </w:rPr>
      </w:pPr>
      <w:r>
        <w:rPr>
          <w:rFonts w:hint="eastAsia" w:ascii="宋体" w:hAnsi="宋体" w:eastAsia="宋体" w:cs="仿宋"/>
          <w:b w:val="0"/>
          <w:color w:val="000000"/>
          <w:sz w:val="24"/>
          <w:lang w:val="en-US" w:eastAsia="zh-CN"/>
        </w:rPr>
        <w:t>7.3</w:t>
      </w:r>
      <w:r>
        <w:rPr>
          <w:rFonts w:hint="eastAsia" w:ascii="宋体" w:hAnsi="宋体" w:eastAsia="宋体" w:cs="仿宋"/>
          <w:b w:val="0"/>
          <w:color w:val="000000"/>
          <w:sz w:val="24"/>
        </w:rPr>
        <w:t>联合体各成员同一专业的单位组成的联合体，按照资质等级较低的单位确定联合体的资质等级；</w:t>
      </w:r>
    </w:p>
    <w:p>
      <w:pPr>
        <w:spacing w:line="360" w:lineRule="auto"/>
        <w:ind w:firstLine="480" w:firstLineChars="200"/>
        <w:jc w:val="left"/>
        <w:rPr>
          <w:rFonts w:ascii="宋体" w:hAnsi="宋体" w:cs="仿宋"/>
          <w:color w:val="000000"/>
          <w:sz w:val="24"/>
        </w:rPr>
      </w:pPr>
      <w:r>
        <w:rPr>
          <w:rFonts w:hint="eastAsia" w:ascii="宋体" w:hAnsi="宋体" w:cs="仿宋"/>
          <w:color w:val="000000"/>
          <w:sz w:val="24"/>
        </w:rPr>
        <w:t>7.</w:t>
      </w:r>
      <w:r>
        <w:rPr>
          <w:rFonts w:hint="eastAsia" w:ascii="宋体" w:hAnsi="宋体" w:cs="仿宋"/>
          <w:color w:val="000000"/>
          <w:sz w:val="24"/>
          <w:lang w:eastAsia="zh-CN"/>
        </w:rPr>
        <w:t>4</w:t>
      </w:r>
      <w:r>
        <w:rPr>
          <w:rFonts w:hint="eastAsia" w:ascii="宋体" w:hAnsi="宋体" w:cs="仿宋"/>
          <w:color w:val="000000"/>
          <w:sz w:val="24"/>
        </w:rPr>
        <w:t>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pPr>
        <w:spacing w:line="360" w:lineRule="auto"/>
        <w:ind w:firstLine="480" w:firstLineChars="200"/>
        <w:jc w:val="left"/>
        <w:rPr>
          <w:rFonts w:hint="eastAsia" w:ascii="宋体" w:hAnsi="宋体" w:cs="仿宋"/>
          <w:color w:val="000000"/>
          <w:sz w:val="24"/>
        </w:rPr>
      </w:pPr>
      <w:r>
        <w:rPr>
          <w:rFonts w:hint="eastAsia" w:ascii="宋体" w:hAnsi="宋体" w:cs="仿宋"/>
          <w:color w:val="000000"/>
          <w:sz w:val="24"/>
        </w:rPr>
        <w:t>7.</w:t>
      </w:r>
      <w:r>
        <w:rPr>
          <w:rFonts w:hint="eastAsia" w:ascii="宋体" w:hAnsi="宋体" w:cs="仿宋"/>
          <w:color w:val="000000"/>
          <w:sz w:val="24"/>
          <w:lang w:eastAsia="zh-CN"/>
        </w:rPr>
        <w:t>5</w:t>
      </w:r>
      <w:r>
        <w:rPr>
          <w:rFonts w:hint="eastAsia" w:ascii="宋体" w:hAnsi="宋体" w:cs="仿宋"/>
          <w:color w:val="000000"/>
          <w:sz w:val="24"/>
        </w:rPr>
        <w:t>以联合体投标的：投标文件封面、外包封、投标文件中的签署和盖章页（除联合体协议书外）只填写联合体牵头人单位名称。要求投标人签字盖章的均由牵头人盖章、签字。</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eastAsia="zh-CN"/>
        </w:rPr>
        <w:t>6</w:t>
      </w:r>
      <w:r>
        <w:rPr>
          <w:rFonts w:hint="eastAsia" w:ascii="宋体" w:hAnsi="宋体" w:cs="宋体"/>
          <w:color w:val="000000"/>
          <w:sz w:val="24"/>
        </w:rPr>
        <w:t>联合体单位根据评标办法提交的资信及业绩材料根据联合体协议中的各方责任和各方承担工作内容来判定是否得分。</w:t>
      </w:r>
    </w:p>
    <w:p>
      <w:pPr>
        <w:spacing w:line="440" w:lineRule="exact"/>
        <w:ind w:firstLine="480" w:firstLineChars="200"/>
        <w:rPr>
          <w:rFonts w:hint="eastAsia"/>
          <w:color w:val="000000"/>
        </w:rPr>
      </w:pPr>
      <w:r>
        <w:rPr>
          <w:rFonts w:hint="eastAsia" w:ascii="宋体" w:hAnsi="宋体" w:cs="宋体"/>
          <w:color w:val="000000"/>
          <w:sz w:val="24"/>
        </w:rPr>
        <w:t>7.</w:t>
      </w:r>
      <w:r>
        <w:rPr>
          <w:rFonts w:hint="eastAsia" w:ascii="宋体" w:hAnsi="宋体" w:cs="宋体"/>
          <w:color w:val="000000"/>
          <w:sz w:val="24"/>
          <w:lang w:eastAsia="zh-CN"/>
        </w:rPr>
        <w:t>7</w:t>
      </w:r>
      <w:r>
        <w:rPr>
          <w:rFonts w:hint="eastAsia" w:ascii="宋体" w:hAnsi="宋体" w:cs="宋体"/>
          <w:color w:val="000000"/>
          <w:sz w:val="24"/>
        </w:rPr>
        <w:t>联合体协议中应明确牵头人、出资义务承担方及拟承担工作等。联合体协议中应明确，将由牵头人负责与采购人对接、沟通事宜，牵头人与采购人之间达成的书面协议将对整个联合体成员均具有约束力。</w:t>
      </w:r>
    </w:p>
    <w:p>
      <w:pPr>
        <w:pStyle w:val="6"/>
        <w:spacing w:before="120" w:after="120" w:line="420" w:lineRule="exact"/>
        <w:rPr>
          <w:rFonts w:hint="eastAsia" w:ascii="宋体" w:hAnsi="宋体" w:eastAsia="宋体" w:cs="宋体"/>
          <w:color w:val="000000"/>
          <w:sz w:val="28"/>
          <w:szCs w:val="28"/>
        </w:rPr>
      </w:pPr>
      <w:bookmarkStart w:id="26" w:name="_Toc15689"/>
      <w:bookmarkStart w:id="27" w:name="_Toc16850"/>
      <w:bookmarkStart w:id="28" w:name="_Toc32452"/>
      <w:r>
        <w:rPr>
          <w:rFonts w:hint="eastAsia" w:ascii="宋体" w:hAnsi="宋体" w:eastAsia="宋体" w:cs="宋体"/>
          <w:color w:val="000000"/>
          <w:sz w:val="28"/>
          <w:szCs w:val="28"/>
        </w:rPr>
        <w:t>二、招标文件</w:t>
      </w:r>
      <w:bookmarkEnd w:id="20"/>
      <w:bookmarkEnd w:id="21"/>
      <w:bookmarkEnd w:id="22"/>
      <w:bookmarkEnd w:id="23"/>
      <w:bookmarkEnd w:id="24"/>
      <w:bookmarkEnd w:id="25"/>
      <w:bookmarkEnd w:id="26"/>
      <w:bookmarkEnd w:id="27"/>
      <w:bookmarkEnd w:id="28"/>
    </w:p>
    <w:p>
      <w:pPr>
        <w:adjustRightInd w:val="0"/>
        <w:snapToGrid w:val="0"/>
        <w:spacing w:before="50" w:after="50"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8.招标文件的组成</w:t>
      </w:r>
    </w:p>
    <w:p>
      <w:pPr>
        <w:adjustRightInd w:val="0"/>
        <w:snapToGrid w:val="0"/>
        <w:spacing w:before="50" w:after="50" w:line="420" w:lineRule="exact"/>
        <w:ind w:firstLine="480" w:firstLineChars="200"/>
        <w:rPr>
          <w:rFonts w:hint="eastAsia" w:ascii="宋体" w:hAnsi="宋体" w:cs="宋体"/>
          <w:color w:val="000000"/>
          <w:sz w:val="24"/>
        </w:rPr>
      </w:pPr>
      <w:r>
        <w:rPr>
          <w:rFonts w:hint="eastAsia" w:ascii="宋体" w:hAnsi="宋体" w:cs="宋体"/>
          <w:color w:val="000000"/>
          <w:sz w:val="24"/>
        </w:rPr>
        <w:t>8.1招标文件包括下列内容：</w:t>
      </w:r>
    </w:p>
    <w:p>
      <w:pPr>
        <w:widowControl/>
        <w:spacing w:line="42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第一章   采购公告</w:t>
      </w:r>
    </w:p>
    <w:p>
      <w:pPr>
        <w:widowControl/>
        <w:tabs>
          <w:tab w:val="left" w:pos="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第二章   投标须知和投标须知前附表</w:t>
      </w:r>
    </w:p>
    <w:p>
      <w:pPr>
        <w:widowControl/>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第三章   采购项目及要求</w:t>
      </w:r>
    </w:p>
    <w:p>
      <w:pPr>
        <w:widowControl/>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第四章   开标、评标和定标须知</w:t>
      </w:r>
    </w:p>
    <w:p>
      <w:pPr>
        <w:widowControl/>
        <w:tabs>
          <w:tab w:val="left" w:pos="630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第五章   投标文件的有效性</w:t>
      </w:r>
    </w:p>
    <w:p>
      <w:pPr>
        <w:widowControl/>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第六章   评标办法</w:t>
      </w:r>
    </w:p>
    <w:p>
      <w:pPr>
        <w:widowControl/>
        <w:tabs>
          <w:tab w:val="left" w:pos="630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 xml:space="preserve">第七章   </w:t>
      </w:r>
      <w:r>
        <w:rPr>
          <w:rFonts w:hint="eastAsia" w:ascii="宋体" w:hAnsi="宋体" w:cs="宋体"/>
          <w:color w:val="000000"/>
          <w:sz w:val="24"/>
        </w:rPr>
        <w:t>拟签订的合同文本</w:t>
      </w:r>
    </w:p>
    <w:p>
      <w:pPr>
        <w:widowControl/>
        <w:tabs>
          <w:tab w:val="left" w:pos="630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第八章   附件—投标文件部分格式</w:t>
      </w:r>
    </w:p>
    <w:p>
      <w:pPr>
        <w:adjustRightInd w:val="0"/>
        <w:snapToGrid w:val="0"/>
        <w:spacing w:before="50" w:after="50" w:line="440" w:lineRule="exact"/>
        <w:ind w:firstLine="480" w:firstLineChars="200"/>
        <w:rPr>
          <w:rFonts w:hint="eastAsia" w:ascii="宋体" w:hAnsi="宋体" w:cs="宋体"/>
          <w:color w:val="000000"/>
          <w:sz w:val="24"/>
        </w:rPr>
      </w:pPr>
      <w:r>
        <w:rPr>
          <w:rFonts w:hint="eastAsia" w:ascii="宋体" w:hAnsi="宋体" w:cs="宋体"/>
          <w:color w:val="000000"/>
          <w:sz w:val="24"/>
        </w:rPr>
        <w:t>8.2除8.1内容外，采购人在提交投标文件截止时间前，以书面形式发出的对招标文件的澄清或修改内容，均为招标文件的组成部分，对采购人和投标人起约束作用。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40" w:lineRule="exact"/>
        <w:rPr>
          <w:rFonts w:hint="eastAsia" w:ascii="宋体" w:hAnsi="宋体" w:cs="宋体"/>
          <w:color w:val="000000"/>
          <w:sz w:val="24"/>
        </w:rPr>
      </w:pPr>
      <w:r>
        <w:rPr>
          <w:rFonts w:hint="eastAsia" w:ascii="宋体" w:hAnsi="宋体" w:cs="宋体"/>
          <w:color w:val="000000"/>
          <w:sz w:val="24"/>
        </w:rPr>
        <w:t xml:space="preserve">    8.3上述所列8.1及8.2条内容均以书面文件为准，采购人（采购代理机构）的任何工作人员对投标人所作的任何口头解释、介绍、答复，对采购人和投标人无任何约束力。</w:t>
      </w:r>
    </w:p>
    <w:p>
      <w:pPr>
        <w:adjustRightInd w:val="0"/>
        <w:snapToGrid w:val="0"/>
        <w:spacing w:before="50" w:after="50" w:line="44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8.4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40" w:lineRule="exact"/>
        <w:jc w:val="left"/>
        <w:rPr>
          <w:rFonts w:hint="eastAsia" w:ascii="宋体" w:cs="宋体"/>
          <w:b/>
          <w:bCs/>
          <w:color w:val="000000"/>
          <w:sz w:val="24"/>
        </w:rPr>
      </w:pPr>
      <w:bookmarkStart w:id="29" w:name="_Toc23768"/>
      <w:bookmarkStart w:id="30" w:name="_Toc274303231"/>
      <w:bookmarkStart w:id="31" w:name="_Toc5118135"/>
      <w:bookmarkStart w:id="32" w:name="_Toc1944"/>
      <w:bookmarkStart w:id="33" w:name="_Toc362250689"/>
      <w:r>
        <w:rPr>
          <w:rFonts w:hint="eastAsia" w:ascii="宋体" w:cs="宋体"/>
          <w:b/>
          <w:bCs/>
          <w:color w:val="000000"/>
          <w:sz w:val="24"/>
        </w:rPr>
        <w:t>9.招标文件的澄清</w:t>
      </w:r>
    </w:p>
    <w:p>
      <w:pPr>
        <w:pStyle w:val="27"/>
        <w:spacing w:line="440" w:lineRule="exact"/>
        <w:ind w:firstLine="480" w:firstLineChars="200"/>
        <w:jc w:val="left"/>
        <w:rPr>
          <w:rFonts w:hint="eastAsia" w:cs="宋体"/>
          <w:color w:val="000000"/>
          <w:sz w:val="24"/>
        </w:rPr>
      </w:pPr>
      <w:r>
        <w:rPr>
          <w:rFonts w:hint="eastAsia" w:cs="宋体"/>
          <w:color w:val="000000"/>
          <w:sz w:val="24"/>
        </w:rPr>
        <w:t>9.1投标人若对招标文件有任何疑问，应于前附表规定的时间前以书面形式向采购人和代理机构提出。</w:t>
      </w:r>
    </w:p>
    <w:p>
      <w:pPr>
        <w:pStyle w:val="27"/>
        <w:spacing w:line="440" w:lineRule="exact"/>
        <w:ind w:firstLine="480" w:firstLineChars="200"/>
        <w:jc w:val="left"/>
        <w:rPr>
          <w:rFonts w:hint="eastAsia" w:cs="宋体"/>
          <w:color w:val="000000"/>
          <w:sz w:val="24"/>
        </w:rPr>
      </w:pPr>
      <w:r>
        <w:rPr>
          <w:rFonts w:hint="eastAsia" w:cs="宋体"/>
          <w:color w:val="000000"/>
          <w:sz w:val="24"/>
        </w:rPr>
        <w:t>9.2无论是采购人根据需要主动对招标文件进行必要澄清、补充或修改，或是根据投标人的要求对招标文件做出澄清、补充或修正的，</w:t>
      </w:r>
      <w:r>
        <w:rPr>
          <w:rFonts w:hint="eastAsia"/>
          <w:color w:val="000000"/>
          <w:sz w:val="24"/>
        </w:rPr>
        <w:t>采购人都将</w:t>
      </w:r>
      <w:r>
        <w:rPr>
          <w:rFonts w:hint="eastAsia" w:cs="宋体"/>
          <w:b/>
          <w:bCs/>
          <w:color w:val="000000"/>
          <w:sz w:val="24"/>
          <w:szCs w:val="24"/>
          <w:highlight w:val="lightGray"/>
        </w:rPr>
        <w:t>通过浙江政府采购网和义乌市公共资源交易服务平台上发出</w:t>
      </w:r>
      <w:r>
        <w:rPr>
          <w:rFonts w:hint="eastAsia"/>
          <w:color w:val="000000"/>
          <w:sz w:val="24"/>
        </w:rPr>
        <w:t>。投标人在收到该澄清、补充或修改后应于 一 日内，以书面形式（签署意见并加盖公章）向采购代理机构回函给予确认。逾期未回复的，视为默认接收。该答疑文件作为招标文件的一部分，对投标人有约束力。</w:t>
      </w:r>
    </w:p>
    <w:p>
      <w:pPr>
        <w:pStyle w:val="27"/>
        <w:spacing w:line="440" w:lineRule="exact"/>
        <w:ind w:firstLine="480" w:firstLineChars="200"/>
        <w:jc w:val="left"/>
        <w:rPr>
          <w:rFonts w:hint="eastAsia" w:cs="宋体"/>
          <w:color w:val="000000"/>
          <w:sz w:val="24"/>
        </w:rPr>
      </w:pPr>
      <w:r>
        <w:rPr>
          <w:rFonts w:hint="eastAsia" w:cs="宋体"/>
          <w:color w:val="000000"/>
          <w:sz w:val="24"/>
        </w:rPr>
        <w:t>9.3投标单位在前附表规定时间前未提交疑问的，视作默认对本次招标过程中招标文件无异议，采购人对其提出的问题可以不作解释。</w:t>
      </w:r>
    </w:p>
    <w:p>
      <w:pPr>
        <w:spacing w:line="440" w:lineRule="exact"/>
        <w:ind w:firstLine="480" w:firstLineChars="200"/>
        <w:jc w:val="left"/>
        <w:textAlignment w:val="baseline"/>
        <w:rPr>
          <w:rFonts w:hint="eastAsia" w:ascii="宋体" w:cs="宋体"/>
          <w:color w:val="000000"/>
          <w:spacing w:val="-4"/>
          <w:sz w:val="24"/>
        </w:rPr>
      </w:pPr>
      <w:r>
        <w:rPr>
          <w:rFonts w:hint="eastAsia" w:ascii="宋体" w:cs="宋体"/>
          <w:color w:val="000000"/>
          <w:sz w:val="24"/>
        </w:rPr>
        <w:t>9.4</w:t>
      </w:r>
      <w:r>
        <w:rPr>
          <w:rFonts w:hint="eastAsia" w:ascii="宋体" w:cs="宋体"/>
          <w:color w:val="000000"/>
          <w:spacing w:val="-4"/>
          <w:sz w:val="24"/>
        </w:rPr>
        <w:t>招标文件澄清、修改、补充等内容均</w:t>
      </w:r>
      <w:r>
        <w:rPr>
          <w:rFonts w:hint="eastAsia" w:ascii="宋体" w:cs="宋体"/>
          <w:color w:val="000000"/>
          <w:sz w:val="24"/>
        </w:rPr>
        <w:t>以浙江政府采购网公示的内容为准。</w:t>
      </w:r>
      <w:r>
        <w:rPr>
          <w:rFonts w:hint="eastAsia" w:ascii="宋体" w:cs="宋体"/>
          <w:color w:val="000000"/>
          <w:spacing w:val="-4"/>
          <w:sz w:val="24"/>
        </w:rPr>
        <w:t>当招标文件、招标文件的澄清、修改、补充等在同一内容的表述上不一致时，以最后发出的书面文件为准。</w:t>
      </w:r>
    </w:p>
    <w:p>
      <w:pPr>
        <w:spacing w:before="50" w:after="50" w:line="440" w:lineRule="exact"/>
        <w:ind w:firstLine="464" w:firstLineChars="200"/>
        <w:jc w:val="left"/>
        <w:rPr>
          <w:rFonts w:hint="eastAsia" w:ascii="宋体" w:cs="宋体"/>
          <w:color w:val="000000"/>
          <w:spacing w:val="-6"/>
          <w:sz w:val="24"/>
        </w:rPr>
      </w:pPr>
      <w:r>
        <w:rPr>
          <w:rFonts w:hint="eastAsia" w:ascii="宋体" w:cs="宋体"/>
          <w:bCs/>
          <w:color w:val="000000"/>
          <w:spacing w:val="-4"/>
          <w:sz w:val="24"/>
        </w:rPr>
        <w:t>9.5</w:t>
      </w:r>
      <w:r>
        <w:rPr>
          <w:rFonts w:hint="eastAsia" w:ascii="宋体" w:cs="宋体"/>
          <w:color w:val="000000"/>
          <w:spacing w:val="-6"/>
          <w:sz w:val="24"/>
        </w:rPr>
        <w:t>采购人及采购代理机构工作人员向投标人所作的任何口头答复或电话通知一律无效。</w:t>
      </w:r>
    </w:p>
    <w:p>
      <w:pPr>
        <w:pStyle w:val="27"/>
        <w:adjustRightInd w:val="0"/>
        <w:snapToGrid w:val="0"/>
        <w:spacing w:line="440" w:lineRule="exact"/>
        <w:ind w:firstLine="482" w:firstLineChars="200"/>
        <w:jc w:val="left"/>
        <w:rPr>
          <w:rFonts w:hint="eastAsia" w:cs="宋体"/>
          <w:b/>
          <w:bCs/>
          <w:color w:val="000000"/>
          <w:sz w:val="24"/>
          <w:szCs w:val="24"/>
          <w:highlight w:val="lightGray"/>
        </w:rPr>
      </w:pPr>
      <w:r>
        <w:rPr>
          <w:rFonts w:hint="eastAsia" w:cs="宋体"/>
          <w:b/>
          <w:bCs/>
          <w:color w:val="000000"/>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则视为投标人已经收到。投标人在投标截止时间前应充分关注该网上发布的信息，如因投标人未及时关注网上发布的信息而导致的一切投标后果由投标人自行承担。</w:t>
      </w:r>
    </w:p>
    <w:p>
      <w:pPr>
        <w:spacing w:line="440" w:lineRule="exact"/>
        <w:ind w:firstLine="464" w:firstLineChars="200"/>
        <w:jc w:val="left"/>
        <w:textAlignment w:val="baseline"/>
        <w:rPr>
          <w:rFonts w:hint="eastAsia" w:ascii="宋体" w:cs="宋体"/>
          <w:color w:val="000000"/>
          <w:spacing w:val="-4"/>
          <w:sz w:val="24"/>
        </w:rPr>
      </w:pPr>
      <w:r>
        <w:rPr>
          <w:rFonts w:hint="eastAsia" w:ascii="宋体" w:cs="宋体"/>
          <w:bCs/>
          <w:color w:val="000000"/>
          <w:spacing w:val="-4"/>
          <w:sz w:val="24"/>
        </w:rPr>
        <w:t>9.6</w:t>
      </w:r>
      <w:r>
        <w:rPr>
          <w:rFonts w:hint="eastAsia" w:ascii="宋体" w:cs="宋体"/>
          <w:color w:val="000000"/>
          <w:spacing w:val="-4"/>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pPr>
        <w:pStyle w:val="6"/>
        <w:spacing w:before="120" w:after="120" w:line="460" w:lineRule="exact"/>
        <w:rPr>
          <w:rFonts w:hint="eastAsia" w:ascii="宋体" w:hAnsi="宋体" w:eastAsia="宋体" w:cs="宋体"/>
          <w:color w:val="000000"/>
          <w:sz w:val="28"/>
          <w:szCs w:val="28"/>
        </w:rPr>
      </w:pPr>
      <w:bookmarkStart w:id="34" w:name="_Toc28015"/>
      <w:bookmarkStart w:id="35" w:name="_Toc1890"/>
      <w:bookmarkStart w:id="36" w:name="_Toc30796"/>
      <w:r>
        <w:rPr>
          <w:rFonts w:hint="eastAsia" w:ascii="宋体" w:hAnsi="宋体" w:eastAsia="宋体" w:cs="宋体"/>
          <w:color w:val="000000"/>
          <w:sz w:val="28"/>
          <w:szCs w:val="28"/>
        </w:rPr>
        <w:t>三、投标文件</w:t>
      </w:r>
      <w:bookmarkEnd w:id="29"/>
      <w:bookmarkEnd w:id="30"/>
      <w:bookmarkEnd w:id="31"/>
      <w:bookmarkEnd w:id="32"/>
      <w:bookmarkEnd w:id="33"/>
      <w:bookmarkEnd w:id="34"/>
      <w:bookmarkEnd w:id="35"/>
      <w:bookmarkEnd w:id="36"/>
    </w:p>
    <w:p>
      <w:pPr>
        <w:adjustRightInd w:val="0"/>
        <w:snapToGrid w:val="0"/>
        <w:spacing w:line="460" w:lineRule="exact"/>
        <w:ind w:firstLine="480"/>
        <w:rPr>
          <w:rFonts w:hint="eastAsia" w:ascii="宋体" w:hAnsi="宋体" w:cs="宋体"/>
          <w:color w:val="000000"/>
          <w:sz w:val="24"/>
        </w:rPr>
      </w:pPr>
      <w:r>
        <w:rPr>
          <w:rFonts w:hint="eastAsia" w:ascii="宋体" w:hAnsi="宋体" w:cs="宋体"/>
          <w:b/>
          <w:color w:val="000000"/>
          <w:sz w:val="24"/>
        </w:rPr>
        <w:t>10.</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10.1</w:t>
      </w:r>
      <w:r>
        <w:rPr>
          <w:rFonts w:hint="eastAsia" w:ascii="宋体" w:hAnsi="宋体" w:cs="宋体"/>
          <w:color w:val="000000"/>
          <w:sz w:val="24"/>
        </w:rPr>
        <w:t>投标文件和与投标有关的所有文件均应使用汉语。</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10.2除项目规范另有规定外，投标文件使用的度量衡单位，均采用中华人民共和国法定计量单位。</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10.3对不同文字文本投标文件的解释发生异义的，以中文文本为准。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11.对投标文件的要求</w:t>
      </w:r>
    </w:p>
    <w:p>
      <w:pPr>
        <w:pStyle w:val="46"/>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11.1投标人应仔细阅读招标文件，了解招标文件的要求，在完全了解招标项目的技术要求和商务要求后，编制投标文件。</w:t>
      </w:r>
    </w:p>
    <w:p>
      <w:pPr>
        <w:pStyle w:val="2"/>
        <w:spacing w:line="460" w:lineRule="exact"/>
        <w:ind w:left="1" w:firstLine="477" w:firstLineChars="198"/>
        <w:jc w:val="both"/>
        <w:rPr>
          <w:rFonts w:hint="eastAsia" w:cs="宋体"/>
          <w:color w:val="000000"/>
          <w:kern w:val="0"/>
          <w:sz w:val="24"/>
        </w:rPr>
      </w:pPr>
      <w:r>
        <w:rPr>
          <w:rFonts w:hint="eastAsia" w:cs="宋体"/>
          <w:color w:val="000000"/>
          <w:kern w:val="0"/>
          <w:sz w:val="24"/>
        </w:rPr>
        <w:t>11.2编制投标文件时，投标人对招标文件中技术及商务要求须逐条逐项作出实质性回答。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11.3 在投标文件的技术条款描述中，投标人必须充分应答和满足用户的强制性的需求，如“★”等，否则将导致无效标。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11.4编制的投标文件对招标文件中有关条款未提出异议的，均被视为接受和同意。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12.投标文件的组成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12.1投标文件的组成包括以下所列内容和招标文件中“投标文件部分格式”所列的内容、格式及其投标人认为有必要提供的其他文件。</w:t>
      </w:r>
    </w:p>
    <w:p>
      <w:pPr>
        <w:spacing w:line="440" w:lineRule="exact"/>
        <w:ind w:firstLine="480"/>
        <w:rPr>
          <w:rFonts w:hint="eastAsia" w:ascii="宋体" w:hAnsi="宋体" w:cs="宋体"/>
          <w:color w:val="000000"/>
        </w:rPr>
      </w:pPr>
      <w:r>
        <w:rPr>
          <w:rFonts w:hint="eastAsia" w:ascii="宋体" w:hAnsi="宋体" w:cs="宋体"/>
          <w:b/>
          <w:color w:val="000000"/>
          <w:sz w:val="24"/>
        </w:rPr>
        <w:t xml:space="preserve">★12.2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7"/>
        <w:spacing w:line="420" w:lineRule="exact"/>
        <w:ind w:firstLine="482" w:firstLineChars="200"/>
        <w:jc w:val="left"/>
        <w:rPr>
          <w:rFonts w:hAnsi="宋体"/>
          <w:b/>
          <w:bCs/>
          <w:color w:val="000000"/>
          <w:sz w:val="24"/>
          <w:szCs w:val="24"/>
        </w:rPr>
      </w:pPr>
      <w:r>
        <w:rPr>
          <w:rFonts w:hint="eastAsia" w:hAnsi="宋体"/>
          <w:b/>
          <w:bCs/>
          <w:color w:val="000000"/>
          <w:sz w:val="24"/>
          <w:szCs w:val="24"/>
        </w:rPr>
        <w:t>12.3资格审查文件：</w:t>
      </w:r>
      <w:r>
        <w:rPr>
          <w:rFonts w:hint="eastAsia" w:hAnsi="宋体"/>
          <w:b/>
          <w:bCs/>
          <w:color w:val="000000"/>
          <w:sz w:val="24"/>
        </w:rPr>
        <w:t>应包括下列内容（并不仅限于以下）：(复印件需加盖单位公章，提供的所有证书应在有效期内，逾期的无效)</w:t>
      </w:r>
    </w:p>
    <w:p>
      <w:pPr>
        <w:pStyle w:val="27"/>
        <w:spacing w:line="440" w:lineRule="exact"/>
        <w:ind w:firstLine="360" w:firstLineChars="150"/>
        <w:jc w:val="left"/>
        <w:rPr>
          <w:rFonts w:hint="eastAsia" w:hAnsi="宋体"/>
          <w:color w:val="000000"/>
          <w:sz w:val="24"/>
          <w:szCs w:val="24"/>
        </w:rPr>
      </w:pPr>
      <w:r>
        <w:rPr>
          <w:rFonts w:hint="eastAsia" w:hAnsi="宋体" w:cs="宋体"/>
          <w:color w:val="000000"/>
          <w:sz w:val="24"/>
        </w:rPr>
        <w:t>（1）</w:t>
      </w:r>
      <w:r>
        <w:rPr>
          <w:rFonts w:hint="eastAsia" w:hAnsi="宋体"/>
          <w:color w:val="000000"/>
          <w:sz w:val="24"/>
          <w:szCs w:val="24"/>
        </w:rPr>
        <w:t>“国家企业信用信息公示系统”（网址：</w:t>
      </w:r>
      <w:r>
        <w:rPr>
          <w:rFonts w:hint="eastAsia" w:hAnsi="宋体"/>
          <w:color w:val="000000"/>
          <w:sz w:val="24"/>
          <w:szCs w:val="24"/>
        </w:rPr>
        <w:fldChar w:fldCharType="begin"/>
      </w:r>
      <w:r>
        <w:rPr>
          <w:rFonts w:hint="eastAsia" w:hAnsi="宋体"/>
          <w:color w:val="000000"/>
          <w:sz w:val="24"/>
          <w:szCs w:val="24"/>
        </w:rPr>
        <w:instrText xml:space="preserve"> HYPERLINK "http://www.gsxt.gov.cn）上的单位详细信息打印件（加盖投标人公章）或单位营业执照副本复印件（加盖投标人公章）；" </w:instrText>
      </w:r>
      <w:r>
        <w:rPr>
          <w:rFonts w:hint="eastAsia" w:hAnsi="宋体"/>
          <w:color w:val="000000"/>
          <w:sz w:val="24"/>
          <w:szCs w:val="24"/>
        </w:rPr>
        <w:fldChar w:fldCharType="separate"/>
      </w:r>
      <w:r>
        <w:rPr>
          <w:rFonts w:hint="eastAsia" w:hAnsi="宋体"/>
          <w:color w:val="000000"/>
          <w:sz w:val="24"/>
          <w:szCs w:val="24"/>
        </w:rPr>
        <w:t>www.gsxt.gov.cn）上的单位详细信息打印件或单位营业执照副本复印件或事业法人登记证复印件（事业单位参投需同时提供非公益一类事业单位说明材料）；</w:t>
      </w:r>
      <w:r>
        <w:rPr>
          <w:rFonts w:hint="eastAsia" w:hAnsi="宋体"/>
          <w:color w:val="000000"/>
          <w:sz w:val="24"/>
          <w:szCs w:val="24"/>
        </w:rPr>
        <w:fldChar w:fldCharType="end"/>
      </w:r>
    </w:p>
    <w:p>
      <w:pPr>
        <w:spacing w:line="430" w:lineRule="exact"/>
        <w:ind w:firstLine="480" w:firstLineChars="200"/>
        <w:rPr>
          <w:rFonts w:hint="eastAsia"/>
          <w:color w:val="000000"/>
        </w:rPr>
      </w:pP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2）</w:t>
      </w:r>
      <w:r>
        <w:rPr>
          <w:rFonts w:hint="eastAsia" w:ascii="宋体" w:hAnsi="宋体" w:cs="宋体"/>
          <w:color w:val="000000"/>
          <w:sz w:val="24"/>
          <w:szCs w:val="21"/>
        </w:rPr>
        <w:t>联合体协议书；（若投标人为联合体，则须提供)</w:t>
      </w:r>
    </w:p>
    <w:p>
      <w:pPr>
        <w:spacing w:line="430" w:lineRule="exact"/>
        <w:ind w:firstLine="480" w:firstLineChars="200"/>
        <w:rPr>
          <w:color w:val="000000"/>
        </w:rPr>
      </w:pPr>
      <w:r>
        <w:rPr>
          <w:rFonts w:hint="eastAsia" w:ascii="宋体" w:hAnsi="宋体" w:cs="宋体"/>
          <w:color w:val="000000"/>
          <w:sz w:val="24"/>
          <w:szCs w:val="21"/>
        </w:rPr>
        <w:t>（</w:t>
      </w:r>
      <w:r>
        <w:rPr>
          <w:rFonts w:hint="eastAsia" w:ascii="宋体" w:hAnsi="宋体" w:cs="宋体"/>
          <w:color w:val="000000"/>
          <w:sz w:val="24"/>
          <w:szCs w:val="21"/>
          <w:lang w:val="en-US" w:eastAsia="zh-CN"/>
        </w:rPr>
        <w:t>3</w:t>
      </w:r>
      <w:r>
        <w:rPr>
          <w:rFonts w:hint="eastAsia" w:ascii="宋体" w:hAnsi="宋体" w:cs="宋体"/>
          <w:color w:val="000000"/>
          <w:sz w:val="24"/>
          <w:szCs w:val="21"/>
        </w:rPr>
        <w:t>）投标人认为需要提供的其它文件和资料。</w:t>
      </w:r>
    </w:p>
    <w:p>
      <w:pPr>
        <w:pStyle w:val="27"/>
        <w:spacing w:line="430" w:lineRule="exact"/>
        <w:ind w:firstLine="241" w:firstLineChars="100"/>
        <w:rPr>
          <w:rFonts w:hint="eastAsia" w:cs="宋体"/>
          <w:color w:val="000000"/>
          <w:sz w:val="24"/>
          <w:szCs w:val="24"/>
        </w:rPr>
      </w:pPr>
      <w:r>
        <w:rPr>
          <w:rFonts w:hint="eastAsia" w:cs="宋体"/>
          <w:b/>
          <w:bCs/>
          <w:color w:val="000000"/>
          <w:sz w:val="24"/>
        </w:rPr>
        <w:t>12.4</w:t>
      </w:r>
      <w:r>
        <w:rPr>
          <w:rFonts w:hint="eastAsia" w:hAnsi="宋体"/>
          <w:b/>
          <w:bCs/>
          <w:color w:val="000000"/>
          <w:sz w:val="24"/>
        </w:rPr>
        <w:t>商务技术响应文件</w:t>
      </w:r>
      <w:r>
        <w:rPr>
          <w:rFonts w:hint="eastAsia" w:cs="宋体"/>
          <w:b/>
          <w:bCs/>
          <w:color w:val="000000"/>
          <w:sz w:val="24"/>
        </w:rPr>
        <w:t>:应包括下列内容（并不仅限于以下）：(复印件需加盖单位公章，提供的所有证书应在有效期内，逾期的无效)；</w:t>
      </w:r>
    </w:p>
    <w:p>
      <w:pPr>
        <w:pStyle w:val="27"/>
        <w:spacing w:line="460" w:lineRule="exact"/>
        <w:ind w:firstLine="360" w:firstLineChars="150"/>
        <w:rPr>
          <w:rFonts w:hint="eastAsia" w:hAnsi="宋体"/>
          <w:color w:val="000000"/>
          <w:sz w:val="24"/>
        </w:rPr>
      </w:pPr>
      <w:r>
        <w:rPr>
          <w:rFonts w:hint="eastAsia" w:hAnsi="宋体"/>
          <w:color w:val="000000"/>
          <w:sz w:val="24"/>
        </w:rPr>
        <w:t>（1）关于资格的声明函；</w:t>
      </w:r>
    </w:p>
    <w:p>
      <w:pPr>
        <w:pStyle w:val="27"/>
        <w:spacing w:line="460" w:lineRule="exact"/>
        <w:ind w:firstLine="360" w:firstLineChars="150"/>
        <w:rPr>
          <w:rFonts w:hint="eastAsia" w:hAnsi="宋体"/>
          <w:color w:val="000000"/>
          <w:sz w:val="24"/>
        </w:rPr>
      </w:pPr>
      <w:r>
        <w:rPr>
          <w:rFonts w:hint="eastAsia" w:hAnsi="宋体"/>
          <w:color w:val="000000"/>
          <w:sz w:val="24"/>
        </w:rPr>
        <w:t>（2）投标单位情况介绍；</w:t>
      </w:r>
    </w:p>
    <w:p>
      <w:pPr>
        <w:pStyle w:val="27"/>
        <w:spacing w:line="440" w:lineRule="exact"/>
        <w:ind w:firstLine="475" w:firstLineChars="198"/>
        <w:rPr>
          <w:rFonts w:hint="eastAsia"/>
          <w:color w:val="000000"/>
          <w:sz w:val="24"/>
        </w:rPr>
      </w:pPr>
      <w:r>
        <w:rPr>
          <w:rFonts w:hint="eastAsia" w:hAnsi="宋体"/>
          <w:color w:val="000000"/>
          <w:sz w:val="24"/>
        </w:rPr>
        <w:t>（3）由授权代表参加的提供</w:t>
      </w:r>
      <w:r>
        <w:rPr>
          <w:rFonts w:hint="eastAsia"/>
          <w:color w:val="000000"/>
          <w:sz w:val="24"/>
        </w:rPr>
        <w:t>法定代表人资格说明书及法定代表代表人授权委托书以及被授权人身份证复印件；</w:t>
      </w:r>
      <w:r>
        <w:rPr>
          <w:rFonts w:hint="eastAsia" w:hAnsi="宋体"/>
          <w:color w:val="000000"/>
          <w:sz w:val="24"/>
        </w:rPr>
        <w:t>由法定代表人直接参加投标并对相应文件签署的，只需提供</w:t>
      </w:r>
      <w:r>
        <w:rPr>
          <w:rFonts w:hint="eastAsia"/>
          <w:color w:val="000000"/>
          <w:sz w:val="24"/>
        </w:rPr>
        <w:t>法人代表人资格说明书</w:t>
      </w:r>
      <w:r>
        <w:rPr>
          <w:rFonts w:hint="eastAsia" w:hAnsi="宋体"/>
          <w:color w:val="000000"/>
          <w:sz w:val="24"/>
        </w:rPr>
        <w:t>；</w:t>
      </w:r>
      <w:r>
        <w:rPr>
          <w:rFonts w:hint="eastAsia"/>
          <w:color w:val="000000"/>
          <w:sz w:val="24"/>
        </w:rPr>
        <w:t>（</w:t>
      </w:r>
      <w:r>
        <w:rPr>
          <w:rFonts w:hint="eastAsia" w:hAnsi="宋体"/>
          <w:color w:val="000000"/>
          <w:sz w:val="24"/>
        </w:rPr>
        <w:t>联合体投标的需提供联合体牵头人委托投标代理人授权书)</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（4）项目组织实施方案；</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w:t>
      </w:r>
      <w:r>
        <w:rPr>
          <w:rFonts w:hint="eastAsia" w:ascii="宋体" w:hAnsi="宋体" w:eastAsia="宋体" w:cs="Courier New"/>
          <w:color w:val="000000"/>
          <w:sz w:val="24"/>
          <w:lang w:val="en-US" w:eastAsia="zh-CN"/>
        </w:rPr>
        <w:t>5</w:t>
      </w:r>
      <w:r>
        <w:rPr>
          <w:rFonts w:hint="eastAsia" w:ascii="宋体" w:hAnsi="宋体" w:eastAsia="宋体" w:cs="Courier New"/>
          <w:color w:val="000000"/>
          <w:sz w:val="24"/>
        </w:rPr>
        <w:t>）服务承诺；</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w:t>
      </w:r>
      <w:r>
        <w:rPr>
          <w:rFonts w:hint="eastAsia" w:ascii="宋体" w:hAnsi="宋体" w:eastAsia="宋体" w:cs="Courier New"/>
          <w:color w:val="000000"/>
          <w:sz w:val="24"/>
          <w:lang w:val="en-US" w:eastAsia="zh-CN"/>
        </w:rPr>
        <w:t>6</w:t>
      </w:r>
      <w:r>
        <w:rPr>
          <w:rFonts w:hint="eastAsia" w:ascii="宋体" w:hAnsi="宋体" w:eastAsia="宋体" w:cs="Courier New"/>
          <w:color w:val="000000"/>
          <w:sz w:val="24"/>
        </w:rPr>
        <w:t>）拟投入本项目人员表；</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（7）根据招标文件项目需求及评标办法要求提供的有关资料；</w:t>
      </w:r>
    </w:p>
    <w:p>
      <w:pPr>
        <w:pStyle w:val="27"/>
        <w:spacing w:line="440" w:lineRule="exact"/>
        <w:ind w:firstLine="360" w:firstLineChars="150"/>
        <w:rPr>
          <w:rFonts w:hint="eastAsia" w:hAnsi="宋体" w:cs="宋体"/>
          <w:color w:val="000000"/>
          <w:sz w:val="24"/>
        </w:rPr>
      </w:pPr>
      <w:r>
        <w:rPr>
          <w:rFonts w:hint="eastAsia" w:ascii="宋体" w:hAnsi="宋体" w:eastAsia="宋体" w:cs="Courier New"/>
          <w:color w:val="000000"/>
          <w:sz w:val="24"/>
        </w:rPr>
        <w:t>（</w:t>
      </w:r>
      <w:r>
        <w:rPr>
          <w:rFonts w:hint="eastAsia" w:ascii="宋体" w:hAnsi="宋体" w:eastAsia="宋体" w:cs="Courier New"/>
          <w:color w:val="000000"/>
          <w:sz w:val="24"/>
          <w:lang w:val="en-US" w:eastAsia="zh-CN"/>
        </w:rPr>
        <w:t>8</w:t>
      </w:r>
      <w:r>
        <w:rPr>
          <w:rFonts w:hint="eastAsia" w:ascii="宋体" w:hAnsi="宋体" w:eastAsia="宋体" w:cs="Courier New"/>
          <w:color w:val="000000"/>
          <w:sz w:val="24"/>
        </w:rPr>
        <w:t>）</w:t>
      </w:r>
      <w:r>
        <w:rPr>
          <w:rFonts w:hint="eastAsia" w:hAnsi="宋体" w:cs="宋体"/>
          <w:color w:val="000000"/>
          <w:sz w:val="24"/>
        </w:rPr>
        <w:t>义乌市政府采购项目投标承诺书；</w:t>
      </w:r>
    </w:p>
    <w:p>
      <w:pPr>
        <w:pStyle w:val="27"/>
        <w:spacing w:line="440" w:lineRule="exact"/>
        <w:ind w:firstLine="360" w:firstLineChars="150"/>
        <w:rPr>
          <w:rFonts w:hint="eastAsia" w:hAnsi="宋体" w:cs="宋体"/>
          <w:color w:val="000000"/>
          <w:sz w:val="24"/>
        </w:rPr>
      </w:pPr>
      <w:r>
        <w:rPr>
          <w:rFonts w:hint="eastAsia" w:hAnsi="宋体" w:cs="宋体"/>
          <w:color w:val="000000"/>
          <w:sz w:val="24"/>
        </w:rPr>
        <w:t>（9）投标人认为须提供的其他资料。</w:t>
      </w:r>
    </w:p>
    <w:p>
      <w:pPr>
        <w:pStyle w:val="27"/>
        <w:spacing w:line="430" w:lineRule="exact"/>
        <w:ind w:firstLine="482" w:firstLineChars="200"/>
        <w:rPr>
          <w:rFonts w:hint="eastAsia" w:hAnsi="宋体" w:cs="宋体"/>
          <w:b/>
          <w:bCs/>
          <w:color w:val="000000"/>
          <w:sz w:val="24"/>
        </w:rPr>
      </w:pPr>
      <w:r>
        <w:rPr>
          <w:rFonts w:hint="eastAsia" w:hAnsi="宋体" w:cs="宋体"/>
          <w:b/>
          <w:bCs/>
          <w:color w:val="000000"/>
          <w:sz w:val="24"/>
        </w:rPr>
        <w:t>12.5</w:t>
      </w:r>
      <w:r>
        <w:rPr>
          <w:rFonts w:hint="eastAsia"/>
          <w:b/>
          <w:bCs/>
          <w:color w:val="000000"/>
          <w:sz w:val="24"/>
        </w:rPr>
        <w:t>报价响应</w:t>
      </w:r>
      <w:r>
        <w:rPr>
          <w:rFonts w:hint="eastAsia" w:hAnsi="宋体" w:cs="宋体"/>
          <w:b/>
          <w:bCs/>
          <w:color w:val="000000"/>
          <w:sz w:val="24"/>
        </w:rPr>
        <w:t>应包括下列内容（并不仅限于以下）并应按顺序装订成册：</w:t>
      </w:r>
    </w:p>
    <w:p>
      <w:pPr>
        <w:pStyle w:val="27"/>
        <w:spacing w:line="430" w:lineRule="exact"/>
        <w:ind w:firstLine="475" w:firstLineChars="198"/>
        <w:rPr>
          <w:rFonts w:hint="eastAsia" w:hAnsi="宋体"/>
          <w:color w:val="000000"/>
          <w:sz w:val="24"/>
          <w:szCs w:val="24"/>
        </w:rPr>
      </w:pPr>
      <w:r>
        <w:rPr>
          <w:rFonts w:hint="eastAsia" w:hAnsi="宋体"/>
          <w:color w:val="000000"/>
          <w:sz w:val="24"/>
          <w:szCs w:val="24"/>
        </w:rPr>
        <w:t>（1）投标函；</w:t>
      </w:r>
    </w:p>
    <w:p>
      <w:pPr>
        <w:pStyle w:val="27"/>
        <w:spacing w:line="430" w:lineRule="exact"/>
        <w:ind w:firstLine="475" w:firstLineChars="198"/>
        <w:rPr>
          <w:rFonts w:hint="eastAsia" w:hAnsi="宋体"/>
          <w:color w:val="000000"/>
          <w:sz w:val="24"/>
          <w:szCs w:val="24"/>
        </w:rPr>
      </w:pPr>
      <w:r>
        <w:rPr>
          <w:rFonts w:hint="eastAsia" w:hAnsi="宋体"/>
          <w:color w:val="000000"/>
          <w:sz w:val="24"/>
          <w:szCs w:val="24"/>
        </w:rPr>
        <w:t>（2）报价一览表；</w:t>
      </w:r>
    </w:p>
    <w:p>
      <w:pPr>
        <w:pStyle w:val="27"/>
        <w:spacing w:line="440" w:lineRule="exact"/>
        <w:ind w:firstLine="475" w:firstLineChars="198"/>
        <w:rPr>
          <w:rFonts w:hint="default"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（3）报价明细表；</w:t>
      </w:r>
    </w:p>
    <w:p>
      <w:pPr>
        <w:pStyle w:val="27"/>
        <w:spacing w:line="440" w:lineRule="exact"/>
        <w:rPr>
          <w:rFonts w:hint="eastAsia" w:ascii="新宋体" w:hAnsi="新宋体" w:eastAsia="宋体" w:cs="新宋体"/>
          <w:color w:val="000000"/>
          <w:sz w:val="24"/>
          <w:lang w:val="en-US" w:eastAsia="zh-CN"/>
        </w:rPr>
      </w:pPr>
      <w:r>
        <w:rPr>
          <w:rFonts w:hint="eastAsia" w:ascii="新宋体" w:hAnsi="新宋体" w:eastAsia="新宋体" w:cs="新宋体"/>
          <w:color w:val="000000"/>
          <w:sz w:val="24"/>
          <w:lang w:val="en-US" w:eastAsia="zh-CN"/>
        </w:rPr>
        <w:t xml:space="preserve">    （4）</w:t>
      </w:r>
      <w:r>
        <w:rPr>
          <w:rFonts w:hAnsi="宋体" w:cs="宋体"/>
          <w:color w:val="000000"/>
          <w:sz w:val="24"/>
          <w:lang w:val="en-US"/>
        </w:rPr>
        <w:t>成本构成明细表</w:t>
      </w:r>
      <w:r>
        <w:rPr>
          <w:rFonts w:hint="eastAsia" w:hAnsi="宋体" w:cs="宋体"/>
          <w:color w:val="000000"/>
          <w:sz w:val="24"/>
          <w:lang w:val="en-US" w:eastAsia="zh-CN"/>
        </w:rPr>
        <w:t>；</w:t>
      </w:r>
    </w:p>
    <w:p>
      <w:pPr>
        <w:pStyle w:val="27"/>
        <w:spacing w:line="440" w:lineRule="exact"/>
        <w:ind w:firstLine="475" w:firstLineChars="198"/>
        <w:rPr>
          <w:rFonts w:hint="eastAsia" w:hAnsi="宋体" w:cs="宋体"/>
          <w:color w:val="000000"/>
          <w:sz w:val="24"/>
          <w:szCs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5</w:t>
      </w:r>
      <w:r>
        <w:rPr>
          <w:rFonts w:hint="eastAsia" w:ascii="新宋体" w:hAnsi="新宋体" w:eastAsia="新宋体" w:cs="新宋体"/>
          <w:color w:val="000000"/>
          <w:sz w:val="24"/>
        </w:rPr>
        <w:t>）中小企业声明函（详见格式）｛符合中小微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r>
        <w:rPr>
          <w:rFonts w:hint="eastAsia" w:hAnsi="宋体" w:cs="宋体"/>
          <w:color w:val="000000"/>
          <w:sz w:val="24"/>
          <w:szCs w:val="24"/>
        </w:rPr>
        <w:t xml:space="preserve">； </w:t>
      </w:r>
    </w:p>
    <w:p>
      <w:pPr>
        <w:pStyle w:val="27"/>
        <w:spacing w:line="430" w:lineRule="exact"/>
        <w:ind w:firstLine="475" w:firstLineChars="198"/>
        <w:rPr>
          <w:rFonts w:hAnsi="宋体" w:cs="宋体"/>
          <w:color w:val="000000"/>
          <w:sz w:val="24"/>
          <w:szCs w:val="24"/>
        </w:rPr>
      </w:pPr>
      <w:r>
        <w:rPr>
          <w:rFonts w:hAnsi="宋体" w:cs="宋体"/>
          <w:color w:val="000000"/>
          <w:sz w:val="24"/>
          <w:szCs w:val="24"/>
        </w:rPr>
        <w:t>（</w:t>
      </w:r>
      <w:r>
        <w:rPr>
          <w:rFonts w:hint="eastAsia" w:hAnsi="宋体" w:cs="宋体"/>
          <w:color w:val="000000"/>
          <w:sz w:val="24"/>
          <w:szCs w:val="24"/>
          <w:lang w:val="en-US" w:eastAsia="zh-CN"/>
        </w:rPr>
        <w:t>6</w:t>
      </w:r>
      <w:r>
        <w:rPr>
          <w:rFonts w:hAnsi="宋体" w:cs="宋体"/>
          <w:color w:val="000000"/>
          <w:sz w:val="24"/>
          <w:szCs w:val="24"/>
        </w:rPr>
        <w:t>）残疾人福利企业声明函（格式见附件）；</w:t>
      </w:r>
    </w:p>
    <w:p>
      <w:pPr>
        <w:pStyle w:val="27"/>
        <w:spacing w:line="430" w:lineRule="exact"/>
        <w:ind w:firstLine="475" w:firstLineChars="198"/>
        <w:rPr>
          <w:rFonts w:hint="eastAsia"/>
          <w:color w:val="000000"/>
        </w:rPr>
      </w:pPr>
      <w:r>
        <w:rPr>
          <w:rFonts w:hint="eastAsia" w:hAnsi="宋体" w:cs="宋体"/>
          <w:color w:val="000000"/>
          <w:sz w:val="24"/>
          <w:szCs w:val="24"/>
        </w:rPr>
        <w:t>（</w:t>
      </w:r>
      <w:r>
        <w:rPr>
          <w:rFonts w:hint="eastAsia" w:hAnsi="宋体" w:cs="宋体"/>
          <w:color w:val="000000"/>
          <w:sz w:val="24"/>
          <w:szCs w:val="24"/>
          <w:lang w:val="en-US" w:eastAsia="zh-CN"/>
        </w:rPr>
        <w:t>7</w:t>
      </w:r>
      <w:r>
        <w:rPr>
          <w:rFonts w:hint="eastAsia" w:hAnsi="宋体" w:cs="宋体"/>
          <w:color w:val="000000"/>
          <w:sz w:val="24"/>
          <w:szCs w:val="24"/>
        </w:rPr>
        <w:t>）监狱企业声明函、说明资料</w:t>
      </w:r>
      <w:r>
        <w:rPr>
          <w:rFonts w:hAnsi="宋体" w:cs="宋体"/>
          <w:color w:val="000000"/>
          <w:sz w:val="24"/>
          <w:szCs w:val="24"/>
        </w:rPr>
        <w:t>（格式见附件）；</w:t>
      </w:r>
    </w:p>
    <w:p>
      <w:pPr>
        <w:pStyle w:val="27"/>
        <w:spacing w:line="430" w:lineRule="exact"/>
        <w:ind w:firstLine="475" w:firstLineChars="198"/>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rPr>
        <w:t>）其他投标人认为须提供的资料。</w:t>
      </w:r>
    </w:p>
    <w:p>
      <w:pPr>
        <w:pStyle w:val="27"/>
        <w:spacing w:line="420" w:lineRule="exact"/>
        <w:ind w:firstLine="472" w:firstLineChars="196"/>
        <w:rPr>
          <w:rFonts w:hint="eastAsia" w:hAnsi="宋体" w:cs="宋体"/>
          <w:b/>
          <w:bCs/>
          <w:color w:val="000000"/>
          <w:sz w:val="24"/>
        </w:rPr>
      </w:pPr>
      <w:r>
        <w:rPr>
          <w:rFonts w:hint="eastAsia" w:hAnsi="宋体" w:cs="宋体"/>
          <w:b/>
          <w:bCs/>
          <w:color w:val="000000"/>
          <w:sz w:val="24"/>
        </w:rPr>
        <w:t>13、投标人资格的有关</w:t>
      </w:r>
      <w:r>
        <w:rPr>
          <w:rFonts w:hint="eastAsia" w:hAnsi="宋体" w:cs="宋体"/>
          <w:b/>
          <w:bCs/>
          <w:color w:val="000000"/>
          <w:sz w:val="24"/>
          <w:lang w:val="en-US" w:eastAsia="zh-CN"/>
        </w:rPr>
        <w:t>说明</w:t>
      </w:r>
      <w:r>
        <w:rPr>
          <w:rFonts w:hint="eastAsia" w:hAnsi="宋体" w:cs="宋体"/>
          <w:b/>
          <w:bCs/>
          <w:color w:val="000000"/>
          <w:sz w:val="24"/>
        </w:rPr>
        <w:t>资料</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13.1投标人应提交</w:t>
      </w:r>
      <w:r>
        <w:rPr>
          <w:rFonts w:hint="eastAsia" w:ascii="宋体" w:hAnsi="宋体" w:cs="宋体"/>
          <w:color w:val="000000"/>
          <w:sz w:val="24"/>
          <w:lang w:val="en-US" w:eastAsia="zh-CN"/>
        </w:rPr>
        <w:t>说</w:t>
      </w:r>
      <w:r>
        <w:rPr>
          <w:rFonts w:hint="eastAsia" w:ascii="宋体" w:hAnsi="宋体" w:cs="宋体"/>
          <w:color w:val="000000"/>
          <w:sz w:val="24"/>
        </w:rPr>
        <w:t>明其有资格参加投标和中标后有能力履行合同的文件，并作为其投标文件的一部分。</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13.2 投标人提交的合格性的</w:t>
      </w:r>
      <w:r>
        <w:rPr>
          <w:rFonts w:hint="eastAsia" w:ascii="宋体" w:hAnsi="宋体" w:cs="宋体"/>
          <w:color w:val="000000"/>
          <w:sz w:val="24"/>
          <w:lang w:val="en-US" w:eastAsia="zh-CN"/>
        </w:rPr>
        <w:t>说</w:t>
      </w:r>
      <w:r>
        <w:rPr>
          <w:rFonts w:hint="eastAsia" w:ascii="宋体" w:hAnsi="宋体" w:cs="宋体"/>
          <w:color w:val="000000"/>
          <w:sz w:val="24"/>
        </w:rPr>
        <w:t>明文件应使采购人满意，投标人在投标时应是符合条件的投标人。</w:t>
      </w:r>
    </w:p>
    <w:p>
      <w:pPr>
        <w:pStyle w:val="27"/>
        <w:spacing w:line="420" w:lineRule="exact"/>
        <w:ind w:firstLine="472" w:firstLineChars="196"/>
        <w:rPr>
          <w:rFonts w:hint="eastAsia" w:hAnsi="宋体" w:cs="宋体"/>
          <w:b/>
          <w:bCs/>
          <w:color w:val="000000"/>
          <w:sz w:val="24"/>
        </w:rPr>
      </w:pPr>
      <w:r>
        <w:rPr>
          <w:rFonts w:hint="eastAsia" w:hAnsi="宋体" w:cs="宋体"/>
          <w:b/>
          <w:bCs/>
          <w:color w:val="000000"/>
          <w:sz w:val="24"/>
        </w:rPr>
        <w:t>14、报价要求</w:t>
      </w:r>
    </w:p>
    <w:p>
      <w:pPr>
        <w:pStyle w:val="27"/>
        <w:spacing w:line="460" w:lineRule="exact"/>
        <w:ind w:firstLine="480" w:firstLineChars="200"/>
        <w:rPr>
          <w:rFonts w:hint="eastAsia" w:hAnsi="宋体"/>
          <w:color w:val="000000"/>
          <w:sz w:val="24"/>
        </w:rPr>
      </w:pPr>
      <w:r>
        <w:rPr>
          <w:rFonts w:hint="eastAsia" w:ascii="宋体" w:hAnsi="宋体" w:eastAsia="宋体" w:cs="Courier New"/>
          <w:color w:val="000000"/>
          <w:sz w:val="24"/>
        </w:rPr>
        <w:t>14.1投标人应根据国家的有关规定和招标文件要求并结合企业的实际情况进行投标报价。投标报价以人民币为结算货币，投标报价须包括维</w:t>
      </w:r>
      <w:r>
        <w:rPr>
          <w:rFonts w:hint="eastAsia" w:ascii="宋体" w:hAnsi="宋体" w:eastAsia="宋体" w:cs="Courier New"/>
          <w:color w:val="000000"/>
          <w:sz w:val="24"/>
          <w:lang w:val="en-US" w:eastAsia="zh-CN"/>
        </w:rPr>
        <w:t>护</w:t>
      </w:r>
      <w:r>
        <w:rPr>
          <w:rFonts w:hint="eastAsia" w:ascii="宋体" w:hAnsi="宋体" w:eastAsia="宋体" w:cs="Courier New"/>
          <w:color w:val="000000"/>
          <w:sz w:val="24"/>
        </w:rPr>
        <w:t>费</w:t>
      </w:r>
      <w:bookmarkStart w:id="37" w:name="_Hlk116828381"/>
      <w:r>
        <w:rPr>
          <w:rFonts w:hint="eastAsia" w:ascii="宋体" w:hAnsi="宋体" w:eastAsia="宋体" w:cs="宋体"/>
          <w:color w:val="000000"/>
          <w:sz w:val="24"/>
          <w:lang w:eastAsia="zh-CN"/>
        </w:rPr>
        <w:t>｛</w:t>
      </w:r>
      <w:r>
        <w:rPr>
          <w:rFonts w:hint="eastAsia" w:ascii="宋体" w:hAnsi="宋体" w:eastAsia="宋体" w:cs="Courier New"/>
          <w:color w:val="000000"/>
          <w:sz w:val="24"/>
        </w:rPr>
        <w:t>前端设备运维服务费</w:t>
      </w:r>
      <w:bookmarkEnd w:id="37"/>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应用系统硬件维护服务费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应用系统软件维护服务费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支撑系统维护服务费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机房能源费</w:t>
      </w:r>
      <w:r>
        <w:rPr>
          <w:rFonts w:hint="eastAsia" w:ascii="宋体" w:hAnsi="宋体" w:eastAsia="宋体" w:cs="Courier New"/>
          <w:color w:val="000000"/>
          <w:sz w:val="24"/>
          <w:lang w:val="en-US" w:eastAsia="zh-CN"/>
        </w:rPr>
        <w:t>（暂估价为</w:t>
      </w:r>
      <w:r>
        <w:rPr>
          <w:rFonts w:hint="eastAsia" w:hAnsi="宋体" w:eastAsia="宋体" w:cs="Courier New"/>
          <w:color w:val="000000"/>
          <w:sz w:val="24"/>
          <w:lang w:val="en-US" w:eastAsia="zh-CN"/>
        </w:rPr>
        <w:t>481.8</w:t>
      </w:r>
      <w:r>
        <w:rPr>
          <w:rFonts w:hint="eastAsia" w:ascii="宋体" w:hAnsi="宋体" w:eastAsia="宋体" w:cs="Courier New"/>
          <w:color w:val="000000"/>
          <w:sz w:val="24"/>
          <w:lang w:val="en-US" w:eastAsia="zh-CN"/>
        </w:rPr>
        <w:t>万元，按实结算）</w:t>
      </w:r>
      <w:r>
        <w:rPr>
          <w:rFonts w:hint="eastAsia" w:ascii="宋体" w:hAnsi="宋体" w:eastAsia="宋体" w:cs="Courier New"/>
          <w:color w:val="000000"/>
          <w:sz w:val="24"/>
        </w:rPr>
        <w:t>、机房租赁与维护服务费</w:t>
      </w:r>
      <w:r>
        <w:rPr>
          <w:rFonts w:hint="eastAsia" w:ascii="宋体" w:hAnsi="宋体" w:eastAsia="宋体" w:cs="Courier New"/>
          <w:color w:val="000000"/>
          <w:sz w:val="24"/>
          <w:lang w:val="en-US" w:eastAsia="zh-CN"/>
        </w:rPr>
        <w:t>（378万元，包干费用）</w:t>
      </w:r>
      <w:r>
        <w:rPr>
          <w:rFonts w:hint="eastAsia" w:ascii="宋体" w:hAnsi="宋体" w:eastAsia="宋体" w:cs="Courier New"/>
          <w:color w:val="000000"/>
          <w:sz w:val="24"/>
          <w:lang w:eastAsia="zh-CN"/>
        </w:rPr>
        <w:t>、</w:t>
      </w:r>
      <w:r>
        <w:rPr>
          <w:rFonts w:hint="eastAsia" w:ascii="宋体" w:hAnsi="宋体" w:eastAsia="宋体" w:cs="Courier New"/>
          <w:color w:val="000000"/>
          <w:sz w:val="24"/>
        </w:rPr>
        <w:t>光纤租赁服务费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智能交通指挥中心</w:t>
      </w:r>
      <w:r>
        <w:rPr>
          <w:rFonts w:hint="eastAsia" w:hAnsi="宋体" w:eastAsia="宋体" w:cs="Courier New"/>
          <w:color w:val="000000"/>
          <w:sz w:val="24"/>
          <w:lang w:val="en-US" w:eastAsia="zh-CN"/>
        </w:rPr>
        <w:t>车辆</w:t>
      </w:r>
      <w:r>
        <w:rPr>
          <w:rFonts w:hint="eastAsia" w:ascii="宋体" w:hAnsi="宋体" w:eastAsia="宋体" w:cs="Courier New"/>
          <w:color w:val="000000"/>
          <w:sz w:val="24"/>
        </w:rPr>
        <w:t>分析</w:t>
      </w:r>
      <w:r>
        <w:rPr>
          <w:rFonts w:hint="eastAsia" w:hAnsi="宋体" w:eastAsia="宋体" w:cs="Courier New"/>
          <w:color w:val="000000"/>
          <w:sz w:val="24"/>
          <w:lang w:val="en-US" w:eastAsia="zh-CN"/>
        </w:rPr>
        <w:t>应用</w:t>
      </w:r>
      <w:r>
        <w:rPr>
          <w:rFonts w:hint="eastAsia" w:ascii="宋体" w:hAnsi="宋体" w:eastAsia="宋体" w:cs="Courier New"/>
          <w:color w:val="000000"/>
          <w:sz w:val="24"/>
        </w:rPr>
        <w:t>、信号配时与交通组织服务费</w:t>
      </w:r>
      <w:r>
        <w:rPr>
          <w:rFonts w:hint="eastAsia" w:ascii="宋体" w:hAnsi="宋体" w:eastAsia="宋体" w:cs="宋体"/>
          <w:color w:val="000000"/>
          <w:sz w:val="24"/>
          <w:lang w:eastAsia="zh-CN"/>
        </w:rPr>
        <w:t>｝</w:t>
      </w:r>
      <w:r>
        <w:rPr>
          <w:rFonts w:hint="eastAsia" w:ascii="宋体" w:hAnsi="宋体" w:eastAsia="宋体" w:cs="Courier New"/>
          <w:color w:val="000000"/>
          <w:sz w:val="24"/>
          <w:lang w:eastAsia="zh-CN"/>
        </w:rPr>
        <w:t>、</w:t>
      </w:r>
      <w:r>
        <w:rPr>
          <w:rFonts w:hint="eastAsia" w:ascii="宋体" w:hAnsi="宋体" w:eastAsia="宋体" w:cs="Courier New"/>
          <w:color w:val="000000"/>
          <w:sz w:val="24"/>
        </w:rPr>
        <w:t>设备费、</w:t>
      </w:r>
      <w:r>
        <w:rPr>
          <w:rFonts w:hint="eastAsia" w:ascii="宋体" w:hAnsi="宋体" w:eastAsia="宋体" w:cs="Courier New"/>
          <w:color w:val="000000"/>
          <w:sz w:val="24"/>
          <w:lang w:val="en-US" w:eastAsia="zh-CN"/>
        </w:rPr>
        <w:t>零部件、易损易耗件费、</w:t>
      </w:r>
      <w:r>
        <w:rPr>
          <w:rFonts w:hint="eastAsia" w:hAnsi="宋体" w:eastAsia="宋体" w:cs="Courier New"/>
          <w:color w:val="000000"/>
          <w:sz w:val="24"/>
          <w:lang w:val="en-US" w:eastAsia="zh-CN"/>
        </w:rPr>
        <w:t>备</w:t>
      </w:r>
      <w:r>
        <w:rPr>
          <w:rFonts w:hint="eastAsia" w:ascii="宋体" w:hAnsi="宋体" w:eastAsia="宋体" w:cs="Courier New"/>
          <w:color w:val="000000"/>
          <w:sz w:val="24"/>
          <w:lang w:val="en-US" w:eastAsia="zh-CN"/>
        </w:rPr>
        <w:t>品</w:t>
      </w:r>
      <w:r>
        <w:rPr>
          <w:rFonts w:hint="eastAsia" w:ascii="宋体" w:hAnsi="宋体" w:eastAsia="宋体" w:cs="Courier New"/>
          <w:color w:val="000000"/>
          <w:sz w:val="24"/>
        </w:rPr>
        <w:t>配件费</w:t>
      </w:r>
      <w:r>
        <w:rPr>
          <w:rFonts w:hint="eastAsia" w:ascii="宋体" w:hAnsi="宋体" w:eastAsia="宋体" w:cs="Courier New"/>
          <w:color w:val="000000"/>
          <w:sz w:val="24"/>
          <w:lang w:val="en-US" w:eastAsia="zh-CN"/>
        </w:rPr>
        <w:t>、</w:t>
      </w:r>
      <w:r>
        <w:rPr>
          <w:rFonts w:hint="eastAsia" w:ascii="宋体" w:hAnsi="宋体" w:eastAsia="宋体" w:cs="Courier New"/>
          <w:color w:val="000000"/>
          <w:sz w:val="24"/>
        </w:rPr>
        <w:t>管理</w:t>
      </w:r>
      <w:r>
        <w:rPr>
          <w:rFonts w:hint="eastAsia" w:hAnsi="宋体"/>
          <w:color w:val="000000"/>
          <w:sz w:val="24"/>
        </w:rPr>
        <w:t>费、利润、税金、保险等完成本项目的其它费用和政策性文件规定及合同包含的所有风险、责任等各项应有费用，如有漏项，视同已包含在其总项目中。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 xml:space="preserve"> 14.1.1前端设备运维服务费包括：电子警察、模拟球机、数字球机、多功能执法、常规卡口、雷达卡口、加油站卡口、诱导屏、行人闯红灯、测速仪、信号机、信号灯等子项（子系统）服务费。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 xml:space="preserve"> 14.1.2应用系统硬件维护服务费包括：</w:t>
      </w:r>
      <w:r>
        <w:rPr>
          <w:rFonts w:hint="eastAsia" w:ascii="宋体" w:hAnsi="宋体" w:cs="Courier New"/>
          <w:color w:val="000000"/>
          <w:sz w:val="24"/>
          <w:szCs w:val="21"/>
        </w:rPr>
        <w:t>智能交通一期、智能交通二期、外单位移交项目所属的服务器、云数据库、云存储、高性能存储设备、数据传输设备、网络交换设备、网络安全设备、视频矩阵等中心硬件设备的维护服务费</w:t>
      </w:r>
      <w:r>
        <w:rPr>
          <w:rFonts w:hint="eastAsia" w:ascii="宋体" w:hAnsi="宋体" w:eastAsia="宋体" w:cs="Courier New"/>
          <w:color w:val="000000"/>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14.1.3应用软件系统维护费包括：智能交通一期、智能交通二期所属软件系统及其他（BRT智能设施平台、一键报警、大队公安网站维护、义乌交警微信公众号维护、实战应用平台维护（非现场平台、集指平台、大货车闯禁平台等）、诱导屏发布平台、可变车道控制系统）应用软件等子项（子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14.1.4支撑系统维护服务费包括：机房空间优化、存储维护、地图系统维护服务费。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Courier New"/>
          <w:color w:val="000000"/>
          <w:kern w:val="2"/>
          <w:sz w:val="24"/>
          <w:szCs w:val="21"/>
          <w:lang w:val="en-US" w:eastAsia="zh-CN" w:bidi="ar-SA"/>
        </w:rPr>
      </w:pPr>
      <w:r>
        <w:rPr>
          <w:rFonts w:hint="eastAsia" w:ascii="宋体" w:hAnsi="宋体" w:eastAsia="宋体" w:cs="Courier New"/>
          <w:color w:val="000000"/>
          <w:sz w:val="24"/>
          <w:lang w:val="en-US" w:eastAsia="zh-CN"/>
        </w:rPr>
        <w:t>14.1.5</w:t>
      </w:r>
      <w:r>
        <w:rPr>
          <w:rFonts w:hint="eastAsia" w:ascii="宋体" w:hAnsi="宋体" w:eastAsia="宋体" w:cs="Courier New"/>
          <w:color w:val="000000"/>
          <w:sz w:val="24"/>
        </w:rPr>
        <w:t>能源费</w:t>
      </w:r>
      <w:r>
        <w:rPr>
          <w:rFonts w:hint="eastAsia" w:ascii="宋体" w:hAnsi="宋体" w:eastAsia="宋体" w:cs="Courier New"/>
          <w:color w:val="000000"/>
          <w:sz w:val="24"/>
          <w:lang w:eastAsia="zh-CN"/>
        </w:rPr>
        <w:t>：</w:t>
      </w:r>
      <w:r>
        <w:rPr>
          <w:rFonts w:hint="eastAsia" w:ascii="宋体" w:hAnsi="宋体" w:eastAsia="宋体" w:cs="Courier New"/>
          <w:color w:val="000000"/>
          <w:sz w:val="24"/>
          <w:lang w:val="en-US" w:eastAsia="zh-CN"/>
        </w:rPr>
        <w:t>前端设备电源从路灯接入，电源费用不计入。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14.1.6</w:t>
      </w:r>
      <w:r>
        <w:rPr>
          <w:rFonts w:hint="eastAsia" w:ascii="宋体" w:hAnsi="宋体" w:cs="宋体"/>
          <w:b w:val="0"/>
          <w:bCs w:val="0"/>
          <w:color w:val="000000"/>
          <w:sz w:val="24"/>
          <w:szCs w:val="21"/>
          <w:lang w:val="zh-TW" w:eastAsia="zh-TW"/>
        </w:rPr>
        <w:t>机房、光纤租赁及维护</w:t>
      </w:r>
      <w:r>
        <w:rPr>
          <w:rFonts w:hint="eastAsia" w:ascii="宋体" w:hAnsi="宋体" w:cs="宋体"/>
          <w:color w:val="000000"/>
          <w:sz w:val="24"/>
          <w:szCs w:val="21"/>
          <w:lang w:val="zh-TW" w:eastAsia="zh-TW"/>
        </w:rPr>
        <w:t>费</w:t>
      </w:r>
      <w:r>
        <w:rPr>
          <w:rFonts w:hint="eastAsia" w:ascii="宋体" w:hAnsi="宋体" w:cs="宋体"/>
          <w:b w:val="0"/>
          <w:bCs w:val="0"/>
          <w:color w:val="000000"/>
          <w:sz w:val="24"/>
          <w:szCs w:val="21"/>
          <w:lang w:val="zh-TW" w:eastAsia="zh-TW"/>
        </w:rPr>
        <w:t>包括：机房</w:t>
      </w:r>
      <w:r>
        <w:rPr>
          <w:rFonts w:hint="eastAsia" w:ascii="宋体" w:hAnsi="宋体" w:cs="宋体"/>
          <w:color w:val="000000"/>
          <w:sz w:val="24"/>
          <w:szCs w:val="21"/>
          <w:lang w:val="zh-TW" w:eastAsia="zh-TW"/>
        </w:rPr>
        <w:t>机柜租赁费</w:t>
      </w:r>
      <w:r>
        <w:rPr>
          <w:rFonts w:hint="eastAsia" w:ascii="宋体" w:hAnsi="宋体" w:cs="宋体"/>
          <w:b/>
          <w:bCs/>
          <w:color w:val="000000"/>
          <w:sz w:val="24"/>
          <w:szCs w:val="21"/>
          <w:lang w:val="zh-TW" w:eastAsia="zh-TW"/>
        </w:rPr>
        <w:t>、</w:t>
      </w:r>
      <w:r>
        <w:rPr>
          <w:rFonts w:hint="eastAsia" w:ascii="宋体" w:hAnsi="宋体" w:cs="宋体"/>
          <w:bCs/>
          <w:color w:val="000000"/>
          <w:sz w:val="24"/>
          <w:lang w:val="zh-TW" w:eastAsia="zh-TW"/>
        </w:rPr>
        <w:t>机房能源消耗（机房托管设备</w:t>
      </w:r>
      <w:r>
        <w:rPr>
          <w:rFonts w:hint="eastAsia" w:ascii="宋体" w:hAnsi="宋体" w:cs="宋体"/>
          <w:bCs/>
          <w:color w:val="000000"/>
          <w:sz w:val="24"/>
          <w:lang w:val="zh-TW" w:eastAsia="zh-CN"/>
        </w:rPr>
        <w:t>产生的</w:t>
      </w:r>
      <w:r>
        <w:rPr>
          <w:rFonts w:hint="eastAsia" w:ascii="宋体" w:hAnsi="宋体" w:cs="宋体"/>
          <w:bCs/>
          <w:color w:val="000000"/>
          <w:sz w:val="24"/>
          <w:lang w:val="zh-TW" w:eastAsia="zh-TW"/>
        </w:rPr>
        <w:t>电费，以及新风空调等能耗电费）。光纤租用费为智能交通一、二期以及外单位建设移交项目中包含的光纤链路租赁费，维护费为</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指挥中心和</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自建机房维护费</w:t>
      </w:r>
      <w:r>
        <w:rPr>
          <w:rFonts w:hint="eastAsia" w:ascii="宋体" w:hAnsi="宋体" w:eastAsia="宋体" w:cs="Courier New"/>
          <w:color w:val="000000"/>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14.1.7智能交通指挥中心车辆分析应用、信号配时与交通组织服务费包括 ：车辆分析应用、地理信息系统管理、网络安全管理、高级信号控制服务、普通信号控制服务、基础信号控制服务费。</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rPr>
        <w:t>14.2投标人应在投标文件的《报价一览表》上写明投标报价项目的单价和总价。中标后，</w:t>
      </w:r>
      <w:r>
        <w:rPr>
          <w:rFonts w:hint="eastAsia" w:hAnsi="宋体" w:cs="宋体"/>
          <w:b/>
          <w:color w:val="000000"/>
          <w:sz w:val="24"/>
        </w:rPr>
        <w:t>中标人所填写的单价在合同实施期间不因市场变化因素而变动。</w:t>
      </w:r>
    </w:p>
    <w:p>
      <w:pPr>
        <w:pStyle w:val="27"/>
        <w:spacing w:line="460" w:lineRule="exact"/>
        <w:ind w:firstLine="480" w:firstLineChars="200"/>
        <w:rPr>
          <w:rFonts w:hint="eastAsia" w:hAnsi="宋体" w:cs="宋体"/>
          <w:color w:val="000000"/>
          <w:sz w:val="24"/>
          <w:szCs w:val="24"/>
        </w:rPr>
      </w:pPr>
      <w:r>
        <w:rPr>
          <w:rFonts w:hint="eastAsia" w:hAnsi="宋体" w:cs="宋体"/>
          <w:color w:val="000000"/>
          <w:sz w:val="24"/>
          <w:szCs w:val="24"/>
        </w:rPr>
        <w:t>14.3投标人应按招标文件规定的报价格式进行投标报价。投标人对每种服务只允许有一个报价，采购人不接受任何有选择性的报价。</w:t>
      </w:r>
    </w:p>
    <w:p>
      <w:pPr>
        <w:pStyle w:val="27"/>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14.4采购人不接受低于成本的投标报价。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14.5投标人按照上述要求编制投标报价。一旦确认某一投标人中标，除合同规定的可调整内容外，中标人不得要求追加任何费用。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14.6须由中标人开具正式增值税发票。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14.7招标文件中规定由投标单位承担并支付的相关费用在投标报价时应一并考虑。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15</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15.1投标文件须包括本须知第12条中规定的全部内容，投标人不按招标文件的要求提供的投标文件和资料将视为没有对招标文件作实质性响应，其投标将被拒绝，其风险由投标人自行承担。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15.2招标文件中提供投标文件格式的，投标人提交的投标文件应当使用招标文件所提供的投标文件格式，表格格式在不改变格式内容的情况下可自行制作。招标文件未提供投标文件格式的，投标人可以增加自行设计的表格及内容，以便更细致全面的说明其能力。</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16</w:t>
      </w:r>
      <w:r>
        <w:rPr>
          <w:rFonts w:hint="eastAsia" w:hAnsi="宋体" w:cs="宋体"/>
          <w:color w:val="000000"/>
          <w:sz w:val="24"/>
          <w:szCs w:val="24"/>
        </w:rPr>
        <w:t>.</w:t>
      </w:r>
      <w:r>
        <w:rPr>
          <w:rFonts w:hint="eastAsia" w:hAnsi="宋体" w:cs="宋体"/>
          <w:b/>
          <w:bCs/>
          <w:color w:val="000000"/>
          <w:sz w:val="24"/>
        </w:rPr>
        <w:t>投标文件编制要求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16.1投标人应根据电子投标操作指南通过“政采云电子交易客户端”按本招标文件规定的内容和顺序编制电子投标文件并进行关联定位，其中</w:t>
      </w:r>
      <w:r>
        <w:rPr>
          <w:rFonts w:hint="eastAsia" w:ascii="宋体" w:hAnsi="宋体"/>
          <w:b/>
          <w:color w:val="000000"/>
          <w:sz w:val="24"/>
        </w:rPr>
        <w:t>资格响应文件、商务技术响应文件</w:t>
      </w:r>
      <w:r>
        <w:rPr>
          <w:rFonts w:hint="eastAsia" w:ascii="宋体" w:hAnsi="宋体" w:cs="宋体"/>
          <w:color w:val="000000"/>
          <w:sz w:val="24"/>
        </w:rPr>
        <w:t>不得出现本项目投标报价。</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16.2由于未按招标文件的规定要求编制投标文件，导致评审小组作出的对投标人的误判，责任由投标人自己承担。</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16.3投标文件内容不完整、编排混乱导致投标文件被误读、漏读或都查找不到相关内容的，责任由投标人自行承担。</w:t>
      </w:r>
    </w:p>
    <w:p>
      <w:pPr>
        <w:pStyle w:val="27"/>
        <w:spacing w:line="460" w:lineRule="exact"/>
        <w:ind w:firstLine="482" w:firstLineChars="200"/>
        <w:rPr>
          <w:rFonts w:hint="eastAsia" w:hAnsi="宋体" w:cs="宋体"/>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w:t>
      </w:r>
      <w:r>
        <w:rPr>
          <w:rFonts w:hint="eastAsia" w:hAnsi="宋体" w:cs="宋体"/>
          <w:b/>
          <w:bCs/>
          <w:color w:val="000000"/>
          <w:sz w:val="24"/>
        </w:rPr>
        <w:t>无。</w:t>
      </w:r>
    </w:p>
    <w:p>
      <w:pPr>
        <w:pStyle w:val="27"/>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rPr>
        <w:t>.</w:t>
      </w:r>
      <w:r>
        <w:rPr>
          <w:rFonts w:hint="eastAsia" w:hAnsi="宋体" w:cs="宋体"/>
          <w:b/>
          <w:bCs/>
          <w:color w:val="000000"/>
          <w:sz w:val="24"/>
        </w:rPr>
        <w:t>履约保证金：无。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19</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19.1 投标文件从</w:t>
      </w:r>
      <w:r>
        <w:rPr>
          <w:rFonts w:hint="eastAsia" w:ascii="宋体" w:hAnsi="宋体" w:cs="宋体"/>
          <w:color w:val="000000"/>
          <w:sz w:val="24"/>
        </w:rPr>
        <w:t>自</w:t>
      </w:r>
      <w:r>
        <w:rPr>
          <w:rFonts w:hint="eastAsia" w:ascii="宋体" w:hAnsi="宋体" w:cs="宋体"/>
          <w:color w:val="000000"/>
          <w:sz w:val="24"/>
          <w:lang w:val="en-US" w:eastAsia="zh-CN"/>
        </w:rPr>
        <w:t>提交投标文件截止</w:t>
      </w:r>
      <w:r>
        <w:rPr>
          <w:rFonts w:hint="eastAsia" w:ascii="宋体" w:hAnsi="宋体" w:cs="宋体"/>
          <w:color w:val="000000"/>
          <w:sz w:val="24"/>
        </w:rPr>
        <w:t>日</w:t>
      </w:r>
      <w:r>
        <w:rPr>
          <w:rFonts w:hint="eastAsia" w:ascii="宋体" w:hAnsi="宋体" w:cs="宋体"/>
          <w:color w:val="000000"/>
          <w:sz w:val="24"/>
          <w:szCs w:val="21"/>
        </w:rPr>
        <w:t>起，投标有效期为90天。</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120" w:after="120" w:line="460" w:lineRule="exact"/>
        <w:rPr>
          <w:rFonts w:hint="eastAsia" w:ascii="宋体" w:hAnsi="宋体" w:eastAsia="宋体" w:cs="宋体"/>
          <w:color w:val="000000"/>
          <w:sz w:val="28"/>
          <w:szCs w:val="28"/>
        </w:rPr>
      </w:pPr>
      <w:bookmarkStart w:id="38" w:name="_Toc22016"/>
      <w:bookmarkStart w:id="39" w:name="_Toc25458"/>
      <w:bookmarkStart w:id="40" w:name="_Toc274303232"/>
      <w:bookmarkStart w:id="41" w:name="_Toc1161"/>
      <w:bookmarkStart w:id="42" w:name="_Toc19099"/>
      <w:bookmarkStart w:id="43" w:name="_Toc414555327"/>
      <w:bookmarkStart w:id="44" w:name="_Toc15701"/>
      <w:bookmarkStart w:id="45" w:name="_Toc5196"/>
      <w:r>
        <w:rPr>
          <w:rFonts w:hint="eastAsia" w:ascii="宋体" w:hAnsi="宋体" w:eastAsia="宋体" w:cs="宋体"/>
          <w:color w:val="000000"/>
          <w:sz w:val="28"/>
          <w:szCs w:val="28"/>
        </w:rPr>
        <w:t>四、投标文件的递交</w:t>
      </w:r>
      <w:bookmarkEnd w:id="38"/>
      <w:bookmarkEnd w:id="39"/>
      <w:bookmarkEnd w:id="40"/>
      <w:bookmarkEnd w:id="41"/>
      <w:bookmarkEnd w:id="42"/>
      <w:bookmarkEnd w:id="43"/>
      <w:bookmarkEnd w:id="44"/>
      <w:bookmarkEnd w:id="45"/>
    </w:p>
    <w:p>
      <w:pPr>
        <w:pStyle w:val="27"/>
        <w:spacing w:line="440" w:lineRule="exact"/>
        <w:ind w:firstLine="482" w:firstLineChars="200"/>
        <w:rPr>
          <w:rFonts w:hint="eastAsia" w:hAnsi="宋体" w:cs="宋体"/>
          <w:b/>
          <w:bCs/>
          <w:color w:val="000000"/>
          <w:sz w:val="24"/>
        </w:rPr>
      </w:pPr>
      <w:bookmarkStart w:id="46" w:name="_Toc414555328"/>
      <w:bookmarkStart w:id="47" w:name="_Toc274303233"/>
      <w:r>
        <w:rPr>
          <w:rFonts w:hint="eastAsia" w:hAnsi="宋体" w:cs="宋体"/>
          <w:b/>
          <w:bCs/>
          <w:color w:val="000000"/>
          <w:sz w:val="24"/>
        </w:rPr>
        <w:t>20.电子投标文件上传的地点和截止时间</w:t>
      </w:r>
    </w:p>
    <w:p>
      <w:pPr>
        <w:tabs>
          <w:tab w:val="left" w:pos="2212"/>
        </w:tabs>
        <w:adjustRightInd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20.1投标人应于</w:t>
      </w:r>
      <w:r>
        <w:rPr>
          <w:rFonts w:hint="eastAsia" w:ascii="宋体" w:hAnsi="宋体" w:cs="宋体"/>
          <w:color w:val="000000"/>
          <w:sz w:val="24"/>
          <w:szCs w:val="21"/>
          <w:lang w:eastAsia="zh-CN"/>
        </w:rPr>
        <w:t>2022年  月  日</w:t>
      </w:r>
      <w:r>
        <w:rPr>
          <w:rFonts w:hint="eastAsia" w:ascii="宋体" w:hAnsi="宋体" w:cs="宋体"/>
          <w:color w:val="000000"/>
          <w:sz w:val="24"/>
          <w:szCs w:val="21"/>
        </w:rPr>
        <w:t>09:30前在“政采云”上自行加密上传电子投标文件，逾期上传或未按要求上传的投标文件将予以拒收。</w:t>
      </w:r>
    </w:p>
    <w:p>
      <w:pPr>
        <w:tabs>
          <w:tab w:val="left" w:pos="2212"/>
        </w:tabs>
        <w:adjustRightInd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20.2采购人在规定的投标截止时间以后“政采云平台”将不接收投标文件。</w:t>
      </w:r>
    </w:p>
    <w:p>
      <w:pPr>
        <w:pStyle w:val="27"/>
        <w:spacing w:line="440" w:lineRule="exact"/>
        <w:ind w:firstLine="482" w:firstLineChars="200"/>
        <w:rPr>
          <w:rFonts w:hint="eastAsia" w:hAnsi="宋体" w:cs="宋体"/>
          <w:b/>
          <w:bCs/>
          <w:color w:val="000000"/>
          <w:sz w:val="24"/>
        </w:rPr>
      </w:pPr>
      <w:r>
        <w:rPr>
          <w:rFonts w:hint="eastAsia" w:hAnsi="宋体" w:cs="宋体"/>
          <w:b/>
          <w:bCs/>
          <w:color w:val="000000"/>
          <w:sz w:val="24"/>
        </w:rPr>
        <w:t>21.投标文件解密</w:t>
      </w:r>
    </w:p>
    <w:p>
      <w:pPr>
        <w:spacing w:line="440" w:lineRule="exact"/>
        <w:ind w:firstLine="480" w:firstLineChars="200"/>
        <w:jc w:val="left"/>
        <w:rPr>
          <w:rFonts w:hint="eastAsia" w:ascii="宋体" w:hAnsi="宋体" w:cs="宋体"/>
          <w:color w:val="000000"/>
          <w:sz w:val="24"/>
          <w:szCs w:val="21"/>
        </w:rPr>
      </w:pPr>
      <w:r>
        <w:rPr>
          <w:rFonts w:hint="eastAsia" w:ascii="宋体" w:hAnsi="宋体" w:cs="宋体"/>
          <w:color w:val="000000"/>
          <w:sz w:val="24"/>
        </w:rPr>
        <w:t>开标时间截止采购组织机构将向各投标人发出“电子解密投标文件”的解密通知，各投标人代表在接到解密通知后1小时内（</w:t>
      </w:r>
      <w:r>
        <w:rPr>
          <w:rFonts w:hint="eastAsia" w:ascii="宋体" w:hAnsi="宋体" w:cs="宋体"/>
          <w:color w:val="000000"/>
          <w:sz w:val="24"/>
          <w:lang w:eastAsia="zh-CN"/>
        </w:rPr>
        <w:t>2022年  月  日</w:t>
      </w:r>
      <w:r>
        <w:rPr>
          <w:rFonts w:hint="eastAsia" w:ascii="宋体" w:hAnsi="宋体" w:cs="宋体"/>
          <w:color w:val="000000"/>
          <w:sz w:val="24"/>
        </w:rPr>
        <w:t>10:30前）投标人可以登录“政采云”平台，用“项目采购-开标评标”功能进行解密投标文件。若投标人在规定时间内无法解密或解密失败，将导致投标无效或失败。</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备注：为确保采购项目顺利实施，避免因政采云上电子投标文件解密失败导致投标人投标无效，投标人可在</w:t>
      </w:r>
      <w:r>
        <w:rPr>
          <w:rFonts w:hint="eastAsia" w:ascii="宋体" w:hAnsi="宋体" w:cs="宋体"/>
          <w:color w:val="000000"/>
          <w:sz w:val="24"/>
          <w:szCs w:val="21"/>
          <w:lang w:eastAsia="zh-CN"/>
        </w:rPr>
        <w:t>2022年  月  日</w:t>
      </w:r>
      <w:r>
        <w:rPr>
          <w:rFonts w:hint="eastAsia" w:ascii="宋体" w:hAnsi="宋体" w:cs="宋体"/>
          <w:color w:val="000000"/>
          <w:sz w:val="24"/>
          <w:szCs w:val="21"/>
        </w:rPr>
        <w:t>09:30时前将在政采云平台上最后生成的具备电子签章的备份加密投标文件（文件名后缀为备份文件四字的首字母）以电子邮件方式传送至</w:t>
      </w:r>
      <w:r>
        <w:rPr>
          <w:rFonts w:hint="eastAsia" w:ascii="宋体" w:hAnsi="宋体" w:cs="宋体"/>
          <w:color w:val="000000"/>
          <w:sz w:val="24"/>
        </w:rPr>
        <w:t>浙江至诚工程咨询有限责任公司邮箱（zb@zccpa.com）</w:t>
      </w:r>
      <w:r>
        <w:rPr>
          <w:rFonts w:hint="eastAsia" w:ascii="宋体" w:hAnsi="宋体" w:cs="宋体"/>
          <w:color w:val="000000"/>
          <w:sz w:val="24"/>
          <w:szCs w:val="21"/>
        </w:rPr>
        <w:t>，传送的备份电子投标文件需打包压缩并加密，加密密码由投标人自行保管，如政采云上电子投标文件出现解密失败情况（开标当日09:30-10:30期间进行解密），投标人可按照自身意愿确认是否同意提供加密密码解密传送至</w:t>
      </w:r>
      <w:r>
        <w:rPr>
          <w:rFonts w:hint="eastAsia" w:ascii="宋体" w:hAnsi="宋体" w:cs="宋体"/>
          <w:color w:val="000000"/>
          <w:sz w:val="24"/>
        </w:rPr>
        <w:t>浙江至诚工程咨询有限责任公司邮箱（zb@zccpa.com）</w:t>
      </w:r>
      <w:r>
        <w:rPr>
          <w:rFonts w:hint="eastAsia" w:ascii="宋体" w:hAnsi="宋体" w:cs="宋体"/>
          <w:color w:val="000000"/>
          <w:sz w:val="24"/>
          <w:szCs w:val="21"/>
        </w:rPr>
        <w:t>的备份文件，并以备份文件作为替代电子投标文件，如投标人未按照规定时间（</w:t>
      </w:r>
      <w:r>
        <w:rPr>
          <w:rFonts w:hint="eastAsia" w:ascii="宋体" w:hAnsi="宋体" w:cs="宋体"/>
          <w:color w:val="000000"/>
          <w:sz w:val="24"/>
          <w:szCs w:val="21"/>
          <w:lang w:eastAsia="zh-CN"/>
        </w:rPr>
        <w:t>2022年  月  日</w:t>
      </w:r>
      <w:r>
        <w:rPr>
          <w:rFonts w:hint="eastAsia" w:ascii="宋体" w:hAnsi="宋体" w:cs="宋体"/>
          <w:color w:val="000000"/>
          <w:sz w:val="24"/>
          <w:szCs w:val="21"/>
        </w:rPr>
        <w:t>09:30时前）及要求提供有效备份文件，同时政采云上投标文件解密失败的，将导致投标无效。</w:t>
      </w:r>
    </w:p>
    <w:p>
      <w:pPr>
        <w:pStyle w:val="27"/>
        <w:spacing w:line="420" w:lineRule="exact"/>
        <w:ind w:firstLine="482" w:firstLineChars="200"/>
        <w:rPr>
          <w:rFonts w:hint="eastAsia" w:hAnsi="宋体" w:cs="宋体"/>
          <w:b/>
          <w:bCs/>
          <w:color w:val="000000"/>
          <w:sz w:val="24"/>
        </w:rPr>
      </w:pPr>
      <w:r>
        <w:rPr>
          <w:rFonts w:hint="eastAsia" w:hAnsi="宋体" w:cs="宋体"/>
          <w:b/>
          <w:bCs/>
          <w:color w:val="000000"/>
          <w:sz w:val="24"/>
        </w:rPr>
        <w:t>22.投标文件的补充、修改与撤回</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22.2在投标截止时间之后，投标人不得对其投标做任何修改。</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22.3从投标截止时间至投标人在投标书格式中确定的投标有效期期满这段时间内，投标人不得撤回其投标。</w:t>
      </w:r>
    </w:p>
    <w:p>
      <w:pPr>
        <w:pStyle w:val="6"/>
        <w:spacing w:before="120" w:after="120" w:line="460" w:lineRule="exact"/>
        <w:rPr>
          <w:rFonts w:hint="eastAsia" w:ascii="宋体" w:hAnsi="宋体" w:eastAsia="宋体" w:cs="宋体"/>
          <w:color w:val="000000"/>
          <w:sz w:val="28"/>
          <w:szCs w:val="28"/>
        </w:rPr>
      </w:pPr>
      <w:bookmarkStart w:id="48" w:name="_Toc2173"/>
      <w:bookmarkStart w:id="49" w:name="_Toc6212"/>
      <w:bookmarkStart w:id="50" w:name="_Toc6223"/>
      <w:bookmarkStart w:id="51" w:name="_Toc23614"/>
      <w:bookmarkStart w:id="52" w:name="_Toc17777"/>
      <w:r>
        <w:rPr>
          <w:rFonts w:hint="eastAsia" w:ascii="宋体" w:hAnsi="宋体" w:eastAsia="宋体" w:cs="宋体"/>
          <w:color w:val="000000"/>
          <w:sz w:val="28"/>
          <w:szCs w:val="28"/>
        </w:rPr>
        <w:t>五、其它</w:t>
      </w:r>
      <w:bookmarkEnd w:id="46"/>
      <w:bookmarkEnd w:id="47"/>
      <w:bookmarkEnd w:id="48"/>
      <w:bookmarkEnd w:id="49"/>
      <w:bookmarkEnd w:id="50"/>
      <w:bookmarkEnd w:id="51"/>
      <w:bookmarkEnd w:id="52"/>
    </w:p>
    <w:p>
      <w:pPr>
        <w:spacing w:line="460" w:lineRule="exact"/>
        <w:ind w:firstLine="420" w:firstLineChars="200"/>
        <w:rPr>
          <w:rFonts w:hint="eastAsia" w:ascii="宋体" w:hAnsi="宋体" w:cs="宋体"/>
          <w:b/>
          <w:bCs/>
          <w:color w:val="000000"/>
          <w:sz w:val="24"/>
        </w:rPr>
      </w:pPr>
      <w:r>
        <w:rPr>
          <w:rFonts w:hint="eastAsia" w:ascii="宋体" w:hAnsi="宋体" w:cs="宋体"/>
          <w:color w:val="000000"/>
        </w:rPr>
        <w:t xml:space="preserve"> </w:t>
      </w:r>
      <w:r>
        <w:rPr>
          <w:rFonts w:hint="eastAsia" w:ascii="宋体" w:hAnsi="宋体" w:cs="宋体"/>
          <w:color w:val="000000"/>
          <w:sz w:val="24"/>
        </w:rPr>
        <w:t xml:space="preserve"> </w:t>
      </w:r>
      <w:r>
        <w:rPr>
          <w:rFonts w:hint="eastAsia" w:ascii="宋体" w:hAnsi="宋体" w:cs="宋体"/>
          <w:b/>
          <w:color w:val="000000"/>
          <w:sz w:val="24"/>
        </w:rPr>
        <w:t>23</w:t>
      </w:r>
      <w:r>
        <w:rPr>
          <w:rFonts w:hint="eastAsia" w:ascii="宋体" w:hAnsi="宋体" w:cs="宋体"/>
          <w:color w:val="000000"/>
          <w:sz w:val="24"/>
        </w:rPr>
        <w:t>.</w:t>
      </w:r>
      <w:r>
        <w:rPr>
          <w:rFonts w:hint="eastAsia" w:ascii="宋体" w:hAnsi="宋体" w:cs="宋体"/>
          <w:b/>
          <w:bCs/>
          <w:color w:val="000000"/>
          <w:sz w:val="24"/>
        </w:rPr>
        <w:t>本招标文件解释权归采购人。</w:t>
      </w:r>
    </w:p>
    <w:p>
      <w:pPr>
        <w:pStyle w:val="2"/>
        <w:rPr>
          <w:rFonts w:hint="eastAsia"/>
          <w:color w:val="000000"/>
        </w:rPr>
      </w:pPr>
    </w:p>
    <w:p>
      <w:pPr>
        <w:pStyle w:val="3"/>
        <w:rPr>
          <w:rFonts w:hint="eastAsia"/>
          <w:color w:val="000000"/>
        </w:rPr>
      </w:pPr>
    </w:p>
    <w:p>
      <w:pPr>
        <w:pStyle w:val="4"/>
        <w:rPr>
          <w:rFonts w:hint="eastAsia"/>
          <w:color w:val="000000"/>
        </w:rPr>
      </w:pPr>
    </w:p>
    <w:p>
      <w:pPr>
        <w:pStyle w:val="4"/>
        <w:rPr>
          <w:rFonts w:hint="eastAsia"/>
          <w:color w:val="000000"/>
        </w:rPr>
      </w:pPr>
    </w:p>
    <w:p>
      <w:pPr>
        <w:pStyle w:val="5"/>
        <w:numPr>
          <w:ilvl w:val="0"/>
          <w:numId w:val="0"/>
        </w:numPr>
        <w:spacing w:before="0" w:after="0" w:line="440" w:lineRule="exact"/>
        <w:jc w:val="center"/>
        <w:rPr>
          <w:rFonts w:hint="eastAsia" w:ascii="宋体" w:hAnsi="宋体" w:cs="宋体"/>
          <w:color w:val="000000"/>
          <w:sz w:val="36"/>
        </w:rPr>
      </w:pPr>
      <w:bookmarkStart w:id="53" w:name="_Toc3215"/>
      <w:bookmarkStart w:id="54" w:name="_Toc19540"/>
      <w:bookmarkStart w:id="55" w:name="_Toc32141"/>
      <w:bookmarkStart w:id="56" w:name="_Toc11394"/>
      <w:r>
        <w:rPr>
          <w:rFonts w:hint="eastAsia" w:ascii="宋体" w:hAnsi="宋体" w:cs="宋体"/>
          <w:color w:val="000000"/>
          <w:sz w:val="36"/>
        </w:rPr>
        <w:t>第三章  招标项目要求</w:t>
      </w:r>
      <w:bookmarkEnd w:id="19"/>
      <w:bookmarkEnd w:id="53"/>
      <w:bookmarkEnd w:id="54"/>
      <w:bookmarkEnd w:id="55"/>
      <w:bookmarkEnd w:id="56"/>
    </w:p>
    <w:p>
      <w:pPr>
        <w:pStyle w:val="6"/>
        <w:spacing w:before="120" w:after="120" w:line="460" w:lineRule="exact"/>
        <w:rPr>
          <w:rFonts w:hint="eastAsia" w:ascii="宋体" w:hAnsi="宋体" w:eastAsia="宋体" w:cs="Times New Roman"/>
          <w:b/>
          <w:bCs/>
          <w:color w:val="000000"/>
          <w:sz w:val="28"/>
          <w:szCs w:val="28"/>
          <w:lang w:val="zh-TW" w:eastAsia="zh-TW"/>
        </w:rPr>
      </w:pPr>
      <w:bookmarkStart w:id="57" w:name="_Toc39152754"/>
      <w:bookmarkStart w:id="58" w:name="_Toc1114"/>
      <w:bookmarkStart w:id="59" w:name="_Toc23661"/>
      <w:bookmarkStart w:id="60" w:name="_Toc11334"/>
      <w:bookmarkStart w:id="61" w:name="_Toc1577"/>
      <w:bookmarkStart w:id="62" w:name="_Toc28185"/>
      <w:bookmarkStart w:id="63" w:name="_Toc106978148"/>
      <w:bookmarkStart w:id="64" w:name="_Toc19137"/>
      <w:bookmarkStart w:id="65" w:name="_Toc21969"/>
      <w:bookmarkStart w:id="66" w:name="_Toc1364"/>
      <w:bookmarkStart w:id="67" w:name="_Toc3417"/>
      <w:bookmarkStart w:id="68" w:name="_Toc22023"/>
      <w:r>
        <w:rPr>
          <w:rFonts w:hint="eastAsia" w:ascii="宋体" w:hAnsi="宋体" w:eastAsia="宋体" w:cs="Times New Roman"/>
          <w:b/>
          <w:bCs/>
          <w:color w:val="000000"/>
          <w:sz w:val="28"/>
          <w:szCs w:val="28"/>
          <w:lang w:val="en-US" w:eastAsia="zh-CN"/>
        </w:rPr>
        <w:t>一</w:t>
      </w:r>
      <w:r>
        <w:rPr>
          <w:rFonts w:hint="eastAsia" w:ascii="宋体" w:hAnsi="宋体" w:eastAsia="宋体" w:cs="Times New Roman"/>
          <w:b/>
          <w:bCs/>
          <w:color w:val="000000"/>
          <w:sz w:val="28"/>
          <w:szCs w:val="28"/>
          <w:lang w:val="zh-TW" w:eastAsia="zh-TW"/>
        </w:rPr>
        <w:t>、</w:t>
      </w:r>
      <w:bookmarkEnd w:id="57"/>
      <w:bookmarkEnd w:id="58"/>
      <w:bookmarkEnd w:id="59"/>
      <w:r>
        <w:rPr>
          <w:rFonts w:hint="eastAsia" w:ascii="宋体" w:hAnsi="宋体" w:eastAsia="宋体" w:cs="Times New Roman"/>
          <w:b/>
          <w:bCs/>
          <w:color w:val="000000"/>
          <w:sz w:val="28"/>
          <w:szCs w:val="28"/>
          <w:lang w:val="en-US" w:eastAsia="zh-CN"/>
        </w:rPr>
        <w:t>招标</w:t>
      </w:r>
      <w:r>
        <w:rPr>
          <w:rFonts w:hint="eastAsia" w:ascii="宋体" w:hAnsi="宋体" w:eastAsia="宋体" w:cs="Times New Roman"/>
          <w:b/>
          <w:bCs/>
          <w:color w:val="000000"/>
          <w:sz w:val="28"/>
          <w:szCs w:val="28"/>
          <w:lang w:val="zh-TW" w:eastAsia="zh-TW"/>
        </w:rPr>
        <w:t>服务内容</w:t>
      </w:r>
      <w:bookmarkEnd w:id="60"/>
      <w:bookmarkEnd w:id="61"/>
      <w:bookmarkEnd w:id="62"/>
    </w:p>
    <w:p>
      <w:pPr>
        <w:tabs>
          <w:tab w:val="left" w:pos="2212"/>
        </w:tabs>
        <w:adjustRightInd w:val="0"/>
        <w:snapToGrid w:val="0"/>
        <w:spacing w:line="420" w:lineRule="exact"/>
        <w:ind w:firstLine="482" w:firstLineChars="200"/>
        <w:rPr>
          <w:rFonts w:hint="default" w:ascii="宋体" w:hAnsi="宋体" w:eastAsia="宋体" w:cs="宋体"/>
          <w:b/>
          <w:bCs/>
          <w:color w:val="000000"/>
          <w:sz w:val="24"/>
          <w:szCs w:val="21"/>
          <w:lang w:val="en-US" w:eastAsia="zh-CN"/>
        </w:rPr>
      </w:pPr>
      <w:r>
        <w:rPr>
          <w:rFonts w:hint="eastAsia" w:ascii="宋体" w:hAnsi="宋体" w:eastAsia="宋体" w:cs="宋体"/>
          <w:b/>
          <w:bCs/>
          <w:color w:val="000000"/>
          <w:sz w:val="24"/>
          <w:szCs w:val="21"/>
          <w:lang w:val="en-US" w:eastAsia="zh-CN"/>
        </w:rPr>
        <w:t>1.1</w:t>
      </w:r>
      <w:r>
        <w:rPr>
          <w:rFonts w:hint="eastAsia" w:ascii="宋体" w:hAnsi="宋体" w:eastAsia="宋体" w:cs="宋体"/>
          <w:b/>
          <w:bCs/>
          <w:color w:val="000000"/>
          <w:sz w:val="24"/>
          <w:szCs w:val="21"/>
          <w:lang w:val="zh-TW" w:eastAsia="zh-TW"/>
        </w:rPr>
        <w:t>项目运维服务内容</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000000"/>
          <w:sz w:val="24"/>
          <w:szCs w:val="21"/>
          <w:lang w:val="en-US" w:eastAsia="zh-CN"/>
        </w:rPr>
      </w:pPr>
      <w:r>
        <w:rPr>
          <w:rFonts w:hint="eastAsia" w:ascii="宋体" w:hAnsi="宋体" w:eastAsia="宋体" w:cs="宋体"/>
          <w:color w:val="000000"/>
          <w:sz w:val="24"/>
          <w:szCs w:val="21"/>
          <w:lang w:val="zh-TW" w:eastAsia="zh-TW"/>
        </w:rPr>
        <w:t>项目运维服务内容包括前端设备运维</w:t>
      </w:r>
      <w:r>
        <w:rPr>
          <w:rFonts w:hint="eastAsia" w:ascii="宋体" w:hAnsi="宋体" w:eastAsia="宋体" w:cs="宋体"/>
          <w:color w:val="000000"/>
          <w:sz w:val="24"/>
          <w:szCs w:val="21"/>
          <w:lang w:val="en-US" w:eastAsia="zh-CN"/>
        </w:rPr>
        <w:t>服务</w:t>
      </w:r>
      <w:r>
        <w:rPr>
          <w:rFonts w:hint="eastAsia" w:ascii="宋体" w:hAnsi="宋体" w:eastAsia="宋体" w:cs="宋体"/>
          <w:color w:val="000000"/>
          <w:sz w:val="24"/>
          <w:szCs w:val="21"/>
          <w:lang w:val="zh-TW" w:eastAsia="zh-CN"/>
        </w:rPr>
        <w:t>，</w:t>
      </w:r>
      <w:r>
        <w:rPr>
          <w:rFonts w:hint="eastAsia" w:ascii="宋体" w:hAnsi="宋体" w:eastAsia="宋体" w:cs="宋体"/>
          <w:color w:val="000000"/>
          <w:sz w:val="24"/>
          <w:szCs w:val="21"/>
          <w:lang w:val="zh-TW" w:eastAsia="zh-TW"/>
        </w:rPr>
        <w:t>中心系统的应用系统与支撑系统运维</w:t>
      </w:r>
      <w:r>
        <w:rPr>
          <w:rFonts w:hint="eastAsia" w:ascii="宋体" w:hAnsi="宋体" w:eastAsia="宋体" w:cs="宋体"/>
          <w:color w:val="000000"/>
          <w:sz w:val="24"/>
          <w:szCs w:val="21"/>
          <w:lang w:val="en-US" w:eastAsia="zh-CN"/>
        </w:rPr>
        <w:t>服务</w:t>
      </w:r>
      <w:r>
        <w:rPr>
          <w:rFonts w:hint="eastAsia" w:ascii="宋体" w:hAnsi="宋体" w:eastAsia="宋体" w:cs="宋体"/>
          <w:color w:val="000000"/>
          <w:sz w:val="24"/>
          <w:szCs w:val="21"/>
          <w:lang w:val="zh-TW" w:eastAsia="zh-CN"/>
        </w:rPr>
        <w:t>，</w:t>
      </w:r>
      <w:r>
        <w:rPr>
          <w:rFonts w:hint="eastAsia" w:ascii="宋体" w:hAnsi="宋体" w:eastAsia="宋体" w:cs="宋体"/>
          <w:color w:val="000000"/>
          <w:sz w:val="24"/>
          <w:szCs w:val="21"/>
          <w:lang w:val="zh-TW" w:eastAsia="zh-TW"/>
        </w:rPr>
        <w:t>机房、光纤租赁及指挥中心维护</w:t>
      </w:r>
      <w:r>
        <w:rPr>
          <w:rFonts w:hint="eastAsia" w:ascii="宋体" w:hAnsi="宋体" w:eastAsia="宋体" w:cs="宋体"/>
          <w:color w:val="000000"/>
          <w:sz w:val="24"/>
          <w:szCs w:val="21"/>
          <w:lang w:val="zh-TW" w:eastAsia="zh-CN"/>
        </w:rPr>
        <w:t>，</w:t>
      </w:r>
      <w:r>
        <w:rPr>
          <w:rFonts w:hint="eastAsia" w:ascii="宋体" w:hAnsi="宋体" w:eastAsia="宋体" w:cs="宋体"/>
          <w:b w:val="0"/>
          <w:bCs w:val="0"/>
          <w:color w:val="000000"/>
          <w:sz w:val="24"/>
          <w:szCs w:val="21"/>
          <w:lang w:val="en-US" w:eastAsia="zh-CN"/>
        </w:rPr>
        <w:t>智能交通指挥中心</w:t>
      </w:r>
      <w:r>
        <w:rPr>
          <w:rFonts w:hint="eastAsia" w:ascii="宋体" w:hAnsi="宋体" w:eastAsia="宋体" w:cs="宋体"/>
          <w:color w:val="000000"/>
          <w:sz w:val="24"/>
          <w:szCs w:val="21"/>
          <w:lang w:val="en-US" w:eastAsia="zh-CN"/>
        </w:rPr>
        <w:t>车辆</w:t>
      </w:r>
      <w:r>
        <w:rPr>
          <w:rFonts w:hint="eastAsia" w:ascii="宋体" w:hAnsi="宋体" w:eastAsia="宋体" w:cs="宋体"/>
          <w:color w:val="000000"/>
          <w:sz w:val="24"/>
          <w:szCs w:val="21"/>
          <w:lang w:val="zh-TW" w:eastAsia="zh-TW"/>
        </w:rPr>
        <w:t>分析与应用、交通信号与交通组织优化</w:t>
      </w:r>
      <w:r>
        <w:rPr>
          <w:rFonts w:hint="eastAsia" w:ascii="宋体" w:hAnsi="宋体" w:eastAsia="宋体" w:cs="宋体"/>
          <w:color w:val="000000"/>
          <w:sz w:val="24"/>
          <w:szCs w:val="21"/>
          <w:lang w:val="en-US" w:eastAsia="zh-CN"/>
        </w:rPr>
        <w:t>服务</w:t>
      </w:r>
      <w:r>
        <w:rPr>
          <w:rFonts w:hint="eastAsia" w:ascii="宋体" w:hAnsi="宋体" w:eastAsia="宋体" w:cs="宋体"/>
          <w:color w:val="000000"/>
          <w:sz w:val="24"/>
          <w:szCs w:val="21"/>
          <w:lang w:val="zh-TW" w:eastAsia="zh-TW"/>
        </w:rPr>
        <w:t>。</w:t>
      </w:r>
      <w:r>
        <w:rPr>
          <w:rFonts w:hint="eastAsia" w:ascii="宋体" w:hAnsi="宋体" w:eastAsia="宋体" w:cs="宋体"/>
          <w:color w:val="000000"/>
          <w:sz w:val="24"/>
          <w:szCs w:val="21"/>
          <w:lang w:val="en-US" w:eastAsia="zh-CN"/>
        </w:rPr>
        <w:t>以上服务内容在服务期间不能中断和影响义乌交警大队智能交通系统的正常运行。</w:t>
      </w:r>
    </w:p>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.1.1前端设备运维服务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前端设备运维包括义乌市公安局交通警察大队智能交通一期、二期、质保期外信号灯和外单位建设移交四部分，具体包含电子警察、模拟球机、数字球机、多功能执法、卡口、诱导屏、行人闯红灯、测速仪、信号机、信号灯等子项（子系统）。前端主要设备清单详见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-1：</w:t>
      </w:r>
    </w:p>
    <w:p>
      <w:pPr>
        <w:keepNext w:val="0"/>
        <w:keepLines w:val="0"/>
        <w:pageBreakBefore w:val="0"/>
        <w:widowControl w:val="0"/>
        <w:kinsoku/>
        <w:wordWrap/>
        <w:overflowPunct/>
        <w:topLinePunct w:val="0"/>
        <w:autoSpaceDE/>
        <w:autoSpaceDN/>
        <w:bidi w:val="0"/>
        <w:spacing w:after="120" w:afterLines="50" w:line="440" w:lineRule="exact"/>
        <w:ind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表</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-1前端主要设备清单</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2191"/>
        <w:gridCol w:w="1949"/>
        <w:gridCol w:w="1771"/>
        <w:gridCol w:w="177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995" w:type="dxa"/>
            <w:noWrap/>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序号</w:t>
            </w:r>
          </w:p>
        </w:tc>
        <w:tc>
          <w:tcPr>
            <w:tcW w:w="2191" w:type="dxa"/>
            <w:noWrap/>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类型</w:t>
            </w:r>
          </w:p>
        </w:tc>
        <w:tc>
          <w:tcPr>
            <w:tcW w:w="1949" w:type="dxa"/>
            <w:noWrap w:val="0"/>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使用期</w:t>
            </w:r>
          </w:p>
        </w:tc>
        <w:tc>
          <w:tcPr>
            <w:tcW w:w="1771" w:type="dxa"/>
            <w:noWrap w:val="0"/>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通道数量</w:t>
            </w:r>
          </w:p>
        </w:tc>
        <w:tc>
          <w:tcPr>
            <w:tcW w:w="1771" w:type="dxa"/>
            <w:noWrap w:val="0"/>
            <w:vAlign w:val="center"/>
          </w:tcPr>
          <w:p>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维护开始时间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电子警察</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1661</w:t>
            </w:r>
          </w:p>
        </w:tc>
        <w:tc>
          <w:tcPr>
            <w:tcW w:w="1771" w:type="dxa"/>
            <w:vMerge w:val="restart"/>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详见前端设备运维服务费各子项报价明细表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2596</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模拟球机</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272</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数字球机</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104</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1187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多功能执法</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5</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常规卡口</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847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251</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6</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雷达卡口</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173</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7</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6平方交通诱导</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22</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8</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12平方交通诱导</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13</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加油站卡口</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104</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行人闯红灯</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96</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测速仪</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widowControl/>
              <w:jc w:val="left"/>
              <w:rPr>
                <w:rFonts w:hint="eastAsia" w:ascii="宋体" w:hAnsi="宋体" w:eastAsia="宋体" w:cs="宋体"/>
                <w:color w:val="000000"/>
                <w:kern w:val="0"/>
                <w:szCs w:val="21"/>
              </w:rPr>
            </w:pPr>
            <w:bookmarkStart w:id="69" w:name="_Toc488325924"/>
            <w:bookmarkStart w:id="70" w:name="_Toc199067186"/>
            <w:bookmarkStart w:id="71" w:name="_Toc199075376"/>
            <w:bookmarkStart w:id="72" w:name="_Toc199075773"/>
            <w:bookmarkStart w:id="73" w:name="_Toc488242774"/>
            <w:bookmarkStart w:id="74" w:name="_Toc11779166"/>
            <w:bookmarkStart w:id="75" w:name="_Toc199057046"/>
            <w:bookmarkStart w:id="76" w:name="_Toc487377664"/>
            <w:bookmarkStart w:id="77" w:name="_Toc487377906"/>
            <w:bookmarkStart w:id="78" w:name="_Toc256364048"/>
            <w:bookmarkStart w:id="79" w:name="_Toc61861465"/>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信号机</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505</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120</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13</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信号灯</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15647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bookmarkEnd w:id="69"/>
      <w:bookmarkEnd w:id="70"/>
      <w:bookmarkEnd w:id="71"/>
      <w:bookmarkEnd w:id="72"/>
      <w:bookmarkEnd w:id="73"/>
      <w:bookmarkEnd w:id="74"/>
      <w:bookmarkEnd w:id="75"/>
      <w:bookmarkEnd w:id="76"/>
      <w:bookmarkEnd w:id="77"/>
      <w:bookmarkEnd w:id="78"/>
      <w:bookmarkEnd w:id="79"/>
    </w:tbl>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bookmarkStart w:id="80" w:name="_Toc482690828"/>
      <w:bookmarkStart w:id="81" w:name="_Toc487377665"/>
      <w:bookmarkStart w:id="82" w:name="_Toc114419352"/>
      <w:bookmarkStart w:id="83" w:name="_Toc114597541"/>
      <w:bookmarkStart w:id="84" w:name="_Toc75"/>
      <w:bookmarkStart w:id="85" w:name="_Toc114663096"/>
      <w:bookmarkStart w:id="86" w:name="_Toc2274"/>
      <w:bookmarkStart w:id="87" w:name="_Toc116728114"/>
      <w:bookmarkStart w:id="88" w:name="_Toc30636"/>
      <w:bookmarkStart w:id="89" w:name="_Toc4589"/>
      <w:bookmarkStart w:id="90" w:name="_Toc116728237"/>
      <w:bookmarkStart w:id="91" w:name="_Toc114739384"/>
      <w:bookmarkStart w:id="92" w:name="_Toc110204690"/>
      <w:bookmarkStart w:id="93" w:name="_Toc116728371"/>
      <w:bookmarkStart w:id="94" w:name="_Toc110229205"/>
      <w:bookmarkStart w:id="95" w:name="_Toc116368808"/>
      <w:bookmarkStart w:id="96" w:name="_Toc110205504"/>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.1.2</w:t>
      </w:r>
      <w:bookmarkEnd w:id="80"/>
      <w:bookmarkEnd w:id="81"/>
      <w:r>
        <w:rPr>
          <w:rFonts w:hint="eastAsia" w:ascii="宋体" w:hAnsi="宋体" w:eastAsia="宋体" w:cs="宋体"/>
          <w:b/>
          <w:bCs/>
          <w:color w:val="000000"/>
          <w:sz w:val="24"/>
          <w:szCs w:val="21"/>
          <w:lang w:val="zh-TW" w:eastAsia="zh-TW"/>
        </w:rPr>
        <w:t>中心系统的应用系统与支撑系统运维</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中心系统包括应用系统和支撑系统，应用系统包含智能交通系统中心平台、指挥中心软件与硬件设备。支撑系统包含智能交通系统需要专业（或原厂商）提供支撑服务的设备设施，以及为了更好的利用、提升现有智能交通系统所需开展的相关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97" w:name="_Toc109667292"/>
      <w:r>
        <w:rPr>
          <w:rFonts w:hint="eastAsia" w:ascii="宋体" w:hAnsi="宋体" w:eastAsia="宋体" w:cs="宋体"/>
          <w:b/>
          <w:bCs/>
          <w:color w:val="000000"/>
          <w:sz w:val="24"/>
          <w:szCs w:val="21"/>
          <w:lang w:val="zh-TW" w:eastAsia="zh-TW"/>
        </w:rPr>
        <w:t>1</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应用系统</w:t>
      </w:r>
      <w:bookmarkEnd w:id="97"/>
      <w:r>
        <w:rPr>
          <w:rFonts w:hint="eastAsia" w:ascii="宋体" w:hAnsi="宋体" w:eastAsia="宋体" w:cs="宋体"/>
          <w:b/>
          <w:bCs/>
          <w:color w:val="000000"/>
          <w:sz w:val="24"/>
          <w:szCs w:val="21"/>
          <w:lang w:val="zh-TW" w:eastAsia="zh-TW"/>
        </w:rPr>
        <w:t>运维</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bookmarkStart w:id="98" w:name="_Toc488325927"/>
      <w:bookmarkStart w:id="99" w:name="_Toc11779169"/>
      <w:bookmarkStart w:id="100" w:name="_Toc488242777"/>
      <w:bookmarkStart w:id="101" w:name="_Toc487377667"/>
      <w:bookmarkStart w:id="102" w:name="_Toc487377909"/>
      <w:r>
        <w:rPr>
          <w:rFonts w:hint="eastAsia" w:ascii="宋体" w:hAnsi="宋体" w:cs="宋体"/>
          <w:color w:val="000000"/>
          <w:sz w:val="24"/>
          <w:lang w:val="zh-TW" w:eastAsia="zh-TW"/>
        </w:rPr>
        <w:t>包括义乌交警智能交</w:t>
      </w:r>
      <w:r>
        <w:rPr>
          <w:rFonts w:hint="eastAsia" w:ascii="宋体" w:hAnsi="宋体" w:cs="宋体"/>
          <w:color w:val="000000"/>
          <w:sz w:val="24"/>
          <w:szCs w:val="24"/>
          <w:lang w:val="zh-TW" w:eastAsia="zh-TW"/>
        </w:rPr>
        <w:t>通一期、二期已建成的和外单位建设移交的服务器、存储、矩阵、大屏、交换机、网络安全等硬件设备。以及一期、二期建设的数据精准/协同管控平台等软件平台，以及其他应用软件，包括轻微事故一键报警快速处置服务平台、话务中心系统、重点车辆智能监管系统、道路交通安全管理系统、BI报表工具、通行证管理系统、限行管理系统、区域闯禁系统、诱导发布系统、可变车道系统等</w:t>
      </w:r>
      <w:r>
        <w:rPr>
          <w:rFonts w:hint="eastAsia" w:ascii="宋体" w:hAnsi="宋体" w:eastAsia="宋体" w:cs="宋体"/>
          <w:color w:val="000000"/>
          <w:sz w:val="24"/>
          <w:szCs w:val="21"/>
          <w:lang w:val="zh-TW" w:eastAsia="zh-TW"/>
        </w:rPr>
        <w:t>。</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应用系统软件维护清单详见表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-2，应用系统硬件维护清单表详见表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-3：</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-2  应用系统软件维护清单表</w:t>
      </w:r>
    </w:p>
    <w:tbl>
      <w:tblPr>
        <w:tblStyle w:val="51"/>
        <w:tblW w:w="0" w:type="auto"/>
        <w:tblInd w:w="98"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09"/>
        <w:gridCol w:w="3822"/>
        <w:gridCol w:w="1529"/>
        <w:gridCol w:w="152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48" w:type="dxa"/>
            <w:noWrap/>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309" w:type="dxa"/>
            <w:noWrap/>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所属系统</w:t>
            </w:r>
          </w:p>
        </w:tc>
        <w:tc>
          <w:tcPr>
            <w:tcW w:w="3822" w:type="dxa"/>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子项（子系统）</w:t>
            </w:r>
          </w:p>
        </w:tc>
        <w:tc>
          <w:tcPr>
            <w:tcW w:w="1529" w:type="dxa"/>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使用期</w:t>
            </w:r>
          </w:p>
        </w:tc>
        <w:tc>
          <w:tcPr>
            <w:tcW w:w="1529" w:type="dxa"/>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维护开始时间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9" w:type="dxa"/>
            <w:vMerge w:val="restart"/>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智能交通一期</w:t>
            </w: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交通诱导</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快速路诱导</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3</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存储扩容</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4</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网络改造</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2023.12.1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1309" w:type="dxa"/>
            <w:vMerge w:val="restart"/>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智能交通二期</w:t>
            </w: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交通态势监测预测系统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restar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区域车辆大数据OD分析系统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7</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停车信息管理系统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8</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信控路口一体化管理系统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9</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路口信号辅助配时系统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10</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交通信号协调管理评估系统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11</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交通勤务管家</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12</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交通安全画像系统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13</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精准布控拦截系统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14</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交通地理信息系统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15</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交通设施资产管理系统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16</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大数据质量预警系统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17</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交通设施运维系统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18</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本地化数据建库及第三方平台对接</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19</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全景视频应用</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20</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车辆大数据综合管控应用</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21</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人像分析检索应用</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22</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交通事件智能分析</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23</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用户权鉴系统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24</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交通大数据可视化决策支持系统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25</w:t>
            </w:r>
          </w:p>
        </w:tc>
        <w:tc>
          <w:tcPr>
            <w:tcW w:w="1309" w:type="dxa"/>
            <w:vMerge w:val="restart"/>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其他</w:t>
            </w: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BRT智能设施平台</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26</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一键报警</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2025.1.1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27</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大队公安网站维护</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28</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义乌交警微信公众号维护</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29</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非现场平台、集指平台、大货车闯禁平台等</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30</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诱导屏发布平台</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31</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可变车道控制系统</w:t>
            </w:r>
          </w:p>
        </w:tc>
        <w:tc>
          <w:tcPr>
            <w:tcW w:w="1529" w:type="dxa"/>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bl>
    <w:p>
      <w:pPr>
        <w:jc w:val="center"/>
        <w:rPr>
          <w:rFonts w:hint="eastAsia" w:ascii="宋体" w:hAnsi="宋体" w:eastAsia="宋体" w:cs="宋体"/>
          <w:color w:val="000000"/>
          <w:sz w:val="28"/>
          <w:szCs w:val="28"/>
        </w:rPr>
      </w:pPr>
    </w:p>
    <w:p>
      <w:pPr>
        <w:jc w:val="center"/>
        <w:rPr>
          <w:rFonts w:hint="eastAsia" w:ascii="宋体" w:hAnsi="宋体" w:eastAsia="宋体" w:cs="宋体"/>
          <w:color w:val="000000"/>
          <w:sz w:val="28"/>
          <w:szCs w:val="28"/>
        </w:rPr>
        <w:sectPr>
          <w:footerReference r:id="rId7" w:type="default"/>
          <w:pgSz w:w="11906" w:h="16838"/>
          <w:pgMar w:top="1327" w:right="1633" w:bottom="1327" w:left="1633" w:header="851" w:footer="992" w:gutter="0"/>
          <w:paperSrc/>
          <w:pgBorders>
            <w:top w:val="none" w:sz="0" w:space="0"/>
            <w:left w:val="none" w:sz="0" w:space="0"/>
            <w:bottom w:val="none" w:sz="0" w:space="0"/>
            <w:right w:val="none" w:sz="0" w:space="0"/>
          </w:pgBorders>
          <w:pgNumType w:fmt="decimal" w:start="1"/>
          <w:cols w:space="720" w:num="1"/>
          <w:rtlGutter w:val="0"/>
          <w:docGrid w:type="lines" w:linePitch="320" w:charSpace="0"/>
        </w:sectPr>
      </w:pPr>
    </w:p>
    <w:p>
      <w:pPr>
        <w:bidi w:val="0"/>
        <w:jc w:val="center"/>
        <w:rPr>
          <w:rFonts w:hint="eastAsia"/>
          <w:color w:val="000000"/>
        </w:rPr>
      </w:pPr>
      <w:r>
        <w:rPr>
          <w:rFonts w:hint="eastAsia"/>
          <w:color w:val="000000"/>
        </w:rPr>
        <w:t>表</w:t>
      </w:r>
      <w:r>
        <w:rPr>
          <w:rFonts w:hint="eastAsia"/>
          <w:color w:val="000000"/>
          <w:lang w:val="en-US" w:eastAsia="zh-CN"/>
        </w:rPr>
        <w:t>1</w:t>
      </w:r>
      <w:r>
        <w:rPr>
          <w:rFonts w:hint="eastAsia"/>
          <w:color w:val="000000"/>
        </w:rPr>
        <w:t>-3  应用系统硬件维护清单表</w:t>
      </w:r>
    </w:p>
    <w:tbl>
      <w:tblPr>
        <w:tblStyle w:val="51"/>
        <w:tblW w:w="0" w:type="auto"/>
        <w:tblInd w:w="98"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943"/>
        <w:gridCol w:w="953"/>
        <w:gridCol w:w="1156"/>
        <w:gridCol w:w="1242"/>
        <w:gridCol w:w="2008"/>
        <w:gridCol w:w="3011"/>
        <w:gridCol w:w="551"/>
        <w:gridCol w:w="541"/>
        <w:gridCol w:w="368"/>
        <w:gridCol w:w="251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5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943"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w:t>
            </w:r>
          </w:p>
        </w:tc>
        <w:tc>
          <w:tcPr>
            <w:tcW w:w="953" w:type="dxa"/>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子系统</w:t>
            </w:r>
          </w:p>
        </w:tc>
        <w:tc>
          <w:tcPr>
            <w:tcW w:w="1156" w:type="dxa"/>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使用期</w:t>
            </w:r>
          </w:p>
        </w:tc>
        <w:tc>
          <w:tcPr>
            <w:tcW w:w="1242" w:type="dxa"/>
            <w:noWrap w:val="0"/>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维护开始时间</w:t>
            </w:r>
          </w:p>
        </w:tc>
        <w:tc>
          <w:tcPr>
            <w:tcW w:w="2008" w:type="dxa"/>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301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品牌型号</w:t>
            </w:r>
          </w:p>
        </w:tc>
        <w:tc>
          <w:tcPr>
            <w:tcW w:w="55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54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2879" w:type="dxa"/>
            <w:gridSpan w:val="2"/>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设备安装位置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指挥调度平台硬件子系统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ind w:left="-73" w:leftChars="-35" w:firstLine="82" w:firstLineChars="46"/>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GIS数据服务器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X3850X5</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SAN交换机</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SAN24B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消息服务器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通信服务器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预处理服务器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X3850X5</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WEB服务器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应用服务器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智能交通数据中心暨实战应用平台</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2023.10.1</w:t>
            </w: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NameNode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SecondaryNameNode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BackupNameNode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管理配置节点</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X3650M4Inter E5-2640V2  2.0GHz  8核CPU；48G内存；4*1TB 7.2K SAS 2.5" SFF Slim-HS HDD HS；四个1GbE以太网电口；RAID 5 Upgrade</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DataNode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X3530M4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应用服务器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X3530M4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CISCO WS-C3560X-24T-S</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KVM</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1754A2X</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原有存储扩容升级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UP</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虚拟化平台存储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宏杉科技 MS5520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卡口、电警图片存储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宏杉科技 MS5520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HBA卡升级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原有IBM X3650M3 服务器包括1台消息服务器、2台通信服务器、2台WEB服务器和2台应用服务器均不带双口8GB HBA卡，每台服务器均增加IBM双口8GB HBA卡1块；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内存升级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原有IBM X3850X5服务器包括2台GIS数据服务器和2台数据库服务器全部从32GB内存升级为128GB内存；原有8台IBM X3650M3服务器全部从16GB内存升级为64GB内存；</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SAN交换机端口全部激活</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SAN交换机经本次激活16端口后，其24端口获全部激活，并配置相同数量的光纤连接线。</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道路监控一期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模拟矩阵</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CM9780-352X128-X</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串行通讯卡</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CM9700-SER</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串行通讯扩展卡</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CM9700-SER32</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数据管理器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CM9760-DMR-X</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2008"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控制键盘</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KBD300A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16路光端机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蛙视VNX-16V-4D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码分配器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超视SSP-D0116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道路监控二期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eastAsia="仿宋"/>
                <w:color w:val="000000"/>
                <w:kern w:val="0"/>
                <w:sz w:val="18"/>
                <w:szCs w:val="18"/>
                <w:lang w:val="en-US" w:eastAsia="zh-CN" w:bidi="ar-SA"/>
              </w:rPr>
            </w:pPr>
            <w:r>
              <w:rPr>
                <w:rFonts w:eastAsia="仿宋"/>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eSFP-GE-SX-MM850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道路监控三期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道路监控四期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道路监控五期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华为千兆/电模块，单模10Km</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道路监控六期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华为千兆/电模块，单模10Km</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道路监控七期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  WS-4UJX-10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道路监控八期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  WS-4UJX-10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道路监控九期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2023.8.1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 WS-4UJX-10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蛙视VNX-1V-2D-E</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S3700-52P-SI-AC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华为1310nm，10km,LC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矩阵中央处理单元</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PELCOCM9780-CC1</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高空监控一期子系统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华为S9306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交换机业务板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华为48个千兆电口业务板</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单模模块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华为10KM单模GE模块 </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多模模块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华为 500米多模GE模块  </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华为3328</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蛙视WS-6UJX-14</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485共享器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16路编码器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海康DS-6316HF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矩阵输入前面卡</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CM9780-VCC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矩阵输入后面卡</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CM9780-DFC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矩阵输入板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CM9780-VPP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道路监控矩阵扩容子系统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派尔高CM9780-MXB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矩阵箱连接线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派尔高CM9700-CBL-10FT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组</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输入板前置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派尔高CM978o-vcc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输入板后置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派尔高CM9780-DFC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输出板前置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派尔高CM9780-VMC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输出板后置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派尔高CM9780-RPM</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BNC接线板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派尔高CM9780-RPC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数据扩展器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派尔高CM9700-SER-32</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数据扩展卡</w:t>
            </w:r>
          </w:p>
        </w:tc>
        <w:tc>
          <w:tcPr>
            <w:tcW w:w="3011" w:type="dxa"/>
            <w:noWrap/>
            <w:vAlign w:val="center"/>
          </w:tcPr>
          <w:p>
            <w:pPr>
              <w:jc w:val="left"/>
              <w:rPr>
                <w:rFonts w:hint="eastAsia" w:ascii="宋体" w:hAnsi="宋体" w:eastAsia="宋体" w:cs="宋体"/>
                <w:color w:val="000000"/>
                <w:sz w:val="18"/>
                <w:szCs w:val="18"/>
              </w:rPr>
            </w:pP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数字监控</w:t>
            </w:r>
          </w:p>
        </w:tc>
        <w:tc>
          <w:tcPr>
            <w:tcW w:w="1156"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网络键盘</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海康威视DS-1600k</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多功能执法七期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auto"/>
            <w:noWrap w:val="0"/>
            <w:vAlign w:val="center"/>
          </w:tcPr>
          <w:p>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2023.4.1</w:t>
            </w:r>
          </w:p>
        </w:tc>
        <w:tc>
          <w:tcPr>
            <w:tcW w:w="2008"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S5700-24TP-SI-AC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2008"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华为千兆/电模块，单模10Km</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交通诱导</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华为S3700-52P-SI-AC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信号控制系统六期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2024.10.1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 华为S3700</w:t>
            </w:r>
          </w:p>
        </w:tc>
        <w:tc>
          <w:tcPr>
            <w:tcW w:w="3011" w:type="dxa"/>
            <w:noWrap/>
            <w:vAlign w:val="center"/>
          </w:tcPr>
          <w:p>
            <w:pPr>
              <w:jc w:val="left"/>
              <w:rPr>
                <w:rFonts w:hint="eastAsia" w:ascii="宋体" w:hAnsi="宋体" w:eastAsia="宋体" w:cs="宋体"/>
                <w:color w:val="000000"/>
                <w:sz w:val="18"/>
                <w:szCs w:val="18"/>
              </w:rPr>
            </w:pP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卡口式电子警察二期子系统</w:t>
            </w:r>
          </w:p>
        </w:tc>
        <w:tc>
          <w:tcPr>
            <w:tcW w:w="1156"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华三 H3C S5024P </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卡口式电子警察三期子系统</w:t>
            </w:r>
          </w:p>
        </w:tc>
        <w:tc>
          <w:tcPr>
            <w:tcW w:w="1156"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华三 H3C S5024P </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分控中心</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LCD拼接屏</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海康威视DS-D2046NL-B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工业级监视器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海康威视DS-D5084FL</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交警快处中心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LED显示条屏</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 定制</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拼接控制器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海康威视DS-B1X</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硬盘录像机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海康威视DS-6316HF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高清解码器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海康威视DS-6410HD-T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VGA分配器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海康威视DS-C50V0102P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网络控制键盘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海康威视DS-1100K</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定焦半球型网络摄像机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海康威视DS-2CD2720F-IS</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硬盘录像机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海康威视DS-8632N-ST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西部数据WD30PURX</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LS-5500-28F-EI-AC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LS-S3110-26TP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SFP-GE-LX-SM1310-A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4路光端机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蛙视VNX-4V-2D-1E</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8路光端机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蛙视VNX-8V-2D-1E</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抓拍电脑</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DELL  3020MT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座席电脑</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DELL  3020MT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朗强</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键盘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CM9760-KBD-AU</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空调</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格力KFRd-120LW</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10KVA UPS主机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科士达YDC9300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蓄电池</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九保</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电池箱</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建奥</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存储扩容</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原有虚拟化存储扩容升级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宏杉MS5500升级</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虚拟化平台存储设备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 MS5520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原有图片存储扩容</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宏杉MS5500升级</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执法记录仪云存储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 MS3300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光纤交换机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博科300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网络改造</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2023.12.1</w:t>
            </w:r>
          </w:p>
          <w:p>
            <w:pPr>
              <w:widowControl/>
              <w:jc w:val="center"/>
              <w:textAlignment w:val="center"/>
              <w:rPr>
                <w:rFonts w:hint="eastAsia" w:ascii="宋体" w:hAnsi="宋体" w:eastAsia="宋体" w:cs="宋体"/>
                <w:color w:val="000000"/>
                <w:kern w:val="0"/>
                <w:sz w:val="18"/>
                <w:szCs w:val="18"/>
                <w:lang w:bidi="ar"/>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S10510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SFP-XG-SX-MM850-D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S7506E-NonPoE</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SFP-XG-SX-MM850-D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S7506E-NonPoE</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SFP-XG-SX-MM850-D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SFP-GE-LX-SM1310-D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分机房汇聚交换机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S7506E-NonPoE</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SFP-GE-LX-SM1310-D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办公汇聚交换机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S5500-24P-SI</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S5110-52P</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新马路IDC机房/交警401机房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刀片服务器（含刀箱）</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HPE BL660c刀片服务器，HP BLc7000刀箱</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外网防火墙</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深信服AF-1820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入侵防御系统</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深信服AF-1550-IPS</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智能交通二期</w:t>
            </w:r>
          </w:p>
        </w:tc>
        <w:tc>
          <w:tcPr>
            <w:tcW w:w="953"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高性能云数据库</w:t>
            </w:r>
          </w:p>
        </w:tc>
        <w:tc>
          <w:tcPr>
            <w:tcW w:w="1156"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left"/>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高性能云数据库</w:t>
            </w:r>
          </w:p>
        </w:tc>
        <w:tc>
          <w:tcPr>
            <w:tcW w:w="3011"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大华DH-CCS7100X-HS-50Y及其配套设施</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云存储资源池</w:t>
            </w:r>
          </w:p>
        </w:tc>
        <w:tc>
          <w:tcPr>
            <w:tcW w:w="1156"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shd w:val="clear" w:color="auto" w:fill="FFFFFF"/>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云存储资源池</w:t>
            </w:r>
          </w:p>
        </w:tc>
        <w:tc>
          <w:tcPr>
            <w:tcW w:w="3011"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DH-CSS7136S-ERD（配套设施大华DH-CSS9064X-800S，大华DH-CSS5000G-M，大华DH-S7606）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PB</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数据计算应用资源</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空间数据库服务器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应用服务器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计算服务器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全景视频应用</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AR监控云图服务器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云图数据库服务器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大华DH-DB-ORC8000/100Y</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车辆大数据综合管控应用</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车辆大数据综合管控服务器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车型二次分析服务器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大华DH-IVS-T8000-300W</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流式计算服务器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以图搜图服务器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大华DH-IVS-T8000-S</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大数据检索服务器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大华DH-CCS7100X-HS </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车辆大数据专用数据库服务器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大华DH-DB-ORC8000/100Y</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卡口平台对接网关服务器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人像分析检索应用</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动态人脸识别服务器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大华DH-IVS-F7500-P-G3</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人像数据库服务器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大华DH-DB-ORC8000/10Y</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交通事件智能分析</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交通事件管理服务器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交通事件检测服务器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用户权鉴系统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用户统一鉴权服务器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NTP校时系统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大华定制</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交通大数据可视化决策支持系统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交通大数据可视化决策服务器 </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无线演示模块</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一体化交互大屏终端</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大华DH-LU86-LT400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指挥中心大厅</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分控系统</w:t>
            </w:r>
          </w:p>
        </w:tc>
        <w:tc>
          <w:tcPr>
            <w:tcW w:w="1156"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shd w:val="clear" w:color="auto" w:fill="FFFFFF"/>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分控系统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DHL550UDH-ES等配套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指挥中心大屏系统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指挥中心大屏系统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大华DH-PHSIA1.4-EH等配套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指挥中心大厅</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网络安全及备份系统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网络安全及备份系统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天行网安单向隔离光闸 TG7259-F等设施</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指挥中心UPS及控制键盘设备</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指挥中心UPS及控制键盘设备</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科士达 120KVA UPS YDC33120等配套设施</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外单位移交（义乌市城市投资建设集团有限公司）</w:t>
            </w:r>
          </w:p>
        </w:tc>
        <w:tc>
          <w:tcPr>
            <w:tcW w:w="953"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阳光大道</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2023.12.1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HPE BL460C Gen10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中心存储设备</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视频交换系统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天行网安（Topwalk-MTP）UMS2059/TMS2059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数据交换系统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天行网安（Topwalk-DTP）UAS2029/TAS2029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网闸</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天行网安（Topwalk-GAP）TG6000-P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可信边界安全网关</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格尔格尔KOAL-TBSG-E-2020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网络审计</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深信服AC-1000-D600-ZY</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用户行为审计</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深信服BA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日志分析系统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安恒DAS-LOG-3000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数据库审计</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安恒DAS-A1000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主机漏洞扫描</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安恒DAS-RAS-H3000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外单位移交（义乌市城市投资建设集团有限公司）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机场路立交化改造</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2025.1.1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惠普HP BL460C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宏杉MS5580G2</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48口万兆交换机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大数据检索服务器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大华DH-CCS7100X-HS-50Y</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2T硬盘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希捷ST2000NX0253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企业级480G固态硬盘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Intel SSD E 7000S Series 480GB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大数据分析服务器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宝德PR2865P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外单位移交（金华市金义东轨道交通有限公司）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国贸恢复</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外单位移交（义乌市交通旅游产业发展集团有限公司）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稠义路</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2024.10.1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879" w:type="dxa"/>
            <w:gridSpan w:val="2"/>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外单位移交（义乌市国际陆港集团有限公司）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商城大道</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2025.1.1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外单位移交（义乌市交通置业有限公司）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火车站</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外单位移交（义乌市交通工程建设有限公司）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国贸二期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2024.8.1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外单位移交（佛堂镇人民政府）</w:t>
            </w:r>
          </w:p>
        </w:tc>
        <w:tc>
          <w:tcPr>
            <w:tcW w:w="953"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佛堂大道</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汇聚交换机交换机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S5110-52P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大华DH-EVS7024S-R</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图片服务器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HPE BL660c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视频分配放大器 16分32</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RD-1632</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佛堂小城镇</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2023.3.1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 ProLiant DL388 Gen9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48口全千兆交换机（每台带4个万兆上联模块）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S5130-54S-HI</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车辆大数据管控平台一体机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大华DH-DSS-C8500-B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车辆二次分析一体机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大华DH-DSS-C8502-GPU/50W</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大华DH-DB-ORC8000/10Y</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外单位移交（上溪镇人民政府）</w:t>
            </w:r>
          </w:p>
        </w:tc>
        <w:tc>
          <w:tcPr>
            <w:tcW w:w="95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上溪小城镇</w:t>
            </w:r>
          </w:p>
        </w:tc>
        <w:tc>
          <w:tcPr>
            <w:tcW w:w="1156"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2023.3.1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 ProLiant DL388 Gen9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外单位移交（义乌市城市投资建设集团有限公司）BRT项目</w:t>
            </w:r>
          </w:p>
        </w:tc>
        <w:tc>
          <w:tcPr>
            <w:tcW w:w="953"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BRT一号线</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海康威视DS-A81016S</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视频综合平台</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海康威视DS-B20-X10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输入编码板</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海康威视DS-6408HFH-B20V</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输出解码板</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海康威视DS-6532HD-B20D/DS-6532HD-B20V</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控制键盘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海康威视DS-1600K</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海康威视DS-VE2208C-BBC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大华DH-DSS-T8100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bl>
    <w:p>
      <w:pPr>
        <w:jc w:val="both"/>
        <w:rPr>
          <w:rFonts w:hint="eastAsia" w:ascii="宋体" w:hAnsi="宋体" w:eastAsia="宋体" w:cs="宋体"/>
          <w:color w:val="000000"/>
          <w:sz w:val="28"/>
          <w:szCs w:val="28"/>
        </w:rPr>
      </w:pPr>
    </w:p>
    <w:p>
      <w:pPr>
        <w:adjustRightInd w:val="0"/>
        <w:snapToGrid w:val="0"/>
        <w:spacing w:before="312" w:beforeLines="100" w:line="360" w:lineRule="auto"/>
        <w:jc w:val="center"/>
        <w:rPr>
          <w:rFonts w:hint="eastAsia" w:ascii="宋体" w:hAnsi="宋体" w:eastAsia="宋体" w:cs="宋体"/>
          <w:color w:val="000000"/>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98"/>
    <w:bookmarkEnd w:id="99"/>
    <w:bookmarkEnd w:id="100"/>
    <w:bookmarkEnd w:id="101"/>
    <w:bookmarkEnd w:id="102"/>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03" w:name="_Toc109667293"/>
      <w:r>
        <w:rPr>
          <w:rFonts w:hint="eastAsia" w:ascii="宋体" w:hAnsi="宋体" w:eastAsia="宋体" w:cs="宋体"/>
          <w:b/>
          <w:bCs/>
          <w:color w:val="000000"/>
          <w:sz w:val="24"/>
          <w:szCs w:val="21"/>
          <w:lang w:val="zh-TW" w:eastAsia="zh-TW"/>
        </w:rPr>
        <w:t>2</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en-US" w:eastAsia="zh-CN"/>
        </w:rPr>
        <w:t>.</w:t>
      </w:r>
      <w:r>
        <w:rPr>
          <w:rFonts w:hint="eastAsia" w:ascii="宋体" w:hAnsi="宋体" w:eastAsia="宋体" w:cs="宋体"/>
          <w:b/>
          <w:bCs/>
          <w:color w:val="000000"/>
          <w:sz w:val="24"/>
          <w:szCs w:val="21"/>
          <w:lang w:val="zh-TW" w:eastAsia="zh-TW"/>
        </w:rPr>
        <w:t>支撑系统</w:t>
      </w:r>
      <w:bookmarkEnd w:id="103"/>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bCs/>
          <w:color w:val="000000"/>
          <w:sz w:val="24"/>
          <w:szCs w:val="24"/>
        </w:rPr>
      </w:pPr>
      <w:bookmarkStart w:id="104" w:name="_Toc488242778"/>
      <w:bookmarkStart w:id="105" w:name="_Toc11779170"/>
      <w:bookmarkStart w:id="106" w:name="_Toc487377910"/>
      <w:bookmarkStart w:id="107" w:name="_Toc487377668"/>
      <w:bookmarkStart w:id="108" w:name="_Toc488325928"/>
      <w:r>
        <w:rPr>
          <w:rFonts w:hint="eastAsia" w:ascii="宋体" w:hAnsi="宋体" w:cs="宋体"/>
          <w:bCs/>
          <w:color w:val="000000"/>
          <w:sz w:val="24"/>
        </w:rPr>
        <w:t>支撑系统的运维服务内容包括新马路机房的空间优化、存储系统的原厂延保和性能优化服务、地图系统的更新维护服务，具体内容见表</w:t>
      </w:r>
      <w:r>
        <w:rPr>
          <w:rFonts w:hint="eastAsia" w:ascii="宋体" w:hAnsi="宋体" w:cs="宋体"/>
          <w:bCs/>
          <w:color w:val="000000"/>
          <w:sz w:val="24"/>
          <w:lang w:val="en-US" w:eastAsia="zh-CN"/>
        </w:rPr>
        <w:t>1</w:t>
      </w:r>
      <w:r>
        <w:rPr>
          <w:rFonts w:hint="eastAsia" w:ascii="宋体" w:hAnsi="宋体" w:cs="宋体"/>
          <w:bCs/>
          <w:color w:val="000000"/>
          <w:sz w:val="24"/>
        </w:rPr>
        <w:t>-4</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表</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-4  支撑系统维护清单表</w:t>
      </w:r>
    </w:p>
    <w:tbl>
      <w:tblPr>
        <w:tblStyle w:val="51"/>
        <w:tblW w:w="0" w:type="auto"/>
        <w:tblInd w:w="0" w:type="dxa"/>
        <w:tblLayout w:type="fixed"/>
        <w:tblCellMar>
          <w:top w:w="0" w:type="dxa"/>
          <w:left w:w="108" w:type="dxa"/>
          <w:bottom w:w="0" w:type="dxa"/>
          <w:right w:w="108" w:type="dxa"/>
        </w:tblCellMar>
      </w:tblPr>
      <w:tblGrid>
        <w:gridCol w:w="1305"/>
        <w:gridCol w:w="1425"/>
        <w:gridCol w:w="1336"/>
        <w:gridCol w:w="5296"/>
        <w:gridCol w:w="864"/>
      </w:tblGrid>
      <w:tr>
        <w:tblPrEx>
          <w:tblCellMar>
            <w:top w:w="0" w:type="dxa"/>
            <w:left w:w="108" w:type="dxa"/>
            <w:bottom w:w="0" w:type="dxa"/>
            <w:right w:w="108" w:type="dxa"/>
          </w:tblCellMar>
        </w:tblPrEx>
        <w:trPr>
          <w:trHeight w:val="312" w:hRule="atLeast"/>
          <w:tblHeader/>
        </w:trPr>
        <w:tc>
          <w:tcPr>
            <w:tcW w:w="1305" w:type="dxa"/>
            <w:vMerge w:val="restart"/>
            <w:tcBorders>
              <w:top w:val="single" w:color="auto" w:sz="12" w:space="0"/>
              <w:left w:val="single" w:color="auto" w:sz="12" w:space="0"/>
              <w:bottom w:val="single" w:color="000000" w:sz="8" w:space="0"/>
              <w:right w:val="single" w:color="000000" w:sz="8"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类别</w:t>
            </w:r>
          </w:p>
        </w:tc>
        <w:tc>
          <w:tcPr>
            <w:tcW w:w="1425" w:type="dxa"/>
            <w:vMerge w:val="restart"/>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子项</w:t>
            </w:r>
          </w:p>
        </w:tc>
        <w:tc>
          <w:tcPr>
            <w:tcW w:w="1336" w:type="dxa"/>
            <w:vMerge w:val="restart"/>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模块</w:t>
            </w:r>
          </w:p>
        </w:tc>
        <w:tc>
          <w:tcPr>
            <w:tcW w:w="5296" w:type="dxa"/>
            <w:vMerge w:val="restart"/>
            <w:tcBorders>
              <w:top w:val="single" w:color="auto" w:sz="12"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描述</w:t>
            </w:r>
          </w:p>
        </w:tc>
        <w:tc>
          <w:tcPr>
            <w:tcW w:w="864" w:type="dxa"/>
            <w:vMerge w:val="restart"/>
            <w:tcBorders>
              <w:top w:val="single" w:color="auto" w:sz="12" w:space="0"/>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数量</w:t>
            </w:r>
          </w:p>
        </w:tc>
      </w:tr>
      <w:tr>
        <w:tblPrEx>
          <w:tblCellMar>
            <w:top w:w="0" w:type="dxa"/>
            <w:left w:w="108" w:type="dxa"/>
            <w:bottom w:w="0" w:type="dxa"/>
            <w:right w:w="108" w:type="dxa"/>
          </w:tblCellMar>
        </w:tblPrEx>
        <w:trPr>
          <w:trHeight w:val="312" w:hRule="atLeast"/>
        </w:trPr>
        <w:tc>
          <w:tcPr>
            <w:tcW w:w="1305" w:type="dxa"/>
            <w:vMerge w:val="continue"/>
            <w:tcBorders>
              <w:top w:val="single" w:color="auto" w:sz="12" w:space="0"/>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continue"/>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vMerge w:val="continue"/>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5296" w:type="dxa"/>
            <w:vMerge w:val="continue"/>
            <w:tcBorders>
              <w:top w:val="single" w:color="auto" w:sz="12"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864" w:type="dxa"/>
            <w:vMerge w:val="continue"/>
            <w:tcBorders>
              <w:top w:val="single" w:color="auto" w:sz="12" w:space="0"/>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90" w:hRule="atLeast"/>
        </w:trPr>
        <w:tc>
          <w:tcPr>
            <w:tcW w:w="1305" w:type="dxa"/>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机房</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空间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优化</w:t>
            </w:r>
          </w:p>
        </w:tc>
        <w:tc>
          <w:tcPr>
            <w:tcW w:w="1425" w:type="dxa"/>
            <w:tcBorders>
              <w:top w:val="nil"/>
              <w:left w:val="nil"/>
              <w:bottom w:val="single" w:color="000000" w:sz="8" w:space="0"/>
              <w:right w:val="single" w:color="000000"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新马路机房</w:t>
            </w:r>
            <w:r>
              <w:rPr>
                <w:rFonts w:hint="eastAsia" w:ascii="宋体" w:hAnsi="宋体" w:eastAsia="宋体" w:cs="宋体"/>
                <w:color w:val="000000"/>
                <w:kern w:val="0"/>
                <w:szCs w:val="21"/>
                <w:lang w:val="en-US" w:eastAsia="zh-CN"/>
              </w:rPr>
              <w:t>优化维护</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cs="宋体"/>
                <w:color w:val="000000"/>
                <w:kern w:val="0"/>
                <w:szCs w:val="21"/>
              </w:rPr>
              <w:t>老旧存储拆除、报废服务器拆除，服务器位置进行迁移整合；调整前端球机拨码，机房线缆割接</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合同签订后90天内完成）</w:t>
            </w:r>
            <w:r>
              <w:rPr>
                <w:rFonts w:hint="eastAsia" w:ascii="宋体" w:hAnsi="宋体" w:eastAsia="宋体" w:cs="宋体"/>
                <w:color w:val="000000"/>
                <w:kern w:val="0"/>
                <w:szCs w:val="21"/>
              </w:rPr>
              <w:t>；</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831" w:hRule="atLeast"/>
        </w:trPr>
        <w:tc>
          <w:tcPr>
            <w:tcW w:w="1305" w:type="dxa"/>
            <w:vMerge w:val="restart"/>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1425"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异地双活链路优化</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链路</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优化</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陆港机房和交警大队机房FC链路打通并且级联（传输距离&gt;10KM,时延抖动≦5ms，激活端口不少于8个），构建核心业务存储双活系统</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523"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原有存储维保</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存储主机维护</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陆港机房：</w:t>
            </w:r>
            <w:r>
              <w:rPr>
                <w:rFonts w:hint="eastAsia" w:ascii="宋体" w:hAnsi="宋体" w:eastAsia="宋体" w:cs="宋体"/>
                <w:color w:val="000000"/>
                <w:kern w:val="0"/>
                <w:szCs w:val="21"/>
              </w:rPr>
              <w:t>原有存储MS7010采购主机维保，维保期内软件免费升级，主机硬件免费更换</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2套</w:t>
            </w:r>
          </w:p>
        </w:tc>
      </w:tr>
      <w:tr>
        <w:tblPrEx>
          <w:tblCellMar>
            <w:top w:w="0" w:type="dxa"/>
            <w:left w:w="108" w:type="dxa"/>
            <w:bottom w:w="0" w:type="dxa"/>
            <w:right w:w="108" w:type="dxa"/>
          </w:tblCellMar>
        </w:tblPrEx>
        <w:trPr>
          <w:trHeight w:val="602"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continue"/>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存储主机维护</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交警大队机房：</w:t>
            </w:r>
            <w:r>
              <w:rPr>
                <w:rFonts w:hint="eastAsia" w:ascii="宋体" w:hAnsi="宋体" w:eastAsia="宋体" w:cs="宋体"/>
                <w:color w:val="000000"/>
                <w:kern w:val="0"/>
                <w:szCs w:val="21"/>
              </w:rPr>
              <w:t>原有存储MS5580G2采购主机维保，维保期内软件免费升级，主机硬件免费更换</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4198"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原有存储优化和维护</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原有存储优化和维护</w:t>
            </w:r>
          </w:p>
        </w:tc>
        <w:tc>
          <w:tcPr>
            <w:tcW w:w="5296" w:type="dxa"/>
            <w:tcBorders>
              <w:top w:val="nil"/>
              <w:left w:val="nil"/>
              <w:bottom w:val="single" w:color="000000" w:sz="8" w:space="0"/>
              <w:right w:val="single" w:color="auto" w:sz="4" w:space="0"/>
            </w:tcBorders>
            <w:noWrap/>
            <w:vAlign w:val="center"/>
          </w:tcPr>
          <w:p>
            <w:pPr>
              <w:rPr>
                <w:color w:val="000000"/>
              </w:rPr>
            </w:pPr>
            <w:r>
              <w:rPr>
                <w:rFonts w:hint="eastAsia"/>
                <w:color w:val="000000"/>
              </w:rPr>
              <w:t>存储性能优化维护，具体内容包括：</w:t>
            </w:r>
          </w:p>
          <w:p>
            <w:pPr>
              <w:rPr>
                <w:color w:val="000000"/>
              </w:rPr>
            </w:pPr>
            <w:r>
              <w:rPr>
                <w:rFonts w:hint="eastAsia"/>
                <w:color w:val="000000"/>
              </w:rPr>
              <w:t>双活服务：并且根据需求，随时调整LUN的大小，包括双活拆分、双活重新构建等；</w:t>
            </w:r>
          </w:p>
          <w:p>
            <w:pPr>
              <w:rPr>
                <w:color w:val="000000"/>
              </w:rPr>
            </w:pPr>
            <w:r>
              <w:rPr>
                <w:rFonts w:hint="eastAsia"/>
                <w:color w:val="000000"/>
              </w:rPr>
              <w:t>数据迁移服务：要求根据需求，做好数据迁移工作，维保期内不限次数，要求迁移过程不停机，业务不中断，腾出SSD资源，给性能要求最高的业务系统。（原有SSD资源可用空间约为15T，如果原有资源已经无法迁移，则在</w:t>
            </w:r>
            <w:r>
              <w:rPr>
                <w:rFonts w:hint="eastAsia"/>
                <w:color w:val="000000"/>
                <w:lang w:val="en-US" w:eastAsia="zh-CN"/>
              </w:rPr>
              <w:t>服务期</w:t>
            </w:r>
            <w:r>
              <w:rPr>
                <w:rFonts w:hint="eastAsia"/>
                <w:color w:val="000000"/>
              </w:rPr>
              <w:t>内，由</w:t>
            </w:r>
            <w:r>
              <w:rPr>
                <w:rFonts w:hint="eastAsia"/>
                <w:color w:val="000000"/>
                <w:lang w:val="en-US" w:eastAsia="zh-CN"/>
              </w:rPr>
              <w:t>投标人</w:t>
            </w:r>
            <w:r>
              <w:rPr>
                <w:rFonts w:hint="eastAsia"/>
                <w:color w:val="000000"/>
              </w:rPr>
              <w:t>免费提供15T  SAS SSD资源空间，</w:t>
            </w:r>
            <w:r>
              <w:rPr>
                <w:rFonts w:hint="eastAsia"/>
                <w:color w:val="000000"/>
                <w:lang w:val="en-US" w:eastAsia="zh-CN"/>
              </w:rPr>
              <w:t>且与原有系统适配，</w:t>
            </w:r>
            <w:r>
              <w:rPr>
                <w:rFonts w:hint="eastAsia"/>
                <w:color w:val="000000"/>
              </w:rPr>
              <w:t>保障现场执法和违章平台业务平稳运行）；</w:t>
            </w:r>
          </w:p>
          <w:p>
            <w:pPr>
              <w:rPr>
                <w:color w:val="000000"/>
              </w:rPr>
            </w:pPr>
            <w:r>
              <w:rPr>
                <w:rFonts w:hint="eastAsia"/>
                <w:color w:val="000000"/>
              </w:rPr>
              <w:t>以下为提供的SSD资源空间</w:t>
            </w:r>
            <w:r>
              <w:rPr>
                <w:rFonts w:hint="eastAsia"/>
                <w:color w:val="000000"/>
                <w:lang w:val="en-US" w:eastAsia="zh-CN"/>
              </w:rPr>
              <w:t>的</w:t>
            </w:r>
            <w:r>
              <w:rPr>
                <w:rFonts w:hint="eastAsia"/>
                <w:color w:val="000000"/>
              </w:rPr>
              <w:t>要求：</w:t>
            </w:r>
          </w:p>
          <w:p>
            <w:pPr>
              <w:rPr>
                <w:color w:val="000000"/>
              </w:rPr>
            </w:pPr>
            <w:r>
              <w:rPr>
                <w:rFonts w:hint="eastAsia"/>
                <w:color w:val="000000"/>
                <w:lang w:val="en-US" w:eastAsia="zh-CN"/>
              </w:rPr>
              <w:t>1</w:t>
            </w:r>
            <w:r>
              <w:rPr>
                <w:rFonts w:hint="eastAsia"/>
                <w:color w:val="000000"/>
              </w:rPr>
              <w:t>、</w:t>
            </w:r>
            <w:r>
              <w:rPr>
                <w:rFonts w:hint="eastAsia" w:eastAsia="宋体" w:cs="Times New Roman"/>
                <w:b w:val="0"/>
                <w:bCs w:val="0"/>
                <w:color w:val="000000"/>
                <w:kern w:val="2"/>
                <w:sz w:val="21"/>
                <w:szCs w:val="24"/>
                <w:lang w:val="en-US" w:eastAsia="zh-CN" w:bidi="ar-SA"/>
              </w:rPr>
              <w:t>为保证存储管理的精细度，方便维护，需通过不低于1.8.0版本的SNIA SMI-S CTP认证（提供SNIA网站截图说明）</w:t>
            </w:r>
            <w:r>
              <w:rPr>
                <w:rFonts w:hint="eastAsia"/>
                <w:color w:val="000000"/>
              </w:rPr>
              <w:t>；</w:t>
            </w:r>
          </w:p>
          <w:p>
            <w:pPr>
              <w:rPr>
                <w:color w:val="000000"/>
              </w:rPr>
            </w:pPr>
            <w:r>
              <w:rPr>
                <w:rFonts w:hint="eastAsia"/>
                <w:color w:val="000000"/>
                <w:lang w:val="en-US" w:eastAsia="zh-CN"/>
              </w:rPr>
              <w:t>2</w:t>
            </w:r>
            <w:r>
              <w:rPr>
                <w:rFonts w:hint="eastAsia"/>
                <w:color w:val="000000"/>
              </w:rPr>
              <w:t>、硬盘安全管理：支持硬盘缓上电技术，避免大量硬盘同时上电时，引起电流过载，跳闸风险；支持RAID 0、1、10、5、6等；</w:t>
            </w:r>
          </w:p>
          <w:p>
            <w:pPr>
              <w:rPr>
                <w:color w:val="000000"/>
              </w:rPr>
            </w:pPr>
            <w:r>
              <w:rPr>
                <w:rFonts w:hint="eastAsia"/>
                <w:color w:val="000000"/>
                <w:lang w:val="en-US" w:eastAsia="zh-CN"/>
              </w:rPr>
              <w:t>3</w:t>
            </w:r>
            <w:r>
              <w:rPr>
                <w:rFonts w:hint="eastAsia"/>
                <w:color w:val="000000"/>
              </w:rPr>
              <w:t>、配置优化的RAID技术，允许RAID5硬盘组的两块及以上硬盘同时发生介质错误，业务不中断、数据不丢失。提供具备CNAS(中国合格评定国家认可委员会)资质的第三方权威评测机构签字盖章的测试认证</w:t>
            </w:r>
            <w:r>
              <w:rPr>
                <w:rFonts w:hint="eastAsia"/>
                <w:color w:val="000000"/>
                <w:lang w:val="en-US" w:eastAsia="zh-CN"/>
              </w:rPr>
              <w:t>报告，体现上述功能</w:t>
            </w:r>
            <w:r>
              <w:rPr>
                <w:rFonts w:hint="eastAsia"/>
                <w:color w:val="000000"/>
              </w:rPr>
              <w:t>；</w:t>
            </w:r>
          </w:p>
          <w:p>
            <w:pPr>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4</w:t>
            </w:r>
            <w:r>
              <w:rPr>
                <w:rFonts w:hint="eastAsia" w:ascii="Times New Roman" w:hAnsi="Times New Roman" w:eastAsia="宋体" w:cs="Times New Roman"/>
                <w:color w:val="000000"/>
              </w:rPr>
              <w:t>、配置RAID快速重建功能，在RAID5中，单块硬盘发生闪断，重建时间小于10分钟；在RAID5中，单块硬盘大面积介质故障，热备盘重建时间小于20分钟。</w:t>
            </w:r>
            <w:r>
              <w:rPr>
                <w:rFonts w:hint="eastAsia" w:ascii="Times New Roman" w:hAnsi="Times New Roman" w:eastAsia="宋体" w:cs="Times New Roman"/>
                <w:color w:val="000000"/>
                <w:lang w:val="en-US" w:eastAsia="zh-CN"/>
              </w:rPr>
              <w:t>需</w:t>
            </w:r>
            <w:r>
              <w:rPr>
                <w:rFonts w:hint="eastAsia" w:ascii="Times New Roman" w:hAnsi="Times New Roman" w:eastAsia="宋体" w:cs="Times New Roman"/>
                <w:color w:val="000000"/>
              </w:rPr>
              <w:t>提供具备CNAS(中国合格评定国家认可委员会)资质的第三方权威评测机构签字盖章的测试认证</w:t>
            </w:r>
            <w:r>
              <w:rPr>
                <w:rFonts w:hint="eastAsia" w:ascii="Times New Roman" w:hAnsi="Times New Roman" w:eastAsia="宋体" w:cs="Times New Roman"/>
                <w:color w:val="000000"/>
                <w:lang w:val="en-US" w:eastAsia="zh-CN"/>
              </w:rPr>
              <w:t>报告</w:t>
            </w:r>
            <w:r>
              <w:rPr>
                <w:rFonts w:hint="eastAsia" w:ascii="Times New Roman" w:hAnsi="Times New Roman" w:eastAsia="宋体" w:cs="Times New Roman"/>
                <w:color w:val="000000"/>
                <w:lang w:eastAsia="zh-CN"/>
              </w:rPr>
              <w:t>，</w:t>
            </w:r>
            <w:r>
              <w:rPr>
                <w:rFonts w:hint="eastAsia"/>
                <w:color w:val="000000"/>
                <w:lang w:val="en-US" w:eastAsia="zh-CN"/>
              </w:rPr>
              <w:t>体现上述功能</w:t>
            </w:r>
            <w:r>
              <w:rPr>
                <w:rFonts w:hint="eastAsia" w:ascii="Times New Roman" w:hAnsi="Times New Roman" w:eastAsia="宋体" w:cs="Times New Roman"/>
                <w:color w:val="000000"/>
              </w:rPr>
              <w:t>；</w:t>
            </w:r>
          </w:p>
          <w:p>
            <w:pPr>
              <w:rPr>
                <w:color w:val="000000"/>
              </w:rPr>
            </w:pPr>
            <w:r>
              <w:rPr>
                <w:rFonts w:hint="eastAsia"/>
                <w:color w:val="000000"/>
                <w:lang w:val="en-US" w:eastAsia="zh-CN"/>
              </w:rPr>
              <w:t>5</w:t>
            </w:r>
            <w:r>
              <w:rPr>
                <w:rFonts w:hint="eastAsia"/>
                <w:color w:val="000000"/>
              </w:rPr>
              <w:t>、★存储统一管理平台：能将相关配置和状态信息支持同步到存储管理平台中进行统一的管理和监控；</w:t>
            </w:r>
          </w:p>
          <w:p>
            <w:pPr>
              <w:rPr>
                <w:color w:val="000000"/>
              </w:rPr>
            </w:pPr>
            <w:r>
              <w:rPr>
                <w:rFonts w:hint="eastAsia"/>
                <w:color w:val="000000"/>
              </w:rPr>
              <w:t>具有基本的业务管理和业务调度功能，提供开放的接口，能够在存储设备现有的管理平台基础上进行二次应用开发；</w:t>
            </w:r>
          </w:p>
          <w:p>
            <w:pPr>
              <w:rPr>
                <w:color w:val="000000"/>
              </w:rPr>
            </w:pPr>
            <w:r>
              <w:rPr>
                <w:rFonts w:hint="eastAsia"/>
                <w:color w:val="000000"/>
                <w:lang w:val="en-US" w:eastAsia="zh-CN"/>
              </w:rPr>
              <w:t>6</w:t>
            </w:r>
            <w:r>
              <w:rPr>
                <w:rFonts w:hint="eastAsia"/>
                <w:color w:val="000000"/>
              </w:rPr>
              <w:t>、★业务不中断：提供的SSD资源可以和原有业务平台进行的数据迁移，业务不中断；</w:t>
            </w:r>
          </w:p>
          <w:p>
            <w:pPr>
              <w:rPr>
                <w:color w:val="000000"/>
              </w:rPr>
            </w:pPr>
            <w:r>
              <w:rPr>
                <w:rFonts w:hint="eastAsia"/>
                <w:color w:val="000000"/>
                <w:lang w:val="en-US" w:eastAsia="zh-CN"/>
              </w:rPr>
              <w:t>7</w:t>
            </w:r>
            <w:r>
              <w:rPr>
                <w:rFonts w:hint="eastAsia"/>
                <w:color w:val="000000"/>
              </w:rPr>
              <w:t>、★要求提供的SSD资源</w:t>
            </w:r>
            <w:r>
              <w:rPr>
                <w:rFonts w:hint="eastAsia"/>
                <w:color w:val="000000"/>
                <w:lang w:val="en-US" w:eastAsia="zh-CN"/>
              </w:rPr>
              <w:t>为</w:t>
            </w:r>
            <w:r>
              <w:rPr>
                <w:rFonts w:hint="eastAsia"/>
                <w:color w:val="000000"/>
              </w:rPr>
              <w:t>存储双活架构；</w:t>
            </w:r>
          </w:p>
          <w:p>
            <w:pPr>
              <w:rPr>
                <w:color w:val="000000"/>
              </w:rPr>
            </w:pPr>
            <w:r>
              <w:rPr>
                <w:rFonts w:hint="eastAsia"/>
                <w:color w:val="000000"/>
                <w:lang w:val="en-US" w:eastAsia="zh-CN"/>
              </w:rPr>
              <w:t>8</w:t>
            </w:r>
            <w:r>
              <w:rPr>
                <w:rFonts w:hint="eastAsia"/>
                <w:color w:val="000000"/>
              </w:rPr>
              <w:t>、要求提供的双活同步带宽为大于等于40Gb；</w:t>
            </w:r>
          </w:p>
          <w:p>
            <w:pPr>
              <w:rPr>
                <w:color w:val="000000"/>
              </w:rPr>
            </w:pPr>
            <w:r>
              <w:rPr>
                <w:rFonts w:hint="eastAsia"/>
                <w:color w:val="000000"/>
                <w:lang w:val="en-US" w:eastAsia="zh-CN"/>
              </w:rPr>
              <w:t>9</w:t>
            </w:r>
            <w:r>
              <w:rPr>
                <w:rFonts w:hint="eastAsia"/>
                <w:color w:val="000000"/>
              </w:rPr>
              <w:t>、操作系统：支持Windows、Solaris、HP-UX、IBM-AIX、Linux等；</w:t>
            </w:r>
          </w:p>
          <w:p>
            <w:pPr>
              <w:rPr>
                <w:color w:val="000000"/>
              </w:rPr>
            </w:pPr>
            <w:r>
              <w:rPr>
                <w:rFonts w:hint="eastAsia"/>
                <w:color w:val="000000"/>
              </w:rPr>
              <w:t>1</w:t>
            </w:r>
            <w:r>
              <w:rPr>
                <w:rFonts w:hint="eastAsia"/>
                <w:color w:val="000000"/>
                <w:lang w:val="en-US" w:eastAsia="zh-CN"/>
              </w:rPr>
              <w:t>0</w:t>
            </w:r>
            <w:r>
              <w:rPr>
                <w:rFonts w:hint="eastAsia"/>
                <w:color w:val="000000"/>
              </w:rPr>
              <w:t>、支持自动精简配置：系统自动识别前端业务IO，统筹动态分配存储资源，可以大幅降低系统管理员的容量规划难度；</w:t>
            </w:r>
          </w:p>
          <w:p>
            <w:pPr>
              <w:rPr>
                <w:color w:val="000000"/>
              </w:rPr>
            </w:pPr>
            <w:r>
              <w:rPr>
                <w:rFonts w:hint="eastAsia"/>
                <w:color w:val="000000"/>
              </w:rPr>
              <w:t>1</w:t>
            </w:r>
            <w:r>
              <w:rPr>
                <w:rFonts w:hint="eastAsia"/>
                <w:color w:val="000000"/>
                <w:lang w:val="en-US" w:eastAsia="zh-CN"/>
              </w:rPr>
              <w:t>1</w:t>
            </w:r>
            <w:r>
              <w:rPr>
                <w:rFonts w:hint="eastAsia"/>
                <w:color w:val="000000"/>
              </w:rPr>
              <w:t>、支持资源编排，能够支持可视化方式和编排语言两种方式。通过资源栈模板，定义所需的云资源、资源间的依赖关系、资源配置等，可实现自动化批量部署和配置资源。（截图</w:t>
            </w:r>
            <w:r>
              <w:rPr>
                <w:rFonts w:hint="eastAsia"/>
                <w:color w:val="000000"/>
                <w:lang w:val="en-US" w:eastAsia="zh-CN"/>
              </w:rPr>
              <w:t>佐证</w:t>
            </w:r>
            <w:r>
              <w:rPr>
                <w:rFonts w:hint="eastAsia"/>
                <w:color w:val="000000"/>
              </w:rPr>
              <w:t>）；</w:t>
            </w:r>
          </w:p>
          <w:p>
            <w:pPr>
              <w:rPr>
                <w:color w:val="000000"/>
              </w:rPr>
            </w:pPr>
            <w:r>
              <w:rPr>
                <w:rFonts w:hint="eastAsia"/>
                <w:color w:val="000000"/>
              </w:rPr>
              <w:t>1</w:t>
            </w:r>
            <w:r>
              <w:rPr>
                <w:rFonts w:hint="eastAsia"/>
                <w:color w:val="000000"/>
                <w:lang w:val="en-US" w:eastAsia="zh-CN"/>
              </w:rPr>
              <w:t>2</w:t>
            </w:r>
            <w:r>
              <w:rPr>
                <w:rFonts w:hint="eastAsia"/>
                <w:color w:val="000000"/>
              </w:rPr>
              <w:t>、支持容量预测分析功能，能根据使用容量历史数据进行未来所需容量预测，提前预警。（截图</w:t>
            </w:r>
            <w:r>
              <w:rPr>
                <w:rFonts w:hint="eastAsia"/>
                <w:color w:val="000000"/>
                <w:lang w:val="en-US" w:eastAsia="zh-CN"/>
              </w:rPr>
              <w:t>佐证</w:t>
            </w:r>
            <w:r>
              <w:rPr>
                <w:rFonts w:hint="eastAsia"/>
                <w:color w:val="000000"/>
              </w:rPr>
              <w:t>）；</w:t>
            </w:r>
          </w:p>
          <w:p>
            <w:pPr>
              <w:rPr>
                <w:color w:val="000000"/>
              </w:rPr>
            </w:pPr>
            <w:r>
              <w:rPr>
                <w:rFonts w:hint="eastAsia"/>
                <w:color w:val="000000"/>
              </w:rPr>
              <w:t>1</w:t>
            </w:r>
            <w:r>
              <w:rPr>
                <w:rFonts w:hint="eastAsia"/>
                <w:color w:val="000000"/>
                <w:lang w:val="en-US" w:eastAsia="zh-CN"/>
              </w:rPr>
              <w:t>3</w:t>
            </w:r>
            <w:r>
              <w:rPr>
                <w:rFonts w:hint="eastAsia"/>
                <w:color w:val="000000"/>
              </w:rPr>
              <w:t>、配置三重检验的RAID方式，允许同一个RAID组中任意三块硬盘发生整盘物理故障，数据不丢失。（需说明技术原理并在网站公开资料体现，提供网址备查）；</w:t>
            </w:r>
          </w:p>
          <w:p>
            <w:pPr>
              <w:rPr>
                <w:color w:val="000000"/>
              </w:rPr>
            </w:pPr>
            <w:r>
              <w:rPr>
                <w:rFonts w:hint="eastAsia"/>
                <w:color w:val="000000"/>
              </w:rPr>
              <w:t>1</w:t>
            </w:r>
            <w:r>
              <w:rPr>
                <w:rFonts w:hint="eastAsia"/>
                <w:color w:val="000000"/>
                <w:lang w:val="en-US" w:eastAsia="zh-CN"/>
              </w:rPr>
              <w:t>4</w:t>
            </w:r>
            <w:r>
              <w:rPr>
                <w:rFonts w:hint="eastAsia"/>
                <w:color w:val="000000"/>
              </w:rPr>
              <w:t>、支持生成外部链接的方式，对外共享文件，并可设置文件下载权限、文件发布有效时间、访问密码等（提供操作页面截图</w:t>
            </w:r>
            <w:r>
              <w:rPr>
                <w:rFonts w:hint="eastAsia"/>
                <w:color w:val="000000"/>
                <w:lang w:val="en-US" w:eastAsia="zh-CN"/>
              </w:rPr>
              <w:t>佐证</w:t>
            </w:r>
            <w:r>
              <w:rPr>
                <w:rFonts w:hint="eastAsia"/>
                <w:color w:val="000000"/>
              </w:rPr>
              <w:t>）</w:t>
            </w:r>
          </w:p>
          <w:p>
            <w:pPr>
              <w:rPr>
                <w:color w:val="000000"/>
              </w:rPr>
            </w:pPr>
            <w:r>
              <w:rPr>
                <w:rFonts w:hint="eastAsia"/>
                <w:color w:val="000000"/>
              </w:rPr>
              <w:t>1</w:t>
            </w:r>
            <w:r>
              <w:rPr>
                <w:rFonts w:hint="eastAsia"/>
                <w:color w:val="000000"/>
                <w:lang w:val="en-US" w:eastAsia="zh-CN"/>
              </w:rPr>
              <w:t>5</w:t>
            </w:r>
            <w:r>
              <w:rPr>
                <w:rFonts w:hint="eastAsia"/>
                <w:color w:val="000000"/>
              </w:rPr>
              <w:t>、支持历史版本保存功能，支持预览、下载、还原历史版本等操作。（提供操作页面截图</w:t>
            </w:r>
            <w:r>
              <w:rPr>
                <w:rFonts w:hint="eastAsia"/>
                <w:color w:val="000000"/>
                <w:lang w:val="en-US" w:eastAsia="zh-CN"/>
              </w:rPr>
              <w:t>佐证</w:t>
            </w:r>
            <w:r>
              <w:rPr>
                <w:rFonts w:hint="eastAsia"/>
                <w:color w:val="000000"/>
              </w:rPr>
              <w:t>）</w:t>
            </w:r>
          </w:p>
          <w:p>
            <w:pPr>
              <w:rPr>
                <w:color w:val="000000"/>
              </w:rPr>
            </w:pPr>
            <w:bookmarkStart w:id="109" w:name="_Hlk19021059"/>
            <w:r>
              <w:rPr>
                <w:rFonts w:hint="eastAsia"/>
                <w:color w:val="000000"/>
              </w:rPr>
              <w:t>1</w:t>
            </w:r>
            <w:r>
              <w:rPr>
                <w:rFonts w:hint="eastAsia"/>
                <w:color w:val="000000"/>
                <w:lang w:val="en-US" w:eastAsia="zh-CN"/>
              </w:rPr>
              <w:t>6</w:t>
            </w:r>
            <w:r>
              <w:rPr>
                <w:rFonts w:hint="eastAsia"/>
                <w:color w:val="000000"/>
              </w:rPr>
              <w:t>、支持钉钉、邮件、短信接收告警消息</w:t>
            </w:r>
            <w:r>
              <w:rPr>
                <w:color w:val="000000"/>
              </w:rPr>
              <w:t>。</w:t>
            </w:r>
            <w:r>
              <w:rPr>
                <w:rFonts w:hint="eastAsia"/>
                <w:color w:val="000000"/>
              </w:rPr>
              <w:t>（</w:t>
            </w:r>
            <w:r>
              <w:rPr>
                <w:color w:val="000000"/>
              </w:rPr>
              <w:t>截图</w:t>
            </w:r>
            <w:r>
              <w:rPr>
                <w:rFonts w:hint="eastAsia"/>
                <w:color w:val="000000"/>
                <w:lang w:val="en-US" w:eastAsia="zh-CN"/>
              </w:rPr>
              <w:t>佐证</w:t>
            </w:r>
            <w:r>
              <w:rPr>
                <w:rFonts w:hint="eastAsia"/>
                <w:color w:val="000000"/>
              </w:rPr>
              <w:t>）</w:t>
            </w:r>
            <w:bookmarkEnd w:id="109"/>
          </w:p>
          <w:p>
            <w:pPr>
              <w:rPr>
                <w:color w:val="000000"/>
              </w:rPr>
            </w:pPr>
            <w:r>
              <w:rPr>
                <w:rFonts w:hint="eastAsia"/>
                <w:color w:val="000000"/>
              </w:rPr>
              <w:t>1</w:t>
            </w:r>
            <w:r>
              <w:rPr>
                <w:rFonts w:hint="eastAsia"/>
                <w:color w:val="000000"/>
                <w:lang w:val="en-US" w:eastAsia="zh-CN"/>
              </w:rPr>
              <w:t>7</w:t>
            </w:r>
            <w:r>
              <w:rPr>
                <w:rFonts w:hint="eastAsia"/>
                <w:color w:val="000000"/>
              </w:rPr>
              <w:t>、支持云主机跨不同类型主存储的热迁移。（截图</w:t>
            </w:r>
            <w:r>
              <w:rPr>
                <w:rFonts w:hint="eastAsia"/>
                <w:color w:val="000000"/>
                <w:lang w:val="en-US" w:eastAsia="zh-CN"/>
              </w:rPr>
              <w:t>佐证</w:t>
            </w:r>
            <w:r>
              <w:rPr>
                <w:rFonts w:hint="eastAsia"/>
                <w:color w:val="000000"/>
              </w:rPr>
              <w:t>）</w:t>
            </w:r>
          </w:p>
          <w:p>
            <w:pPr>
              <w:widowControl/>
              <w:jc w:val="left"/>
              <w:rPr>
                <w:rFonts w:hint="eastAsia" w:ascii="宋体" w:hAnsi="宋体" w:eastAsia="宋体" w:cs="宋体"/>
                <w:color w:val="000000"/>
                <w:kern w:val="0"/>
                <w:szCs w:val="21"/>
              </w:rPr>
            </w:pPr>
            <w:r>
              <w:rPr>
                <w:rFonts w:hint="eastAsia"/>
                <w:color w:val="000000"/>
              </w:rPr>
              <w:t>★</w:t>
            </w:r>
            <w:r>
              <w:rPr>
                <w:rFonts w:hint="eastAsia"/>
                <w:color w:val="000000"/>
                <w:lang w:val="en-US" w:eastAsia="zh-CN"/>
              </w:rPr>
              <w:t>18</w:t>
            </w:r>
            <w:r>
              <w:rPr>
                <w:rFonts w:hint="eastAsia"/>
                <w:color w:val="000000"/>
              </w:rPr>
              <w:t>、投标人</w:t>
            </w:r>
            <w:r>
              <w:rPr>
                <w:rFonts w:hint="eastAsia"/>
                <w:color w:val="000000"/>
                <w:lang w:val="en-US" w:eastAsia="zh-CN"/>
              </w:rPr>
              <w:t>需</w:t>
            </w:r>
            <w:r>
              <w:rPr>
                <w:rFonts w:hint="eastAsia"/>
                <w:color w:val="000000"/>
              </w:rPr>
              <w:t>在中标后签订合同前提供三年原厂质保函；</w:t>
            </w:r>
          </w:p>
        </w:tc>
        <w:tc>
          <w:tcPr>
            <w:tcW w:w="864" w:type="dxa"/>
            <w:tcBorders>
              <w:top w:val="nil"/>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2套</w:t>
            </w:r>
          </w:p>
        </w:tc>
      </w:tr>
      <w:tr>
        <w:tblPrEx>
          <w:tblCellMar>
            <w:top w:w="0" w:type="dxa"/>
            <w:left w:w="108" w:type="dxa"/>
            <w:bottom w:w="0" w:type="dxa"/>
            <w:right w:w="108" w:type="dxa"/>
          </w:tblCellMar>
        </w:tblPrEx>
        <w:trPr>
          <w:trHeight w:val="816" w:hRule="atLeast"/>
        </w:trPr>
        <w:tc>
          <w:tcPr>
            <w:tcW w:w="1305" w:type="dxa"/>
            <w:vMerge w:val="restart"/>
            <w:tcBorders>
              <w:top w:val="nil"/>
              <w:left w:val="single" w:color="auto" w:sz="12"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地图</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1425"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数据服务</w:t>
            </w:r>
          </w:p>
        </w:tc>
        <w:tc>
          <w:tcPr>
            <w:tcW w:w="1336" w:type="dxa"/>
            <w:tcBorders>
              <w:top w:val="nil"/>
              <w:left w:val="nil"/>
              <w:bottom w:val="single" w:color="000000" w:sz="8" w:space="0"/>
              <w:right w:val="single" w:color="000000"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基础地图数据更新</w:t>
            </w:r>
          </w:p>
        </w:tc>
        <w:tc>
          <w:tcPr>
            <w:tcW w:w="5296" w:type="dxa"/>
            <w:tcBorders>
              <w:top w:val="nil"/>
              <w:left w:val="nil"/>
              <w:bottom w:val="single" w:color="000000" w:sz="8"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提供一年一次地图更新服务，共3年</w:t>
            </w:r>
          </w:p>
        </w:tc>
        <w:tc>
          <w:tcPr>
            <w:tcW w:w="864" w:type="dxa"/>
            <w:tcBorders>
              <w:top w:val="nil"/>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702"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continue"/>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路况数据服务</w:t>
            </w:r>
          </w:p>
        </w:tc>
        <w:tc>
          <w:tcPr>
            <w:tcW w:w="5296" w:type="dxa"/>
            <w:tcBorders>
              <w:top w:val="nil"/>
              <w:left w:val="nil"/>
              <w:bottom w:val="single" w:color="000000" w:sz="8"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互联网实时路况和事件数据，包括路况、交通事件、拥堵预警、交通指数等</w:t>
            </w:r>
          </w:p>
        </w:tc>
        <w:tc>
          <w:tcPr>
            <w:tcW w:w="864" w:type="dxa"/>
            <w:tcBorders>
              <w:top w:val="nil"/>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968"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tcBorders>
              <w:top w:val="nil"/>
              <w:left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高精度地图数据服务</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eastAsia="宋体"/>
                <w:color w:val="000000"/>
                <w:lang w:val="en-US" w:eastAsia="zh-CN"/>
              </w:rPr>
            </w:pPr>
            <w:r>
              <w:rPr>
                <w:rFonts w:hint="eastAsia"/>
                <w:color w:val="000000"/>
              </w:rPr>
              <w:t>高精度地图数据服务，以现有采集的高精度数据为基础，根据更新内容完成高精度地图数据更新服务，更新总里程200公里。</w:t>
            </w:r>
            <w:r>
              <w:rPr>
                <w:rFonts w:hint="eastAsia"/>
                <w:color w:val="000000"/>
                <w:lang w:val="en-US" w:eastAsia="zh-CN"/>
              </w:rPr>
              <w:t>具体要求包括：</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激光雷达车辆外业采集设备设施牌信息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激光雷达车辆外业采集道路标线信息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内业制图提取制作设备设施信息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内业制图提制作取道路标线信息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设施设备空间信息采集成果整理入库</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交通专题数据基础台账信息录入</w:t>
            </w:r>
            <w:r>
              <w:rPr>
                <w:rFonts w:hint="eastAsia" w:ascii="宋体" w:hAnsi="宋体" w:eastAsia="宋体" w:cs="宋体"/>
                <w:color w:val="000000"/>
                <w:kern w:val="0"/>
                <w:szCs w:val="21"/>
                <w:lang w:eastAsia="zh-CN"/>
              </w:rPr>
              <w:t>；</w:t>
            </w:r>
          </w:p>
          <w:p>
            <w:pPr>
              <w:widowControl/>
              <w:jc w:val="left"/>
              <w:rPr>
                <w:rFonts w:hint="eastAsia"/>
                <w:color w:val="000000"/>
                <w:sz w:val="24"/>
                <w:szCs w:val="24"/>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投标人</w:t>
            </w:r>
            <w:r>
              <w:rPr>
                <w:rFonts w:hint="eastAsia" w:ascii="宋体" w:hAnsi="宋体" w:eastAsia="宋体" w:cs="宋体"/>
                <w:color w:val="000000"/>
                <w:kern w:val="0"/>
                <w:szCs w:val="21"/>
              </w:rPr>
              <w:t>需承诺适配现网地理信息系统。</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543" w:hRule="atLeast"/>
        </w:trPr>
        <w:tc>
          <w:tcPr>
            <w:tcW w:w="1305" w:type="dxa"/>
            <w:vMerge w:val="continue"/>
            <w:tcBorders>
              <w:top w:val="nil"/>
              <w:left w:val="single" w:color="auto" w:sz="12" w:space="0"/>
              <w:bottom w:val="single" w:color="auto" w:sz="12"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tcBorders>
              <w:top w:val="nil"/>
              <w:left w:val="nil"/>
              <w:bottom w:val="single" w:color="auto" w:sz="12" w:space="0"/>
              <w:right w:val="single" w:color="000000" w:sz="8"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系统运维</w:t>
            </w:r>
          </w:p>
        </w:tc>
        <w:tc>
          <w:tcPr>
            <w:tcW w:w="1336" w:type="dxa"/>
            <w:tcBorders>
              <w:top w:val="nil"/>
              <w:left w:val="nil"/>
              <w:bottom w:val="single" w:color="auto" w:sz="12"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系统运维服务</w:t>
            </w:r>
          </w:p>
        </w:tc>
        <w:tc>
          <w:tcPr>
            <w:tcW w:w="5296" w:type="dxa"/>
            <w:tcBorders>
              <w:top w:val="nil"/>
              <w:left w:val="nil"/>
              <w:bottom w:val="single" w:color="auto" w:sz="12"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日常的远程系统的运维，包括系统问题解答、基础软件的升级等，对于重大问题进行现场运维服务</w:t>
            </w:r>
          </w:p>
        </w:tc>
        <w:tc>
          <w:tcPr>
            <w:tcW w:w="864" w:type="dxa"/>
            <w:tcBorders>
              <w:top w:val="nil"/>
              <w:left w:val="single" w:color="auto" w:sz="4" w:space="0"/>
              <w:bottom w:val="single" w:color="auto" w:sz="12"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bookmarkEnd w:id="104"/>
      <w:bookmarkEnd w:id="105"/>
      <w:bookmarkEnd w:id="106"/>
      <w:bookmarkEnd w:id="107"/>
      <w:bookmarkEnd w:id="108"/>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10" w:name="_Toc487377669"/>
      <w:bookmarkStart w:id="111" w:name="_Toc110229206"/>
      <w:bookmarkStart w:id="112" w:name="_Toc110205505"/>
      <w:bookmarkStart w:id="113" w:name="_Toc110204691"/>
      <w:bookmarkStart w:id="114" w:name="_Toc275591382"/>
      <w:bookmarkStart w:id="115" w:name="_Toc268245958"/>
      <w:bookmarkStart w:id="116" w:name="_Toc198523121"/>
      <w:bookmarkStart w:id="117" w:name="_Toc482690829"/>
      <w:bookmarkStart w:id="118" w:name="_Toc116728238"/>
      <w:bookmarkStart w:id="119" w:name="_Toc5068"/>
      <w:bookmarkStart w:id="120" w:name="_Toc114597542"/>
      <w:bookmarkStart w:id="121" w:name="_Toc114739385"/>
      <w:bookmarkStart w:id="122" w:name="_Toc6835"/>
      <w:bookmarkStart w:id="123" w:name="_Toc114419353"/>
      <w:bookmarkStart w:id="124" w:name="_Toc114663097"/>
      <w:bookmarkStart w:id="125" w:name="_Toc116728115"/>
      <w:bookmarkStart w:id="126" w:name="_Toc3051"/>
      <w:bookmarkStart w:id="127" w:name="_Toc116728372"/>
      <w:bookmarkStart w:id="128" w:name="_Toc2144"/>
      <w:bookmarkStart w:id="129" w:name="_Toc116368809"/>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.1.3</w:t>
      </w:r>
      <w:bookmarkEnd w:id="110"/>
      <w:bookmarkEnd w:id="111"/>
      <w:bookmarkEnd w:id="112"/>
      <w:bookmarkEnd w:id="113"/>
      <w:bookmarkEnd w:id="114"/>
      <w:bookmarkEnd w:id="115"/>
      <w:bookmarkEnd w:id="116"/>
      <w:bookmarkEnd w:id="117"/>
      <w:r>
        <w:rPr>
          <w:rFonts w:hint="eastAsia" w:ascii="宋体" w:hAnsi="宋体" w:eastAsia="宋体" w:cs="宋体"/>
          <w:b/>
          <w:bCs/>
          <w:color w:val="000000"/>
          <w:sz w:val="24"/>
          <w:szCs w:val="21"/>
          <w:lang w:val="zh-TW" w:eastAsia="zh-TW"/>
        </w:rPr>
        <w:t>机房、光纤租赁及指挥中心维护</w:t>
      </w:r>
      <w:bookmarkEnd w:id="118"/>
      <w:bookmarkEnd w:id="119"/>
      <w:bookmarkEnd w:id="120"/>
      <w:bookmarkEnd w:id="121"/>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bCs/>
          <w:color w:val="000000"/>
          <w:sz w:val="24"/>
          <w:szCs w:val="24"/>
          <w:lang w:val="zh-TW" w:eastAsia="zh-TW"/>
        </w:rPr>
      </w:pPr>
      <w:r>
        <w:rPr>
          <w:rFonts w:hint="eastAsia" w:ascii="宋体" w:hAnsi="宋体" w:eastAsia="宋体" w:cs="宋体"/>
          <w:bCs/>
          <w:color w:val="000000"/>
          <w:sz w:val="24"/>
          <w:szCs w:val="24"/>
          <w:lang w:val="zh-TW"/>
        </w:rPr>
        <w:t>目前，</w:t>
      </w:r>
      <w:r>
        <w:rPr>
          <w:rFonts w:hint="eastAsia" w:ascii="宋体" w:hAnsi="宋体" w:eastAsia="宋体" w:cs="宋体"/>
          <w:bCs/>
          <w:color w:val="000000"/>
          <w:sz w:val="24"/>
          <w:szCs w:val="24"/>
          <w:lang w:val="zh-TW" w:eastAsia="zh-TW"/>
        </w:rPr>
        <w:t>义乌市智能交通系统机柜数分别为60个</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新马路机房</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和45个</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陆港机房</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。机房能源消耗为两个机房托管设备产生的电费，以及维持机房温湿度所产生的新风能耗和空调能耗。光纤为智能交通一、二期以及外单位建设移交项目中包含的光纤链路。</w:t>
      </w:r>
      <w:r>
        <w:rPr>
          <w:rFonts w:hint="eastAsia" w:ascii="宋体" w:hAnsi="宋体" w:eastAsia="宋体" w:cs="宋体"/>
          <w:bCs/>
          <w:color w:val="000000"/>
          <w:sz w:val="24"/>
          <w:szCs w:val="24"/>
        </w:rPr>
        <w:t>指挥中心维护包括：会议系统、门禁系统、空调新风、操作控制台、灯光系统、地板</w:t>
      </w:r>
      <w:r>
        <w:rPr>
          <w:rFonts w:hint="eastAsia" w:ascii="宋体" w:hAnsi="宋体" w:eastAsia="宋体" w:cs="宋体"/>
          <w:bCs/>
          <w:color w:val="000000"/>
          <w:sz w:val="24"/>
          <w:szCs w:val="24"/>
          <w:lang w:eastAsia="zh-CN"/>
        </w:rPr>
        <w:t>及指挥中心大厅</w:t>
      </w:r>
      <w:r>
        <w:rPr>
          <w:rFonts w:hint="eastAsia" w:ascii="宋体" w:hAnsi="宋体" w:eastAsia="宋体" w:cs="宋体"/>
          <w:bCs/>
          <w:color w:val="000000"/>
          <w:sz w:val="24"/>
          <w:szCs w:val="24"/>
        </w:rPr>
        <w:t>等</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指挥中心自建机房维护包括：大队自建服务器、网络交换传输及配套设备</w:t>
      </w:r>
      <w:r>
        <w:rPr>
          <w:rFonts w:hint="eastAsia" w:ascii="宋体" w:hAnsi="宋体" w:eastAsia="宋体" w:cs="宋体"/>
          <w:bCs/>
          <w:color w:val="000000"/>
          <w:sz w:val="24"/>
          <w:szCs w:val="24"/>
          <w:lang w:eastAsia="zh-CN"/>
        </w:rPr>
        <w:t>维护</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zh-TW" w:eastAsia="zh-TW"/>
        </w:rPr>
        <w:t>详见表</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val="zh-TW" w:eastAsia="zh-TW"/>
        </w:rPr>
        <w:t>-</w:t>
      </w: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val="zh-TW" w:eastAsia="zh-TW"/>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表</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val="zh-TW" w:eastAsia="zh-TW"/>
        </w:rPr>
        <w:t>-</w:t>
      </w:r>
      <w:r>
        <w:rPr>
          <w:rFonts w:hint="eastAsia" w:ascii="宋体" w:hAnsi="宋体" w:eastAsia="宋体" w:cs="宋体"/>
          <w:bCs/>
          <w:color w:val="000000"/>
          <w:sz w:val="24"/>
          <w:szCs w:val="24"/>
        </w:rPr>
        <w:t>5  机房、光纤租赁及指挥中心维护服务清单</w:t>
      </w:r>
    </w:p>
    <w:tbl>
      <w:tblPr>
        <w:tblStyle w:val="51"/>
        <w:tblW w:w="0" w:type="auto"/>
        <w:tblInd w:w="392" w:type="dxa"/>
        <w:tblLayout w:type="fixed"/>
        <w:tblCellMar>
          <w:top w:w="0" w:type="dxa"/>
          <w:left w:w="108" w:type="dxa"/>
          <w:bottom w:w="0" w:type="dxa"/>
          <w:right w:w="108" w:type="dxa"/>
        </w:tblCellMar>
      </w:tblPr>
      <w:tblGrid>
        <w:gridCol w:w="872"/>
        <w:gridCol w:w="2441"/>
        <w:gridCol w:w="1918"/>
        <w:gridCol w:w="2792"/>
        <w:gridCol w:w="1395"/>
      </w:tblGrid>
      <w:tr>
        <w:tblPrEx>
          <w:tblCellMar>
            <w:top w:w="0" w:type="dxa"/>
            <w:left w:w="108" w:type="dxa"/>
            <w:bottom w:w="0" w:type="dxa"/>
            <w:right w:w="108" w:type="dxa"/>
          </w:tblCellMar>
        </w:tblPrEx>
        <w:trPr>
          <w:trHeight w:val="368" w:hRule="atLeast"/>
          <w:tblHeader/>
        </w:trPr>
        <w:tc>
          <w:tcPr>
            <w:tcW w:w="872"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441"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4710" w:type="dxa"/>
            <w:gridSpan w:val="2"/>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类型</w:t>
            </w:r>
          </w:p>
        </w:tc>
        <w:tc>
          <w:tcPr>
            <w:tcW w:w="1395" w:type="dxa"/>
            <w:tcBorders>
              <w:top w:val="single" w:color="auto" w:sz="12" w:space="0"/>
              <w:left w:val="nil"/>
              <w:bottom w:val="single" w:color="auto" w:sz="4" w:space="0"/>
              <w:right w:val="single" w:color="auto" w:sz="12"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441"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智能交通一期</w:t>
            </w:r>
          </w:p>
        </w:tc>
        <w:tc>
          <w:tcPr>
            <w:tcW w:w="191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光纤</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1365</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大队至中队互联电路</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大队</w:t>
            </w:r>
            <w:r>
              <w:rPr>
                <w:rFonts w:hint="eastAsia" w:ascii="宋体" w:hAnsi="宋体" w:eastAsia="宋体" w:cs="宋体"/>
                <w:color w:val="000000"/>
                <w:kern w:val="0"/>
                <w:szCs w:val="21"/>
              </w:rPr>
              <w:t>100兆上网光纤</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大队</w:t>
            </w:r>
            <w:r>
              <w:rPr>
                <w:rFonts w:hint="eastAsia" w:ascii="宋体" w:hAnsi="宋体" w:eastAsia="宋体" w:cs="宋体"/>
                <w:color w:val="000000"/>
                <w:kern w:val="0"/>
                <w:szCs w:val="21"/>
              </w:rPr>
              <w:t>50兆</w:t>
            </w:r>
            <w:r>
              <w:rPr>
                <w:rFonts w:hint="eastAsia" w:ascii="宋体" w:hAnsi="宋体" w:eastAsia="宋体" w:cs="宋体"/>
                <w:color w:val="000000"/>
                <w:kern w:val="0"/>
                <w:szCs w:val="21"/>
                <w:lang w:bidi="ar"/>
              </w:rPr>
              <w:t>上网光纤</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中队</w:t>
            </w:r>
            <w:r>
              <w:rPr>
                <w:rFonts w:hint="eastAsia" w:ascii="宋体" w:hAnsi="宋体" w:eastAsia="宋体" w:cs="宋体"/>
                <w:color w:val="000000"/>
                <w:kern w:val="0"/>
                <w:szCs w:val="21"/>
                <w:lang w:bidi="ar"/>
              </w:rPr>
              <w:t>上网宽带</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物联网卡</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120</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短信平台</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2441"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智能交通二期</w:t>
            </w: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817</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机房</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陆港</w:t>
            </w:r>
          </w:p>
        </w:tc>
        <w:tc>
          <w:tcPr>
            <w:tcW w:w="1395" w:type="dxa"/>
            <w:tcBorders>
              <w:top w:val="nil"/>
              <w:left w:val="nil"/>
              <w:bottom w:val="single" w:color="auto" w:sz="4" w:space="0"/>
              <w:right w:val="single" w:color="auto" w:sz="12"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45机柜</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新马路</w:t>
            </w:r>
          </w:p>
        </w:tc>
        <w:tc>
          <w:tcPr>
            <w:tcW w:w="1395" w:type="dxa"/>
            <w:tcBorders>
              <w:top w:val="nil"/>
              <w:left w:val="nil"/>
              <w:bottom w:val="single" w:color="auto" w:sz="4" w:space="0"/>
              <w:right w:val="single" w:color="auto" w:sz="12"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60机柜</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机房</w:t>
            </w:r>
            <w:r>
              <w:rPr>
                <w:rFonts w:hint="eastAsia" w:ascii="宋体" w:hAnsi="宋体" w:eastAsia="宋体" w:cs="宋体"/>
                <w:color w:val="000000"/>
                <w:kern w:val="0"/>
                <w:szCs w:val="21"/>
              </w:rPr>
              <w:t>能源费</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按实际收取</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685"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2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外单位移交</w:t>
            </w: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13</w:t>
            </w:r>
          </w:p>
        </w:tc>
      </w:tr>
      <w:tr>
        <w:tblPrEx>
          <w:tblCellMar>
            <w:top w:w="0" w:type="dxa"/>
            <w:left w:w="108" w:type="dxa"/>
            <w:bottom w:w="0" w:type="dxa"/>
            <w:right w:w="108" w:type="dxa"/>
          </w:tblCellMar>
        </w:tblPrEx>
        <w:trPr>
          <w:trHeight w:val="387" w:hRule="atLeast"/>
        </w:trPr>
        <w:tc>
          <w:tcPr>
            <w:tcW w:w="872" w:type="dxa"/>
            <w:tcBorders>
              <w:top w:val="nil"/>
              <w:left w:val="single" w:color="auto" w:sz="12" w:space="0"/>
              <w:bottom w:val="single" w:color="auto" w:sz="12" w:space="0"/>
              <w:right w:val="single" w:color="auto" w:sz="4"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w:t>
            </w:r>
          </w:p>
        </w:tc>
        <w:tc>
          <w:tcPr>
            <w:tcW w:w="2441" w:type="dxa"/>
            <w:tcBorders>
              <w:top w:val="single" w:color="auto" w:sz="4" w:space="0"/>
              <w:left w:val="nil"/>
              <w:bottom w:val="single" w:color="auto" w:sz="12"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指挥中心维护</w:t>
            </w:r>
          </w:p>
        </w:tc>
        <w:tc>
          <w:tcPr>
            <w:tcW w:w="4710" w:type="dxa"/>
            <w:gridSpan w:val="2"/>
            <w:tcBorders>
              <w:top w:val="single" w:color="auto" w:sz="4" w:space="0"/>
              <w:left w:val="single" w:color="auto" w:sz="4" w:space="0"/>
              <w:bottom w:val="single" w:color="auto" w:sz="12"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bCs/>
                <w:color w:val="000000"/>
                <w:sz w:val="24"/>
                <w:szCs w:val="24"/>
              </w:rPr>
              <w:t>会议系统、门禁系统、空调新风、操作控制台、灯光系统、地板</w:t>
            </w:r>
            <w:r>
              <w:rPr>
                <w:rFonts w:hint="eastAsia" w:ascii="宋体" w:hAnsi="宋体" w:eastAsia="宋体" w:cs="宋体"/>
                <w:bCs/>
                <w:color w:val="000000"/>
                <w:sz w:val="24"/>
                <w:szCs w:val="24"/>
                <w:lang w:eastAsia="zh-CN"/>
              </w:rPr>
              <w:t>及</w:t>
            </w:r>
            <w:r>
              <w:rPr>
                <w:rFonts w:hint="eastAsia" w:ascii="宋体" w:hAnsi="宋体" w:eastAsia="宋体" w:cs="宋体"/>
                <w:bCs/>
                <w:color w:val="000000"/>
                <w:sz w:val="24"/>
                <w:szCs w:val="24"/>
                <w:lang w:val="en-US" w:eastAsia="zh-CN"/>
              </w:rPr>
              <w:t>指挥中心大厅</w:t>
            </w:r>
            <w:r>
              <w:rPr>
                <w:rFonts w:hint="eastAsia" w:ascii="宋体" w:hAnsi="宋体" w:eastAsia="宋体" w:cs="宋体"/>
                <w:bCs/>
                <w:color w:val="000000"/>
                <w:sz w:val="24"/>
                <w:szCs w:val="24"/>
              </w:rPr>
              <w:t>等，指挥中心自建机房维护包括：大队自建服务器、网络交换传输及配套设备</w:t>
            </w:r>
            <w:r>
              <w:rPr>
                <w:rFonts w:hint="eastAsia" w:ascii="宋体" w:hAnsi="宋体" w:eastAsia="宋体" w:cs="宋体"/>
                <w:bCs/>
                <w:color w:val="000000"/>
                <w:sz w:val="24"/>
                <w:szCs w:val="24"/>
                <w:lang w:val="en-US" w:eastAsia="zh-CN"/>
              </w:rPr>
              <w:t>维护</w:t>
            </w:r>
          </w:p>
        </w:tc>
        <w:tc>
          <w:tcPr>
            <w:tcW w:w="1395" w:type="dxa"/>
            <w:tcBorders>
              <w:top w:val="nil"/>
              <w:left w:val="nil"/>
              <w:bottom w:val="single" w:color="auto" w:sz="12"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val="0"/>
          <w:bCs w:val="0"/>
          <w:color w:val="000000"/>
          <w:sz w:val="24"/>
          <w:szCs w:val="21"/>
          <w:lang w:val="zh-TW" w:eastAsia="zh-TW"/>
        </w:rPr>
      </w:pPr>
      <w:bookmarkStart w:id="130" w:name="_Toc110204692"/>
      <w:bookmarkStart w:id="131" w:name="_Toc110205506"/>
      <w:bookmarkStart w:id="132" w:name="_Toc110229207"/>
      <w:bookmarkStart w:id="133" w:name="_Toc9777"/>
      <w:bookmarkStart w:id="134" w:name="_Toc29991"/>
      <w:bookmarkStart w:id="135" w:name="_Toc114663098"/>
      <w:bookmarkStart w:id="136" w:name="_Toc116368810"/>
      <w:bookmarkStart w:id="137" w:name="_Toc114419354"/>
      <w:bookmarkStart w:id="138" w:name="_Toc11569"/>
      <w:bookmarkStart w:id="139" w:name="_Toc114597543"/>
      <w:bookmarkStart w:id="140" w:name="_Toc114739386"/>
      <w:bookmarkStart w:id="141" w:name="_Toc116728239"/>
      <w:bookmarkStart w:id="142" w:name="_Toc26709"/>
      <w:bookmarkStart w:id="143" w:name="_Toc116728116"/>
      <w:bookmarkStart w:id="144" w:name="_Toc116728373"/>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w:t>
      </w:r>
      <w:bookmarkEnd w:id="130"/>
      <w:bookmarkEnd w:id="131"/>
      <w:bookmarkEnd w:id="132"/>
      <w:r>
        <w:rPr>
          <w:rFonts w:hint="eastAsia" w:ascii="宋体" w:hAnsi="宋体" w:eastAsia="宋体" w:cs="宋体"/>
          <w:b/>
          <w:bCs/>
          <w:color w:val="000000"/>
          <w:sz w:val="24"/>
          <w:szCs w:val="21"/>
          <w:lang w:val="zh-TW" w:eastAsia="zh-TW"/>
        </w:rPr>
        <w:t>4智能交通指挥中心</w:t>
      </w:r>
      <w:bookmarkStart w:id="145" w:name="_Hlk114594203"/>
      <w:r>
        <w:rPr>
          <w:rFonts w:hint="eastAsia" w:ascii="宋体" w:hAnsi="宋体" w:eastAsia="宋体" w:cs="宋体"/>
          <w:b/>
          <w:bCs/>
          <w:color w:val="000000"/>
          <w:sz w:val="24"/>
          <w:szCs w:val="21"/>
          <w:lang w:val="en-US" w:eastAsia="zh-CN"/>
        </w:rPr>
        <w:t>车辆</w:t>
      </w:r>
      <w:r>
        <w:rPr>
          <w:rFonts w:hint="eastAsia" w:ascii="宋体" w:hAnsi="宋体" w:eastAsia="宋体" w:cs="宋体"/>
          <w:b/>
          <w:bCs/>
          <w:color w:val="000000"/>
          <w:sz w:val="24"/>
          <w:szCs w:val="21"/>
          <w:lang w:val="zh-TW" w:eastAsia="zh-TW"/>
        </w:rPr>
        <w:t>分析</w:t>
      </w:r>
      <w:r>
        <w:rPr>
          <w:rFonts w:hint="eastAsia" w:ascii="宋体" w:hAnsi="宋体" w:eastAsia="宋体" w:cs="宋体"/>
          <w:b/>
          <w:bCs/>
          <w:color w:val="000000"/>
          <w:sz w:val="24"/>
          <w:szCs w:val="21"/>
          <w:lang w:val="en-US" w:eastAsia="zh-CN"/>
        </w:rPr>
        <w:t>应用</w:t>
      </w:r>
      <w:r>
        <w:rPr>
          <w:rFonts w:hint="eastAsia" w:ascii="宋体" w:hAnsi="宋体" w:eastAsia="宋体" w:cs="宋体"/>
          <w:b/>
          <w:bCs/>
          <w:color w:val="000000"/>
          <w:sz w:val="24"/>
          <w:szCs w:val="21"/>
          <w:lang w:val="zh-TW" w:eastAsia="zh-TW"/>
        </w:rPr>
        <w:t>、信号配时与交通组织服务</w:t>
      </w:r>
      <w:bookmarkEnd w:id="133"/>
      <w:bookmarkEnd w:id="134"/>
      <w:bookmarkEnd w:id="135"/>
      <w:bookmarkEnd w:id="136"/>
      <w:bookmarkEnd w:id="137"/>
      <w:bookmarkEnd w:id="138"/>
      <w:bookmarkEnd w:id="139"/>
      <w:bookmarkEnd w:id="140"/>
      <w:bookmarkEnd w:id="141"/>
      <w:bookmarkEnd w:id="142"/>
      <w:bookmarkEnd w:id="143"/>
      <w:bookmarkEnd w:id="144"/>
      <w:bookmarkEnd w:id="145"/>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指挥中心</w:t>
      </w:r>
      <w:r>
        <w:rPr>
          <w:rFonts w:hint="eastAsia" w:ascii="宋体" w:hAnsi="宋体" w:eastAsia="宋体" w:cs="宋体"/>
          <w:b w:val="0"/>
          <w:bCs w:val="0"/>
          <w:color w:val="000000"/>
          <w:sz w:val="24"/>
          <w:szCs w:val="21"/>
          <w:lang w:val="en-US" w:eastAsia="zh-CN"/>
        </w:rPr>
        <w:t>车辆</w:t>
      </w:r>
      <w:r>
        <w:rPr>
          <w:rFonts w:hint="eastAsia" w:ascii="宋体" w:hAnsi="宋体" w:eastAsia="宋体" w:cs="宋体"/>
          <w:b w:val="0"/>
          <w:bCs w:val="0"/>
          <w:color w:val="000000"/>
          <w:sz w:val="24"/>
          <w:szCs w:val="21"/>
          <w:lang w:val="zh-TW" w:eastAsia="zh-TW"/>
        </w:rPr>
        <w:t>分析</w:t>
      </w:r>
      <w:r>
        <w:rPr>
          <w:rFonts w:hint="eastAsia" w:ascii="宋体" w:hAnsi="宋体" w:eastAsia="宋体" w:cs="宋体"/>
          <w:b w:val="0"/>
          <w:bCs w:val="0"/>
          <w:color w:val="000000"/>
          <w:sz w:val="24"/>
          <w:szCs w:val="21"/>
          <w:lang w:val="en-US" w:eastAsia="zh-CN"/>
        </w:rPr>
        <w:t>应用</w:t>
      </w:r>
      <w:r>
        <w:rPr>
          <w:rFonts w:hint="eastAsia" w:ascii="宋体" w:hAnsi="宋体" w:eastAsia="宋体" w:cs="宋体"/>
          <w:b w:val="0"/>
          <w:bCs w:val="0"/>
          <w:color w:val="000000"/>
          <w:sz w:val="24"/>
          <w:szCs w:val="21"/>
          <w:lang w:val="zh-TW" w:eastAsia="zh-TW"/>
        </w:rPr>
        <w:t>、信号配时与交通组织服务内容详见表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-6：</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 xml:space="preserve">-6  </w:t>
      </w:r>
      <w:r>
        <w:rPr>
          <w:rFonts w:hint="eastAsia" w:ascii="宋体" w:hAnsi="宋体" w:eastAsia="宋体" w:cs="宋体"/>
          <w:b w:val="0"/>
          <w:bCs w:val="0"/>
          <w:color w:val="000000"/>
          <w:sz w:val="24"/>
          <w:szCs w:val="21"/>
          <w:lang w:val="en-US" w:eastAsia="zh-CN"/>
        </w:rPr>
        <w:t>车辆</w:t>
      </w:r>
      <w:r>
        <w:rPr>
          <w:rFonts w:hint="eastAsia" w:ascii="宋体" w:hAnsi="宋体" w:eastAsia="宋体" w:cs="宋体"/>
          <w:b w:val="0"/>
          <w:bCs w:val="0"/>
          <w:color w:val="000000"/>
          <w:sz w:val="24"/>
          <w:szCs w:val="21"/>
          <w:lang w:val="zh-TW" w:eastAsia="zh-TW"/>
        </w:rPr>
        <w:t>分析</w:t>
      </w:r>
      <w:r>
        <w:rPr>
          <w:rFonts w:hint="eastAsia" w:ascii="宋体" w:hAnsi="宋体" w:eastAsia="宋体" w:cs="宋体"/>
          <w:b w:val="0"/>
          <w:bCs w:val="0"/>
          <w:color w:val="000000"/>
          <w:sz w:val="24"/>
          <w:szCs w:val="21"/>
          <w:lang w:val="en-US" w:eastAsia="zh-CN"/>
        </w:rPr>
        <w:t>应用</w:t>
      </w:r>
      <w:r>
        <w:rPr>
          <w:rFonts w:hint="eastAsia" w:ascii="宋体" w:hAnsi="宋体" w:eastAsia="宋体" w:cs="宋体"/>
          <w:b w:val="0"/>
          <w:bCs w:val="0"/>
          <w:color w:val="000000"/>
          <w:sz w:val="24"/>
          <w:szCs w:val="21"/>
          <w:lang w:val="zh-TW" w:eastAsia="zh-TW"/>
        </w:rPr>
        <w:t>、信号配时与交通组织服务内容</w:t>
      </w:r>
    </w:p>
    <w:tbl>
      <w:tblPr>
        <w:tblStyle w:val="51"/>
        <w:tblW w:w="0" w:type="auto"/>
        <w:tblInd w:w="-5"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2749"/>
        <w:gridCol w:w="729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291" w:type="dxa"/>
            <w:noWrap w:val="0"/>
            <w:tcMar>
              <w:top w:w="10" w:type="dxa"/>
              <w:left w:w="10" w:type="dxa"/>
              <w:right w:w="10" w:type="dxa"/>
            </w:tcMar>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服务内容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车辆</w:t>
            </w:r>
            <w:r>
              <w:rPr>
                <w:rFonts w:hint="eastAsia" w:ascii="宋体" w:hAnsi="宋体" w:eastAsia="宋体" w:cs="宋体"/>
                <w:color w:val="000000"/>
                <w:kern w:val="0"/>
                <w:szCs w:val="21"/>
              </w:rPr>
              <w:t>分析应用</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w:t>
            </w:r>
            <w:r>
              <w:rPr>
                <w:rFonts w:hint="eastAsia" w:ascii="宋体" w:hAnsi="宋体" w:eastAsia="宋体" w:cs="宋体"/>
                <w:color w:val="000000"/>
                <w:kern w:val="0"/>
                <w:szCs w:val="21"/>
                <w:lang w:val="en-US" w:eastAsia="zh-CN"/>
              </w:rPr>
              <w:t>车辆画像</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车流量数据分析应用</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路口车流失衡预测等，</w:t>
            </w:r>
            <w:r>
              <w:rPr>
                <w:rFonts w:hint="eastAsia" w:ascii="宋体" w:hAnsi="宋体" w:eastAsia="宋体" w:cs="宋体"/>
                <w:color w:val="000000"/>
                <w:kern w:val="0"/>
                <w:szCs w:val="21"/>
              </w:rPr>
              <w:t>主持智能交通数据中心和实战应用平台把控工作，主持智能交通数据中心整合工作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地理信息系统</w:t>
            </w:r>
            <w:r>
              <w:rPr>
                <w:rFonts w:hint="eastAsia" w:ascii="宋体" w:hAnsi="宋体" w:eastAsia="宋体" w:cs="宋体"/>
                <w:color w:val="000000"/>
                <w:kern w:val="0"/>
                <w:szCs w:val="21"/>
              </w:rPr>
              <w:t>管理</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GIS相关工程软件设计开发、技术档编写，从事地理信息数据库的建设工作，GIS、测绘、遥感等相关专业本科以上。地理信息系统维护，主持开展智能交通地理信息系统，数据整理、入库、分析工作以及撰写相关文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网络安全管理</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负责数据中心、机房、外场设备、对外主干链路网络规划设计、优化，负责智能交通网络安全设计管理及数据交互平台管理，负责虚拟化云平台资源分配、维护管理工作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高级信号控制服务</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负责信号配时服务项目管理；2）负责服务区域内的团队建设与人才培养；3）负责信号控制的整体方案设计、算法流程、数据结构设计；4）负责项目交通调查、交通组织优化、交通管理咨询工作；5）负责完成算法设计、开发和测试及相关技术文档的撰写。6)负责全市整体交通运行状态监测，重大事件现场决策；7）全面掌握配时中心各岗位工作情况，审核处置各组上报信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普通</w:t>
            </w:r>
            <w:r>
              <w:rPr>
                <w:rFonts w:hint="eastAsia" w:ascii="宋体" w:hAnsi="宋体" w:eastAsia="宋体" w:cs="宋体"/>
                <w:color w:val="000000"/>
                <w:kern w:val="0"/>
                <w:szCs w:val="21"/>
              </w:rPr>
              <w:t>信号控制服务</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负责城市交通调研、问题分析工作;2）负责信号配时；3）开展交通信号日常优化工作和信号控制保障工作；4）与用户沟通，收集分析用户需求，提供并汇报解决方案；5）负责信号控制相关软硬件的维护升级工作; 6)负责新增路口信息收集、核对和录入交通信号控制系统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基础信号控制服务</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1）熟悉交通区域内道路网结构、区域整体交通状况以及信号控制路口配时方案、配置参数、路口渠化；2)负责排查工作中系统巡查和视频巡查； 3）负责专项保障任务调控预案制作以及保障期间信号配时调控工作，大型保障任务、警卫任务4）负责区域内道路网、路口渠化等交通数据的更新、维护和管理</w:t>
            </w:r>
          </w:p>
        </w:tc>
      </w:tr>
    </w:tbl>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bookmarkStart w:id="146" w:name="_Toc117256084"/>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.2维护服务工作要求与考核</w:t>
      </w:r>
      <w:bookmarkEnd w:id="146"/>
    </w:p>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bookmarkStart w:id="147" w:name="_Toc114597545"/>
      <w:bookmarkStart w:id="148" w:name="_Toc116728375"/>
      <w:bookmarkStart w:id="149" w:name="_Toc114663100"/>
      <w:bookmarkStart w:id="150" w:name="_Toc25421"/>
      <w:bookmarkStart w:id="151" w:name="_Toc5819"/>
      <w:bookmarkStart w:id="152" w:name="_Toc116728118"/>
      <w:bookmarkStart w:id="153" w:name="_Toc110205508"/>
      <w:bookmarkStart w:id="154" w:name="_Toc110229209"/>
      <w:bookmarkStart w:id="155" w:name="_Toc114739388"/>
      <w:bookmarkStart w:id="156" w:name="_Toc116368812"/>
      <w:bookmarkStart w:id="157" w:name="_Toc4873"/>
      <w:bookmarkStart w:id="158" w:name="_Toc114419356"/>
      <w:bookmarkStart w:id="159" w:name="_Toc110204694"/>
      <w:bookmarkStart w:id="160" w:name="_Toc9256"/>
      <w:bookmarkStart w:id="161" w:name="_Toc116728241"/>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.2.1前端设施设备维护工作要求</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1</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交通信号设施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2</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道路监控设施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（4）每年重要节假日（“五一”、“十一”等）、大型活动期间，特定巡检、维修、维护、清洁、保养。重大活动现场保障人员参与现场保障。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3</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电子警察等非现场执法设施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（2）维护点7×24小时正常运行，违法数据的安全存储、备份。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（3）接交警大队通知后在规定工期内能完成指定路口的调整改造任务。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4</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交通诱导设施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5</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智能卡口设施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号牌全牌识别准确率白天及晚上均需达到要求。车辆识别应具有车牌识别、车辆类型、车辆颜色识别、车标识别、车辆子品牌等功能，拍头式卡口要求清晰分辨前排司乘人员图像，拍尾式卡口要求完整反映车尾特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62" w:name="_Toc114739389"/>
      <w:bookmarkStart w:id="163" w:name="_Toc20222"/>
      <w:bookmarkStart w:id="164" w:name="_Toc116728119"/>
      <w:bookmarkStart w:id="165" w:name="_Toc114597546"/>
      <w:bookmarkStart w:id="166" w:name="_Toc116728242"/>
      <w:bookmarkStart w:id="167" w:name="_Toc15585"/>
      <w:bookmarkStart w:id="168" w:name="_Toc116728376"/>
      <w:bookmarkStart w:id="169" w:name="_Toc114663101"/>
      <w:bookmarkStart w:id="170" w:name="_Toc18523"/>
      <w:bookmarkStart w:id="171" w:name="_Toc116368813"/>
      <w:bookmarkStart w:id="172" w:name="_Toc17080"/>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.2.2维护工作备品备件要求</w:t>
      </w:r>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按GA/T 1043—2013《道路交通技术监控设备运行维护规范》6.4条的要求，维护服务实施单位根据实际的维护的工作内容，应备有道路交通技术监控设备的关键零部件、易损易耗件。包括抓拍单元、球机、补光灯、闪光灯、控制主机、硬盘录像机、硬盘、雷达、交换机、光纤收发器、红灯信号检测器、防雷器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73" w:name="_Toc116728377"/>
      <w:bookmarkStart w:id="174" w:name="_Toc116728243"/>
      <w:bookmarkStart w:id="175" w:name="_Toc116368814"/>
      <w:bookmarkStart w:id="176" w:name="_Toc114597547"/>
      <w:bookmarkStart w:id="177" w:name="_Toc116728120"/>
      <w:bookmarkStart w:id="178" w:name="_Toc18173"/>
      <w:bookmarkStart w:id="179" w:name="_Toc13727"/>
      <w:bookmarkStart w:id="180" w:name="_Toc114739390"/>
      <w:bookmarkStart w:id="181" w:name="_Toc23755"/>
      <w:bookmarkStart w:id="182" w:name="_Toc8304"/>
      <w:bookmarkStart w:id="183" w:name="_Toc114663102"/>
      <w:bookmarkStart w:id="184" w:name="_Toc114419357"/>
      <w:bookmarkStart w:id="185" w:name="_Toc110229210"/>
      <w:bookmarkStart w:id="186" w:name="_Toc110205509"/>
      <w:bookmarkStart w:id="187" w:name="_Toc110204695"/>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.2.3中心系统维护工作要求</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设立7×24小时服务专用电话，做好机房7×24小时值班保障工作。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做好每天一次机房内部温度、湿度、供电等基础设施的巡检工作，并做好登记。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做好机房内部服务器、存储、矩阵、交换机、硬盘录像机、光端机等硬件设备的巡检、故障排除、故障修复工作并做好登记。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做好机房、仓库的管理工作和设备出入登记，并及时更新库存清单。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做好新建（或迁改）智能交通系统机房接入工作，核对工程量清单，完成项目所附设备出入库工作，并做好新建项目的资料归档统计工作。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按要求完成大数据精准协同管控平台等中心系统软件平台维护工作，确保系统平台稳定运行。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7</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按要求完成网络通信系统的日常巡检、故障分析、网络安全事件防范工作，做好网络故障应急抢修和反馈。</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8</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做好各系统数据的安全存储、交互，按要求实时监测、分析数据存储的可靠性，交互的及时性。</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9</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按要求完成信号控制系统的巡检、故障修复工作，协助开展信号控制配时优化工作。配合外场道路施工信号控制系统的优化移位工作。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10</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做好大型会议、活动期间各现场交通信号管控保障、科技设备搭建调试及通讯保障任务。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88" w:name="_Toc116728378"/>
      <w:bookmarkStart w:id="189" w:name="_Toc26818"/>
      <w:bookmarkStart w:id="190" w:name="_Toc2145"/>
      <w:bookmarkStart w:id="191" w:name="_Toc22005"/>
      <w:bookmarkStart w:id="192" w:name="_Toc11505"/>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.2.4运维流程与职责</w:t>
      </w:r>
      <w:bookmarkEnd w:id="188"/>
      <w:bookmarkEnd w:id="189"/>
      <w:bookmarkEnd w:id="190"/>
      <w:bookmarkEnd w:id="191"/>
      <w:bookmarkEnd w:id="192"/>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运维工作流程：</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运维工作主要包括设备（软件）故障维护修复和工程抢修两个方面，其中设备（软件）故障维护修复主要来源于三个维度：</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自动检测故障：通过运维系统检测实时在线率、数据传输延时监测，视频完好率、图像质量达标率、卡口过车图片完好率、录像完整率、码流统计、丢包率、服务器在线率、存储节点完好率，中心设备在线率等，自动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人工巡检：人工巡包括在线巡检和现场巡检。在线巡检包括人工视频、图像质量判别，监控画面远程设备巡检，以及网络传输、安全、存储、虚拟化集群、系统软件等进行在线巡检。现场巡检包括对前端信号灯、信号机、电子警察、卡口、道路监控、交通诱导屏、测速仪等，以及中心机房交换机、各类传输设备、服务器、存储、安全设备、UPS、供电设备、线缆等进行现场人工巡查。发现故障后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其他：通过其他渠道上报受理产生的工单，包括市民热线、微信公众号等。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运维单位需要开展工程抢修的，对问题上报、审批、受理、施工维护、问题反馈等进行全面管理，具体详见图</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w:t>
      </w:r>
    </w:p>
    <w:p>
      <w:pPr>
        <w:adjustRightInd w:val="0"/>
        <w:snapToGrid w:val="0"/>
        <w:spacing w:line="360" w:lineRule="auto"/>
        <w:ind w:firstLine="420" w:firstLineChars="200"/>
        <w:jc w:val="center"/>
        <w:rPr>
          <w:rFonts w:hint="eastAsia" w:ascii="宋体" w:hAnsi="宋体" w:eastAsia="宋体" w:cs="宋体"/>
          <w:color w:val="000000"/>
          <w:sz w:val="28"/>
          <w:szCs w:val="28"/>
        </w:rPr>
      </w:pPr>
      <w:r>
        <w:rPr>
          <w:rFonts w:hint="eastAsia" w:ascii="宋体" w:hAnsi="宋体" w:eastAsia="宋体" w:cs="宋体"/>
          <w:color w:val="000000"/>
          <w:szCs w:val="24"/>
        </w:rPr>
        <w:drawing>
          <wp:inline distT="0" distB="0" distL="114300" distR="114300">
            <wp:extent cx="5810250" cy="6578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810250" cy="6578600"/>
                    </a:xfrm>
                    <a:prstGeom prst="rect">
                      <a:avLst/>
                    </a:prstGeom>
                    <a:noFill/>
                    <a:ln>
                      <a:noFill/>
                    </a:ln>
                  </pic:spPr>
                </pic:pic>
              </a:graphicData>
            </a:graphic>
          </wp:inline>
        </w:drawing>
      </w:r>
    </w:p>
    <w:p>
      <w:pPr>
        <w:adjustRightInd w:val="0"/>
        <w:snapToGrid w:val="0"/>
        <w:spacing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图</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-1   运维流程图</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运维单位根据服务内容编制维护计划，建立设备及维护档案，按照服务内容执行日常巡检、故障抢修等工作，接受实施单位的监督和考核；</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服务期内设备的质保、备件的提供、更换、调试由运维单位负责，根据设备实际使用维护情况，运维单位提出设备报废更新申请，实施单位根据实际情况予以报废更新或提供相应解决方案。因不可抗力造成的设备损坏需更换设备、迁改由实施单位负责；</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实施单位故障通过专人向运维单位专线保障平台或专职客户经理进行申报，运维单位接到报障后区分是否系统故障，系统故障通过故障工单系统下达维护指令。维护人员接到维护指令后因迅速派遣专人在约定时间抵达故障现场处理故障，故障处理完后做好相关记录，并向故障工单系统申请撤障。故障工单系统工作人员接到销障请求后与甲方确认故障是否解决，并全程记录故障处理时间和相关信息；</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运维单位实行定期检查和巡检制度，定时向甲方提供维护周报，实施单位根据周报内容不定期召集维护相关各方，解决维护问题、努力提高正常使用率；</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运维单位指定专人负责甲方故障申报和故障处理，及时向实施单位反馈故障处理进度，并与甲方核对销障，全程记录故障处理情况；实施单位可随时检查运维单位故障处理记录和日常维护台账，并提出整改意见。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93" w:name="_Toc5456"/>
      <w:bookmarkStart w:id="194" w:name="_Toc28642"/>
      <w:bookmarkStart w:id="195" w:name="_Toc116728379"/>
      <w:bookmarkStart w:id="196" w:name="_Toc30808"/>
      <w:bookmarkStart w:id="197" w:name="_Toc593"/>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.2.5运维标准与考核办法</w:t>
      </w:r>
      <w:bookmarkEnd w:id="193"/>
      <w:bookmarkEnd w:id="194"/>
      <w:bookmarkEnd w:id="195"/>
      <w:bookmarkEnd w:id="196"/>
      <w:bookmarkEnd w:id="197"/>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运维标准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（1）运维单位在维护工作实施当中，应符合实施单位的相关要求，为实施单位提供相应的维护工作和技术服务工作。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运维标准：运维单位实行7×24小时专人值班制，提供热线服务电话，接收实施单位故障申告；运维单位在接到故障通知后，15分钟内响应，环城路以内45分钟、环城路以外90分钟内到达现场，一般故障24小时内解决；特殊障碍（如不可抗力或严重毁损）一周内完成；因不可抗拒原因发生设备停用情况，可延长至15日，但不得超过15日；实施单位通知停止使用或移位情况除外。故障的开始时间以甲方申告记载并经运维单位记录确认的时间为准，故障消除时间以双方确认的时间为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bookmarkStart w:id="198" w:name="_Toc16734"/>
      <w:bookmarkStart w:id="199" w:name="_Toc114597550"/>
      <w:bookmarkStart w:id="200" w:name="_Toc23995"/>
      <w:bookmarkStart w:id="201" w:name="_Toc110229217"/>
      <w:bookmarkStart w:id="202" w:name="_Toc116728123"/>
      <w:bookmarkStart w:id="203" w:name="_Toc110205516"/>
      <w:bookmarkStart w:id="204" w:name="_Toc22852"/>
      <w:bookmarkStart w:id="205" w:name="_Toc114663105"/>
      <w:bookmarkStart w:id="206" w:name="_Toc114419360"/>
      <w:bookmarkStart w:id="207" w:name="_Toc114739393"/>
      <w:bookmarkStart w:id="208" w:name="_Toc19398"/>
      <w:bookmarkStart w:id="209" w:name="_Toc109667305"/>
      <w:bookmarkStart w:id="210" w:name="_Toc110204702"/>
      <w:bookmarkStart w:id="211" w:name="_Toc116728380"/>
      <w:bookmarkStart w:id="212" w:name="_Toc116368817"/>
      <w:bookmarkStart w:id="213" w:name="_Toc116728246"/>
      <w:r>
        <w:rPr>
          <w:rFonts w:hint="eastAsia" w:ascii="宋体" w:hAnsi="宋体" w:eastAsia="宋体" w:cs="宋体"/>
          <w:b w:val="0"/>
          <w:bCs w:val="0"/>
          <w:color w:val="000000"/>
          <w:sz w:val="24"/>
          <w:szCs w:val="21"/>
          <w:lang w:val="zh-TW" w:eastAsia="zh-TW"/>
        </w:rPr>
        <w:t>2</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设备使用率、故障响应等级、不可抗力定义</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（1）设备使用率的定义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故障通道在故障修复的规定时间内恢复，该通道当次可使用率为100%；故障通道未在故障修复规定时间内恢复，该通道当次可使用率为0%（使用率24小时按单通道计算，24小时内修复正常，使用率为100%，超过24小时修复的，使用率为0%，因不可抗拒因素（如天气）照成的无法修复故障的情况，不计入修复时间，从因素消除起重新计算故障修复时间）。</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（2）故障响应等级定义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-7 故障响应等级定义表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203"/>
        <w:gridCol w:w="574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特级故障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1、数据中心瘫痪，关键功能模块无法使用；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2、网络核心层故障，平台、存储、服务器不在线；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3、存储系统故障造成的图像数据丢失、无法存储；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4、信号控制系统故障引起的交通瘫痪、拥堵；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5、其他紧急情况，大型活动、重大事件等。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严重故障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1、平台管理系统可使用，但功能模块无法全部实现；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2、网络接入层、汇聚层故障，各子系统数据图像无法上传；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3、机房环境不达标，空调、UPS等故障导致无法运行；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4、前端设备不在线或图片、录像等数据丢失超过24小时；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5、重要路口主干道路、早晚高峰信号灯故障。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1、前端设备不在线或图片、录像等数据丢失；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2、图片、录像等数据质量差、响应时间慢；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3、信号灯故障（除严重故障等级以外的）；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4、其他一般性故障。</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（3）不可抗力定义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-8  不可抗力定义表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84"/>
        <w:gridCol w:w="621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天气原因造成的无法及时维护；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区域网络瘫痪、中断、延时、黑客攻击；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区域电力瘫痪、中断；</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道路施工、拆迁、围挡等城市建设导致的设备或系统故障；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雷电、低温、冻土、干旱、地震、火山爆发、滑坡、水灾、火灾、暴雨、暴雪、海啸、洪水、台风或任何其它自然灾害；</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非本项目中的信息、数据、视频等来源缺失或故障；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政治等不可抗力，即超出可控范围内的重大法律、政策等变更。</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bookmarkStart w:id="214" w:name="_Toc114739394"/>
      <w:bookmarkStart w:id="215" w:name="_Toc116728247"/>
      <w:bookmarkStart w:id="216" w:name="_Toc22684"/>
      <w:bookmarkStart w:id="217" w:name="_Toc14329"/>
      <w:bookmarkStart w:id="218" w:name="_Toc114663106"/>
      <w:bookmarkStart w:id="219" w:name="_Toc116728124"/>
      <w:bookmarkStart w:id="220" w:name="_Toc116728381"/>
      <w:bookmarkStart w:id="221" w:name="_Toc114419361"/>
      <w:bookmarkStart w:id="222" w:name="_Toc23838"/>
      <w:bookmarkStart w:id="223" w:name="_Toc114597551"/>
      <w:bookmarkStart w:id="224" w:name="_Toc116368818"/>
      <w:bookmarkStart w:id="225" w:name="_Toc19793"/>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运维考核办法</w:t>
      </w:r>
      <w:bookmarkEnd w:id="214"/>
      <w:bookmarkEnd w:id="215"/>
      <w:bookmarkEnd w:id="216"/>
      <w:bookmarkEnd w:id="217"/>
      <w:bookmarkEnd w:id="218"/>
      <w:bookmarkEnd w:id="219"/>
      <w:bookmarkEnd w:id="220"/>
      <w:bookmarkEnd w:id="221"/>
      <w:bookmarkEnd w:id="222"/>
      <w:bookmarkEnd w:id="223"/>
      <w:bookmarkEnd w:id="224"/>
      <w:bookmarkEnd w:id="225"/>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考核内容包含整体完好率（设备使用率）考核与日常维护工作考核（日常工作考核、系统及平台考核、其他考核）；整体完好率考核以月为周期进行考核，日常维护工作考核以天为周期进行考核，考核结果由实施单位或者运维监理单位提交，并由运维单位确认。</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（2）考核运维服务费用计算办法：在以整体完好率（设备使用率）考核运维服务费用基础上，减除日常维护工作考核工作服务扣除费用，日常维护考核中扣除的费用；整体完好率考核详见表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-9、日常维护工作考核详见表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-10、</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-11、</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-12：</w:t>
      </w:r>
    </w:p>
    <w:p>
      <w:pPr>
        <w:pStyle w:val="2"/>
        <w:spacing w:line="360" w:lineRule="auto"/>
        <w:ind w:firstLine="480" w:firstLineChars="200"/>
        <w:jc w:val="left"/>
        <w:rPr>
          <w:rFonts w:hint="default" w:eastAsia="宋体"/>
          <w:color w:val="000000"/>
          <w:sz w:val="24"/>
          <w:szCs w:val="24"/>
          <w:lang w:val="en-US" w:eastAsia="zh-CN"/>
        </w:rPr>
      </w:pP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3</w:t>
      </w: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前端</w:t>
      </w:r>
      <w:r>
        <w:rPr>
          <w:rFonts w:hint="eastAsia" w:eastAsia="宋体" w:cs="宋体"/>
          <w:b w:val="0"/>
          <w:bCs w:val="0"/>
          <w:color w:val="000000"/>
          <w:kern w:val="2"/>
          <w:sz w:val="24"/>
          <w:szCs w:val="21"/>
          <w:lang w:val="en-US" w:eastAsia="zh-CN" w:bidi="ar-SA"/>
        </w:rPr>
        <w:t>系统</w:t>
      </w:r>
      <w:r>
        <w:rPr>
          <w:rFonts w:hint="eastAsia" w:ascii="宋体" w:hAnsi="宋体" w:eastAsia="宋体" w:cs="宋体"/>
          <w:b w:val="0"/>
          <w:bCs w:val="0"/>
          <w:color w:val="000000"/>
          <w:kern w:val="2"/>
          <w:sz w:val="24"/>
          <w:szCs w:val="21"/>
          <w:lang w:val="en-US" w:eastAsia="zh-CN" w:bidi="ar-SA"/>
        </w:rPr>
        <w:t>维护考核以中标人各系统投标</w:t>
      </w:r>
      <w:r>
        <w:rPr>
          <w:rFonts w:hint="eastAsia" w:eastAsia="宋体" w:cs="宋体"/>
          <w:b w:val="0"/>
          <w:bCs w:val="0"/>
          <w:color w:val="000000"/>
          <w:kern w:val="2"/>
          <w:sz w:val="24"/>
          <w:szCs w:val="21"/>
          <w:lang w:val="en-US" w:eastAsia="zh-CN" w:bidi="ar-SA"/>
        </w:rPr>
        <w:t>总</w:t>
      </w:r>
      <w:r>
        <w:rPr>
          <w:rFonts w:hint="eastAsia" w:ascii="宋体" w:hAnsi="宋体" w:eastAsia="宋体" w:cs="宋体"/>
          <w:b w:val="0"/>
          <w:bCs w:val="0"/>
          <w:color w:val="000000"/>
          <w:kern w:val="2"/>
          <w:sz w:val="24"/>
          <w:szCs w:val="21"/>
          <w:lang w:val="en-US" w:eastAsia="zh-CN" w:bidi="ar-SA"/>
        </w:rPr>
        <w:t>报价</w:t>
      </w:r>
      <w:r>
        <w:rPr>
          <w:rFonts w:hint="eastAsia" w:eastAsia="宋体" w:cs="宋体"/>
          <w:b w:val="0"/>
          <w:bCs w:val="0"/>
          <w:color w:val="000000"/>
          <w:kern w:val="2"/>
          <w:sz w:val="24"/>
          <w:szCs w:val="21"/>
          <w:lang w:val="en-US" w:eastAsia="zh-CN" w:bidi="ar-SA"/>
        </w:rPr>
        <w:t>除以各系统的通道数，得出</w:t>
      </w:r>
      <w:r>
        <w:rPr>
          <w:rFonts w:hint="eastAsia" w:ascii="宋体" w:hAnsi="宋体" w:eastAsia="宋体" w:cs="宋体"/>
          <w:b w:val="0"/>
          <w:bCs w:val="0"/>
          <w:color w:val="000000"/>
          <w:kern w:val="2"/>
          <w:sz w:val="24"/>
          <w:szCs w:val="21"/>
          <w:lang w:val="en-US" w:eastAsia="zh-CN" w:bidi="ar-SA"/>
        </w:rPr>
        <w:t>平均单通道维护价作为考核基数。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-9  整体完好率考核表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31"/>
        <w:gridCol w:w="1551"/>
        <w:gridCol w:w="3675"/>
        <w:gridCol w:w="338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631"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51"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评分</w:t>
            </w:r>
          </w:p>
        </w:tc>
        <w:tc>
          <w:tcPr>
            <w:tcW w:w="3675"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3381"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计分办法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4"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设备正常使用率达到98%以上</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考核比例按100%计算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696"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90-98</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设备正常使用率达到90%-98%</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考核比例按照设备正常使用率百分比计算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不合格</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设备正常使用率达到90%以下</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扣除当月考核服务费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69"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主动发现故障率达到60%（所有维护记录录入系统，百分比根据不同阶段予以调整）</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每低于5%扣1%的考核服务费</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-10日常工作考核表（单点考核）</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894"/>
        <w:gridCol w:w="1326"/>
        <w:gridCol w:w="4664"/>
        <w:gridCol w:w="239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28" w:hRule="atLeast"/>
        </w:trPr>
        <w:tc>
          <w:tcPr>
            <w:tcW w:w="894"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26"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4664"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395"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专人值班</w:t>
            </w:r>
          </w:p>
        </w:tc>
        <w:tc>
          <w:tcPr>
            <w:tcW w:w="46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7×24小时（早7点-晚8点为白天模式，晚8点-早7点为夜间模式）</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15分钟以内（夜间原则上只响应严重以上故障，允许补录）</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到达故障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现场时限</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环城路以内45分钟，环城路以外90分钟</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解决时限</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24小时内解决</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室外设备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包括：前端所有设备、树枝修剪、防腐油漆处理、护罩表面清洁、接地电阻的测量、管线、窨井、杆件等，以不影响正常运行为标准，24小时内解决，定期检查外场设备是否符合安全规范及美观要求。</w:t>
            </w:r>
          </w:p>
        </w:tc>
        <w:tc>
          <w:tcPr>
            <w:tcW w:w="23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安全文明</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施工</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现场警示标志、高空作业防护、接电接线规范等</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7</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数据完整</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包括：图片、录像等数据的数量和质量达标率、完整率等</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1"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维护备件</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抓拍单元、球机、补光灯、闪光灯、控制主机、硬盘录像机、硬盘、雷达、交换机、光纤收发器、红灯信号检测器、防雷器等。</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9</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维护人员</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以满足维护工作要求和不少于中标单位投标文件数量配备</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3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10</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维护档案</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完整准确</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维护周报、日志等要求完整、准确、不弄虚作假</w:t>
            </w:r>
          </w:p>
        </w:tc>
        <w:tc>
          <w:tcPr>
            <w:tcW w:w="23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-11  系统及平台考核表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898"/>
        <w:gridCol w:w="1331"/>
        <w:gridCol w:w="5004"/>
        <w:gridCol w:w="208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24" w:hRule="atLeast"/>
        </w:trPr>
        <w:tc>
          <w:tcPr>
            <w:tcW w:w="89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31"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5004"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085"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72"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系统运行</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系统正常运行，各功能模块满足甲方使用要求</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72"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服务器</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4"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存储节点</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4"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02"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软件升级</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每3个月对软件进行维护升级</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-12  其他考核表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709"/>
        <w:gridCol w:w="1559"/>
        <w:gridCol w:w="3745"/>
        <w:gridCol w:w="297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59"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745" w:type="dxa"/>
            <w:noWrap w:val="0"/>
            <w:vAlign w:val="center"/>
          </w:tcPr>
          <w:p>
            <w:pPr>
              <w:widowControl/>
              <w:spacing w:line="36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考核要求</w:t>
            </w:r>
          </w:p>
        </w:tc>
        <w:tc>
          <w:tcPr>
            <w:tcW w:w="2977"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5"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不可抗力预防</w:t>
            </w:r>
          </w:p>
        </w:tc>
        <w:tc>
          <w:tcPr>
            <w:tcW w:w="374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维护单位主动发现、采取措施、跟进，并减少因第三方原因造成的损失的（例：道路改造前及时与施工方对接协调，减少施工影响）</w:t>
            </w:r>
          </w:p>
        </w:tc>
        <w:tc>
          <w:tcPr>
            <w:tcW w:w="2977"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根据具体情况酌情加分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消极待工</w:t>
            </w:r>
          </w:p>
        </w:tc>
        <w:tc>
          <w:tcPr>
            <w:tcW w:w="374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具体内容以甲乙双方及监理方核定</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扣除当</w:t>
            </w:r>
            <w:r>
              <w:rPr>
                <w:rFonts w:hint="eastAsia" w:ascii="宋体" w:hAnsi="宋体" w:eastAsia="宋体" w:cs="宋体"/>
                <w:color w:val="000000"/>
                <w:kern w:val="0"/>
                <w:szCs w:val="21"/>
                <w:lang w:eastAsia="zh-CN"/>
              </w:rPr>
              <w:t>月运维费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设备恢复及时率</w:t>
            </w:r>
          </w:p>
        </w:tc>
        <w:tc>
          <w:tcPr>
            <w:tcW w:w="374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不可抗力消失后，三天内安排设备恢复</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超过三天扣除当</w:t>
            </w:r>
            <w:r>
              <w:rPr>
                <w:rFonts w:hint="eastAsia" w:ascii="宋体" w:hAnsi="宋体" w:eastAsia="宋体" w:cs="宋体"/>
                <w:color w:val="000000"/>
                <w:kern w:val="0"/>
                <w:szCs w:val="21"/>
                <w:lang w:eastAsia="zh-CN"/>
              </w:rPr>
              <w:t>月运维费</w:t>
            </w:r>
            <w:r>
              <w:rPr>
                <w:rFonts w:hint="eastAsia" w:ascii="宋体" w:hAnsi="宋体" w:eastAsia="宋体" w:cs="宋体"/>
                <w:color w:val="000000"/>
                <w:kern w:val="0"/>
                <w:szCs w:val="21"/>
              </w:rPr>
              <w:t>，超过15天扣除半</w:t>
            </w:r>
            <w:r>
              <w:rPr>
                <w:rFonts w:hint="eastAsia" w:ascii="宋体" w:hAnsi="宋体" w:eastAsia="宋体" w:cs="宋体"/>
                <w:color w:val="000000"/>
                <w:kern w:val="0"/>
                <w:szCs w:val="21"/>
                <w:lang w:eastAsia="zh-CN"/>
              </w:rPr>
              <w:t>年运维费</w:t>
            </w:r>
            <w:r>
              <w:rPr>
                <w:rFonts w:hint="eastAsia" w:ascii="宋体" w:hAnsi="宋体" w:eastAsia="宋体" w:cs="宋体"/>
                <w:color w:val="000000"/>
                <w:kern w:val="0"/>
                <w:szCs w:val="21"/>
              </w:rPr>
              <w:t>，超过一个月扣除当</w:t>
            </w:r>
            <w:r>
              <w:rPr>
                <w:rFonts w:hint="eastAsia" w:ascii="宋体" w:hAnsi="宋体" w:eastAsia="宋体" w:cs="宋体"/>
                <w:color w:val="000000"/>
                <w:kern w:val="0"/>
                <w:szCs w:val="21"/>
                <w:lang w:eastAsia="zh-CN"/>
              </w:rPr>
              <w:t>年运维费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155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人员到岗率</w:t>
            </w:r>
          </w:p>
        </w:tc>
        <w:tc>
          <w:tcPr>
            <w:tcW w:w="3745" w:type="dxa"/>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少于中标单位投标文件数量配备</w:t>
            </w:r>
            <w:r>
              <w:rPr>
                <w:rFonts w:hint="eastAsia" w:ascii="宋体" w:hAnsi="宋体" w:eastAsia="宋体" w:cs="宋体"/>
                <w:color w:val="000000"/>
                <w:kern w:val="0"/>
                <w:szCs w:val="21"/>
                <w:lang w:val="en-US" w:eastAsia="zh-CN"/>
              </w:rPr>
              <w:t>的</w:t>
            </w:r>
          </w:p>
        </w:tc>
        <w:tc>
          <w:tcPr>
            <w:tcW w:w="297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按到岗率计算当月运维服务费（经采购方认可的除外）</w:t>
            </w:r>
          </w:p>
        </w:tc>
      </w:tr>
    </w:tbl>
    <w:p>
      <w:pPr>
        <w:pStyle w:val="6"/>
        <w:numPr>
          <w:ilvl w:val="0"/>
          <w:numId w:val="0"/>
        </w:numPr>
        <w:spacing w:before="120" w:after="120" w:line="460" w:lineRule="exact"/>
        <w:ind w:leftChars="0"/>
        <w:rPr>
          <w:rFonts w:hint="default" w:ascii="宋体" w:hAnsi="宋体" w:eastAsia="宋体" w:cs="Times New Roman"/>
          <w:b/>
          <w:bCs/>
          <w:color w:val="000000"/>
          <w:sz w:val="28"/>
          <w:szCs w:val="28"/>
          <w:lang w:val="en-US" w:eastAsia="zh-CN"/>
        </w:rPr>
      </w:pPr>
      <w:bookmarkStart w:id="226" w:name="_Toc5414"/>
      <w:bookmarkStart w:id="227" w:name="_Toc25903"/>
      <w:bookmarkStart w:id="228" w:name="_Toc3868"/>
      <w:r>
        <w:rPr>
          <w:rFonts w:hint="eastAsia" w:ascii="宋体" w:hAnsi="宋体" w:eastAsia="宋体" w:cs="Times New Roman"/>
          <w:b/>
          <w:bCs/>
          <w:color w:val="000000"/>
          <w:sz w:val="28"/>
          <w:szCs w:val="28"/>
          <w:lang w:val="en-US" w:eastAsia="zh-CN"/>
        </w:rPr>
        <w:t>二、实施人员、设备要求</w:t>
      </w:r>
      <w:bookmarkEnd w:id="226"/>
      <w:bookmarkEnd w:id="227"/>
      <w:bookmarkEnd w:id="228"/>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bookmarkStart w:id="229" w:name="_Toc14273"/>
      <w:r>
        <w:rPr>
          <w:rFonts w:hint="eastAsia" w:ascii="宋体" w:hAnsi="宋体" w:eastAsia="宋体" w:cs="宋体"/>
          <w:b w:val="0"/>
          <w:bCs w:val="0"/>
          <w:color w:val="000000"/>
          <w:sz w:val="24"/>
          <w:szCs w:val="21"/>
          <w:lang w:val="en-US" w:eastAsia="zh-CN"/>
        </w:rPr>
        <w:t>1.前端、中心应用系统维护人员要求：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1）★中标人需为本项目配备不少于50人的维护人员，投标人须在投标文件中做出承诺；</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2）投标人拟配备的维护人员应该包含具备相应技术能力的管理人员、外场运维人员、应用系统维护人员、通信链路维护人员、驾驶员等，接受采购人管理，配合采购人工作。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2.车辆分析应用、信号配时与交通组织服务人员要求：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车辆分析分析应用不少于1人，研究生及以上学历，三年及以上相关专业工作经验。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地理信息系统管理不少于1人，研究生及以上学历，三年及以上相关专业工作经验。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网络安全管理不少于2人，本科及以上学历，五年及以上智能交通系统工作经验。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高级信号控制服务不少于2人，本科及以上学历，五年及以上交通信号控制管理经验。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普通信号控制服务不少于4人，本科及以上学历，三年及以上交通信号优化工作经验。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基础信号控制服务不少于10人，专科及以上学历，三年及以上交通信号控制工作经验。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3.★中标人配备的车辆分析应用、信号配时与交通组织服务人员须全职驻场采购人指定地点提供服务，且相关人员的专业技能在驻场前应获得采购人的确认，以上内容投标人须在投标文件中做出承诺。</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4.维护工器具要求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★中标人针对本项目投入的登高作业车数量不少于6辆，维护工作车不少于3辆。中标人在合同签订前应提供相应车辆的所有权或使用权佐证，以上内容投标人须在投标文件中做出承诺。</w:t>
      </w:r>
    </w:p>
    <w:bookmarkEnd w:id="229"/>
    <w:p>
      <w:pPr>
        <w:pStyle w:val="6"/>
        <w:numPr>
          <w:ilvl w:val="0"/>
          <w:numId w:val="0"/>
        </w:numPr>
        <w:spacing w:before="120" w:after="120" w:line="460" w:lineRule="exact"/>
        <w:ind w:leftChars="0"/>
        <w:rPr>
          <w:rFonts w:hint="default" w:ascii="宋体" w:hAnsi="宋体" w:eastAsia="宋体" w:cs="Times New Roman"/>
          <w:b/>
          <w:bCs/>
          <w:color w:val="000000"/>
          <w:sz w:val="28"/>
          <w:szCs w:val="28"/>
          <w:lang w:val="en-US" w:eastAsia="zh-CN"/>
        </w:rPr>
      </w:pPr>
      <w:bookmarkStart w:id="230" w:name="_Toc18989"/>
      <w:bookmarkStart w:id="231" w:name="_Toc26622"/>
      <w:bookmarkStart w:id="232" w:name="_Toc11039"/>
      <w:r>
        <w:rPr>
          <w:rFonts w:hint="eastAsia" w:ascii="宋体" w:hAnsi="宋体" w:eastAsia="宋体" w:cs="Times New Roman"/>
          <w:b/>
          <w:bCs/>
          <w:color w:val="000000"/>
          <w:sz w:val="28"/>
          <w:szCs w:val="28"/>
          <w:lang w:val="en-US" w:eastAsia="zh-CN"/>
        </w:rPr>
        <w:t>三、其他工作要求</w:t>
      </w:r>
      <w:bookmarkEnd w:id="230"/>
      <w:bookmarkEnd w:id="231"/>
      <w:bookmarkEnd w:id="232"/>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中标单位在维护期内更换的维护材料包含在本次维护投标报价中。维护材料更换必须与现有设备相</w:t>
      </w:r>
      <w:r>
        <w:rPr>
          <w:rFonts w:hint="eastAsia" w:ascii="宋体" w:hAnsi="宋体" w:eastAsia="宋体" w:cs="宋体"/>
          <w:color w:val="000000"/>
          <w:sz w:val="24"/>
          <w:lang w:val="en-US" w:eastAsia="zh-CN"/>
        </w:rPr>
        <w:t>适</w:t>
      </w:r>
      <w:r>
        <w:rPr>
          <w:rFonts w:hint="eastAsia" w:ascii="宋体" w:hAnsi="宋体" w:eastAsia="宋体" w:cs="宋体"/>
          <w:color w:val="000000"/>
          <w:sz w:val="24"/>
        </w:rPr>
        <w:t>配和符合采购单位实际需求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设备数量、品牌、型号、清单必须定期向采购人报备。</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2.中标单位在设备故障的维修期间，应提供相应的备品备件，保障系统的平稳运行。</w:t>
      </w:r>
      <w:r>
        <w:rPr>
          <w:rFonts w:hint="eastAsia" w:ascii="宋体" w:hAnsi="宋体" w:eastAsia="宋体" w:cs="宋体"/>
          <w:color w:val="000000"/>
          <w:sz w:val="24"/>
        </w:rPr>
        <w:t>维护过程中发生的相关配件、辅材和其他小件设备包括在本项目维护费用中，不另增加任何费用。</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default" w:ascii="宋体" w:hAnsi="宋体" w:eastAsia="宋体" w:cs="宋体"/>
          <w:b w:val="0"/>
          <w:bCs w:val="0"/>
          <w:color w:val="000000"/>
          <w:kern w:val="2"/>
          <w:sz w:val="24"/>
          <w:szCs w:val="24"/>
          <w:lang w:val="en-US" w:eastAsia="zh-CN" w:bidi="ar-SA"/>
        </w:rPr>
        <w:t>在维护期内，前端设备、中心端应用系统</w:t>
      </w:r>
      <w:r>
        <w:rPr>
          <w:rFonts w:hint="eastAsia" w:ascii="宋体" w:hAnsi="宋体" w:eastAsia="宋体" w:cs="宋体"/>
          <w:b w:val="0"/>
          <w:bCs w:val="0"/>
          <w:color w:val="000000"/>
          <w:kern w:val="2"/>
          <w:sz w:val="24"/>
          <w:szCs w:val="24"/>
          <w:lang w:val="en-US" w:eastAsia="zh-CN" w:bidi="ar-SA"/>
        </w:rPr>
        <w:t>等</w:t>
      </w:r>
      <w:r>
        <w:rPr>
          <w:rFonts w:hint="default" w:ascii="宋体" w:hAnsi="宋体" w:eastAsia="宋体" w:cs="宋体"/>
          <w:b w:val="0"/>
          <w:bCs w:val="0"/>
          <w:color w:val="000000"/>
          <w:kern w:val="2"/>
          <w:sz w:val="24"/>
          <w:szCs w:val="24"/>
          <w:lang w:val="en-US" w:eastAsia="zh-CN" w:bidi="ar-SA"/>
        </w:rPr>
        <w:t>因道路迁改、设备更新报废或</w:t>
      </w:r>
      <w:r>
        <w:rPr>
          <w:rFonts w:hint="eastAsia" w:ascii="宋体" w:hAnsi="宋体" w:eastAsia="宋体" w:cs="宋体"/>
          <w:b w:val="0"/>
          <w:bCs w:val="0"/>
          <w:color w:val="000000"/>
          <w:kern w:val="2"/>
          <w:sz w:val="24"/>
          <w:szCs w:val="24"/>
          <w:lang w:val="en-US" w:eastAsia="zh-CN" w:bidi="ar-SA"/>
        </w:rPr>
        <w:t>采购</w:t>
      </w:r>
      <w:r>
        <w:rPr>
          <w:rFonts w:hint="default" w:ascii="宋体" w:hAnsi="宋体" w:eastAsia="宋体" w:cs="宋体"/>
          <w:b w:val="0"/>
          <w:bCs w:val="0"/>
          <w:color w:val="000000"/>
          <w:kern w:val="2"/>
          <w:sz w:val="24"/>
          <w:szCs w:val="24"/>
          <w:lang w:val="en-US" w:eastAsia="zh-CN" w:bidi="ar-SA"/>
        </w:rPr>
        <w:t>人主动要求停止维护的，自停止维护之日起，不再考核、支付相应设备、系统的维护费用。</w:t>
      </w:r>
      <w:r>
        <w:rPr>
          <w:rFonts w:hint="eastAsia" w:ascii="宋体" w:hAnsi="宋体" w:eastAsia="宋体" w:cs="宋体"/>
          <w:color w:val="000000"/>
          <w:sz w:val="24"/>
          <w:lang w:val="en-US" w:eastAsia="zh-CN"/>
        </w:rPr>
        <w:t xml:space="preserve">      </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4.因巡查或整改不到位而产生的人身、财产损害责任由中标人自行承担。</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中标</w:t>
      </w:r>
      <w:r>
        <w:rPr>
          <w:rFonts w:hint="eastAsia" w:ascii="宋体" w:hAnsi="宋体" w:eastAsia="宋体" w:cs="宋体"/>
          <w:color w:val="000000"/>
          <w:sz w:val="24"/>
          <w:lang w:val="en-US" w:eastAsia="zh-CN"/>
        </w:rPr>
        <w:t>单位</w:t>
      </w:r>
      <w:r>
        <w:rPr>
          <w:rFonts w:hint="eastAsia" w:ascii="宋体" w:hAnsi="宋体" w:eastAsia="宋体" w:cs="宋体"/>
          <w:color w:val="000000"/>
          <w:sz w:val="24"/>
        </w:rPr>
        <w:t>承担交通警察大队管理的所有维护</w:t>
      </w:r>
      <w:r>
        <w:rPr>
          <w:rFonts w:hint="eastAsia" w:ascii="宋体" w:hAnsi="宋体" w:eastAsia="宋体" w:cs="宋体"/>
          <w:color w:val="000000"/>
          <w:sz w:val="24"/>
          <w:lang w:val="en-US" w:eastAsia="zh-CN"/>
        </w:rPr>
        <w:t>范围</w:t>
      </w:r>
      <w:r>
        <w:rPr>
          <w:rFonts w:hint="eastAsia" w:ascii="宋体" w:hAnsi="宋体" w:eastAsia="宋体" w:cs="宋体"/>
          <w:color w:val="000000"/>
          <w:sz w:val="24"/>
        </w:rPr>
        <w:t>内智能交通系统内外场设备的统一存放保管工作，并提供固定的拆除、故障设备保管仓库，提供完整的出入库信息，同时建立建全仓管制度，做好防盗、防水等安全措施，确保设备存放安全。</w:t>
      </w:r>
    </w:p>
    <w:p>
      <w:pPr>
        <w:spacing w:line="420" w:lineRule="exact"/>
        <w:ind w:firstLine="480" w:firstLineChars="200"/>
        <w:rPr>
          <w:rFonts w:hint="eastAsia" w:ascii="宋体" w:hAnsi="宋体" w:eastAsia="宋体" w:cs="宋体"/>
          <w:color w:val="000000"/>
          <w:sz w:val="24"/>
          <w:lang w:val="zh-TW" w:eastAsia="zh-TW"/>
        </w:rPr>
      </w:pPr>
      <w:r>
        <w:rPr>
          <w:rFonts w:hint="eastAsia" w:ascii="宋体" w:hAnsi="宋体" w:eastAsia="宋体" w:cs="宋体"/>
          <w:color w:val="000000"/>
          <w:sz w:val="24"/>
          <w:lang w:val="en-US" w:eastAsia="zh-CN"/>
        </w:rPr>
        <w:t>6.中标</w:t>
      </w:r>
      <w:r>
        <w:rPr>
          <w:rFonts w:hint="eastAsia" w:ascii="宋体" w:hAnsi="宋体" w:eastAsia="宋体" w:cs="宋体"/>
          <w:color w:val="000000"/>
          <w:sz w:val="24"/>
          <w:lang w:val="zh-TW" w:eastAsia="zh-TW"/>
        </w:rPr>
        <w:t>单位负责为</w:t>
      </w:r>
      <w:r>
        <w:rPr>
          <w:rFonts w:hint="eastAsia" w:ascii="宋体" w:hAnsi="宋体" w:eastAsia="宋体" w:cs="宋体"/>
          <w:color w:val="000000"/>
          <w:sz w:val="24"/>
          <w:lang w:val="en-US" w:eastAsia="zh-CN"/>
        </w:rPr>
        <w:t>采购人</w:t>
      </w:r>
      <w:r>
        <w:rPr>
          <w:rFonts w:hint="eastAsia" w:ascii="宋体" w:hAnsi="宋体" w:eastAsia="宋体" w:cs="宋体"/>
          <w:color w:val="000000"/>
          <w:sz w:val="24"/>
          <w:lang w:val="zh-TW" w:eastAsia="zh-TW"/>
        </w:rPr>
        <w:t>提供设备及系统的所有维护、系统管理、维修、设备更换、系统优化、系统运行和培训等专业化服务，保证</w:t>
      </w:r>
      <w:r>
        <w:rPr>
          <w:rFonts w:hint="eastAsia" w:ascii="宋体" w:hAnsi="宋体" w:eastAsia="宋体" w:cs="宋体"/>
          <w:color w:val="000000"/>
          <w:sz w:val="24"/>
          <w:lang w:val="en-US" w:eastAsia="zh-CN"/>
        </w:rPr>
        <w:t>采购人</w:t>
      </w:r>
      <w:r>
        <w:rPr>
          <w:rFonts w:hint="eastAsia" w:ascii="宋体" w:hAnsi="宋体" w:eastAsia="宋体" w:cs="宋体"/>
          <w:color w:val="000000"/>
          <w:sz w:val="24"/>
          <w:lang w:val="zh-TW" w:eastAsia="zh-TW"/>
        </w:rPr>
        <w:t>能正常使用系统，获得高质量满意的服务。</w:t>
      </w:r>
    </w:p>
    <w:p>
      <w:pPr>
        <w:numPr>
          <w:ilvl w:val="0"/>
          <w:numId w:val="0"/>
        </w:num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zh-TW" w:eastAsia="zh-TW"/>
        </w:rPr>
        <w:t>7.</w:t>
      </w:r>
      <w:r>
        <w:rPr>
          <w:rFonts w:hint="eastAsia" w:ascii="宋体" w:hAnsi="宋体" w:eastAsia="宋体" w:cs="宋体"/>
          <w:b w:val="0"/>
          <w:bCs w:val="0"/>
          <w:color w:val="000000"/>
          <w:kern w:val="2"/>
          <w:sz w:val="24"/>
          <w:szCs w:val="24"/>
          <w:lang w:val="zh-TW" w:eastAsia="zh-TW" w:bidi="ar-SA"/>
        </w:rPr>
        <w:t>投标人需承诺：本项目支撑系统涉及的“原有存储维保、原有存储优化和维护”需要原厂延保服务的，中标后在合同签订前提供三年的原厂延保服务承诺函，并提供原厂工程师现场服务，现场服务工程师在提供服务前需获得采购人的认可。</w:t>
      </w:r>
    </w:p>
    <w:p>
      <w:pPr>
        <w:spacing w:line="42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w:t>
      </w:r>
      <w:r>
        <w:rPr>
          <w:rFonts w:hint="eastAsia"/>
          <w:color w:val="000000"/>
        </w:rPr>
        <w:t>★</w:t>
      </w:r>
      <w:r>
        <w:rPr>
          <w:rFonts w:hint="eastAsia" w:ascii="宋体" w:hAnsi="宋体" w:eastAsia="宋体" w:cs="宋体"/>
          <w:b w:val="0"/>
          <w:bCs w:val="0"/>
          <w:color w:val="000000"/>
          <w:kern w:val="2"/>
          <w:sz w:val="24"/>
          <w:szCs w:val="24"/>
          <w:lang w:val="en-US" w:eastAsia="zh-CN" w:bidi="ar-SA"/>
        </w:rPr>
        <w:t>签订合同后中标人须为本项目提供具备3年的义乌市本地光纤网络长期使用权，并于中标后15个工作日提供相关佐证材料（如与义乌市本地光纤网络资源的网络传输服务运营商签订针对本项目的签订的线路租用合作协议或其他相关资料）。</w:t>
      </w:r>
      <w:r>
        <w:rPr>
          <w:rFonts w:hint="eastAsia" w:ascii="宋体" w:hAnsi="宋体" w:eastAsia="宋体" w:cs="宋体"/>
          <w:b w:val="0"/>
          <w:bCs w:val="0"/>
          <w:color w:val="000000"/>
          <w:sz w:val="24"/>
          <w:szCs w:val="21"/>
          <w:lang w:val="en-US" w:eastAsia="zh-CN"/>
        </w:rPr>
        <w:t>以上内容投标人须在投标文件中做出承诺。</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9.窗口期：本项目以2023年1月1日为维护的第一天，如由于招投标周期原因导致签订合同日期晚于2023年1月1日，则由采购人按中标价扣除相应天数的维护费用。</w:t>
      </w:r>
    </w:p>
    <w:p>
      <w:pPr>
        <w:pStyle w:val="6"/>
        <w:numPr>
          <w:ilvl w:val="0"/>
          <w:numId w:val="0"/>
        </w:numPr>
        <w:spacing w:before="120" w:after="120" w:line="460" w:lineRule="exact"/>
        <w:ind w:leftChars="0"/>
        <w:rPr>
          <w:rFonts w:ascii="宋体" w:hAnsi="宋体" w:eastAsia="宋体"/>
          <w:color w:val="000000"/>
          <w:sz w:val="28"/>
          <w:szCs w:val="28"/>
        </w:rPr>
      </w:pPr>
      <w:bookmarkStart w:id="233" w:name="_Toc11875"/>
      <w:bookmarkStart w:id="234" w:name="_Toc25581"/>
      <w:bookmarkStart w:id="235" w:name="_Toc13773"/>
      <w:r>
        <w:rPr>
          <w:rFonts w:hint="eastAsia" w:ascii="宋体" w:hAnsi="宋体" w:eastAsia="宋体"/>
          <w:color w:val="000000"/>
          <w:sz w:val="28"/>
          <w:szCs w:val="28"/>
          <w:lang w:val="en-US" w:eastAsia="zh-CN"/>
        </w:rPr>
        <w:t>四</w:t>
      </w:r>
      <w:r>
        <w:rPr>
          <w:rFonts w:hint="eastAsia" w:ascii="宋体" w:hAnsi="宋体" w:eastAsia="宋体"/>
          <w:color w:val="000000"/>
          <w:sz w:val="28"/>
          <w:szCs w:val="28"/>
        </w:rPr>
        <w:t>、服务日期要求及服务地点</w:t>
      </w:r>
      <w:bookmarkEnd w:id="63"/>
      <w:bookmarkEnd w:id="64"/>
      <w:bookmarkEnd w:id="65"/>
      <w:bookmarkEnd w:id="233"/>
      <w:bookmarkEnd w:id="234"/>
      <w:bookmarkEnd w:id="235"/>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1.服务日期：</w:t>
      </w:r>
      <w:r>
        <w:rPr>
          <w:rFonts w:hint="eastAsia" w:ascii="宋体" w:hAnsi="宋体" w:cs="宋体"/>
          <w:color w:val="000000"/>
          <w:sz w:val="24"/>
          <w:lang w:val="en-US" w:eastAsia="zh-CN"/>
        </w:rPr>
        <w:t>三</w:t>
      </w:r>
      <w:r>
        <w:rPr>
          <w:rFonts w:hint="eastAsia" w:ascii="宋体" w:hAnsi="宋体" w:cs="宋体"/>
          <w:color w:val="000000"/>
          <w:sz w:val="24"/>
        </w:rPr>
        <w:t xml:space="preserve">年，具体时间甲乙双方在签订合同时确定。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2.服务地点：采购人指定地点。</w:t>
      </w:r>
    </w:p>
    <w:p>
      <w:pPr>
        <w:pStyle w:val="6"/>
        <w:spacing w:before="120" w:after="120" w:line="460" w:lineRule="exact"/>
        <w:rPr>
          <w:rFonts w:hint="eastAsia" w:ascii="宋体" w:hAnsi="宋体" w:eastAsia="宋体" w:cs="宋体"/>
          <w:color w:val="000000"/>
          <w:sz w:val="28"/>
          <w:szCs w:val="28"/>
        </w:rPr>
      </w:pPr>
      <w:bookmarkStart w:id="236" w:name="_Toc24154"/>
      <w:bookmarkStart w:id="237" w:name="_Toc20677"/>
      <w:bookmarkStart w:id="238" w:name="_Toc16046"/>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、履约验收</w:t>
      </w:r>
      <w:bookmarkEnd w:id="66"/>
      <w:bookmarkEnd w:id="236"/>
      <w:bookmarkEnd w:id="237"/>
      <w:bookmarkEnd w:id="238"/>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采购人根据《义乌市人民政府办公室关于印发规范政府采购管理若干意见的通知》（义政办发〔2017〕102号）、《政府采购合同履约和验收管理办法（暂行）》（义招管办【2008】32号）等有关规定，对政府采购项目履约情况予以监督并及时、认真组织验收。</w:t>
      </w:r>
    </w:p>
    <w:p>
      <w:pPr>
        <w:pStyle w:val="6"/>
        <w:spacing w:before="120" w:after="120" w:line="460" w:lineRule="exact"/>
        <w:rPr>
          <w:rFonts w:hint="eastAsia" w:ascii="宋体" w:hAnsi="宋体" w:eastAsia="宋体" w:cs="宋体"/>
          <w:color w:val="000000"/>
          <w:sz w:val="28"/>
          <w:szCs w:val="28"/>
        </w:rPr>
      </w:pPr>
      <w:bookmarkStart w:id="239" w:name="_Toc21290"/>
      <w:bookmarkStart w:id="240" w:name="_Toc23516"/>
      <w:bookmarkStart w:id="241" w:name="_Toc22597"/>
      <w:bookmarkStart w:id="242" w:name="_Toc12476"/>
      <w:bookmarkStart w:id="243" w:name="_Toc478381518"/>
      <w:r>
        <w:rPr>
          <w:rFonts w:hint="eastAsia" w:ascii="宋体" w:hAnsi="宋体" w:eastAsia="宋体" w:cs="宋体"/>
          <w:color w:val="000000"/>
          <w:sz w:val="28"/>
          <w:szCs w:val="28"/>
          <w:lang w:val="en-US" w:eastAsia="zh-CN"/>
        </w:rPr>
        <w:t>六</w:t>
      </w:r>
      <w:r>
        <w:rPr>
          <w:rFonts w:hint="eastAsia" w:ascii="宋体" w:hAnsi="宋体" w:eastAsia="宋体" w:cs="宋体"/>
          <w:color w:val="000000"/>
          <w:sz w:val="28"/>
          <w:szCs w:val="28"/>
        </w:rPr>
        <w:t>、商务要求</w:t>
      </w:r>
      <w:bookmarkEnd w:id="239"/>
      <w:bookmarkEnd w:id="240"/>
      <w:bookmarkEnd w:id="241"/>
      <w:bookmarkEnd w:id="242"/>
      <w:bookmarkEnd w:id="243"/>
    </w:p>
    <w:p>
      <w:pPr>
        <w:spacing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1.报价要求</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1.1具体报价要求详见《投标须知》第14条，投标人应按招标项目的相关要求，根据项目特点和企业条件确定投标报价。投标报价为投标人所能承受的最低、最终一次性报价。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1.2按国家规定由投标人缴纳的各种税收已包含在投标总价内，由投标人向税务机关缴纳。</w:t>
      </w:r>
    </w:p>
    <w:p>
      <w:pPr>
        <w:spacing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2.付款方式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详见《投标须知前附表》第16条。</w:t>
      </w:r>
    </w:p>
    <w:p>
      <w:pPr>
        <w:pStyle w:val="6"/>
        <w:spacing w:before="120" w:after="120" w:line="460" w:lineRule="exact"/>
        <w:rPr>
          <w:rFonts w:hint="eastAsia" w:ascii="宋体" w:hAnsi="宋体" w:eastAsia="宋体" w:cs="宋体"/>
          <w:color w:val="000000"/>
          <w:sz w:val="28"/>
          <w:szCs w:val="28"/>
        </w:rPr>
      </w:pPr>
      <w:bookmarkStart w:id="244" w:name="_Toc478381519"/>
      <w:bookmarkStart w:id="245" w:name="_Toc1327"/>
      <w:bookmarkStart w:id="246" w:name="_Toc32049"/>
      <w:bookmarkStart w:id="247" w:name="_Toc8897"/>
      <w:bookmarkStart w:id="248" w:name="_Toc4011"/>
      <w:r>
        <w:rPr>
          <w:rFonts w:hint="eastAsia" w:ascii="宋体" w:hAnsi="宋体" w:eastAsia="宋体" w:cs="宋体"/>
          <w:color w:val="000000"/>
          <w:sz w:val="28"/>
          <w:szCs w:val="28"/>
          <w:lang w:val="en-US" w:eastAsia="zh-CN"/>
        </w:rPr>
        <w:t>七</w:t>
      </w:r>
      <w:r>
        <w:rPr>
          <w:rFonts w:hint="eastAsia" w:ascii="宋体" w:hAnsi="宋体" w:eastAsia="宋体" w:cs="宋体"/>
          <w:color w:val="000000"/>
          <w:sz w:val="28"/>
          <w:szCs w:val="28"/>
        </w:rPr>
        <w:t>、其他</w:t>
      </w:r>
      <w:bookmarkEnd w:id="244"/>
      <w:bookmarkEnd w:id="245"/>
      <w:bookmarkEnd w:id="246"/>
      <w:bookmarkEnd w:id="247"/>
      <w:bookmarkEnd w:id="248"/>
    </w:p>
    <w:p>
      <w:pPr>
        <w:spacing w:line="420" w:lineRule="exact"/>
        <w:ind w:firstLine="482" w:firstLineChars="200"/>
        <w:rPr>
          <w:rFonts w:hint="eastAsia" w:ascii="宋体" w:hAnsi="宋体" w:cs="宋体"/>
          <w:color w:val="000000"/>
          <w:sz w:val="24"/>
        </w:rPr>
      </w:pPr>
      <w:r>
        <w:rPr>
          <w:rFonts w:hint="eastAsia" w:ascii="宋体" w:hAnsi="宋体" w:cs="宋体"/>
          <w:b/>
          <w:bCs/>
          <w:color w:val="000000"/>
          <w:sz w:val="24"/>
        </w:rPr>
        <w:t>1.中标单位在签订合同时，若坚持提出附加条件和不合理要求，中标资格将被取消，</w:t>
      </w:r>
      <w:r>
        <w:rPr>
          <w:rFonts w:hint="eastAsia" w:ascii="宋体" w:hAnsi="宋体" w:cs="宋体"/>
          <w:color w:val="000000"/>
          <w:sz w:val="24"/>
        </w:rPr>
        <w:t>该中标人对由此产生的一切后果负责。</w:t>
      </w:r>
    </w:p>
    <w:p>
      <w:pPr>
        <w:pStyle w:val="27"/>
        <w:snapToGrid w:val="0"/>
        <w:spacing w:line="420" w:lineRule="exact"/>
        <w:ind w:firstLine="480" w:firstLineChars="200"/>
        <w:rPr>
          <w:rFonts w:hint="eastAsia" w:hAnsi="宋体" w:cs="宋体"/>
          <w:color w:val="000000"/>
          <w:sz w:val="24"/>
        </w:rPr>
      </w:pPr>
      <w:r>
        <w:rPr>
          <w:rFonts w:hint="eastAsia" w:hAnsi="宋体" w:cs="宋体"/>
          <w:color w:val="000000"/>
          <w:sz w:val="24"/>
        </w:rPr>
        <w:t>2.投标人提交的投标文件均归采购人所有，不再返还给投标人。</w:t>
      </w:r>
    </w:p>
    <w:p>
      <w:pPr>
        <w:rPr>
          <w:rFonts w:hint="eastAsia" w:ascii="仿宋_GB2312" w:eastAsia="仿宋_GB2312" w:cs="仿宋_GB2312"/>
          <w:b/>
          <w:bCs/>
          <w:color w:val="000000"/>
          <w:sz w:val="32"/>
          <w:szCs w:val="32"/>
        </w:rPr>
      </w:pPr>
    </w:p>
    <w:p>
      <w:pPr>
        <w:pStyle w:val="2"/>
        <w:rPr>
          <w:rFonts w:hint="eastAsia" w:ascii="仿宋_GB2312" w:eastAsia="仿宋_GB2312" w:cs="仿宋_GB2312"/>
          <w:b w:val="0"/>
          <w:bCs w:val="0"/>
          <w:color w:val="000000"/>
          <w:sz w:val="32"/>
          <w:szCs w:val="32"/>
        </w:rPr>
      </w:pPr>
    </w:p>
    <w:p>
      <w:pPr>
        <w:pStyle w:val="3"/>
        <w:rPr>
          <w:rFonts w:hint="eastAsia" w:ascii="仿宋_GB2312" w:eastAsia="仿宋_GB2312" w:cs="仿宋_GB2312"/>
          <w:b w:val="0"/>
          <w:bCs w:val="0"/>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ind w:firstLine="0" w:firstLineChars="0"/>
        <w:rPr>
          <w:rFonts w:hint="eastAsia" w:ascii="仿宋_GB2312" w:eastAsia="仿宋_GB2312" w:cs="仿宋_GB2312"/>
          <w:b/>
          <w:bCs/>
          <w:color w:val="000000"/>
          <w:sz w:val="32"/>
          <w:szCs w:val="32"/>
        </w:rPr>
      </w:pPr>
    </w:p>
    <w:p>
      <w:pPr>
        <w:pStyle w:val="5"/>
        <w:numPr>
          <w:ilvl w:val="0"/>
          <w:numId w:val="0"/>
        </w:numPr>
        <w:spacing w:before="0" w:after="0" w:line="360" w:lineRule="auto"/>
        <w:jc w:val="center"/>
        <w:rPr>
          <w:rFonts w:hint="eastAsia" w:ascii="宋体" w:hAnsi="宋体" w:cs="宋体"/>
          <w:color w:val="000000"/>
          <w:sz w:val="36"/>
        </w:rPr>
      </w:pPr>
      <w:bookmarkStart w:id="249" w:name="_Toc523"/>
      <w:bookmarkStart w:id="250" w:name="_Toc22919"/>
      <w:bookmarkStart w:id="251" w:name="_Toc11020"/>
      <w:r>
        <w:rPr>
          <w:rFonts w:hint="eastAsia" w:ascii="宋体" w:hAnsi="宋体" w:cs="宋体"/>
          <w:color w:val="000000"/>
          <w:sz w:val="36"/>
          <w:szCs w:val="36"/>
        </w:rPr>
        <w:t xml:space="preserve">第四章    </w:t>
      </w:r>
      <w:bookmarkEnd w:id="67"/>
      <w:bookmarkStart w:id="252" w:name="_Toc226973000"/>
      <w:bookmarkStart w:id="253" w:name="_Toc274303251"/>
      <w:bookmarkStart w:id="254" w:name="_Toc226973004"/>
      <w:bookmarkStart w:id="255" w:name="_Toc145992551"/>
      <w:bookmarkStart w:id="256" w:name="_Toc274303255"/>
      <w:r>
        <w:rPr>
          <w:rFonts w:hint="eastAsia" w:ascii="宋体" w:hAnsi="宋体" w:cs="宋体"/>
          <w:color w:val="000000"/>
          <w:sz w:val="36"/>
        </w:rPr>
        <w:t>开标、评标和定标须知</w:t>
      </w:r>
      <w:bookmarkEnd w:id="68"/>
      <w:bookmarkEnd w:id="249"/>
      <w:bookmarkEnd w:id="250"/>
      <w:bookmarkEnd w:id="251"/>
      <w:bookmarkEnd w:id="252"/>
      <w:bookmarkEnd w:id="253"/>
    </w:p>
    <w:p>
      <w:pPr>
        <w:spacing w:line="440" w:lineRule="atLeast"/>
        <w:rPr>
          <w:rFonts w:hint="eastAsia" w:ascii="宋体" w:hAnsi="宋体" w:cs="宋体"/>
          <w:b/>
          <w:color w:val="000000"/>
          <w:sz w:val="28"/>
          <w:szCs w:val="28"/>
        </w:rPr>
      </w:pPr>
      <w:r>
        <w:rPr>
          <w:rFonts w:hint="eastAsia" w:ascii="宋体" w:hAnsi="宋体" w:cs="宋体"/>
          <w:b/>
          <w:color w:val="000000"/>
          <w:sz w:val="28"/>
          <w:szCs w:val="28"/>
        </w:rPr>
        <w:t>一、开标</w:t>
      </w:r>
    </w:p>
    <w:p>
      <w:pPr>
        <w:spacing w:line="440" w:lineRule="exact"/>
        <w:ind w:firstLine="480" w:firstLineChars="200"/>
        <w:rPr>
          <w:rFonts w:hint="eastAsia" w:ascii="宋体" w:hAnsi="宋体" w:cs="宋体"/>
          <w:color w:val="000000"/>
          <w:sz w:val="24"/>
        </w:rPr>
      </w:pPr>
      <w:bookmarkStart w:id="257" w:name="_Toc263090375"/>
      <w:bookmarkStart w:id="258" w:name="_Toc226973002"/>
      <w:bookmarkStart w:id="259" w:name="_Toc261519847"/>
      <w:bookmarkStart w:id="260" w:name="_Toc362250705"/>
      <w:bookmarkStart w:id="261" w:name="_Toc274303253"/>
      <w:r>
        <w:rPr>
          <w:rFonts w:hint="eastAsia" w:ascii="宋体" w:hAnsi="宋体" w:cs="宋体"/>
          <w:color w:val="000000"/>
          <w:sz w:val="24"/>
        </w:rPr>
        <w:t>1.本项目实行电子开评标，投标人无需前往开评标现场，只需在投标截止时间前在“政采云”平台上上传电子加密投标文件。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2.1投标截止时间后，采购组织机构将向各投标人发出“电子解密投标文件”的解密通知，各投标人代表在接到解密通知后1小时内（开标当日09:30-10:30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40" w:lineRule="exact"/>
        <w:ind w:firstLine="480" w:firstLineChars="200"/>
        <w:rPr>
          <w:rFonts w:hint="eastAsia" w:ascii="宋体" w:hAnsi="宋体" w:cs="宋体"/>
          <w:color w:val="000000"/>
          <w:sz w:val="24"/>
        </w:rPr>
      </w:pPr>
      <w:bookmarkStart w:id="262" w:name="_Toc23138"/>
      <w:r>
        <w:rPr>
          <w:rFonts w:hint="eastAsia" w:ascii="宋体" w:hAnsi="宋体" w:cs="宋体"/>
          <w:color w:val="000000"/>
          <w:sz w:val="24"/>
        </w:rPr>
        <w:t>2.2评标小组对投标人的资格和技术响应文件进行评审；</w:t>
      </w:r>
    </w:p>
    <w:p>
      <w:pPr>
        <w:pStyle w:val="27"/>
        <w:spacing w:line="440" w:lineRule="exact"/>
        <w:ind w:firstLine="482"/>
        <w:rPr>
          <w:rFonts w:hint="eastAsia" w:hAnsi="宋体" w:cs="宋体"/>
          <w:color w:val="000000"/>
          <w:sz w:val="24"/>
        </w:rPr>
      </w:pPr>
      <w:r>
        <w:rPr>
          <w:rFonts w:hint="eastAsia" w:hAnsi="宋体" w:cs="宋体"/>
          <w:color w:val="000000"/>
          <w:sz w:val="24"/>
        </w:rPr>
        <w:t>2.3</w:t>
      </w:r>
      <w:r>
        <w:rPr>
          <w:rFonts w:hint="eastAsia" w:ascii="宋体" w:hAnsi="宋体" w:eastAsia="宋体" w:cs="宋体"/>
          <w:color w:val="000000"/>
          <w:sz w:val="24"/>
        </w:rPr>
        <w:t>对资格响应文件、商务技术响应文件</w:t>
      </w:r>
      <w:r>
        <w:rPr>
          <w:rFonts w:hint="eastAsia" w:hAnsi="宋体" w:cs="宋体"/>
          <w:color w:val="000000"/>
          <w:sz w:val="24"/>
        </w:rPr>
        <w:t>有效的投标单位的投标报价在“政采云”平台上予以公开；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2.4评标小组对报价情况进行评审；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2.5在“政采云”平台上公布评审结果。</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特别说明：政采云公司如对电子化开标及评审程序有调整的，按调整后的程序操作。</w:t>
      </w:r>
    </w:p>
    <w:p>
      <w:pPr>
        <w:pStyle w:val="6"/>
        <w:spacing w:before="120" w:after="120" w:line="460" w:lineRule="exact"/>
        <w:rPr>
          <w:rFonts w:hint="eastAsia" w:ascii="宋体" w:hAnsi="宋体" w:eastAsia="宋体" w:cs="宋体"/>
          <w:color w:val="000000"/>
          <w:sz w:val="28"/>
          <w:szCs w:val="28"/>
        </w:rPr>
      </w:pPr>
      <w:bookmarkStart w:id="263" w:name="_Toc31247"/>
      <w:bookmarkStart w:id="264" w:name="_Toc10324"/>
      <w:bookmarkStart w:id="265" w:name="_Toc1782"/>
      <w:bookmarkStart w:id="266" w:name="_Toc9895"/>
      <w:bookmarkStart w:id="267" w:name="_Toc823"/>
      <w:bookmarkStart w:id="268" w:name="_Toc2318"/>
      <w:bookmarkStart w:id="269" w:name="_Toc30619"/>
      <w:bookmarkStart w:id="270" w:name="_Toc16950"/>
      <w:bookmarkStart w:id="271" w:name="_Toc18738"/>
      <w:bookmarkStart w:id="272" w:name="_Toc895"/>
      <w:r>
        <w:rPr>
          <w:rFonts w:hint="eastAsia" w:ascii="宋体" w:hAnsi="宋体" w:eastAsia="宋体" w:cs="宋体"/>
          <w:color w:val="000000"/>
        </w:rPr>
        <w:t>二、评标</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40" w:lineRule="exact"/>
        <w:ind w:firstLine="480"/>
        <w:rPr>
          <w:rFonts w:hint="eastAsia" w:ascii="宋体" w:hAnsi="宋体" w:cs="宋体"/>
          <w:b/>
          <w:color w:val="000000"/>
          <w:sz w:val="24"/>
        </w:rPr>
      </w:pPr>
      <w:r>
        <w:rPr>
          <w:rFonts w:hint="eastAsia" w:ascii="宋体" w:hAnsi="宋体" w:cs="宋体"/>
          <w:b/>
          <w:color w:val="000000"/>
          <w:sz w:val="24"/>
        </w:rPr>
        <w:t>4</w:t>
      </w:r>
      <w:r>
        <w:rPr>
          <w:rFonts w:hint="eastAsia" w:ascii="宋体" w:hAnsi="宋体" w:cs="宋体"/>
          <w:color w:val="000000"/>
          <w:sz w:val="24"/>
        </w:rPr>
        <w:t>.</w:t>
      </w:r>
      <w:r>
        <w:rPr>
          <w:rFonts w:hint="eastAsia" w:ascii="宋体" w:hAnsi="宋体" w:cs="宋体"/>
          <w:b/>
          <w:color w:val="000000"/>
          <w:sz w:val="24"/>
        </w:rPr>
        <w:t>评标原则</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4.1评标小组将遵循客观、公正、审慎的原则，严格遵守评标工作纪律。</w:t>
      </w:r>
    </w:p>
    <w:p>
      <w:pPr>
        <w:spacing w:line="420" w:lineRule="exact"/>
        <w:ind w:firstLine="480"/>
        <w:rPr>
          <w:rFonts w:hint="eastAsia" w:ascii="宋体" w:hAnsi="宋体" w:cs="宋体"/>
          <w:bCs/>
          <w:color w:val="000000"/>
          <w:sz w:val="24"/>
        </w:rPr>
      </w:pPr>
      <w:r>
        <w:rPr>
          <w:rFonts w:hint="eastAsia" w:ascii="宋体" w:hAnsi="宋体" w:cs="宋体"/>
          <w:color w:val="000000"/>
          <w:sz w:val="24"/>
        </w:rPr>
        <w:t>4.2</w:t>
      </w:r>
      <w:r>
        <w:rPr>
          <w:rFonts w:hint="eastAsia" w:ascii="宋体" w:hAnsi="宋体" w:cs="宋体"/>
          <w:bCs/>
          <w:color w:val="000000"/>
          <w:sz w:val="24"/>
        </w:rPr>
        <w:t>先评</w:t>
      </w:r>
      <w:r>
        <w:rPr>
          <w:rFonts w:hint="eastAsia" w:ascii="宋体" w:hAnsi="宋体" w:eastAsia="宋体" w:cs="宋体"/>
          <w:color w:val="000000"/>
          <w:sz w:val="24"/>
        </w:rPr>
        <w:t>资格响应文件、</w:t>
      </w:r>
      <w:r>
        <w:rPr>
          <w:rFonts w:hint="eastAsia" w:ascii="宋体" w:hAnsi="宋体" w:eastAsia="宋体" w:cs="宋体"/>
          <w:color w:val="000000"/>
          <w:sz w:val="24"/>
          <w:lang w:val="en-US" w:eastAsia="zh-CN"/>
        </w:rPr>
        <w:t>后评</w:t>
      </w:r>
      <w:r>
        <w:rPr>
          <w:rFonts w:hint="eastAsia" w:ascii="宋体" w:hAnsi="宋体" w:eastAsia="宋体" w:cs="宋体"/>
          <w:color w:val="000000"/>
          <w:sz w:val="24"/>
        </w:rPr>
        <w:t>商务技术响应文件</w:t>
      </w:r>
      <w:r>
        <w:rPr>
          <w:rFonts w:hint="eastAsia" w:ascii="宋体" w:hAnsi="宋体" w:cs="宋体"/>
          <w:bCs/>
          <w:color w:val="000000"/>
          <w:sz w:val="24"/>
        </w:rPr>
        <w:t>，再评</w:t>
      </w:r>
      <w:r>
        <w:rPr>
          <w:rFonts w:hint="eastAsia" w:ascii="宋体" w:hAnsi="宋体" w:cs="宋体"/>
          <w:bCs/>
          <w:color w:val="000000"/>
          <w:sz w:val="24"/>
          <w:lang w:val="en-US" w:eastAsia="zh-CN"/>
        </w:rPr>
        <w:t>报</w:t>
      </w:r>
      <w:r>
        <w:rPr>
          <w:rFonts w:hint="eastAsia" w:ascii="宋体" w:hAnsi="宋体" w:cs="宋体"/>
          <w:bCs/>
          <w:color w:val="000000"/>
          <w:sz w:val="24"/>
          <w:lang w:val="en-US" w:eastAsia="zh-CN"/>
        </w:rPr>
        <w:t>价响应文件</w:t>
      </w:r>
      <w:r>
        <w:rPr>
          <w:rFonts w:hint="eastAsia" w:ascii="宋体" w:hAnsi="宋体" w:cs="宋体"/>
          <w:bCs/>
          <w:color w:val="000000"/>
          <w:sz w:val="24"/>
        </w:rPr>
        <w:t>。</w:t>
      </w:r>
    </w:p>
    <w:p>
      <w:pPr>
        <w:spacing w:line="420" w:lineRule="exact"/>
        <w:ind w:firstLine="480"/>
        <w:rPr>
          <w:rFonts w:hint="eastAsia" w:ascii="宋体" w:hAnsi="宋体" w:cs="宋体"/>
          <w:color w:val="000000"/>
          <w:sz w:val="24"/>
        </w:rPr>
      </w:pPr>
      <w:r>
        <w:rPr>
          <w:rFonts w:hint="eastAsia" w:ascii="宋体" w:hAnsi="宋体" w:cs="宋体"/>
          <w:bCs/>
          <w:color w:val="000000"/>
          <w:sz w:val="24"/>
        </w:rPr>
        <w:t>4.3</w:t>
      </w:r>
      <w:r>
        <w:rPr>
          <w:rFonts w:hint="eastAsia" w:ascii="宋体" w:hAnsi="宋体" w:cs="宋体"/>
          <w:color w:val="000000"/>
          <w:sz w:val="24"/>
        </w:rPr>
        <w:t>客观公正对待所有投标人，对所有投标评审均采用相同的程序和标准。评标的依据为招标文件和投标文件。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4.4有利于提高投资效益，节约建设资金。</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4.5在评标过程中，出现异常或特殊情况时，由评标小组集体讨论决定。</w:t>
      </w:r>
    </w:p>
    <w:p>
      <w:pPr>
        <w:pStyle w:val="27"/>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7"/>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7"/>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60" w:lineRule="exact"/>
        <w:ind w:firstLine="472" w:firstLineChars="196"/>
        <w:rPr>
          <w:rFonts w:hint="eastAsia" w:ascii="宋体" w:hAnsi="宋体" w:cs="宋体"/>
          <w:b/>
          <w:color w:val="000000"/>
          <w:sz w:val="24"/>
        </w:rPr>
      </w:pPr>
      <w:r>
        <w:rPr>
          <w:rFonts w:hint="eastAsia" w:ascii="宋体" w:hAnsi="宋体" w:cs="宋体"/>
          <w:b/>
          <w:color w:val="000000"/>
          <w:sz w:val="24"/>
        </w:rPr>
        <w:t>6.投标文件的澄清</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pPr>
        <w:pStyle w:val="27"/>
        <w:tabs>
          <w:tab w:val="left" w:pos="0"/>
        </w:tabs>
        <w:spacing w:line="400" w:lineRule="exact"/>
        <w:ind w:firstLine="480" w:firstLineChars="200"/>
        <w:rPr>
          <w:rFonts w:hint="eastAsia" w:hAnsi="宋体" w:cs="宋体"/>
          <w:color w:val="000000"/>
          <w:sz w:val="24"/>
        </w:rPr>
      </w:pPr>
      <w:r>
        <w:rPr>
          <w:rFonts w:hint="eastAsia" w:hAnsi="宋体" w:cs="宋体"/>
          <w:color w:val="000000"/>
          <w:sz w:val="24"/>
        </w:rPr>
        <w:t>6.2如果投标人代表拒绝按评标小组要求在“政采云”平台作出在线回复且无其他有效回复方式的，评标小组可以对其作出无效标处理。</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b/>
          <w:color w:val="000000"/>
          <w:sz w:val="24"/>
        </w:rPr>
        <w:t>投标文件的初步评审</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7.1开标后，采购人应将投标文件提交评标小组进行初步评审，初步评审内容为：</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7.1.1是否出现第五章规定的内容；</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出现上述情形之一者，技术文件或商务文件初步评审不予通过，不列入</w:t>
      </w:r>
      <w:r>
        <w:rPr>
          <w:rFonts w:hint="eastAsia" w:ascii="宋体" w:hAnsi="宋体" w:eastAsia="宋体" w:cs="宋体"/>
          <w:color w:val="000000"/>
          <w:sz w:val="24"/>
        </w:rPr>
        <w:t>报价响应文件</w:t>
      </w:r>
      <w:r>
        <w:rPr>
          <w:rFonts w:hint="eastAsia" w:ascii="宋体" w:hAnsi="宋体" w:cs="宋体"/>
          <w:color w:val="000000"/>
          <w:sz w:val="24"/>
        </w:rPr>
        <w:t>详细评审。</w:t>
      </w:r>
    </w:p>
    <w:p>
      <w:pPr>
        <w:tabs>
          <w:tab w:val="left" w:pos="1219"/>
        </w:tabs>
        <w:adjustRightInd w:val="0"/>
        <w:snapToGrid w:val="0"/>
        <w:spacing w:line="460" w:lineRule="exact"/>
        <w:ind w:left="-67" w:leftChars="-32" w:firstLine="590" w:firstLineChars="246"/>
        <w:rPr>
          <w:rFonts w:hint="eastAsia" w:ascii="宋体" w:hAnsi="宋体" w:cs="宋体"/>
          <w:color w:val="000000"/>
          <w:sz w:val="24"/>
        </w:rPr>
      </w:pPr>
      <w:r>
        <w:rPr>
          <w:rFonts w:hint="eastAsia" w:ascii="宋体" w:hAnsi="宋体" w:cs="宋体"/>
          <w:color w:val="000000"/>
          <w:sz w:val="24"/>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7.3如果投标文件实质上不响应招标文件的各项要求，评标小组将予以拒绝，并且不允许投标人通过修改或撤销其不符合要求的差异或保留，使之成为具有响应性的投标。</w:t>
      </w:r>
    </w:p>
    <w:p>
      <w:pPr>
        <w:pStyle w:val="27"/>
        <w:spacing w:line="460" w:lineRule="exact"/>
        <w:ind w:firstLine="482"/>
        <w:rPr>
          <w:rFonts w:hint="eastAsia" w:hAnsi="宋体" w:cs="宋体"/>
          <w:b/>
          <w:color w:val="000000"/>
          <w:sz w:val="24"/>
        </w:rPr>
      </w:pPr>
      <w:r>
        <w:rPr>
          <w:rFonts w:hint="eastAsia" w:hAnsi="宋体" w:cs="宋体"/>
          <w:b/>
          <w:color w:val="000000"/>
          <w:sz w:val="24"/>
        </w:rPr>
        <w:t>8.投标文件计算错误的修正</w:t>
      </w:r>
    </w:p>
    <w:p>
      <w:pPr>
        <w:pStyle w:val="27"/>
        <w:spacing w:line="4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8.1评标小组将对确定为实质上响应招标文件要求的投标文件进行校核，看其是否有计算或表达上的错误，修正错误的原则如下：</w:t>
      </w:r>
    </w:p>
    <w:p>
      <w:pPr>
        <w:pStyle w:val="27"/>
        <w:spacing w:line="4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8.1.1投标文件中</w:t>
      </w:r>
      <w:r>
        <w:rPr>
          <w:rFonts w:hint="eastAsia" w:hAnsi="宋体" w:eastAsia="宋体" w:cs="宋体"/>
          <w:color w:val="000000"/>
          <w:sz w:val="24"/>
          <w:lang w:val="en-US" w:eastAsia="zh-CN"/>
        </w:rPr>
        <w:t>报价</w:t>
      </w:r>
      <w:r>
        <w:rPr>
          <w:rFonts w:hint="eastAsia" w:ascii="宋体" w:hAnsi="宋体" w:eastAsia="宋体" w:cs="宋体"/>
          <w:color w:val="000000"/>
          <w:sz w:val="24"/>
        </w:rPr>
        <w:t>一览表（</w:t>
      </w:r>
      <w:r>
        <w:rPr>
          <w:rFonts w:hint="eastAsia" w:hAnsi="宋体" w:eastAsia="宋体" w:cs="宋体"/>
          <w:color w:val="000000"/>
          <w:sz w:val="24"/>
          <w:lang w:val="en-US" w:eastAsia="zh-CN"/>
        </w:rPr>
        <w:t>或</w:t>
      </w:r>
      <w:r>
        <w:rPr>
          <w:rFonts w:hint="eastAsia" w:ascii="宋体" w:hAnsi="宋体" w:eastAsia="宋体" w:cs="宋体"/>
          <w:color w:val="000000"/>
          <w:sz w:val="24"/>
        </w:rPr>
        <w:t>报价</w:t>
      </w:r>
      <w:r>
        <w:rPr>
          <w:rFonts w:hint="eastAsia" w:hAnsi="宋体" w:eastAsia="宋体" w:cs="宋体"/>
          <w:color w:val="000000"/>
          <w:sz w:val="24"/>
          <w:lang w:val="en-US" w:eastAsia="zh-CN"/>
        </w:rPr>
        <w:t>明细</w:t>
      </w:r>
      <w:r>
        <w:rPr>
          <w:rFonts w:hint="eastAsia" w:ascii="宋体" w:hAnsi="宋体" w:eastAsia="宋体" w:cs="宋体"/>
          <w:color w:val="000000"/>
          <w:sz w:val="24"/>
        </w:rPr>
        <w:t>表）内容与投标文件中相应内容不一致的，以</w:t>
      </w:r>
      <w:r>
        <w:rPr>
          <w:rFonts w:hint="eastAsia" w:hAnsi="宋体" w:eastAsia="宋体" w:cs="宋体"/>
          <w:color w:val="000000"/>
          <w:sz w:val="24"/>
          <w:lang w:val="en-US" w:eastAsia="zh-CN"/>
        </w:rPr>
        <w:t>报价</w:t>
      </w:r>
      <w:r>
        <w:rPr>
          <w:rFonts w:hint="eastAsia" w:ascii="宋体" w:hAnsi="宋体" w:eastAsia="宋体" w:cs="宋体"/>
          <w:color w:val="000000"/>
          <w:sz w:val="24"/>
        </w:rPr>
        <w:t>一览表（</w:t>
      </w:r>
      <w:r>
        <w:rPr>
          <w:rFonts w:hint="eastAsia" w:hAnsi="宋体" w:eastAsia="宋体" w:cs="宋体"/>
          <w:color w:val="000000"/>
          <w:sz w:val="24"/>
          <w:lang w:val="en-US" w:eastAsia="zh-CN"/>
        </w:rPr>
        <w:t>或</w:t>
      </w:r>
      <w:r>
        <w:rPr>
          <w:rFonts w:hint="eastAsia" w:ascii="宋体" w:hAnsi="宋体" w:eastAsia="宋体" w:cs="宋体"/>
          <w:color w:val="000000"/>
          <w:sz w:val="24"/>
        </w:rPr>
        <w:t>报价</w:t>
      </w:r>
      <w:r>
        <w:rPr>
          <w:rFonts w:hint="eastAsia" w:hAnsi="宋体" w:eastAsia="宋体" w:cs="宋体"/>
          <w:color w:val="000000"/>
          <w:sz w:val="24"/>
          <w:lang w:val="en-US" w:eastAsia="zh-CN"/>
        </w:rPr>
        <w:t>明细</w:t>
      </w:r>
      <w:r>
        <w:rPr>
          <w:rFonts w:hint="eastAsia" w:ascii="宋体" w:hAnsi="宋体" w:eastAsia="宋体" w:cs="宋体"/>
          <w:color w:val="000000"/>
          <w:sz w:val="24"/>
        </w:rPr>
        <w:t>表）为准；</w:t>
      </w:r>
    </w:p>
    <w:p>
      <w:pPr>
        <w:pStyle w:val="27"/>
        <w:spacing w:line="4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8.1.</w:t>
      </w:r>
      <w:r>
        <w:rPr>
          <w:rFonts w:hint="eastAsia" w:ascii="宋体" w:hAnsi="宋体" w:eastAsia="宋体" w:cs="宋体"/>
          <w:color w:val="000000"/>
          <w:sz w:val="24"/>
          <w:lang w:val="en-US" w:eastAsia="zh-CN"/>
        </w:rPr>
        <w:t>2</w:t>
      </w:r>
      <w:r>
        <w:rPr>
          <w:rFonts w:hint="eastAsia" w:ascii="宋体" w:hAnsi="宋体" w:eastAsia="宋体" w:cs="宋体"/>
          <w:color w:val="000000"/>
          <w:sz w:val="24"/>
        </w:rPr>
        <w:t>投标文件中</w:t>
      </w:r>
      <w:r>
        <w:rPr>
          <w:rFonts w:hint="eastAsia" w:hAnsi="宋体" w:eastAsia="宋体" w:cs="宋体"/>
          <w:color w:val="000000"/>
          <w:sz w:val="24"/>
          <w:lang w:val="en-US" w:eastAsia="zh-CN"/>
        </w:rPr>
        <w:t>报价</w:t>
      </w:r>
      <w:r>
        <w:rPr>
          <w:rFonts w:hint="eastAsia" w:ascii="宋体" w:hAnsi="宋体" w:eastAsia="宋体" w:cs="宋体"/>
          <w:color w:val="000000"/>
          <w:sz w:val="24"/>
        </w:rPr>
        <w:t>一览表内容与</w:t>
      </w:r>
      <w:r>
        <w:rPr>
          <w:rFonts w:hint="eastAsia" w:ascii="宋体" w:hAnsi="宋体" w:eastAsia="宋体" w:cs="宋体"/>
          <w:color w:val="000000"/>
          <w:sz w:val="24"/>
          <w:lang w:val="en-US" w:eastAsia="zh-CN"/>
        </w:rPr>
        <w:t>报价明细表</w:t>
      </w:r>
      <w:r>
        <w:rPr>
          <w:rFonts w:hint="eastAsia" w:ascii="宋体" w:hAnsi="宋体" w:eastAsia="宋体" w:cs="宋体"/>
          <w:color w:val="000000"/>
          <w:sz w:val="24"/>
        </w:rPr>
        <w:t>不一致的，以</w:t>
      </w:r>
      <w:r>
        <w:rPr>
          <w:rFonts w:hint="eastAsia" w:ascii="宋体" w:hAnsi="宋体" w:eastAsia="宋体" w:cs="宋体"/>
          <w:color w:val="000000"/>
          <w:sz w:val="24"/>
          <w:lang w:val="en-US" w:eastAsia="zh-CN"/>
        </w:rPr>
        <w:t>报价明细表</w:t>
      </w:r>
      <w:r>
        <w:rPr>
          <w:rFonts w:hint="eastAsia" w:ascii="宋体" w:hAnsi="宋体" w:eastAsia="宋体" w:cs="宋体"/>
          <w:color w:val="000000"/>
          <w:sz w:val="24"/>
        </w:rPr>
        <w:t>为准；</w:t>
      </w:r>
    </w:p>
    <w:p>
      <w:pPr>
        <w:pStyle w:val="27"/>
        <w:spacing w:line="440" w:lineRule="atLeast"/>
        <w:ind w:firstLine="480" w:firstLineChars="200"/>
        <w:rPr>
          <w:rFonts w:hint="eastAsia" w:hAnsi="宋体" w:cs="宋体"/>
          <w:color w:val="000000"/>
          <w:sz w:val="24"/>
        </w:rPr>
      </w:pPr>
      <w:r>
        <w:rPr>
          <w:rFonts w:hint="eastAsia" w:hAnsi="宋体" w:cs="宋体"/>
          <w:color w:val="000000"/>
          <w:sz w:val="24"/>
        </w:rPr>
        <w:t>8.1</w:t>
      </w:r>
      <w:r>
        <w:rPr>
          <w:rFonts w:hint="eastAsia" w:hAnsi="宋体" w:cs="宋体"/>
          <w:color w:val="000000"/>
          <w:sz w:val="24"/>
          <w:lang w:val="en-US" w:eastAsia="zh-CN"/>
        </w:rPr>
        <w:t>.3</w:t>
      </w:r>
      <w:r>
        <w:rPr>
          <w:rFonts w:hint="eastAsia" w:hAnsi="宋体" w:cs="宋体"/>
          <w:color w:val="000000"/>
          <w:sz w:val="24"/>
        </w:rPr>
        <w:t>投标文件的大写金额和小写金额不一致的，以大写金额为准；</w:t>
      </w:r>
    </w:p>
    <w:p>
      <w:pPr>
        <w:pStyle w:val="27"/>
        <w:spacing w:line="440" w:lineRule="atLeast"/>
        <w:ind w:firstLine="480" w:firstLineChars="200"/>
        <w:rPr>
          <w:rFonts w:hint="eastAsia" w:hAnsi="宋体" w:cs="宋体"/>
          <w:color w:val="000000"/>
          <w:sz w:val="24"/>
        </w:rPr>
      </w:pPr>
      <w:r>
        <w:rPr>
          <w:rFonts w:hint="eastAsia" w:hAnsi="宋体" w:cs="宋体"/>
          <w:color w:val="000000"/>
          <w:sz w:val="24"/>
        </w:rPr>
        <w:t>8.1.</w:t>
      </w:r>
      <w:r>
        <w:rPr>
          <w:rFonts w:hint="eastAsia" w:hAnsi="宋体" w:cs="宋体"/>
          <w:color w:val="000000"/>
          <w:sz w:val="24"/>
          <w:lang w:val="en-US" w:eastAsia="zh-CN"/>
        </w:rPr>
        <w:t>4</w:t>
      </w:r>
      <w:r>
        <w:rPr>
          <w:rFonts w:hint="eastAsia" w:hAnsi="宋体" w:cs="宋体"/>
          <w:color w:val="000000"/>
          <w:sz w:val="24"/>
        </w:rPr>
        <w:t>单价金额小数点或者百分比有明显错位的，以</w:t>
      </w:r>
      <w:r>
        <w:rPr>
          <w:rFonts w:hint="eastAsia" w:hAnsi="宋体" w:cs="宋体"/>
          <w:color w:val="000000"/>
          <w:sz w:val="24"/>
          <w:lang w:val="en-US" w:eastAsia="zh-CN"/>
        </w:rPr>
        <w:t>报价</w:t>
      </w:r>
      <w:r>
        <w:rPr>
          <w:rFonts w:hint="eastAsia" w:hAnsi="宋体" w:cs="宋体"/>
          <w:color w:val="000000"/>
          <w:sz w:val="24"/>
        </w:rPr>
        <w:t xml:space="preserve">一览表的总价为准，并修改单价； </w:t>
      </w:r>
    </w:p>
    <w:p>
      <w:pPr>
        <w:pStyle w:val="27"/>
        <w:spacing w:line="440" w:lineRule="atLeast"/>
        <w:ind w:firstLine="480" w:firstLineChars="200"/>
        <w:rPr>
          <w:rFonts w:hint="eastAsia" w:hAnsi="宋体" w:cs="宋体"/>
          <w:color w:val="000000"/>
          <w:sz w:val="24"/>
        </w:rPr>
      </w:pPr>
      <w:r>
        <w:rPr>
          <w:rFonts w:hint="eastAsia" w:hAnsi="宋体" w:cs="宋体"/>
          <w:color w:val="000000"/>
          <w:sz w:val="24"/>
        </w:rPr>
        <w:t>8.1.</w:t>
      </w:r>
      <w:r>
        <w:rPr>
          <w:rFonts w:hint="eastAsia" w:hAnsi="宋体" w:cs="宋体"/>
          <w:color w:val="000000"/>
          <w:sz w:val="24"/>
          <w:lang w:val="en-US" w:eastAsia="zh-CN"/>
        </w:rPr>
        <w:t>5</w:t>
      </w:r>
      <w:r>
        <w:rPr>
          <w:rFonts w:hint="eastAsia" w:hAnsi="宋体" w:cs="宋体"/>
          <w:color w:val="000000"/>
          <w:sz w:val="24"/>
        </w:rPr>
        <w:t xml:space="preserve"> 总价金额与按单价汇总金额不一致的，以单价汇总金额计算结果为准；</w:t>
      </w:r>
    </w:p>
    <w:p>
      <w:pPr>
        <w:pStyle w:val="27"/>
        <w:spacing w:line="440" w:lineRule="exact"/>
        <w:ind w:firstLine="482"/>
        <w:rPr>
          <w:rFonts w:hint="eastAsia" w:hAnsi="宋体" w:cs="宋体"/>
          <w:b/>
          <w:color w:val="000000"/>
          <w:sz w:val="24"/>
          <w:u w:val="single"/>
        </w:rPr>
      </w:pPr>
      <w:r>
        <w:rPr>
          <w:rFonts w:hint="eastAsia" w:hAnsi="宋体" w:cs="宋体"/>
          <w:b/>
          <w:bCs/>
          <w:color w:val="000000"/>
          <w:sz w:val="24"/>
        </w:rPr>
        <w:t>8.1.</w:t>
      </w:r>
      <w:r>
        <w:rPr>
          <w:rFonts w:hint="eastAsia" w:hAnsi="宋体" w:cs="宋体"/>
          <w:b/>
          <w:bCs/>
          <w:color w:val="000000"/>
          <w:sz w:val="24"/>
          <w:lang w:val="en-US" w:eastAsia="zh-CN"/>
        </w:rPr>
        <w:t>6</w:t>
      </w:r>
      <w:r>
        <w:rPr>
          <w:rFonts w:hint="eastAsia" w:hAnsi="宋体" w:cs="宋体"/>
          <w:b/>
          <w:color w:val="000000"/>
          <w:sz w:val="24"/>
          <w:u w:val="single"/>
        </w:rPr>
        <w:t>客户端填写的报价与以pdf格式上传文件中的报价不一致的，应以Pdf格式上传文件中的报价为准。</w:t>
      </w:r>
    </w:p>
    <w:p>
      <w:pPr>
        <w:pStyle w:val="27"/>
        <w:spacing w:line="400" w:lineRule="exact"/>
        <w:ind w:firstLine="482"/>
        <w:rPr>
          <w:rFonts w:hint="eastAsia" w:hAnsi="宋体" w:cs="宋体"/>
          <w:color w:val="000000"/>
          <w:sz w:val="24"/>
        </w:rPr>
      </w:pPr>
      <w:r>
        <w:rPr>
          <w:rFonts w:hint="eastAsia" w:hAnsi="宋体" w:cs="宋体"/>
          <w:color w:val="000000"/>
          <w:sz w:val="24"/>
        </w:rPr>
        <w:t>同时出现两种以上不一致的，按照前款规定的顺序修正。修正后的报价按规定经投标人确认后产生约束力，投标人不确认的，其投标无效。</w:t>
      </w:r>
    </w:p>
    <w:p>
      <w:pPr>
        <w:pStyle w:val="27"/>
        <w:spacing w:line="400" w:lineRule="exact"/>
        <w:ind w:firstLine="482"/>
        <w:rPr>
          <w:rFonts w:hint="eastAsia" w:hAnsi="宋体" w:cs="宋体"/>
          <w:color w:val="000000"/>
          <w:sz w:val="24"/>
        </w:rPr>
      </w:pPr>
      <w:r>
        <w:rPr>
          <w:rFonts w:hint="eastAsia" w:hAnsi="宋体" w:cs="宋体"/>
          <w:color w:val="000000"/>
          <w:sz w:val="24"/>
        </w:rPr>
        <w:t>8.2按上述修正错误的原则及方法调整或修正投标文件的投标报价，投标人同意后，调整后的投标报价对投标人起约束作用。如果投标人不接受修正后的报价，则其投标将被拒绝，并不影响评标工作。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60" w:lineRule="exact"/>
        <w:ind w:firstLine="472" w:firstLineChars="196"/>
        <w:rPr>
          <w:rFonts w:hint="eastAsia" w:ascii="宋体" w:hAnsi="宋体" w:cs="宋体"/>
          <w:b/>
          <w:color w:val="000000"/>
          <w:sz w:val="24"/>
        </w:rPr>
      </w:pPr>
      <w:r>
        <w:rPr>
          <w:rFonts w:hint="eastAsia" w:ascii="宋体" w:hAnsi="宋体" w:cs="宋体"/>
          <w:b/>
          <w:color w:val="000000"/>
          <w:sz w:val="24"/>
        </w:rPr>
        <w:t>9.投标文件的评审、比较和否决</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9.1评标小组将按照本须知规定，仅对在实质上响应招标文件要求的投标文件进行评估和比较。</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9.2在评审过程后，评标小组可以以书面形式要求投标人就投标文件中含义不明确的内容进行书面说明并提供相关材料。</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9.3评标小组在作出任何一项无效标决定前，都应当严格遵循以下程序：</w:t>
      </w:r>
    </w:p>
    <w:p>
      <w:pPr>
        <w:adjustRightInd w:val="0"/>
        <w:snapToGrid w:val="0"/>
        <w:spacing w:line="460" w:lineRule="exact"/>
        <w:ind w:firstLine="472"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9.3.1要求当事投标人作相应的答辩；</w:t>
      </w:r>
    </w:p>
    <w:p>
      <w:pPr>
        <w:adjustRightInd w:val="0"/>
        <w:snapToGrid w:val="0"/>
        <w:spacing w:line="460" w:lineRule="exact"/>
        <w:ind w:firstLine="472"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9.3.2将答辩记录送当事投标人法定代表人或其授权委托的全权代表签字确认；</w:t>
      </w:r>
    </w:p>
    <w:p>
      <w:pPr>
        <w:adjustRightInd w:val="0"/>
        <w:snapToGrid w:val="0"/>
        <w:spacing w:line="460" w:lineRule="exact"/>
        <w:ind w:firstLine="472"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9.3.3在充分讨论的基础上集体表决；</w:t>
      </w:r>
    </w:p>
    <w:p>
      <w:pPr>
        <w:adjustRightInd w:val="0"/>
        <w:snapToGrid w:val="0"/>
        <w:spacing w:line="460" w:lineRule="exact"/>
        <w:ind w:firstLine="472" w:firstLineChars="196"/>
        <w:rPr>
          <w:rFonts w:hint="eastAsia" w:ascii="宋体" w:hAnsi="宋体" w:cs="宋体"/>
          <w:b/>
          <w:color w:val="000000"/>
          <w:sz w:val="24"/>
        </w:rPr>
      </w:pPr>
      <w:r>
        <w:rPr>
          <w:rFonts w:hint="eastAsia" w:ascii="宋体" w:hAnsi="宋体" w:cs="宋体"/>
          <w:b/>
          <w:color w:val="000000"/>
          <w:sz w:val="24"/>
          <w:shd w:val="pct10" w:color="auto" w:fill="FFFFFF"/>
        </w:rPr>
        <w:t>9.3.4若表决通过无效标决定，告知当事投标人，并在评标报告中详细载明无效标理由、依据、答辩的情况和集体表决的情况（同意无效标和不同意无效标的评标小组成员均应当注明）。</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9.4评标小组经评审，认为所有投标都不符合招标文件要求时，可以否决所有投标。所有投标被否决后，采购人应当依法重新招标。</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9.5有关在评标过程中随机抽取数值的规定</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（1）在评标过程中，评标办法要求随机抽取相关数值的，一律在开标现场抽取；</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（2）代理机构根据评标小组要求通知相关投标人的法定代表人或授权委托代理人在规定时间内到开标现场参加见证数值抽取；</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（3）若通知到的投标人的法定代表人或授权委托代理人未在规定时间内到场的或不予到场的视为对抽取结果无异议。</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（4）本随机数值一经抽取，以后任何情形（包括复议、重新评审等）都将不会再次进行随机数值抽取。</w:t>
      </w:r>
    </w:p>
    <w:p>
      <w:pPr>
        <w:pStyle w:val="27"/>
        <w:spacing w:line="440" w:lineRule="atLeast"/>
        <w:ind w:firstLine="482"/>
        <w:rPr>
          <w:rFonts w:hint="eastAsia" w:hAnsi="宋体" w:cs="宋体"/>
          <w:b/>
          <w:color w:val="000000"/>
          <w:spacing w:val="-4"/>
          <w:sz w:val="24"/>
        </w:rPr>
      </w:pPr>
      <w:r>
        <w:rPr>
          <w:rFonts w:hint="eastAsia" w:hAnsi="宋体" w:cs="宋体"/>
          <w:b/>
          <w:color w:val="000000"/>
          <w:spacing w:val="-4"/>
          <w:sz w:val="24"/>
        </w:rPr>
        <w:t>10</w:t>
      </w:r>
      <w:r>
        <w:rPr>
          <w:rFonts w:hint="eastAsia" w:hAnsi="宋体" w:cs="宋体"/>
          <w:b/>
          <w:color w:val="000000"/>
          <w:kern w:val="0"/>
          <w:sz w:val="24"/>
        </w:rPr>
        <w:t>.</w:t>
      </w:r>
      <w:r>
        <w:rPr>
          <w:rFonts w:hint="eastAsia" w:hAnsi="宋体" w:cs="宋体"/>
          <w:b/>
          <w:color w:val="000000"/>
          <w:spacing w:val="-4"/>
          <w:sz w:val="24"/>
        </w:rPr>
        <w:t>评标办法</w:t>
      </w:r>
    </w:p>
    <w:p>
      <w:pPr>
        <w:adjustRightInd w:val="0"/>
        <w:snapToGrid w:val="0"/>
        <w:spacing w:line="440" w:lineRule="atLeast"/>
        <w:ind w:firstLine="482" w:firstLineChars="200"/>
        <w:rPr>
          <w:rFonts w:hint="eastAsia" w:ascii="宋体" w:hAnsi="宋体" w:cs="宋体"/>
          <w:b/>
          <w:color w:val="000000"/>
          <w:sz w:val="24"/>
        </w:rPr>
      </w:pPr>
      <w:r>
        <w:rPr>
          <w:rFonts w:hint="eastAsia" w:ascii="宋体" w:hAnsi="宋体" w:cs="宋体"/>
          <w:b/>
          <w:color w:val="000000"/>
          <w:sz w:val="24"/>
        </w:rPr>
        <w:t>10.1本项目采用综合评分法（具体评标办法见后）。</w:t>
      </w:r>
    </w:p>
    <w:p>
      <w:pPr>
        <w:spacing w:line="440" w:lineRule="atLeast"/>
        <w:rPr>
          <w:rFonts w:hint="eastAsia" w:ascii="宋体" w:hAnsi="宋体" w:cs="宋体"/>
          <w:b/>
          <w:color w:val="000000"/>
          <w:sz w:val="28"/>
          <w:szCs w:val="28"/>
        </w:rPr>
      </w:pPr>
      <w:bookmarkStart w:id="273" w:name="_Toc274303254"/>
      <w:bookmarkStart w:id="274" w:name="_Toc362250706"/>
      <w:bookmarkStart w:id="275" w:name="_Toc226973003"/>
      <w:bookmarkStart w:id="276" w:name="_Toc261519848"/>
      <w:bookmarkStart w:id="277" w:name="_Toc263090376"/>
      <w:r>
        <w:rPr>
          <w:rFonts w:hint="eastAsia" w:ascii="宋体" w:hAnsi="宋体" w:cs="宋体"/>
          <w:b/>
          <w:color w:val="000000"/>
          <w:sz w:val="28"/>
          <w:szCs w:val="28"/>
        </w:rPr>
        <w:t>三、定标</w:t>
      </w:r>
      <w:bookmarkEnd w:id="273"/>
      <w:bookmarkEnd w:id="274"/>
      <w:bookmarkEnd w:id="275"/>
      <w:bookmarkEnd w:id="276"/>
      <w:bookmarkEnd w:id="277"/>
    </w:p>
    <w:p>
      <w:pPr>
        <w:spacing w:line="440" w:lineRule="atLeast"/>
        <w:ind w:firstLine="482" w:firstLineChars="200"/>
        <w:rPr>
          <w:rFonts w:hint="eastAsia" w:ascii="宋体" w:hAnsi="宋体" w:cs="宋体"/>
          <w:b/>
          <w:bCs/>
          <w:color w:val="000000"/>
          <w:sz w:val="24"/>
        </w:rPr>
      </w:pPr>
      <w:r>
        <w:rPr>
          <w:rFonts w:hint="eastAsia" w:ascii="宋体" w:hAnsi="宋体" w:cs="宋体"/>
          <w:b/>
          <w:color w:val="000000"/>
          <w:kern w:val="0"/>
          <w:sz w:val="24"/>
        </w:rPr>
        <w:t>11.</w:t>
      </w:r>
      <w:r>
        <w:rPr>
          <w:rFonts w:hint="eastAsia" w:ascii="宋体" w:hAnsi="宋体" w:cs="宋体"/>
          <w:b/>
          <w:bCs/>
          <w:color w:val="000000"/>
          <w:sz w:val="24"/>
        </w:rPr>
        <w:t>中标通知</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11.1采购人根据评标小组的书面评审报告和推荐的中标候选人直接委托评标小组确定中标人。</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11.2评标结束后，中标结果公告1个工作日，发布中标结果公告的媒体为：</w:t>
      </w:r>
      <w:r>
        <w:rPr>
          <w:rFonts w:hint="eastAsia" w:ascii="宋体" w:hAnsi="宋体" w:cs="宋体"/>
          <w:color w:val="000000"/>
          <w:sz w:val="24"/>
          <w:lang w:val="zh-CN"/>
        </w:rPr>
        <w:t>义乌市公共资源交易服务平台、</w:t>
      </w:r>
      <w:r>
        <w:rPr>
          <w:rFonts w:hint="eastAsia" w:ascii="宋体" w:hAnsi="宋体" w:cs="宋体"/>
          <w:color w:val="000000"/>
          <w:sz w:val="24"/>
        </w:rPr>
        <w:t>浙江政府采购网。</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11.3发放中标通知书前，采购人将在中国裁判文书网查询中标人自2019年1月1日至中标公告期结束前行贿犯罪记录（以网站页面显示内容为准）情况。经查实，中标人有前述行贿犯罪记录的，取消其中标资格，采购人依法重新组织采购。</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11.4采购代理机构签发《中标通知书》。《中标通知书》一经发出即发生法律效力。</w:t>
      </w:r>
    </w:p>
    <w:p>
      <w:pPr>
        <w:spacing w:line="440" w:lineRule="atLeas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12.质疑与投诉</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szCs w:val="24"/>
        </w:rPr>
        <w:t>12.1采购人拒绝接受未参加本项目报名或已报名但未递交投标文件的投标人的对评审结果的质疑。</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szCs w:val="24"/>
        </w:rPr>
        <w:t>12.2</w:t>
      </w:r>
      <w:r>
        <w:rPr>
          <w:rFonts w:hint="eastAsia" w:hAnsi="宋体" w:cs="宋体"/>
          <w:color w:val="000000"/>
          <w:sz w:val="24"/>
        </w:rPr>
        <w:t>开标过程中，投标人对开标有异议的，应当在“政采云”平台上及时提出，评标小组应对异常情况制作相关记录。</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szCs w:val="24"/>
        </w:rPr>
        <w:t>12.3开评标结束后，投标人或其他利害关系人对依法必须进行招标的项目的中标结果有异议的，应</w:t>
      </w:r>
      <w:r>
        <w:rPr>
          <w:rFonts w:hint="eastAsia" w:hAnsi="宋体" w:cs="宋体"/>
          <w:color w:val="000000"/>
          <w:sz w:val="24"/>
        </w:rPr>
        <w:t>首先依据招投标相关法律法规在规定时间内以书面形式向招标人和招标代理机构提出质疑。地址：义乌市春晗路111号4楼406室，联系电话：0579-83809111-8052。</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12.4投标人在法定质疑期内应一次性提出针对同一采购程序环节的质疑。</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12.5投标人提出质疑应当提交质疑函和必要的说明材料。质疑函应当包括下列内容：</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（一）投标人的姓名或者名称、地址、邮编、联系人及联系电话；</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（二）质疑项目的名称、编号；</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（三）具体、明确的质疑事项和与质疑事项相关的请求；</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（四）事实依据；</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（五）必要的法律依据；</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（六）提出质疑的日期。</w:t>
      </w:r>
    </w:p>
    <w:p>
      <w:pPr>
        <w:pStyle w:val="27"/>
        <w:tabs>
          <w:tab w:val="left" w:pos="900"/>
        </w:tabs>
        <w:spacing w:line="460" w:lineRule="exact"/>
        <w:ind w:firstLine="240" w:firstLineChars="100"/>
        <w:rPr>
          <w:rFonts w:hint="eastAsia" w:hAnsi="宋体" w:cs="宋体"/>
          <w:color w:val="000000"/>
          <w:sz w:val="24"/>
        </w:rPr>
      </w:pPr>
      <w:r>
        <w:rPr>
          <w:rFonts w:hint="eastAsia" w:hAnsi="宋体" w:cs="宋体"/>
          <w:color w:val="000000"/>
          <w:sz w:val="24"/>
        </w:rPr>
        <w:t>　质疑函应当由法定代表人、主要负责人，或者其授权代表签字或者盖章，并加盖公章。授权代表签字的应当提交投标人签署的授权委托书，其授权委托书应当载明代理人的姓名或者名称、代理事项、具体权限、期限和相关事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12.6质疑属于以下情况之一的，将不予受理：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12.6.1 质疑事项不具体，且未提供有效线索，难以查证；</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12.6.2 已超过招标文件规定质疑提出期限的事项；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12.6.3 投诉事项已作出处理决定，并且投诉人没有提出新的证据；</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12.6.4 质疑投诉的事项已经进入行政复议或者行政诉讼程序的；投诉事项应先提出质疑而没有提出质疑的；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12.6.5不符合《关于印发&lt;浙江省政府采购投标人质疑处理办法&gt;的通知》（浙财采监〔2012〕18号）等有关规定的质疑。</w:t>
      </w:r>
    </w:p>
    <w:p>
      <w:pPr>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12.7质疑人可以采取直接递交、传真或邮寄方式提交质疑函（一式三份以上）。以其他方式提出的质疑，被质疑人可不予接受、答复。</w:t>
      </w:r>
    </w:p>
    <w:p>
      <w:pPr>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采取邮寄方式送达质疑函的，以邮件注明的收件人实际收到邮件之日作为收到质疑的日期。</w:t>
      </w:r>
    </w:p>
    <w:p>
      <w:pPr>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采取传真方式送达质疑函的，质疑人应当取得被质疑人确认收到传真的意见，并及时将质疑函原件送达被质疑人。被质疑人可以实际收到原件之日作为收到质疑的日期。</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若不接受招标人答复的，应当自答复期满后15个工作日内以不接受采购人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12.8.1 投诉人不是所投诉项目的参与者，或者与投诉项目无任何利害关系。</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12.8.2 投诉事项不具体，且未提供有效线索，难以查证。</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12.8.3 投诉人为法人或者其他组织，其投诉书未经法定代表人或者主要负责人签字并加盖公章的。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12.8.4 已超过招标文件规定投诉提出期限的事项。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12.8.5 投诉事项已作出处理决定，并且投诉人没有提出新的证据；</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12.8.6 投诉的事项已经进入行政复议或者行政诉讼程序的；投诉事项应先提出质疑而没有提出质疑的。</w:t>
      </w:r>
    </w:p>
    <w:p>
      <w:pPr>
        <w:spacing w:line="400" w:lineRule="exact"/>
        <w:ind w:firstLine="480" w:firstLineChars="200"/>
        <w:rPr>
          <w:rFonts w:hint="eastAsia" w:ascii="宋体" w:hAnsi="宋体" w:cs="宋体"/>
          <w:color w:val="000000"/>
        </w:rPr>
      </w:pPr>
      <w:r>
        <w:rPr>
          <w:rFonts w:hint="eastAsia" w:ascii="宋体" w:hAnsi="宋体" w:cs="宋体"/>
          <w:color w:val="000000"/>
          <w:sz w:val="24"/>
        </w:rPr>
        <w:t>12.8.7不符合《政府采购质疑和投诉办法》（财政部令第94号）等有关规定的投诉。</w:t>
      </w:r>
    </w:p>
    <w:p>
      <w:pPr>
        <w:pStyle w:val="27"/>
        <w:tabs>
          <w:tab w:val="left" w:pos="900"/>
        </w:tabs>
        <w:spacing w:line="440" w:lineRule="atLeast"/>
        <w:ind w:firstLine="482" w:firstLineChars="200"/>
        <w:rPr>
          <w:rFonts w:hint="eastAsia" w:hAnsi="宋体" w:cs="宋体"/>
          <w:b/>
          <w:color w:val="000000"/>
          <w:sz w:val="24"/>
        </w:rPr>
      </w:pPr>
      <w:r>
        <w:rPr>
          <w:rFonts w:hint="eastAsia" w:hAnsi="宋体" w:cs="宋体"/>
          <w:b/>
          <w:color w:val="000000"/>
          <w:sz w:val="24"/>
        </w:rPr>
        <w:t>13.合同签订</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13.1中标人应在投标有效标期内且自接到《中标通知书》后三十天内到采购人处与采购人签订合同。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13.3中标人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13.4采购人与采购代理机构在中标结果公告的同时将中标结果通知所有未中标投标人，采购人和采购代理机构对评标结果不负责解释。</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13.5采购人变更数量的权利</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采购人在授予合同时有权对“招标项目要求”中规定的工作范围和服务予以增加或减少，但必须符合《中华人民共和国政府采购法》及义乌市政府采购的相关规定。</w:t>
      </w:r>
    </w:p>
    <w:p>
      <w:pPr>
        <w:spacing w:line="420" w:lineRule="exact"/>
        <w:ind w:firstLine="480" w:firstLineChars="200"/>
        <w:rPr>
          <w:rFonts w:hint="eastAsia" w:ascii="宋体" w:hAnsi="宋体" w:cs="宋体"/>
          <w:color w:val="000000"/>
          <w:sz w:val="24"/>
        </w:rPr>
      </w:pPr>
    </w:p>
    <w:p>
      <w:pPr>
        <w:spacing w:line="420" w:lineRule="exact"/>
        <w:ind w:firstLine="480" w:firstLineChars="200"/>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rPr>
          <w:rFonts w:hint="eastAsia" w:ascii="宋体" w:hAnsi="宋体" w:cs="宋体"/>
          <w:color w:val="000000"/>
          <w:sz w:val="24"/>
        </w:rPr>
      </w:pPr>
    </w:p>
    <w:p>
      <w:pPr>
        <w:pStyle w:val="50"/>
        <w:ind w:left="0" w:leftChars="0" w:firstLine="0" w:firstLineChars="0"/>
        <w:rPr>
          <w:rFonts w:hint="eastAsia" w:ascii="宋体" w:hAnsi="宋体" w:cs="宋体"/>
          <w:color w:val="000000"/>
          <w:sz w:val="24"/>
        </w:rPr>
      </w:pPr>
    </w:p>
    <w:p>
      <w:pPr>
        <w:rPr>
          <w:rFonts w:hint="eastAsia"/>
          <w:color w:val="000000"/>
        </w:rPr>
      </w:pPr>
    </w:p>
    <w:p>
      <w:pPr>
        <w:pStyle w:val="5"/>
        <w:numPr>
          <w:ilvl w:val="0"/>
          <w:numId w:val="0"/>
        </w:numPr>
        <w:spacing w:before="0" w:after="0" w:line="360" w:lineRule="auto"/>
        <w:jc w:val="center"/>
        <w:rPr>
          <w:rFonts w:hint="eastAsia" w:ascii="宋体" w:hAnsi="宋体" w:cs="宋体"/>
          <w:color w:val="000000"/>
          <w:sz w:val="36"/>
        </w:rPr>
      </w:pPr>
      <w:bookmarkStart w:id="278" w:name="_Toc30350"/>
      <w:bookmarkStart w:id="279" w:name="_Toc3093"/>
      <w:bookmarkStart w:id="280" w:name="_Toc13362"/>
      <w:bookmarkStart w:id="281" w:name="_Toc17405"/>
      <w:bookmarkStart w:id="282" w:name="_Toc362268017"/>
      <w:r>
        <w:rPr>
          <w:rFonts w:hint="eastAsia" w:ascii="宋体" w:hAnsi="宋体" w:cs="宋体"/>
          <w:color w:val="000000"/>
          <w:sz w:val="36"/>
        </w:rPr>
        <w:t>第五章  投标文件的有效性</w:t>
      </w:r>
      <w:bookmarkEnd w:id="278"/>
      <w:bookmarkEnd w:id="279"/>
      <w:bookmarkEnd w:id="280"/>
      <w:bookmarkEnd w:id="281"/>
      <w:bookmarkEnd w:id="282"/>
    </w:p>
    <w:p>
      <w:pPr>
        <w:pStyle w:val="27"/>
        <w:spacing w:line="440" w:lineRule="exact"/>
        <w:ind w:firstLine="482" w:firstLineChars="200"/>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1.1逾期上传电子档投标文件至“政采云”平台的。</w:t>
      </w:r>
    </w:p>
    <w:p>
      <w:pPr>
        <w:spacing w:line="440" w:lineRule="exact"/>
        <w:ind w:firstLine="480" w:firstLineChars="200"/>
        <w:rPr>
          <w:rFonts w:hint="eastAsia" w:ascii="宋体" w:hAnsi="宋体" w:cs="宋体"/>
          <w:color w:val="000000"/>
          <w:sz w:val="24"/>
        </w:rPr>
      </w:pPr>
      <w:r>
        <w:rPr>
          <w:rFonts w:hint="eastAsia" w:ascii="宋体" w:hAnsi="宋体"/>
          <w:color w:val="000000"/>
          <w:sz w:val="24"/>
        </w:rPr>
        <w:t>1.2</w:t>
      </w:r>
      <w:r>
        <w:rPr>
          <w:rFonts w:hint="eastAsia" w:ascii="新宋体" w:hAnsi="新宋体" w:eastAsia="新宋体"/>
          <w:color w:val="000000"/>
          <w:sz w:val="24"/>
        </w:rPr>
        <w:t>电子投标文件在规定时间内解密未成功的，且未提供备份投标文件或提供的备份投标文件无法上传打开的。</w:t>
      </w:r>
    </w:p>
    <w:p>
      <w:pPr>
        <w:adjustRightInd w:val="0"/>
        <w:snapToGrid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shd w:val="pct10" w:color="auto" w:fill="FFFFFF"/>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2.1投标文件未按招标文件要求加盖单位公章；或无法定代表人或法定代表人授权的全权代表签字或盖章的；或授权委托书无法定代表人签字或盖章的；或授权委托书未加盖单位公章的；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2.2未按招标文件规定提供相关文件，如资格说明、身份资料等；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2.3不具备招标文件中规定的资格要求的；</w:t>
      </w:r>
    </w:p>
    <w:p>
      <w:pPr>
        <w:adjustRightInd w:val="0"/>
        <w:snapToGrid w:val="0"/>
        <w:spacing w:line="400" w:lineRule="exact"/>
        <w:ind w:firstLine="480" w:firstLineChars="200"/>
        <w:rPr>
          <w:rFonts w:hint="eastAsia"/>
          <w:color w:val="000000"/>
        </w:rPr>
      </w:pPr>
      <w:r>
        <w:rPr>
          <w:rFonts w:hint="eastAsia" w:ascii="宋体" w:hAnsi="宋体" w:cs="宋体"/>
          <w:color w:val="000000"/>
          <w:sz w:val="24"/>
        </w:rPr>
        <w:t>2.4联合体组成不符合要求或联合体投标未附联合体协议书；</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5</w:t>
      </w:r>
      <w:r>
        <w:rPr>
          <w:rFonts w:hint="eastAsia" w:ascii="宋体" w:hAnsi="宋体" w:cs="宋体"/>
          <w:color w:val="000000"/>
          <w:sz w:val="24"/>
        </w:rPr>
        <w:t>投标文件不符合招标文件规定，未按规定格式填写的；或投标文件内容不全或关键字迹模糊、无法辨认的；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6</w:t>
      </w:r>
      <w:r>
        <w:rPr>
          <w:rFonts w:hint="eastAsia" w:ascii="宋体" w:hAnsi="宋体" w:cs="宋体"/>
          <w:color w:val="000000"/>
          <w:sz w:val="24"/>
        </w:rPr>
        <w:t>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7</w:t>
      </w:r>
      <w:r>
        <w:rPr>
          <w:rFonts w:hint="eastAsia" w:ascii="宋体" w:hAnsi="宋体" w:cs="宋体"/>
          <w:color w:val="000000"/>
          <w:sz w:val="24"/>
        </w:rPr>
        <w:t>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8</w:t>
      </w:r>
      <w:r>
        <w:rPr>
          <w:rFonts w:hint="eastAsia" w:ascii="宋体" w:hAnsi="宋体" w:cs="宋体"/>
          <w:color w:val="000000"/>
          <w:sz w:val="24"/>
        </w:rPr>
        <w:t>对本招标文件中打★号的条款未完全响应的；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9</w:t>
      </w:r>
      <w:r>
        <w:rPr>
          <w:rFonts w:hint="eastAsia" w:ascii="宋体" w:hAnsi="宋体" w:cs="宋体"/>
          <w:color w:val="000000"/>
          <w:sz w:val="24"/>
        </w:rPr>
        <w:t>投标文件附有采购人不能接受的条件；</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10</w:t>
      </w:r>
      <w:r>
        <w:rPr>
          <w:rFonts w:hint="eastAsia" w:ascii="宋体" w:hAnsi="宋体" w:cs="宋体"/>
          <w:color w:val="000000"/>
          <w:sz w:val="24"/>
        </w:rPr>
        <w:t>资格响应文件、商务技术响应文件中体现或包含商务报价的；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1</w:t>
      </w:r>
      <w:r>
        <w:rPr>
          <w:rFonts w:hint="eastAsia" w:ascii="宋体" w:hAnsi="宋体" w:cs="宋体"/>
          <w:color w:val="000000"/>
          <w:sz w:val="24"/>
        </w:rPr>
        <w:t>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2</w:t>
      </w:r>
      <w:r>
        <w:rPr>
          <w:rFonts w:hint="eastAsia" w:ascii="宋体" w:hAnsi="宋体" w:cs="宋体"/>
          <w:color w:val="000000"/>
          <w:sz w:val="24"/>
        </w:rPr>
        <w:t>评标小组认为技术或商务与招标文件偏离的部分过多，或在实质上不响应招标文件的；</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3</w:t>
      </w:r>
      <w:r>
        <w:rPr>
          <w:rFonts w:hint="eastAsia" w:ascii="宋体" w:hAnsi="宋体" w:cs="宋体"/>
          <w:color w:val="000000"/>
          <w:sz w:val="24"/>
        </w:rPr>
        <w:t>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4</w:t>
      </w:r>
      <w:r>
        <w:rPr>
          <w:rFonts w:hint="eastAsia" w:ascii="宋体" w:hAnsi="宋体" w:cs="宋体"/>
          <w:color w:val="000000"/>
          <w:kern w:val="0"/>
          <w:sz w:val="24"/>
        </w:rPr>
        <w:t>投标人不以自己真正身份参加竞标，以挂户或以他人名义参与竞标的；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pPr>
        <w:pStyle w:val="27"/>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hAnsi="宋体" w:cs="宋体"/>
          <w:color w:val="000000"/>
          <w:kern w:val="0"/>
          <w:sz w:val="24"/>
        </w:rPr>
        <w:t>2.1</w:t>
      </w:r>
      <w:r>
        <w:rPr>
          <w:rFonts w:hint="eastAsia" w:hAnsi="宋体" w:cs="宋体"/>
          <w:color w:val="000000"/>
          <w:kern w:val="0"/>
          <w:sz w:val="24"/>
          <w:lang w:val="en-US" w:eastAsia="zh-CN"/>
        </w:rPr>
        <w:t>5</w:t>
      </w:r>
      <w:r>
        <w:rPr>
          <w:rFonts w:hint="eastAsia" w:hAnsi="宋体" w:cs="宋体"/>
          <w:color w:val="000000"/>
          <w:sz w:val="24"/>
          <w:szCs w:val="24"/>
        </w:rPr>
        <w:t>被“信用中国”网站（www.creditchina.gov.cn）、中国政府采购网（www.ccgp.gov.cn）列入失信被执行人名单、重大税收违法案件当事人名单、政府采购严重违法失信行为记录名单（以采</w:t>
      </w:r>
      <w:r>
        <w:rPr>
          <w:rFonts w:hint="eastAsia" w:ascii="宋体" w:hAnsi="宋体" w:eastAsia="宋体" w:cs="宋体"/>
          <w:color w:val="000000"/>
          <w:sz w:val="24"/>
          <w:szCs w:val="24"/>
        </w:rPr>
        <w:t>购代理机构在开标当天查询结果为准）；</w:t>
      </w:r>
    </w:p>
    <w:p>
      <w:pPr>
        <w:pStyle w:val="27"/>
        <w:adjustRightInd w:val="0"/>
        <w:snapToGrid w:val="0"/>
        <w:spacing w:line="420" w:lineRule="exact"/>
        <w:ind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en-US"/>
        </w:rPr>
        <w:t>未按招标文件要求提供电子解密文件的；</w:t>
      </w:r>
    </w:p>
    <w:p>
      <w:pPr>
        <w:pStyle w:val="27"/>
        <w:adjustRightInd w:val="0"/>
        <w:snapToGrid w:val="0"/>
        <w:spacing w:line="420" w:lineRule="exact"/>
        <w:ind w:firstLine="480" w:firstLineChars="200"/>
        <w:jc w:val="left"/>
        <w:rPr>
          <w:rFonts w:hint="eastAsia" w:ascii="宋体" w:hAnsi="宋体" w:cs="宋体"/>
          <w:b/>
          <w:bCs/>
          <w:color w:val="000000"/>
          <w:kern w:val="0"/>
          <w:sz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评标小组要求投标人对其投标文件作出澄清或说明，如果投标人代表拒绝澄清或说明的，或者拒绝签字的；</w:t>
      </w:r>
    </w:p>
    <w:p>
      <w:pPr>
        <w:adjustRightInd w:val="0"/>
        <w:snapToGrid w:val="0"/>
        <w:spacing w:line="400" w:lineRule="exact"/>
        <w:ind w:firstLine="480" w:firstLineChars="200"/>
        <w:rPr>
          <w:rFonts w:ascii="宋体" w:hAnsi="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8</w:t>
      </w:r>
      <w:r>
        <w:rPr>
          <w:rFonts w:hint="eastAsia" w:ascii="宋体" w:hAnsi="宋体"/>
          <w:color w:val="000000"/>
          <w:sz w:val="24"/>
        </w:rPr>
        <w:t>投标报价低于企业成本价者或未填报企业成本价者；</w:t>
      </w:r>
      <w:r>
        <w:rPr>
          <w:rFonts w:ascii="宋体" w:hAnsi="宋体"/>
          <w:color w:val="000000"/>
          <w:sz w:val="24"/>
        </w:rPr>
        <w:t xml:space="preserve"> </w:t>
      </w:r>
    </w:p>
    <w:p>
      <w:pPr>
        <w:spacing w:line="400" w:lineRule="exact"/>
        <w:ind w:firstLine="480" w:firstLineChars="200"/>
        <w:rPr>
          <w:rFonts w:hint="eastAsia"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9</w:t>
      </w:r>
      <w:r>
        <w:rPr>
          <w:rFonts w:hint="eastAsia" w:ascii="宋体" w:hAnsi="宋体"/>
          <w:color w:val="000000"/>
          <w:sz w:val="24"/>
        </w:rPr>
        <w:t>投标报价高于预算价（最高限价）；</w:t>
      </w:r>
    </w:p>
    <w:p>
      <w:pPr>
        <w:adjustRightInd w:val="0"/>
        <w:snapToGrid w:val="0"/>
        <w:spacing w:line="400" w:lineRule="exact"/>
        <w:ind w:firstLine="480" w:firstLineChars="200"/>
        <w:rPr>
          <w:rFonts w:hint="eastAsia"/>
          <w:color w:val="000000"/>
        </w:rPr>
      </w:pPr>
      <w:r>
        <w:rPr>
          <w:rFonts w:hint="eastAsia" w:ascii="宋体" w:hAnsi="宋体" w:cs="宋体"/>
          <w:color w:val="000000"/>
          <w:sz w:val="24"/>
        </w:rPr>
        <w:t>2.</w:t>
      </w:r>
      <w:r>
        <w:rPr>
          <w:rFonts w:hint="eastAsia" w:ascii="宋体" w:hAnsi="宋体" w:cs="宋体"/>
          <w:color w:val="000000"/>
          <w:sz w:val="24"/>
          <w:lang w:val="en-US" w:eastAsia="zh-CN"/>
        </w:rPr>
        <w:t>20</w:t>
      </w:r>
      <w:r>
        <w:rPr>
          <w:rFonts w:hint="eastAsia" w:ascii="宋体" w:hAnsi="宋体" w:cs="宋体"/>
          <w:color w:val="000000"/>
          <w:sz w:val="24"/>
        </w:rPr>
        <w:t>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1</w:t>
      </w:r>
      <w:r>
        <w:rPr>
          <w:rFonts w:hint="eastAsia" w:ascii="宋体" w:hAnsi="宋体" w:cs="宋体"/>
          <w:color w:val="000000"/>
          <w:spacing w:val="-4"/>
          <w:sz w:val="24"/>
        </w:rPr>
        <w:t>评标小组一致</w:t>
      </w:r>
      <w:r>
        <w:rPr>
          <w:rFonts w:hint="eastAsia" w:ascii="宋体" w:hAnsi="宋体" w:cs="宋体"/>
          <w:color w:val="000000"/>
          <w:sz w:val="24"/>
        </w:rPr>
        <w:t>认为认为投标人的报价明显低于其他通过符合性审查投标人的报价，有可能影响项目质量或者不能诚信履约，</w:t>
      </w:r>
      <w:r>
        <w:rPr>
          <w:rFonts w:hint="eastAsia" w:ascii="宋体" w:hAnsi="宋体" w:cs="宋体"/>
          <w:color w:val="000000"/>
          <w:kern w:val="0"/>
          <w:sz w:val="24"/>
        </w:rPr>
        <w:t>要求其通过“政采云”平台在规定的时间内提供CA签章的材料；</w:t>
      </w:r>
      <w:r>
        <w:rPr>
          <w:rFonts w:hint="eastAsia" w:ascii="宋体" w:hAnsi="宋体" w:cs="宋体"/>
          <w:color w:val="000000"/>
          <w:sz w:val="24"/>
        </w:rPr>
        <w:t>投标人不能</w:t>
      </w:r>
      <w:r>
        <w:rPr>
          <w:rFonts w:hint="eastAsia" w:ascii="宋体" w:hAnsi="宋体" w:cs="宋体"/>
          <w:color w:val="000000"/>
          <w:sz w:val="24"/>
          <w:lang w:val="en-US" w:eastAsia="zh-CN"/>
        </w:rPr>
        <w:t>佐证</w:t>
      </w:r>
      <w:r>
        <w:rPr>
          <w:rFonts w:hint="eastAsia" w:ascii="宋体" w:hAnsi="宋体" w:cs="宋体"/>
          <w:color w:val="000000"/>
          <w:sz w:val="24"/>
        </w:rPr>
        <w:t>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2</w:t>
      </w:r>
      <w:r>
        <w:rPr>
          <w:rFonts w:hint="eastAsia" w:ascii="宋体" w:hAnsi="宋体" w:cs="宋体"/>
          <w:color w:val="000000"/>
          <w:sz w:val="24"/>
        </w:rPr>
        <w:t>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3</w:t>
      </w:r>
      <w:r>
        <w:rPr>
          <w:rFonts w:hint="eastAsia" w:ascii="宋体" w:hAnsi="宋体" w:cs="宋体"/>
          <w:color w:val="000000"/>
          <w:sz w:val="24"/>
        </w:rPr>
        <w:t>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4</w:t>
      </w:r>
      <w:r>
        <w:rPr>
          <w:rFonts w:hint="eastAsia" w:ascii="宋体" w:hAnsi="宋体" w:cs="宋体"/>
          <w:color w:val="000000"/>
          <w:sz w:val="24"/>
        </w:rPr>
        <w:t>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5</w:t>
      </w:r>
      <w:r>
        <w:rPr>
          <w:rFonts w:hint="eastAsia" w:ascii="宋体" w:hAnsi="宋体" w:cs="宋体"/>
          <w:color w:val="000000"/>
          <w:sz w:val="24"/>
        </w:rPr>
        <w:t>按招标文件规定对投标人的投标报价进行修正后其不确认的；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6</w:t>
      </w:r>
      <w:r>
        <w:rPr>
          <w:rFonts w:hint="eastAsia" w:ascii="宋体" w:hAnsi="宋体" w:cs="宋体"/>
          <w:color w:val="000000"/>
          <w:sz w:val="24"/>
        </w:rPr>
        <w:t>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6"/>
        <w:ind w:firstLine="497"/>
        <w:rPr>
          <w:rFonts w:hint="eastAsia" w:ascii="宋体" w:hAnsi="宋体" w:eastAsia="宋体" w:cs="宋体"/>
          <w:b/>
          <w:color w:val="000000"/>
          <w:kern w:val="0"/>
        </w:rPr>
      </w:pPr>
      <w:r>
        <w:rPr>
          <w:rFonts w:hint="eastAsia" w:ascii="宋体" w:hAnsi="宋体" w:eastAsia="宋体" w:cs="宋体"/>
          <w:b/>
          <w:color w:val="000000"/>
          <w:kern w:val="0"/>
        </w:rPr>
        <w:t>4</w:t>
      </w:r>
      <w:r>
        <w:rPr>
          <w:rFonts w:hint="eastAsia" w:ascii="宋体" w:hAnsi="宋体" w:eastAsia="宋体" w:cs="宋体"/>
          <w:b/>
          <w:color w:val="000000"/>
          <w:kern w:val="0"/>
          <w:lang w:val="en-US"/>
        </w:rPr>
        <w:t>.</w:t>
      </w:r>
      <w:r>
        <w:rPr>
          <w:rFonts w:hint="eastAsia" w:ascii="宋体" w:hAnsi="宋体" w:eastAsia="宋体" w:cs="宋体"/>
          <w:b/>
          <w:color w:val="000000"/>
          <w:kern w:val="0"/>
        </w:rPr>
        <w:t>其他违反法律法规的的情况。</w:t>
      </w:r>
    </w:p>
    <w:p>
      <w:pPr>
        <w:pStyle w:val="96"/>
        <w:ind w:firstLine="497"/>
        <w:rPr>
          <w:rFonts w:hint="eastAsia" w:ascii="宋体" w:hAnsi="宋体" w:eastAsia="宋体" w:cs="宋体"/>
          <w:b/>
          <w:color w:val="000000"/>
          <w:kern w:val="0"/>
        </w:rPr>
      </w:pPr>
      <w:r>
        <w:rPr>
          <w:rFonts w:hint="eastAsia" w:ascii="宋体" w:hAnsi="宋体" w:eastAsia="宋体" w:cs="宋体"/>
          <w:b/>
          <w:color w:val="000000"/>
          <w:kern w:val="0"/>
        </w:rPr>
        <w:t>5.评标过程中，非上述所罗列的情况，不得以无效标处理。</w:t>
      </w:r>
    </w:p>
    <w:p>
      <w:pPr>
        <w:pStyle w:val="5"/>
        <w:numPr>
          <w:ilvl w:val="0"/>
          <w:numId w:val="0"/>
        </w:numPr>
        <w:spacing w:before="0" w:after="0" w:line="480" w:lineRule="exact"/>
        <w:jc w:val="center"/>
        <w:rPr>
          <w:rFonts w:hint="eastAsia" w:ascii="宋体" w:hAnsi="宋体" w:cs="宋体"/>
          <w:color w:val="000000"/>
          <w:sz w:val="36"/>
        </w:rPr>
      </w:pPr>
    </w:p>
    <w:p>
      <w:pPr>
        <w:rPr>
          <w:rFonts w:hint="eastAsia" w:ascii="宋体" w:hAnsi="宋体" w:cs="宋体"/>
          <w:color w:val="000000"/>
          <w:sz w:val="36"/>
        </w:rPr>
      </w:pPr>
    </w:p>
    <w:p>
      <w:pPr>
        <w:pStyle w:val="96"/>
        <w:ind w:firstLine="735"/>
        <w:rPr>
          <w:rFonts w:hint="eastAsia" w:ascii="宋体" w:hAnsi="宋体" w:cs="宋体"/>
          <w:color w:val="000000"/>
          <w:sz w:val="36"/>
        </w:rPr>
      </w:pPr>
    </w:p>
    <w:p>
      <w:pPr>
        <w:pStyle w:val="96"/>
        <w:ind w:firstLine="735"/>
        <w:rPr>
          <w:rFonts w:hint="eastAsia" w:ascii="宋体" w:hAnsi="宋体" w:cs="宋体"/>
          <w:color w:val="000000"/>
          <w:sz w:val="36"/>
        </w:rPr>
      </w:pPr>
    </w:p>
    <w:p>
      <w:pPr>
        <w:pStyle w:val="96"/>
        <w:ind w:firstLine="735"/>
        <w:rPr>
          <w:rFonts w:hint="eastAsia" w:ascii="宋体" w:hAnsi="宋体" w:cs="宋体"/>
          <w:color w:val="000000"/>
          <w:sz w:val="36"/>
        </w:rPr>
      </w:pPr>
    </w:p>
    <w:p>
      <w:pPr>
        <w:pStyle w:val="96"/>
        <w:ind w:firstLine="735"/>
        <w:rPr>
          <w:rFonts w:hint="eastAsia" w:ascii="宋体" w:hAnsi="宋体" w:cs="宋体"/>
          <w:color w:val="000000"/>
          <w:sz w:val="36"/>
        </w:rPr>
      </w:pPr>
    </w:p>
    <w:p>
      <w:pPr>
        <w:pStyle w:val="50"/>
        <w:ind w:left="0" w:leftChars="0" w:firstLine="0" w:firstLineChars="0"/>
        <w:rPr>
          <w:rFonts w:hint="eastAsia" w:ascii="宋体" w:hAnsi="宋体" w:cs="宋体"/>
          <w:color w:val="000000"/>
        </w:rPr>
      </w:pPr>
    </w:p>
    <w:p>
      <w:pPr>
        <w:pStyle w:val="5"/>
        <w:numPr>
          <w:ilvl w:val="0"/>
          <w:numId w:val="0"/>
        </w:numPr>
        <w:spacing w:before="0" w:after="0" w:line="240" w:lineRule="auto"/>
        <w:jc w:val="center"/>
        <w:rPr>
          <w:rFonts w:hint="eastAsia" w:ascii="宋体" w:hAnsi="宋体" w:cs="宋体"/>
          <w:color w:val="000000"/>
          <w:sz w:val="36"/>
          <w:szCs w:val="36"/>
        </w:rPr>
      </w:pPr>
      <w:bookmarkStart w:id="283" w:name="_Toc4006"/>
      <w:bookmarkStart w:id="284" w:name="_Toc29355"/>
      <w:bookmarkStart w:id="285" w:name="_Toc28359"/>
      <w:bookmarkStart w:id="286" w:name="_Toc3170"/>
      <w:r>
        <w:rPr>
          <w:rFonts w:hint="eastAsia" w:ascii="宋体" w:hAnsi="宋体" w:cs="宋体"/>
          <w:color w:val="000000"/>
          <w:sz w:val="36"/>
          <w:szCs w:val="36"/>
        </w:rPr>
        <w:t>第六章</w:t>
      </w:r>
      <w:bookmarkEnd w:id="254"/>
      <w:bookmarkEnd w:id="255"/>
      <w:bookmarkEnd w:id="256"/>
      <w:r>
        <w:rPr>
          <w:rFonts w:hint="eastAsia" w:ascii="宋体" w:hAnsi="宋体" w:cs="宋体"/>
          <w:color w:val="000000"/>
          <w:sz w:val="36"/>
          <w:szCs w:val="36"/>
        </w:rPr>
        <w:t xml:space="preserve">  评标办法</w:t>
      </w:r>
      <w:bookmarkEnd w:id="283"/>
      <w:bookmarkEnd w:id="284"/>
      <w:bookmarkEnd w:id="285"/>
      <w:bookmarkEnd w:id="286"/>
    </w:p>
    <w:p>
      <w:pPr>
        <w:pStyle w:val="27"/>
        <w:spacing w:line="420" w:lineRule="exact"/>
        <w:ind w:firstLine="480" w:firstLineChars="200"/>
        <w:jc w:val="left"/>
        <w:rPr>
          <w:rFonts w:hint="eastAsia" w:hAnsi="宋体" w:cs="宋体"/>
          <w:color w:val="000000"/>
          <w:sz w:val="24"/>
        </w:rPr>
      </w:pPr>
      <w:bookmarkStart w:id="287" w:name="_Toc274303257"/>
      <w:bookmarkStart w:id="288" w:name="_Toc238878128"/>
      <w:bookmarkStart w:id="289" w:name="_Toc213038697"/>
      <w:bookmarkStart w:id="290" w:name="_Toc274303258"/>
      <w:r>
        <w:rPr>
          <w:rFonts w:hint="eastAsia" w:hAnsi="宋体" w:cs="宋体"/>
          <w:color w:val="000000"/>
          <w:sz w:val="24"/>
        </w:rPr>
        <w:t>根据《中华人民共和国政府采购法》和《政府采购货物和服务招标投标管理办法》的有关规定，为更好地做到公开、公平、公正，结合本次招标的特点，特制定本评标办法。</w:t>
      </w:r>
    </w:p>
    <w:p>
      <w:pPr>
        <w:pStyle w:val="27"/>
        <w:spacing w:line="460" w:lineRule="exact"/>
        <w:ind w:firstLine="482"/>
        <w:rPr>
          <w:rFonts w:hint="eastAsia" w:hAnsi="宋体" w:cs="宋体"/>
          <w:b/>
          <w:bCs/>
          <w:color w:val="000000"/>
          <w:sz w:val="24"/>
        </w:rPr>
      </w:pPr>
      <w:r>
        <w:rPr>
          <w:rFonts w:hint="eastAsia" w:hAnsi="宋体" w:cs="宋体"/>
          <w:b/>
          <w:color w:val="000000"/>
          <w:spacing w:val="-4"/>
          <w:sz w:val="24"/>
        </w:rPr>
        <w:t>一、</w:t>
      </w:r>
      <w:r>
        <w:rPr>
          <w:rFonts w:hint="eastAsia" w:hAnsi="宋体" w:cs="宋体"/>
          <w:b/>
          <w:bCs/>
          <w:color w:val="000000"/>
          <w:sz w:val="24"/>
        </w:rPr>
        <w:t>评审程序</w:t>
      </w:r>
    </w:p>
    <w:p>
      <w:pPr>
        <w:pStyle w:val="27"/>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7"/>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7"/>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7"/>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7"/>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对报价响应文件符合性审查通过的报价响应文件进行详细评审，计算出各报价响应文件有效的投标单位的商务得分和总得分；</w:t>
      </w:r>
    </w:p>
    <w:p>
      <w:pPr>
        <w:pStyle w:val="27"/>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7"/>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27"/>
        <w:spacing w:line="440" w:lineRule="exact"/>
        <w:ind w:firstLine="482" w:firstLineChars="200"/>
        <w:rPr>
          <w:rFonts w:hint="eastAsia" w:hAnsi="宋体" w:cs="宋体"/>
          <w:b/>
          <w:bCs/>
          <w:color w:val="000000"/>
          <w:sz w:val="24"/>
        </w:rPr>
      </w:pPr>
      <w:r>
        <w:rPr>
          <w:rFonts w:hint="eastAsia" w:hAnsi="宋体" w:cs="宋体"/>
          <w:b/>
          <w:bCs/>
          <w:color w:val="000000"/>
          <w:sz w:val="24"/>
        </w:rPr>
        <w:t>二、评审办法</w:t>
      </w:r>
    </w:p>
    <w:bookmarkEnd w:id="287"/>
    <w:p>
      <w:pPr>
        <w:pStyle w:val="27"/>
        <w:spacing w:line="45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7"/>
        <w:numPr>
          <w:ilvl w:val="0"/>
          <w:numId w:val="4"/>
        </w:numPr>
        <w:spacing w:line="450" w:lineRule="exact"/>
        <w:ind w:left="482"/>
        <w:rPr>
          <w:rFonts w:hint="eastAsia" w:hAnsi="宋体" w:cs="宋体"/>
          <w:b/>
          <w:bCs/>
          <w:color w:val="000000"/>
          <w:sz w:val="24"/>
          <w:szCs w:val="24"/>
        </w:rPr>
      </w:pPr>
      <w:r>
        <w:rPr>
          <w:rFonts w:hint="eastAsia" w:hAnsi="宋体"/>
          <w:b/>
          <w:color w:val="000000"/>
          <w:spacing w:val="-4"/>
          <w:sz w:val="24"/>
        </w:rPr>
        <w:t>商务技术响应文件</w:t>
      </w:r>
      <w:r>
        <w:rPr>
          <w:rFonts w:hint="eastAsia" w:hAnsi="宋体" w:cs="宋体"/>
          <w:b/>
          <w:bCs/>
          <w:color w:val="000000"/>
          <w:sz w:val="24"/>
          <w:szCs w:val="24"/>
        </w:rPr>
        <w:t>评审，满分</w:t>
      </w:r>
      <w:r>
        <w:rPr>
          <w:rFonts w:hint="eastAsia" w:hAnsi="宋体" w:cs="宋体"/>
          <w:b/>
          <w:bCs/>
          <w:color w:val="000000"/>
          <w:sz w:val="24"/>
          <w:szCs w:val="24"/>
          <w:lang w:val="en-US" w:eastAsia="zh-CN"/>
        </w:rPr>
        <w:t>8</w:t>
      </w:r>
      <w:r>
        <w:rPr>
          <w:rFonts w:hint="eastAsia" w:hAnsi="宋体" w:cs="宋体"/>
          <w:b/>
          <w:bCs/>
          <w:color w:val="000000"/>
          <w:sz w:val="24"/>
          <w:szCs w:val="24"/>
        </w:rPr>
        <w:t>0分</w:t>
      </w: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
        <w:gridCol w:w="1572"/>
        <w:gridCol w:w="1884"/>
        <w:gridCol w:w="4129"/>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评分内容</w:t>
            </w: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评分要点及说明</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分值范围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项目实施方案（64分）</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前端设备运维</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多功能执法（包括行人闯红灯、逆向行驶等）、道路监控（数字球机、模拟球机）、电子警察系统的部署情况（包括设备配置、安装情况、取电组网情况等基础信息）等维护需求的理解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根据投标人对信号控制系统、信号灯系统的部署情况（包括设备配置、安装情况、取电组网情况等基础信息）等维护需求的理解程度进行评审。投标文件商务技术响应文件中无此项内容的本项不得分。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根据投标人对卡口、测速仪、诱导屏等的部署情况（包括设备配置、安装情况、取电组网情况等基础信息）等维护需求的理解程度进行评审。投标文件商务技术响应文件中无此项内容的本项不得分。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多功能执法（包括行人闯红灯、逆向行驶等）、道路监控（数字球机、模拟球机）、电子警察系统维护方案，需包括合理的维护区块划分、值班巡检方案、切实可行的维护工单处理流程，专用网络的维护方案以及对现有各系统的优化维护建议等五个方面，每一项内容的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信号控制系统、信号灯系统维护方案，需包括合理的维护区块划分、值班巡检方案、切实可行的维护工单处理流程，专用网络的维护方案等四个方面，每一项内容的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卡口、测速仪、诱导屏系统维护方案，需包括合理的维护区块划分、值班巡检方案、切实可行的维护工单处理流程，专用网络的维护方案以及对现有各系统的优化维护建议等五个方面，每一项内容的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中心端应用系统</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根据投标人对本项目软件系统的部署情况，各系统软件的业务模块的理解程度，内容描述完整性，满足维护需求程度进行评审。投标文件商务技术响应文件中无此项内容的本项不得分。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软件系统业务数据流情况、前端各系统与中心系统（平台）的接入情况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根据投标人对本项目中心端硬件系统设施的部署情况、配置情况的理解程度，内容描述完整性，满足维护需求程度进行评审。投标文件商务技术响应文件中无此项内容的本项不得分。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根据投标人对本项目中心端硬件系统网络架构、存储、虚拟化集群的理解程度，内容描述完整性，满足维护需求程度进行评审。投标文件商务技术响应文件中无此项内容的本项不得分。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根据投标人对本项目中心端应用系统网络安全建设的理解程度，内容描述完整性，满足维护需求程度进行评审。投标文件商务技术响应文件中无此项内容的本项不得分。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中心端应用系统的日常监测保障方案、巡查方案、应急故障处理方案，现有各系统的优化建议等内容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支撑系统</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完全满足招标文件要求且部分指标超过招标文件要求的在4.5分的基础上每项正偏离加0.2分，最高得5分；完全满足招标文件要求的得4.5分，有部分不满足招标文件要求的在4.5分的基础上每项负偏离扣除1分，扣完为止。</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0-5分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机房、光纤租赁及指挥中心维护</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根据投标人对本项目机房需求的理解程度打分，包括机房的供电、UPS、空调、新风、油机等，以及前端与机房之间的传输专网架构情况进行评审。投标文件商务技术响应文件中无此项内容的本项不得分。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根据投标人提供的光纤链路组网方式打分，机房与前端点位的链路组网方式采用光纤点对点裸光纤或采用专网专用OLT上联接入，得3分，其余不得分。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交通信号应用与交通组织优化</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根据投标人对义乌交通与路网特征的理解程度打分，内容描述完整性，与实际维护需求符合程度进行评审。投标文件商务技术响应文件中无此项内容的本项不得分。</w:t>
            </w:r>
          </w:p>
        </w:tc>
        <w:tc>
          <w:tcPr>
            <w:tcW w:w="1963"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根据投标人对义乌信号控制原则策略、区块及时段划分的理解程度打分，内容描述完整性，与实际维护需求符合程度进行评审。投标文件商务技术响应文件中无此项内容的本项不得分。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根据投标人对义乌道路现状条件的了解程度，提交的绿波协调设计方案进行评审。投标文件商务技术响应文件中无此项内容的本项不得分。</w:t>
            </w:r>
          </w:p>
        </w:tc>
        <w:tc>
          <w:tcPr>
            <w:tcW w:w="1963"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根据投标人对义乌道路现状条件的了解，按投标人提交的义乌难点及黑点路口信号设计方案进行评审。投标文件商务技术响应文件中无此项内容的本项不得分。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根据投标人对义乌道路现状条件的了解，按投标人提交的义乌信号优化设计及评估方案进行评审。投标文件商务技术响应文件中无此项内容的本项不得分。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0-2分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根据投标人对义乌道路现状条件的了解，按投标人提交的车辆管控、重大活动（特殊事件）信号设计方案进行评审。投标文件商务技术响应文件中无此项内容的本项不得分。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2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项目投入技术力量（13）</w:t>
            </w: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拟投入本项目人员情况：</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1.项目经理每具有1本信息系统项目管理师证书、PMP证书的得0.5分，最高得1分。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2.主要技术负责人每具有1本高级工程师证书（信息技术专业）、一级建造师证书（通信与广电专业）、一级建造师证书（市政公用专业）证书的得1分，最高3分。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3.具有应急管理部门签发的电工作业资格证书10人（含）及以上的，得1分，10人（不含）以下不得分。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0-5分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4.智能交通指挥中心车辆分析应用、信号配时与交通组织服务人员投入情况：</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投标人需提供不少于招标人要求的车辆分析应用工程师人数，根据投标人拟投入车辆分析应用工程师的工作履历、工程实践经验进行评审。（0-2）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投标人需提供不少于招标人要求的地理信息系统工程师人数，根据投标人提供的拟投入地理信息系统工程师的工作履历、工程实践经验进行评审。（0-2）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投标人需提供不少于招标人要求的信号配时高级工程师人数，根据投标人提供的拟投入本项目信号配时高级工程师工作履历、工程实践经验进行评审。（0-2）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投标人需提供不少于招标人要求的普通配时工程师人数，根据投标人提供的拟投入本项目普通信号配时工程师工作履历、工程实践经验进行评审。（0-2）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0-8分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797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（以上人员需提供2022年8月起至投标截止时间止期间中任何一个连续3个月的在本单位任职的个人社保缴费清单、工程实践佐证资料及证书复印件）。</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注：1.社保机构网上打印件与社保机构出具的具有同等效力。</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2.证书须在有效期内，否则不得分。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运维服务承诺（3分）</w:t>
            </w: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根据投标人对项目响应时间、抢修恢复时间、应急保障方案、备品备件、驻场人员条件等承诺内容进行评审。</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bl>
    <w:p>
      <w:pPr>
        <w:adjustRightInd w:val="0"/>
        <w:snapToGrid w:val="0"/>
        <w:spacing w:line="45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w:t>
      </w:r>
      <w:r>
        <w:rPr>
          <w:rFonts w:hint="eastAsia" w:ascii="宋体" w:hAnsi="宋体" w:cs="宋体"/>
          <w:color w:val="000000"/>
          <w:spacing w:val="-4"/>
          <w:sz w:val="24"/>
          <w:lang w:val="en-US" w:eastAsia="zh-CN"/>
        </w:rPr>
        <w:t>商务技术响应文件</w:t>
      </w:r>
      <w:r>
        <w:rPr>
          <w:rFonts w:hint="eastAsia" w:ascii="宋体" w:hAnsi="宋体" w:cs="宋体"/>
          <w:color w:val="000000"/>
          <w:spacing w:val="-4"/>
          <w:sz w:val="24"/>
        </w:rPr>
        <w:t>的审核情况，自行判定，打分时保留小数1位，每人一份评分表，并签名。在统计得分时，如果发现某一单项评分超过评分细则规定的分值范围，则该张评分表无效。</w:t>
      </w:r>
    </w:p>
    <w:p>
      <w:pPr>
        <w:adjustRightInd w:val="0"/>
        <w:snapToGrid w:val="0"/>
        <w:spacing w:line="450" w:lineRule="exact"/>
        <w:ind w:firstLine="459" w:firstLineChars="198"/>
        <w:rPr>
          <w:rFonts w:hint="eastAsia" w:ascii="宋体" w:hAnsi="宋体" w:cs="宋体"/>
          <w:b/>
          <w:bCs/>
          <w:color w:val="000000"/>
          <w:spacing w:val="-4"/>
          <w:sz w:val="24"/>
        </w:rPr>
      </w:pPr>
      <w:r>
        <w:rPr>
          <w:rFonts w:hint="eastAsia" w:ascii="宋体" w:hAnsi="宋体" w:eastAsia="宋体" w:cs="宋体"/>
          <w:color w:val="000000"/>
          <w:spacing w:val="-4"/>
          <w:sz w:val="24"/>
        </w:rPr>
        <w:t>商务技术响应文件</w:t>
      </w:r>
      <w:r>
        <w:rPr>
          <w:rFonts w:hint="eastAsia" w:ascii="宋体" w:hAnsi="宋体" w:cs="宋体"/>
          <w:color w:val="000000"/>
          <w:spacing w:val="-4"/>
          <w:sz w:val="24"/>
        </w:rPr>
        <w:t>得分：最终得分为评标小组成员的有效评分的算术平均值。计算时保留小数2位（四舍五入）。</w:t>
      </w:r>
      <w:r>
        <w:rPr>
          <w:rFonts w:hint="eastAsia" w:ascii="宋体" w:hAnsi="宋体" w:cs="宋体"/>
          <w:b/>
          <w:bCs/>
          <w:color w:val="000000"/>
          <w:spacing w:val="-4"/>
          <w:sz w:val="24"/>
        </w:rPr>
        <w:t xml:space="preserve"> </w:t>
      </w:r>
    </w:p>
    <w:p>
      <w:pPr>
        <w:pStyle w:val="27"/>
        <w:numPr>
          <w:ilvl w:val="0"/>
          <w:numId w:val="4"/>
        </w:numPr>
        <w:spacing w:before="120" w:after="120" w:line="450" w:lineRule="exact"/>
        <w:ind w:left="482"/>
        <w:rPr>
          <w:rFonts w:hint="eastAsia" w:hAnsi="宋体" w:cs="宋体"/>
          <w:b/>
          <w:bCs/>
          <w:color w:val="000000"/>
          <w:sz w:val="24"/>
          <w:szCs w:val="24"/>
        </w:rPr>
      </w:pPr>
      <w:r>
        <w:rPr>
          <w:rFonts w:hint="eastAsia" w:hAnsi="宋体" w:cs="宋体"/>
          <w:b/>
          <w:bCs/>
          <w:color w:val="000000"/>
          <w:sz w:val="24"/>
          <w:szCs w:val="24"/>
        </w:rPr>
        <w:t>报价响应文件评审，满分</w:t>
      </w:r>
      <w:r>
        <w:rPr>
          <w:rFonts w:hint="eastAsia" w:hAnsi="宋体" w:cs="宋体"/>
          <w:b/>
          <w:bCs/>
          <w:color w:val="000000"/>
          <w:sz w:val="24"/>
          <w:szCs w:val="24"/>
          <w:lang w:val="en-US" w:eastAsia="zh-CN"/>
        </w:rPr>
        <w:t>2</w:t>
      </w:r>
      <w:r>
        <w:rPr>
          <w:rFonts w:hint="eastAsia" w:hAnsi="宋体" w:cs="宋体"/>
          <w:b/>
          <w:bCs/>
          <w:color w:val="000000"/>
          <w:sz w:val="24"/>
          <w:szCs w:val="24"/>
        </w:rPr>
        <w:t>0分</w:t>
      </w:r>
    </w:p>
    <w:p>
      <w:pPr>
        <w:adjustRightInd w:val="0"/>
        <w:snapToGrid w:val="0"/>
        <w:spacing w:line="450" w:lineRule="exact"/>
        <w:ind w:firstLine="480" w:firstLineChars="200"/>
        <w:rPr>
          <w:rFonts w:hint="eastAsia" w:ascii="宋体" w:hAnsi="宋体"/>
          <w:color w:val="000000"/>
          <w:sz w:val="24"/>
        </w:rPr>
      </w:pPr>
      <w:r>
        <w:rPr>
          <w:rFonts w:hint="eastAsia" w:ascii="宋体" w:hAnsi="宋体"/>
          <w:color w:val="000000"/>
          <w:sz w:val="24"/>
        </w:rPr>
        <w:t>2.1甄别异常报价</w:t>
      </w:r>
    </w:p>
    <w:p>
      <w:pPr>
        <w:adjustRightInd w:val="0"/>
        <w:snapToGrid w:val="0"/>
        <w:spacing w:line="450" w:lineRule="exact"/>
        <w:ind w:firstLine="459" w:firstLineChars="198"/>
        <w:rPr>
          <w:rFonts w:hint="eastAsia"/>
          <w:color w:val="000000"/>
          <w:spacing w:val="-4"/>
          <w:sz w:val="24"/>
        </w:rPr>
      </w:pPr>
      <w:r>
        <w:rPr>
          <w:rFonts w:hint="eastAsia"/>
          <w:color w:val="000000"/>
          <w:spacing w:val="-4"/>
          <w:sz w:val="24"/>
        </w:rPr>
        <w:t>对出现下列情况之一的，由评标小组认定为异常报价，按无效标处理，不再进行评审：</w:t>
      </w:r>
    </w:p>
    <w:p>
      <w:pPr>
        <w:adjustRightInd w:val="0"/>
        <w:snapToGrid w:val="0"/>
        <w:spacing w:line="450" w:lineRule="exact"/>
        <w:ind w:firstLine="475" w:firstLineChars="198"/>
        <w:rPr>
          <w:rFonts w:hint="eastAsia" w:ascii="宋体" w:hAnsi="宋体"/>
          <w:color w:val="000000"/>
          <w:sz w:val="24"/>
        </w:rPr>
      </w:pPr>
      <w:r>
        <w:rPr>
          <w:rFonts w:hint="eastAsia" w:ascii="宋体" w:hAnsi="宋体"/>
          <w:color w:val="000000"/>
          <w:sz w:val="24"/>
        </w:rPr>
        <w:t>2.1.1报价高于</w:t>
      </w:r>
      <w:r>
        <w:rPr>
          <w:rFonts w:hint="eastAsia" w:ascii="宋体" w:hAnsi="Courier New"/>
          <w:color w:val="000000"/>
          <w:kern w:val="0"/>
          <w:sz w:val="24"/>
        </w:rPr>
        <w:t>最高限价（预算价）或低于企业成本价</w:t>
      </w:r>
      <w:r>
        <w:rPr>
          <w:rFonts w:hint="eastAsia" w:ascii="宋体" w:hAnsi="宋体"/>
          <w:color w:val="000000"/>
          <w:sz w:val="24"/>
        </w:rPr>
        <w:t>；</w:t>
      </w:r>
    </w:p>
    <w:p>
      <w:pPr>
        <w:adjustRightInd w:val="0"/>
        <w:snapToGrid w:val="0"/>
        <w:spacing w:line="450" w:lineRule="exact"/>
        <w:ind w:firstLine="480" w:firstLineChars="200"/>
        <w:rPr>
          <w:rFonts w:hint="eastAsia" w:ascii="宋体" w:hAnsi="宋体"/>
          <w:color w:val="000000"/>
          <w:sz w:val="24"/>
        </w:rPr>
      </w:pPr>
      <w:r>
        <w:rPr>
          <w:rFonts w:hint="eastAsia" w:ascii="宋体" w:hAnsi="宋体"/>
          <w:color w:val="000000"/>
          <w:sz w:val="24"/>
        </w:rPr>
        <w:t>2.1.2</w:t>
      </w:r>
      <w:r>
        <w:rPr>
          <w:rFonts w:hint="eastAsia" w:ascii="宋体" w:hAnsi="宋体"/>
          <w:color w:val="000000"/>
          <w:spacing w:val="-4"/>
          <w:sz w:val="24"/>
        </w:rPr>
        <w:t>评标小组一致</w:t>
      </w:r>
      <w:r>
        <w:rPr>
          <w:rFonts w:ascii="Arial" w:hAnsi="Arial" w:cs="Arial"/>
          <w:color w:val="000000"/>
          <w:sz w:val="24"/>
        </w:rPr>
        <w:t>认为投标人的报价明显低于其他通过符合性审查投标人的报价，有可能影响质量或者不能诚信履约，应当在评标现场合理的时间内提供书面说明，必要时提交相关</w:t>
      </w:r>
      <w:r>
        <w:rPr>
          <w:rFonts w:hint="eastAsia" w:ascii="Arial" w:hAnsi="Arial" w:cs="Arial"/>
          <w:color w:val="000000"/>
          <w:sz w:val="24"/>
        </w:rPr>
        <w:t>说明</w:t>
      </w:r>
      <w:r>
        <w:rPr>
          <w:rFonts w:ascii="Arial" w:hAnsi="Arial" w:cs="Arial"/>
          <w:color w:val="000000"/>
          <w:sz w:val="24"/>
        </w:rPr>
        <w:t>材料；投标人不能</w:t>
      </w:r>
      <w:r>
        <w:rPr>
          <w:rFonts w:hint="eastAsia" w:ascii="Arial" w:hAnsi="Arial" w:cs="Arial"/>
          <w:color w:val="000000"/>
          <w:sz w:val="24"/>
        </w:rPr>
        <w:t>说明</w:t>
      </w:r>
      <w:r>
        <w:rPr>
          <w:rFonts w:ascii="Arial" w:hAnsi="Arial" w:cs="Arial"/>
          <w:color w:val="000000"/>
          <w:sz w:val="24"/>
        </w:rPr>
        <w:t>其报价合理性的，</w:t>
      </w:r>
      <w:r>
        <w:rPr>
          <w:rFonts w:hint="eastAsia" w:ascii="宋体" w:hAnsi="宋体"/>
          <w:color w:val="000000"/>
          <w:spacing w:val="-4"/>
          <w:sz w:val="24"/>
        </w:rPr>
        <w:t>经评标小组取得一致意见后，可确定该投标人无效</w:t>
      </w:r>
      <w:r>
        <w:rPr>
          <w:rFonts w:hint="eastAsia" w:cs="Arial"/>
          <w:color w:val="000000"/>
          <w:kern w:val="0"/>
          <w:sz w:val="24"/>
        </w:rPr>
        <w:t>。</w:t>
      </w:r>
    </w:p>
    <w:p>
      <w:pPr>
        <w:pStyle w:val="31"/>
        <w:spacing w:line="450" w:lineRule="exact"/>
        <w:ind w:firstLine="482" w:firstLineChars="200"/>
        <w:rPr>
          <w:rFonts w:hint="eastAsia" w:hAnsi="宋体" w:eastAsia="宋体" w:cs="宋体"/>
          <w:b/>
          <w:bCs/>
          <w:color w:val="000000"/>
          <w:szCs w:val="24"/>
        </w:rPr>
      </w:pPr>
      <w:r>
        <w:rPr>
          <w:rFonts w:hint="eastAsia" w:hAnsi="宋体" w:eastAsia="宋体" w:cs="宋体"/>
          <w:b/>
          <w:bCs/>
          <w:color w:val="000000"/>
          <w:szCs w:val="24"/>
        </w:rPr>
        <w:t>2.2商务报价分计算方法如下：</w:t>
      </w:r>
    </w:p>
    <w:p>
      <w:pPr>
        <w:pStyle w:val="31"/>
        <w:spacing w:line="450" w:lineRule="exact"/>
        <w:ind w:firstLine="480" w:firstLineChars="200"/>
        <w:rPr>
          <w:rFonts w:hAnsi="宋体" w:eastAsia="宋体" w:cs="宋体"/>
          <w:color w:val="000000"/>
        </w:rPr>
      </w:pPr>
      <w:r>
        <w:rPr>
          <w:rFonts w:hAnsi="宋体" w:eastAsia="宋体" w:cs="宋体"/>
          <w:color w:val="000000"/>
        </w:rPr>
        <w:t>评标基准价的确定办法：以所有有效报价中的最低报价为基准价，投标人的价格分统一按下列公式计算：</w:t>
      </w:r>
    </w:p>
    <w:p>
      <w:pPr>
        <w:pStyle w:val="31"/>
        <w:spacing w:line="450" w:lineRule="exact"/>
        <w:ind w:firstLine="480" w:firstLineChars="200"/>
        <w:rPr>
          <w:rFonts w:hAnsi="宋体" w:eastAsia="宋体" w:cs="宋体"/>
          <w:color w:val="000000"/>
        </w:rPr>
      </w:pPr>
      <w:r>
        <w:rPr>
          <w:rFonts w:hint="eastAsia" w:ascii="宋体" w:hAnsi="宋体" w:eastAsia="宋体" w:cs="宋体"/>
          <w:color w:val="000000"/>
        </w:rPr>
        <w:t>报价响应文件</w:t>
      </w:r>
      <w:r>
        <w:rPr>
          <w:rFonts w:ascii="宋体" w:hAnsi="宋体" w:eastAsia="宋体" w:cs="宋体"/>
          <w:color w:val="000000"/>
        </w:rPr>
        <w:t>得</w:t>
      </w:r>
      <w:r>
        <w:rPr>
          <w:rFonts w:hAnsi="宋体" w:eastAsia="宋体" w:cs="宋体"/>
          <w:color w:val="000000"/>
        </w:rPr>
        <w:t>分={基准价/（投标报价）}×</w:t>
      </w:r>
      <w:r>
        <w:rPr>
          <w:rFonts w:hint="eastAsia" w:hAnsi="宋体" w:eastAsia="宋体" w:cs="宋体"/>
          <w:color w:val="000000"/>
          <w:lang w:val="en-US" w:eastAsia="zh-CN"/>
        </w:rPr>
        <w:t>2</w:t>
      </w:r>
      <w:r>
        <w:rPr>
          <w:rFonts w:hAnsi="宋体" w:eastAsia="宋体" w:cs="宋体"/>
          <w:color w:val="000000"/>
        </w:rPr>
        <w:t>0          计算时保留小数2位（四舍五入）。</w:t>
      </w:r>
    </w:p>
    <w:p>
      <w:pPr>
        <w:spacing w:line="450" w:lineRule="exact"/>
        <w:ind w:firstLine="480" w:firstLineChars="200"/>
        <w:rPr>
          <w:rFonts w:hint="eastAsia" w:ascii="宋体" w:hAnsi="宋体" w:cs="宋体"/>
          <w:color w:val="000000"/>
          <w:sz w:val="24"/>
        </w:rPr>
      </w:pPr>
      <w:r>
        <w:rPr>
          <w:rFonts w:hint="eastAsia" w:ascii="宋体" w:hAnsi="宋体" w:cs="宋体"/>
          <w:color w:val="000000"/>
          <w:sz w:val="24"/>
        </w:rPr>
        <w:t>小微企业评审价格=小微企业投标报价×（1-20%）</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注：1.对于小型和微型企业产品的价格给予20%的扣除，用扣除后的价格参与评审，是否给予价格扣除按前附表“小微企业有关规定”要求认定。</w:t>
      </w:r>
    </w:p>
    <w:p>
      <w:pPr>
        <w:spacing w:line="440" w:lineRule="exact"/>
        <w:ind w:firstLine="720" w:firstLineChars="300"/>
        <w:rPr>
          <w:rFonts w:hint="eastAsia" w:ascii="宋体" w:hAnsi="宋体" w:cs="宋体"/>
          <w:color w:val="000000"/>
          <w:sz w:val="24"/>
        </w:rPr>
      </w:pPr>
      <w:r>
        <w:rPr>
          <w:rFonts w:hint="eastAsia" w:ascii="宋体" w:hAnsi="宋体" w:cs="宋体"/>
          <w:color w:val="000000"/>
          <w:sz w:val="24"/>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pPr>
        <w:spacing w:line="440" w:lineRule="exact"/>
        <w:ind w:firstLine="720" w:firstLineChars="300"/>
        <w:rPr>
          <w:rFonts w:hAnsi="宋体" w:eastAsia="宋体" w:cs="宋体"/>
          <w:color w:val="000000"/>
        </w:rPr>
      </w:pPr>
      <w:r>
        <w:rPr>
          <w:rFonts w:hint="eastAsia" w:ascii="宋体" w:hAnsi="宋体" w:cs="宋体"/>
          <w:color w:val="000000"/>
          <w:sz w:val="24"/>
        </w:rPr>
        <w:t>3.对于联合体各方均为小型、微型企业的，联合体视同为小型、微型企业，享受评审中投标报价给予20%的扣除，用扣除后的价格参与评审，是否给予价格扣除按前附表“小微企业有关规定”要求认定。</w:t>
      </w:r>
    </w:p>
    <w:p>
      <w:pPr>
        <w:pStyle w:val="31"/>
        <w:spacing w:line="450" w:lineRule="exact"/>
        <w:ind w:firstLine="482" w:firstLineChars="200"/>
        <w:rPr>
          <w:rFonts w:hAnsi="宋体" w:eastAsia="宋体" w:cs="宋体"/>
          <w:b/>
          <w:bCs/>
          <w:color w:val="000000"/>
        </w:rPr>
      </w:pPr>
      <w:r>
        <w:rPr>
          <w:rFonts w:hAnsi="宋体" w:eastAsia="宋体" w:cs="宋体"/>
          <w:b/>
          <w:bCs/>
          <w:color w:val="000000"/>
        </w:rPr>
        <w:t>3</w:t>
      </w:r>
      <w:r>
        <w:rPr>
          <w:rFonts w:hint="eastAsia" w:hAnsi="宋体" w:cs="宋体"/>
          <w:b/>
          <w:bCs/>
          <w:color w:val="000000"/>
        </w:rPr>
        <w:t>.</w:t>
      </w:r>
      <w:r>
        <w:rPr>
          <w:rFonts w:hAnsi="宋体" w:eastAsia="宋体" w:cs="宋体"/>
          <w:b/>
          <w:bCs/>
          <w:color w:val="000000"/>
        </w:rPr>
        <w:t>计算总得分</w:t>
      </w:r>
    </w:p>
    <w:p>
      <w:pPr>
        <w:pStyle w:val="31"/>
        <w:spacing w:line="450" w:lineRule="exact"/>
        <w:ind w:firstLine="480" w:firstLineChars="200"/>
        <w:rPr>
          <w:rFonts w:hint="eastAsia" w:ascii="宋体" w:hAnsi="宋体" w:eastAsia="宋体" w:cs="宋体"/>
          <w:color w:val="000000"/>
        </w:rPr>
      </w:pPr>
      <w:r>
        <w:rPr>
          <w:rFonts w:hint="eastAsia" w:ascii="宋体" w:hAnsi="宋体" w:eastAsia="宋体" w:cs="宋体"/>
          <w:color w:val="000000"/>
        </w:rPr>
        <w:t>总得分=商务技术响应文件得分+报价响应文件得分</w:t>
      </w:r>
      <w:r>
        <w:rPr>
          <w:rFonts w:ascii="宋体" w:hAnsi="宋体" w:eastAsia="宋体" w:cs="宋体"/>
          <w:color w:val="000000"/>
        </w:rPr>
        <w:t xml:space="preserve">   </w:t>
      </w:r>
    </w:p>
    <w:p>
      <w:pPr>
        <w:pStyle w:val="27"/>
        <w:spacing w:line="440" w:lineRule="exact"/>
        <w:ind w:firstLine="482" w:firstLineChars="200"/>
        <w:rPr>
          <w:rFonts w:hint="eastAsia" w:hAnsi="宋体" w:cs="宋体"/>
          <w:b/>
          <w:bCs/>
          <w:color w:val="000000"/>
          <w:sz w:val="24"/>
          <w:szCs w:val="24"/>
        </w:rPr>
      </w:pPr>
      <w:r>
        <w:rPr>
          <w:rFonts w:hint="eastAsia" w:hAnsi="宋体" w:cs="宋体"/>
          <w:b/>
          <w:bCs/>
          <w:color w:val="000000"/>
          <w:sz w:val="24"/>
          <w:szCs w:val="24"/>
        </w:rPr>
        <w:t>三 、定标办法</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1.评标小组完成评标后，评标结果按评审后得分由高到低顺序排列（总得分相同的，按投标报价由低到高顺序排列；得分且投标报价相同的，按技术分从高到低顺序排列</w:t>
      </w:r>
      <w:r>
        <w:rPr>
          <w:rFonts w:hint="eastAsia" w:ascii="宋体" w:hAnsi="宋体" w:cs="宋体"/>
          <w:color w:val="000000"/>
          <w:sz w:val="24"/>
          <w:lang w:val="en-US" w:eastAsia="zh-CN"/>
        </w:rPr>
        <w:t>；</w:t>
      </w:r>
      <w:r>
        <w:rPr>
          <w:rFonts w:hint="eastAsia" w:ascii="宋体" w:hAnsi="宋体" w:cs="宋体"/>
          <w:color w:val="000000"/>
          <w:sz w:val="24"/>
        </w:rPr>
        <w:t>技术分也相同的，由采购人代表采用公共资源交易中心抽取程序随机确定排列顺序）。评标小组直接确定</w:t>
      </w:r>
      <w:r>
        <w:rPr>
          <w:rFonts w:hint="eastAsia" w:ascii="宋体" w:hAnsi="宋体" w:cs="宋体"/>
          <w:b/>
          <w:bCs/>
          <w:color w:val="000000"/>
          <w:sz w:val="24"/>
        </w:rPr>
        <w:t>排名第一</w:t>
      </w:r>
      <w:r>
        <w:rPr>
          <w:rFonts w:hint="eastAsia" w:ascii="宋体" w:hAnsi="宋体" w:cs="宋体"/>
          <w:color w:val="000000"/>
          <w:sz w:val="24"/>
        </w:rPr>
        <w:t>的投标单位为中标候选人向采购人推荐，并提交经评标小组成员签字的评标报告。</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2.采购人直接授权评标小组确定中标人。</w:t>
      </w:r>
    </w:p>
    <w:p>
      <w:pPr>
        <w:spacing w:line="440" w:lineRule="exact"/>
        <w:ind w:firstLine="480" w:firstLineChars="200"/>
        <w:rPr>
          <w:rFonts w:hint="eastAsia" w:ascii="宋体" w:hAnsi="宋体" w:cs="宋体"/>
          <w:color w:val="000000"/>
          <w:sz w:val="24"/>
        </w:rPr>
      </w:pPr>
      <w:bookmarkStart w:id="291" w:name="_Toc338319019"/>
      <w:r>
        <w:rPr>
          <w:rFonts w:hint="eastAsia" w:ascii="宋体" w:hAnsi="宋体" w:cs="宋体"/>
          <w:color w:val="000000"/>
          <w:sz w:val="24"/>
        </w:rPr>
        <w:t>3.当确定的中标人放弃中标，因不可抗力提出不能履行合同，重新组织招标。</w:t>
      </w:r>
      <w:bookmarkEnd w:id="291"/>
    </w:p>
    <w:p>
      <w:pPr>
        <w:pStyle w:val="27"/>
        <w:tabs>
          <w:tab w:val="left" w:pos="8333"/>
        </w:tabs>
        <w:spacing w:line="440" w:lineRule="exact"/>
        <w:ind w:firstLine="482" w:firstLineChars="200"/>
        <w:rPr>
          <w:rFonts w:hint="eastAsia" w:hAnsi="宋体" w:cs="宋体"/>
          <w:b/>
          <w:bCs/>
          <w:color w:val="000000"/>
          <w:sz w:val="24"/>
          <w:szCs w:val="24"/>
        </w:rPr>
      </w:pPr>
      <w:r>
        <w:rPr>
          <w:rFonts w:hint="eastAsia" w:hAnsi="宋体" w:cs="宋体"/>
          <w:b/>
          <w:bCs/>
          <w:color w:val="000000"/>
          <w:sz w:val="24"/>
          <w:szCs w:val="24"/>
        </w:rPr>
        <w:t>四、评标小组不向落标方解释落标原因，不退还投标文件。</w:t>
      </w:r>
    </w:p>
    <w:p>
      <w:pPr>
        <w:pStyle w:val="5"/>
        <w:numPr>
          <w:ilvl w:val="0"/>
          <w:numId w:val="0"/>
        </w:numPr>
        <w:spacing w:before="0" w:after="0" w:line="240" w:lineRule="auto"/>
        <w:jc w:val="center"/>
        <w:rPr>
          <w:rFonts w:hint="eastAsia" w:ascii="宋体" w:hAnsi="宋体" w:cs="宋体"/>
          <w:color w:val="000000"/>
          <w:sz w:val="36"/>
          <w:szCs w:val="36"/>
        </w:rPr>
      </w:pPr>
      <w:bookmarkStart w:id="292" w:name="_Toc5322"/>
      <w:bookmarkStart w:id="293" w:name="_Toc29873"/>
    </w:p>
    <w:p>
      <w:pPr>
        <w:bidi w:val="0"/>
        <w:rPr>
          <w:rFonts w:hint="eastAsia"/>
          <w:color w:val="000000"/>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rPr>
          <w:rFonts w:hint="eastAsia"/>
          <w:color w:val="000000"/>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bookmarkStart w:id="294" w:name="_Toc30870"/>
      <w:bookmarkStart w:id="295" w:name="_Toc9226"/>
      <w:r>
        <w:rPr>
          <w:rFonts w:hint="eastAsia" w:ascii="宋体" w:hAnsi="宋体" w:cs="宋体"/>
          <w:color w:val="000000"/>
          <w:sz w:val="36"/>
          <w:szCs w:val="36"/>
        </w:rPr>
        <w:t>第七章  拟签订的合同文本</w:t>
      </w:r>
      <w:bookmarkEnd w:id="288"/>
      <w:bookmarkEnd w:id="289"/>
      <w:bookmarkEnd w:id="290"/>
      <w:bookmarkEnd w:id="292"/>
      <w:bookmarkEnd w:id="293"/>
      <w:bookmarkEnd w:id="294"/>
      <w:bookmarkEnd w:id="295"/>
    </w:p>
    <w:p>
      <w:pPr>
        <w:widowControl/>
        <w:spacing w:line="360" w:lineRule="auto"/>
        <w:ind w:firstLine="482" w:firstLineChars="200"/>
        <w:jc w:val="center"/>
        <w:rPr>
          <w:rFonts w:hint="eastAsia" w:ascii="宋体" w:hAnsi="宋体" w:cs="宋体"/>
          <w:b/>
          <w:color w:val="000000"/>
          <w:kern w:val="0"/>
          <w:sz w:val="24"/>
        </w:rPr>
      </w:pPr>
      <w:r>
        <w:rPr>
          <w:rFonts w:hint="eastAsia" w:ascii="宋体" w:hAnsi="宋体" w:cs="宋体"/>
          <w:b/>
          <w:color w:val="000000"/>
          <w:kern w:val="0"/>
          <w:sz w:val="24"/>
        </w:rPr>
        <w:t>义乌市政府采购合同（样本）</w:t>
      </w:r>
    </w:p>
    <w:p>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甲方：</w:t>
      </w:r>
      <w:r>
        <w:rPr>
          <w:rFonts w:hint="eastAsia" w:ascii="宋体" w:hAnsi="宋体" w:cs="宋体"/>
          <w:b/>
          <w:bCs/>
          <w:color w:val="000000"/>
          <w:sz w:val="24"/>
          <w:u w:val="single"/>
          <w:lang w:eastAsia="zh-CN"/>
        </w:rPr>
        <w:t>义乌市公安局交通警察大队</w:t>
      </w:r>
      <w:r>
        <w:rPr>
          <w:rFonts w:hint="eastAsia" w:ascii="宋体" w:hAnsi="宋体" w:cs="宋体"/>
          <w:b/>
          <w:bCs/>
          <w:color w:val="000000"/>
          <w:sz w:val="24"/>
          <w:u w:val="single"/>
        </w:rPr>
        <w:t xml:space="preserve"> </w:t>
      </w:r>
    </w:p>
    <w:p>
      <w:pPr>
        <w:spacing w:line="500" w:lineRule="exact"/>
        <w:ind w:firstLine="480" w:firstLineChars="200"/>
        <w:rPr>
          <w:rFonts w:ascii="宋体" w:hAnsi="宋体"/>
          <w:color w:val="000000"/>
          <w:sz w:val="24"/>
        </w:rPr>
      </w:pPr>
      <w:r>
        <w:rPr>
          <w:rFonts w:ascii="宋体" w:hAnsi="宋体"/>
          <w:color w:val="000000"/>
          <w:sz w:val="24"/>
        </w:rPr>
        <w:t>乙方：___________________</w:t>
      </w:r>
    </w:p>
    <w:p>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sz w:val="24"/>
        </w:rPr>
        <w:t>甲、乙双方根据</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w:t>
      </w:r>
      <w:r>
        <w:rPr>
          <w:rFonts w:hint="eastAsia" w:ascii="宋体" w:hAnsi="宋体" w:cs="宋体"/>
          <w:b/>
          <w:bCs/>
          <w:color w:val="000000"/>
          <w:sz w:val="24"/>
          <w:u w:val="single"/>
          <w:lang w:eastAsia="zh-CN"/>
        </w:rPr>
        <w:t>义乌市智能交通系统2023-2025年运维服务采购项目</w:t>
      </w:r>
      <w:r>
        <w:rPr>
          <w:rFonts w:hint="eastAsia" w:ascii="宋体" w:hAnsi="宋体" w:cs="宋体"/>
          <w:b/>
          <w:bCs/>
          <w:color w:val="000000"/>
          <w:sz w:val="24"/>
          <w:u w:val="single"/>
        </w:rPr>
        <w:t>（采购编号：SJZJZC2022</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GK</w:t>
      </w:r>
      <w:r>
        <w:rPr>
          <w:rFonts w:hint="eastAsia" w:ascii="宋体" w:hAnsi="宋体" w:cs="宋体"/>
          <w:b/>
          <w:bCs/>
          <w:color w:val="000000"/>
          <w:sz w:val="24"/>
        </w:rPr>
        <w:t>）</w:t>
      </w:r>
      <w:r>
        <w:rPr>
          <w:rFonts w:hint="eastAsia" w:ascii="宋体" w:hAnsi="宋体" w:cs="宋体"/>
          <w:color w:val="000000"/>
          <w:kern w:val="0"/>
          <w:sz w:val="24"/>
        </w:rPr>
        <w:t>招标结果和投标文件的要求，依据《中华人民共和国民法典》并经双方协调一致，订立本采购合同。本合同（□是  □否）为可融资合同。</w:t>
      </w:r>
    </w:p>
    <w:p>
      <w:pPr>
        <w:snapToGrid w:val="0"/>
        <w:spacing w:line="480" w:lineRule="exact"/>
        <w:ind w:firstLine="472" w:firstLineChars="196"/>
        <w:textAlignment w:val="baseline"/>
        <w:rPr>
          <w:rFonts w:hint="eastAsia" w:ascii="宋体" w:hAnsi="宋体" w:cs="宋体"/>
          <w:b/>
          <w:bCs/>
          <w:color w:val="000000"/>
          <w:sz w:val="24"/>
        </w:rPr>
      </w:pPr>
      <w:r>
        <w:rPr>
          <w:rFonts w:hint="eastAsia" w:ascii="宋体" w:hAnsi="宋体" w:cs="宋体"/>
          <w:b/>
          <w:bCs/>
          <w:color w:val="000000"/>
          <w:sz w:val="24"/>
        </w:rPr>
        <w:t>一、合同文件的组成</w:t>
      </w:r>
    </w:p>
    <w:p>
      <w:pPr>
        <w:widowControl/>
        <w:tabs>
          <w:tab w:val="left" w:pos="720"/>
        </w:tabs>
        <w:spacing w:line="420" w:lineRule="exact"/>
        <w:ind w:firstLine="480" w:firstLineChars="200"/>
        <w:jc w:val="left"/>
        <w:rPr>
          <w:rFonts w:hint="eastAsia" w:ascii="宋体" w:hAnsi="宋体" w:cs="宋体"/>
          <w:color w:val="000000"/>
          <w:sz w:val="24"/>
        </w:rPr>
      </w:pPr>
      <w:r>
        <w:rPr>
          <w:rFonts w:hint="eastAsia" w:ascii="宋体" w:hAnsi="宋体" w:cs="宋体"/>
          <w:color w:val="000000"/>
          <w:sz w:val="24"/>
        </w:rPr>
        <w:t>招标文件、投标文件及其补充文件、澄清文件、询标记录的所有内容均是构成本合同不可分割的部分，与合同具有同等法律效力。</w:t>
      </w:r>
    </w:p>
    <w:p>
      <w:pPr>
        <w:snapToGrid w:val="0"/>
        <w:spacing w:line="480" w:lineRule="exact"/>
        <w:ind w:firstLine="472"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二、合同金额</w:t>
      </w:r>
    </w:p>
    <w:p>
      <w:pPr>
        <w:pStyle w:val="27"/>
        <w:spacing w:line="460" w:lineRule="exact"/>
        <w:ind w:firstLine="480" w:firstLineChars="200"/>
        <w:rPr>
          <w:rFonts w:hint="eastAsia" w:hAnsi="宋体"/>
          <w:color w:val="000000"/>
          <w:sz w:val="24"/>
        </w:rPr>
      </w:pPr>
      <w:r>
        <w:rPr>
          <w:rFonts w:hint="eastAsia" w:hAnsi="宋体" w:cs="宋体"/>
          <w:color w:val="000000"/>
          <w:sz w:val="24"/>
          <w:szCs w:val="24"/>
        </w:rPr>
        <w:t>合同金额</w:t>
      </w:r>
      <w:r>
        <w:rPr>
          <w:rFonts w:hint="eastAsia" w:ascii="宋体" w:hAnsi="宋体" w:eastAsia="宋体" w:cs="Courier New"/>
          <w:color w:val="000000"/>
          <w:sz w:val="24"/>
        </w:rPr>
        <w:t>须包括维</w:t>
      </w:r>
      <w:r>
        <w:rPr>
          <w:rFonts w:hint="eastAsia" w:ascii="宋体" w:hAnsi="宋体" w:eastAsia="宋体" w:cs="Courier New"/>
          <w:color w:val="000000"/>
          <w:sz w:val="24"/>
          <w:lang w:val="en-US" w:eastAsia="zh-CN"/>
        </w:rPr>
        <w:t>护</w:t>
      </w:r>
      <w:r>
        <w:rPr>
          <w:rFonts w:hint="eastAsia" w:ascii="宋体" w:hAnsi="宋体" w:eastAsia="宋体" w:cs="Courier New"/>
          <w:color w:val="000000"/>
          <w:sz w:val="24"/>
        </w:rPr>
        <w:t>费</w:t>
      </w:r>
      <w:r>
        <w:rPr>
          <w:rFonts w:hint="eastAsia" w:ascii="宋体" w:hAnsi="宋体" w:eastAsia="宋体" w:cs="宋体"/>
          <w:color w:val="000000"/>
          <w:sz w:val="24"/>
          <w:lang w:eastAsia="zh-CN"/>
        </w:rPr>
        <w:t>｛</w:t>
      </w:r>
      <w:r>
        <w:rPr>
          <w:rFonts w:hint="eastAsia" w:ascii="宋体" w:hAnsi="宋体" w:eastAsia="宋体" w:cs="Courier New"/>
          <w:color w:val="000000"/>
          <w:sz w:val="24"/>
        </w:rPr>
        <w:t>前端设备运维服务费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应用系统硬件维护服务费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应用系统软件维护服务费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支撑系统维护服务费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机房能源费</w:t>
      </w:r>
      <w:r>
        <w:rPr>
          <w:rFonts w:hint="eastAsia" w:ascii="宋体" w:hAnsi="宋体" w:eastAsia="宋体" w:cs="Courier New"/>
          <w:color w:val="000000"/>
          <w:sz w:val="24"/>
          <w:lang w:val="en-US" w:eastAsia="zh-CN"/>
        </w:rPr>
        <w:t>（暂估价为</w:t>
      </w:r>
      <w:r>
        <w:rPr>
          <w:rFonts w:hint="eastAsia" w:hAnsi="宋体" w:eastAsia="宋体" w:cs="Courier New"/>
          <w:color w:val="000000"/>
          <w:sz w:val="24"/>
          <w:lang w:val="en-US" w:eastAsia="zh-CN"/>
        </w:rPr>
        <w:t>481.8</w:t>
      </w:r>
      <w:r>
        <w:rPr>
          <w:rFonts w:hint="eastAsia" w:ascii="宋体" w:hAnsi="宋体" w:eastAsia="宋体" w:cs="Courier New"/>
          <w:color w:val="000000"/>
          <w:sz w:val="24"/>
          <w:lang w:val="en-US" w:eastAsia="zh-CN"/>
        </w:rPr>
        <w:t>万元，按实结算）</w:t>
      </w:r>
      <w:r>
        <w:rPr>
          <w:rFonts w:hint="eastAsia" w:ascii="宋体" w:hAnsi="宋体" w:eastAsia="宋体" w:cs="Courier New"/>
          <w:color w:val="000000"/>
          <w:sz w:val="24"/>
        </w:rPr>
        <w:t>、机房租赁与维护服务费</w:t>
      </w:r>
      <w:r>
        <w:rPr>
          <w:rFonts w:hint="eastAsia" w:ascii="宋体" w:hAnsi="宋体" w:eastAsia="宋体" w:cs="Courier New"/>
          <w:color w:val="000000"/>
          <w:sz w:val="24"/>
          <w:lang w:val="en-US" w:eastAsia="zh-CN"/>
        </w:rPr>
        <w:t>（378万元，包干费用）</w:t>
      </w:r>
      <w:r>
        <w:rPr>
          <w:rFonts w:hint="eastAsia" w:ascii="宋体" w:hAnsi="宋体" w:eastAsia="宋体" w:cs="Courier New"/>
          <w:color w:val="000000"/>
          <w:sz w:val="24"/>
          <w:lang w:eastAsia="zh-CN"/>
        </w:rPr>
        <w:t>、</w:t>
      </w:r>
      <w:r>
        <w:rPr>
          <w:rFonts w:hint="eastAsia" w:ascii="宋体" w:hAnsi="宋体" w:eastAsia="宋体" w:cs="Courier New"/>
          <w:color w:val="000000"/>
          <w:sz w:val="24"/>
        </w:rPr>
        <w:t>光纤租赁服务费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智能交通指挥中心</w:t>
      </w:r>
      <w:r>
        <w:rPr>
          <w:rFonts w:hint="eastAsia" w:ascii="宋体" w:hAnsi="宋体" w:eastAsia="宋体" w:cs="Courier New"/>
          <w:color w:val="000000"/>
          <w:sz w:val="24"/>
          <w:lang w:val="en-US" w:eastAsia="zh-CN"/>
        </w:rPr>
        <w:t>车辆</w:t>
      </w:r>
      <w:r>
        <w:rPr>
          <w:rFonts w:hint="eastAsia" w:ascii="宋体" w:hAnsi="宋体" w:eastAsia="宋体" w:cs="Courier New"/>
          <w:color w:val="000000"/>
          <w:sz w:val="24"/>
        </w:rPr>
        <w:t>分析</w:t>
      </w:r>
      <w:r>
        <w:rPr>
          <w:rFonts w:hint="eastAsia" w:ascii="宋体" w:hAnsi="宋体" w:eastAsia="宋体" w:cs="Courier New"/>
          <w:color w:val="000000"/>
          <w:sz w:val="24"/>
          <w:lang w:val="en-US" w:eastAsia="zh-CN"/>
        </w:rPr>
        <w:t>应用</w:t>
      </w:r>
      <w:r>
        <w:rPr>
          <w:rFonts w:hint="eastAsia" w:ascii="宋体" w:hAnsi="宋体" w:eastAsia="宋体" w:cs="Courier New"/>
          <w:color w:val="000000"/>
          <w:sz w:val="24"/>
        </w:rPr>
        <w:t>、信号配时与交通组织服务费</w:t>
      </w:r>
      <w:r>
        <w:rPr>
          <w:rFonts w:hint="eastAsia" w:ascii="宋体" w:hAnsi="宋体" w:eastAsia="宋体" w:cs="宋体"/>
          <w:color w:val="000000"/>
          <w:sz w:val="24"/>
          <w:lang w:eastAsia="zh-CN"/>
        </w:rPr>
        <w:t>｝</w:t>
      </w:r>
      <w:r>
        <w:rPr>
          <w:rFonts w:hint="eastAsia" w:ascii="宋体" w:hAnsi="宋体" w:eastAsia="宋体" w:cs="Courier New"/>
          <w:color w:val="000000"/>
          <w:sz w:val="24"/>
          <w:lang w:eastAsia="zh-CN"/>
        </w:rPr>
        <w:t>、</w:t>
      </w:r>
      <w:r>
        <w:rPr>
          <w:rFonts w:hint="eastAsia" w:ascii="宋体" w:hAnsi="宋体" w:eastAsia="宋体" w:cs="Courier New"/>
          <w:color w:val="000000"/>
          <w:sz w:val="24"/>
        </w:rPr>
        <w:t>设备费、</w:t>
      </w:r>
      <w:r>
        <w:rPr>
          <w:rFonts w:hint="eastAsia" w:ascii="宋体" w:hAnsi="宋体" w:eastAsia="宋体" w:cs="Courier New"/>
          <w:color w:val="000000"/>
          <w:sz w:val="24"/>
          <w:lang w:val="en-US" w:eastAsia="zh-CN"/>
        </w:rPr>
        <w:t>零部件、易损易耗件费、</w:t>
      </w:r>
      <w:r>
        <w:rPr>
          <w:rFonts w:hint="eastAsia" w:hAnsi="宋体" w:eastAsia="宋体" w:cs="Courier New"/>
          <w:color w:val="000000"/>
          <w:sz w:val="24"/>
          <w:lang w:val="en-US" w:eastAsia="zh-CN"/>
        </w:rPr>
        <w:t>备</w:t>
      </w:r>
      <w:r>
        <w:rPr>
          <w:rFonts w:hint="eastAsia" w:ascii="宋体" w:hAnsi="宋体" w:eastAsia="宋体" w:cs="Courier New"/>
          <w:color w:val="000000"/>
          <w:sz w:val="24"/>
          <w:lang w:val="en-US" w:eastAsia="zh-CN"/>
        </w:rPr>
        <w:t>品</w:t>
      </w:r>
      <w:r>
        <w:rPr>
          <w:rFonts w:hint="eastAsia" w:ascii="宋体" w:hAnsi="宋体" w:eastAsia="宋体" w:cs="Courier New"/>
          <w:color w:val="000000"/>
          <w:sz w:val="24"/>
        </w:rPr>
        <w:t>配件费</w:t>
      </w:r>
      <w:r>
        <w:rPr>
          <w:rFonts w:hint="eastAsia" w:ascii="宋体" w:hAnsi="宋体" w:eastAsia="宋体" w:cs="Courier New"/>
          <w:color w:val="000000"/>
          <w:sz w:val="24"/>
          <w:lang w:val="en-US" w:eastAsia="zh-CN"/>
        </w:rPr>
        <w:t>、</w:t>
      </w:r>
      <w:r>
        <w:rPr>
          <w:rFonts w:hint="eastAsia" w:ascii="宋体" w:hAnsi="宋体" w:eastAsia="宋体" w:cs="Courier New"/>
          <w:color w:val="000000"/>
          <w:sz w:val="24"/>
        </w:rPr>
        <w:t>管理</w:t>
      </w:r>
      <w:r>
        <w:rPr>
          <w:rFonts w:hint="eastAsia" w:hAnsi="宋体"/>
          <w:color w:val="000000"/>
          <w:sz w:val="24"/>
        </w:rPr>
        <w:t>费、利润、税金、保险等完成本项目的其它费用和政策性文件规定及合同包含的所有风险、责任等各项应有费用，如有漏项，视同已包含在其总项目中。</w:t>
      </w:r>
      <w:r>
        <w:rPr>
          <w:rFonts w:hint="eastAsia" w:hAnsi="宋体" w:cs="宋体"/>
          <w:color w:val="000000"/>
          <w:kern w:val="0"/>
          <w:sz w:val="24"/>
          <w:szCs w:val="24"/>
        </w:rPr>
        <w:t>由乙方开具正式增值税发票。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2.1前端设备运维服务费包括：电子警察、模拟球机、数字球机、多功能执法、常规卡口、雷达卡口、加油站卡口、诱导屏、行人闯红灯、测速仪、信号机、信号灯等子项（子系统）服务费。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 xml:space="preserve"> 2.2应用系统硬件维护服务费包括：</w:t>
      </w:r>
      <w:r>
        <w:rPr>
          <w:rFonts w:hint="eastAsia" w:ascii="宋体" w:hAnsi="宋体" w:cs="Courier New"/>
          <w:color w:val="000000"/>
          <w:sz w:val="24"/>
          <w:szCs w:val="21"/>
        </w:rPr>
        <w:t>智能交通一期、智能交通二期、外单位移交项目所属的服务器、云数据库、云存储、高性能存储设备、数据传输设备、网络交换设备、网络安全设备、视频矩阵等中心硬件设备的维护服务费</w:t>
      </w:r>
      <w:r>
        <w:rPr>
          <w:rFonts w:hint="eastAsia" w:ascii="宋体" w:hAnsi="宋体" w:eastAsia="宋体" w:cs="Courier New"/>
          <w:color w:val="000000"/>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2.3应用软件系统维护费包括：智能交通一期、智能交通二期所属软件系统及其他（BRT智能设施平台、一键报警、大队公安网站维护、义乌交警微信公众号维护、实战应用平台维护（非现场平台、集指平台、大货车闯禁平台等）、诱导屏发布平台、可变车道控制系统）应用软件等子项（子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2.4支撑系统维护服务费包括：机房空间优化、存储维护、地图系统维护服务费。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Courier New"/>
          <w:color w:val="000000"/>
          <w:kern w:val="2"/>
          <w:sz w:val="24"/>
          <w:szCs w:val="21"/>
          <w:lang w:val="en-US" w:eastAsia="zh-CN" w:bidi="ar-SA"/>
        </w:rPr>
      </w:pPr>
      <w:r>
        <w:rPr>
          <w:rFonts w:hint="eastAsia" w:ascii="宋体" w:hAnsi="宋体" w:eastAsia="宋体" w:cs="Courier New"/>
          <w:color w:val="000000"/>
          <w:sz w:val="24"/>
          <w:lang w:val="en-US" w:eastAsia="zh-CN"/>
        </w:rPr>
        <w:t>2.5</w:t>
      </w:r>
      <w:r>
        <w:rPr>
          <w:rFonts w:hint="eastAsia" w:ascii="宋体" w:hAnsi="宋体" w:eastAsia="宋体" w:cs="Courier New"/>
          <w:color w:val="000000"/>
          <w:sz w:val="24"/>
        </w:rPr>
        <w:t>能源费</w:t>
      </w:r>
      <w:r>
        <w:rPr>
          <w:rFonts w:hint="eastAsia" w:ascii="宋体" w:hAnsi="宋体" w:eastAsia="宋体" w:cs="Courier New"/>
          <w:color w:val="000000"/>
          <w:sz w:val="24"/>
          <w:lang w:eastAsia="zh-CN"/>
        </w:rPr>
        <w:t>：</w:t>
      </w:r>
      <w:r>
        <w:rPr>
          <w:rFonts w:hint="eastAsia" w:ascii="宋体" w:hAnsi="宋体" w:eastAsia="宋体" w:cs="Courier New"/>
          <w:color w:val="000000"/>
          <w:sz w:val="24"/>
          <w:lang w:val="en-US" w:eastAsia="zh-CN"/>
        </w:rPr>
        <w:t>前端设备电源从路灯接入，电源费用不计入。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2.6</w:t>
      </w:r>
      <w:r>
        <w:rPr>
          <w:rFonts w:hint="eastAsia" w:ascii="宋体" w:hAnsi="宋体" w:cs="宋体"/>
          <w:b w:val="0"/>
          <w:bCs w:val="0"/>
          <w:color w:val="000000"/>
          <w:sz w:val="24"/>
          <w:szCs w:val="21"/>
          <w:lang w:val="zh-TW" w:eastAsia="zh-TW"/>
        </w:rPr>
        <w:t>机房、光纤租赁及指挥中心维护</w:t>
      </w:r>
      <w:r>
        <w:rPr>
          <w:rFonts w:hint="eastAsia" w:ascii="宋体" w:hAnsi="宋体" w:cs="宋体"/>
          <w:color w:val="000000"/>
          <w:sz w:val="24"/>
          <w:szCs w:val="21"/>
          <w:lang w:val="zh-TW" w:eastAsia="zh-TW"/>
        </w:rPr>
        <w:t>费</w:t>
      </w:r>
      <w:r>
        <w:rPr>
          <w:rFonts w:hint="eastAsia" w:ascii="宋体" w:hAnsi="宋体" w:cs="宋体"/>
          <w:b w:val="0"/>
          <w:bCs w:val="0"/>
          <w:color w:val="000000"/>
          <w:sz w:val="24"/>
          <w:szCs w:val="21"/>
          <w:lang w:val="zh-TW" w:eastAsia="zh-TW"/>
        </w:rPr>
        <w:t>包括：机房</w:t>
      </w:r>
      <w:r>
        <w:rPr>
          <w:rFonts w:hint="eastAsia" w:ascii="宋体" w:hAnsi="宋体" w:cs="宋体"/>
          <w:color w:val="000000"/>
          <w:sz w:val="24"/>
          <w:szCs w:val="21"/>
          <w:lang w:val="zh-TW" w:eastAsia="zh-TW"/>
        </w:rPr>
        <w:t>机柜租赁费</w:t>
      </w:r>
      <w:r>
        <w:rPr>
          <w:rFonts w:hint="eastAsia" w:ascii="宋体" w:hAnsi="宋体" w:cs="宋体"/>
          <w:b/>
          <w:bCs/>
          <w:color w:val="000000"/>
          <w:sz w:val="24"/>
          <w:szCs w:val="21"/>
          <w:lang w:val="zh-TW" w:eastAsia="zh-TW"/>
        </w:rPr>
        <w:t>、</w:t>
      </w:r>
      <w:r>
        <w:rPr>
          <w:rFonts w:hint="eastAsia" w:ascii="宋体" w:hAnsi="宋体" w:cs="宋体"/>
          <w:bCs/>
          <w:color w:val="000000"/>
          <w:sz w:val="24"/>
          <w:lang w:val="zh-TW" w:eastAsia="zh-TW"/>
        </w:rPr>
        <w:t>机房能源消耗（机房托管设备</w:t>
      </w:r>
      <w:r>
        <w:rPr>
          <w:rFonts w:hint="eastAsia" w:ascii="宋体" w:hAnsi="宋体" w:cs="宋体"/>
          <w:bCs/>
          <w:color w:val="000000"/>
          <w:sz w:val="24"/>
          <w:lang w:val="zh-TW" w:eastAsia="zh-CN"/>
        </w:rPr>
        <w:t>产生的</w:t>
      </w:r>
      <w:r>
        <w:rPr>
          <w:rFonts w:hint="eastAsia" w:ascii="宋体" w:hAnsi="宋体" w:cs="宋体"/>
          <w:bCs/>
          <w:color w:val="000000"/>
          <w:sz w:val="24"/>
          <w:lang w:val="zh-TW" w:eastAsia="zh-TW"/>
        </w:rPr>
        <w:t>电费，以及新风空调等能耗电费）。光纤租用费为智能交通一、二期以及外单位建设移交项目中包含的光纤链路租赁费，维护费为</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指挥中心和</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自建机房维护费</w:t>
      </w:r>
      <w:r>
        <w:rPr>
          <w:rFonts w:hint="eastAsia" w:ascii="宋体" w:hAnsi="宋体" w:eastAsia="宋体" w:cs="Courier New"/>
          <w:color w:val="000000"/>
          <w:kern w:val="2"/>
          <w:sz w:val="24"/>
          <w:szCs w:val="21"/>
          <w:lang w:val="en-US" w:eastAsia="zh-CN" w:bidi="ar-SA"/>
        </w:rPr>
        <w:t>。</w:t>
      </w:r>
    </w:p>
    <w:p>
      <w:pPr>
        <w:spacing w:line="460" w:lineRule="exact"/>
        <w:ind w:firstLine="480" w:firstLineChars="200"/>
        <w:rPr>
          <w:rFonts w:hint="eastAsia" w:ascii="宋体" w:hAnsi="宋体" w:eastAsia="宋体" w:cs="Courier New"/>
          <w:color w:val="000000"/>
          <w:sz w:val="24"/>
        </w:rPr>
      </w:pPr>
      <w:r>
        <w:rPr>
          <w:rFonts w:hint="eastAsia" w:ascii="宋体" w:hAnsi="宋体" w:eastAsia="宋体" w:cs="Courier New"/>
          <w:color w:val="000000"/>
          <w:kern w:val="2"/>
          <w:sz w:val="24"/>
          <w:szCs w:val="24"/>
          <w:lang w:val="en-US" w:eastAsia="zh-CN" w:bidi="ar-SA"/>
        </w:rPr>
        <w:t>2.7智能交通指挥中心车辆分析应用、信号配时与交通组织服务费包括 ：车辆分析应用、地理信息系统管理、网络安全管理、高级信号控制服务、信号控制服务、基础信号控制服务费。</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893"/>
        <w:gridCol w:w="1230"/>
        <w:gridCol w:w="1220"/>
        <w:gridCol w:w="133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3"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3893"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3783" w:type="dxa"/>
            <w:gridSpan w:val="3"/>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运维服务费用</w:t>
            </w:r>
          </w:p>
        </w:tc>
        <w:tc>
          <w:tcPr>
            <w:tcW w:w="1458" w:type="dxa"/>
            <w:vMerge w:val="restart"/>
            <w:noWrap w:val="0"/>
            <w:vAlign w:val="center"/>
          </w:tcPr>
          <w:p>
            <w:pPr>
              <w:adjustRightInd w:val="0"/>
              <w:spacing w:line="340" w:lineRule="exact"/>
              <w:jc w:val="center"/>
              <w:rPr>
                <w:rFonts w:hint="eastAsia" w:ascii="宋体" w:hAnsi="宋体"/>
                <w:color w:val="000000"/>
                <w:sz w:val="24"/>
                <w:lang w:val="en-US" w:eastAsia="zh-CN"/>
              </w:rPr>
            </w:pPr>
            <w:r>
              <w:rPr>
                <w:rFonts w:hint="eastAsia" w:ascii="宋体" w:hAnsi="宋体"/>
                <w:color w:val="000000"/>
                <w:sz w:val="24"/>
                <w:lang w:val="en-US" w:eastAsia="zh-CN"/>
              </w:rPr>
              <w:t>总价</w:t>
            </w:r>
          </w:p>
          <w:p>
            <w:pPr>
              <w:adjustRightInd w:val="0"/>
              <w:spacing w:line="3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3" w:type="dxa"/>
            <w:vMerge w:val="continue"/>
            <w:noWrap w:val="0"/>
            <w:vAlign w:val="center"/>
          </w:tcPr>
          <w:p>
            <w:pPr>
              <w:adjustRightInd w:val="0"/>
              <w:spacing w:line="340" w:lineRule="exact"/>
              <w:jc w:val="center"/>
              <w:rPr>
                <w:rFonts w:hint="eastAsia" w:ascii="宋体" w:hAnsi="宋体"/>
                <w:bCs/>
                <w:color w:val="000000"/>
                <w:sz w:val="24"/>
              </w:rPr>
            </w:pPr>
          </w:p>
        </w:tc>
        <w:tc>
          <w:tcPr>
            <w:tcW w:w="3893" w:type="dxa"/>
            <w:vMerge w:val="continue"/>
            <w:noWrap w:val="0"/>
            <w:vAlign w:val="center"/>
          </w:tcPr>
          <w:p>
            <w:pPr>
              <w:adjustRightInd w:val="0"/>
              <w:spacing w:line="340" w:lineRule="exact"/>
              <w:jc w:val="center"/>
              <w:rPr>
                <w:rFonts w:hint="eastAsia" w:ascii="宋体" w:hAnsi="宋体"/>
                <w:bCs/>
                <w:color w:val="000000"/>
                <w:sz w:val="24"/>
              </w:rPr>
            </w:pPr>
          </w:p>
        </w:tc>
        <w:tc>
          <w:tcPr>
            <w:tcW w:w="1230"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2023年</w:t>
            </w:r>
          </w:p>
        </w:tc>
        <w:tc>
          <w:tcPr>
            <w:tcW w:w="1220"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2024年</w:t>
            </w:r>
          </w:p>
        </w:tc>
        <w:tc>
          <w:tcPr>
            <w:tcW w:w="1333" w:type="dxa"/>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2025年</w:t>
            </w:r>
          </w:p>
        </w:tc>
        <w:tc>
          <w:tcPr>
            <w:tcW w:w="1458" w:type="dxa"/>
            <w:vMerge w:val="continue"/>
            <w:noWrap w:val="0"/>
            <w:vAlign w:val="center"/>
          </w:tcPr>
          <w:p>
            <w:pPr>
              <w:adjustRightInd w:val="0"/>
              <w:spacing w:line="340" w:lineRule="exact"/>
              <w:jc w:val="center"/>
              <w:rPr>
                <w:rFonts w:hint="eastAsia" w:ascii="宋体" w:hAnsi="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前端设备运维服务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hint="default" w:ascii="宋体" w:hAnsi="宋体" w:eastAsia="宋体"/>
                <w:color w:val="000000"/>
                <w:sz w:val="24"/>
                <w:lang w:val="en-US" w:eastAsia="zh-CN"/>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2</w:t>
            </w:r>
          </w:p>
        </w:tc>
        <w:tc>
          <w:tcPr>
            <w:tcW w:w="9134" w:type="dxa"/>
            <w:gridSpan w:val="5"/>
            <w:noWrap w:val="0"/>
            <w:vAlign w:val="center"/>
          </w:tcPr>
          <w:p>
            <w:pPr>
              <w:jc w:val="center"/>
              <w:rPr>
                <w:rFonts w:ascii="宋体" w:hAnsi="宋体"/>
                <w:color w:val="000000"/>
                <w:sz w:val="24"/>
              </w:rPr>
            </w:pPr>
            <w:r>
              <w:rPr>
                <w:rFonts w:hint="eastAsia" w:ascii="宋体" w:hAnsi="宋体" w:eastAsia="宋体" w:cs="Times New Roman"/>
                <w:bCs/>
                <w:color w:val="000000"/>
                <w:sz w:val="24"/>
              </w:rPr>
              <w:t>中心系统的应用系统与支撑系统运维</w:t>
            </w:r>
            <w:r>
              <w:rPr>
                <w:rFonts w:hint="eastAsia" w:ascii="宋体" w:hAnsi="宋体" w:eastAsia="宋体" w:cs="Times New Roman"/>
                <w:bCs/>
                <w:color w:val="000000"/>
                <w:sz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2.1</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应用系统硬件维护服务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2.2</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应用系统软件维护服务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2.3</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支撑系统维护服务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3</w:t>
            </w:r>
          </w:p>
        </w:tc>
        <w:tc>
          <w:tcPr>
            <w:tcW w:w="9134" w:type="dxa"/>
            <w:gridSpan w:val="5"/>
            <w:noWrap w:val="0"/>
            <w:vAlign w:val="center"/>
          </w:tcPr>
          <w:p>
            <w:pPr>
              <w:jc w:val="center"/>
              <w:rPr>
                <w:rFonts w:ascii="宋体" w:hAnsi="宋体"/>
                <w:color w:val="000000"/>
                <w:sz w:val="24"/>
              </w:rPr>
            </w:pPr>
            <w:r>
              <w:rPr>
                <w:rFonts w:hint="eastAsia" w:ascii="宋体" w:hAnsi="宋体" w:eastAsia="宋体" w:cs="Times New Roman"/>
                <w:bCs/>
                <w:color w:val="000000"/>
                <w:sz w:val="24"/>
              </w:rPr>
              <w:t>机房、光纤租赁及指挥中心维护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3.1</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机房能源费</w:t>
            </w:r>
          </w:p>
        </w:tc>
        <w:tc>
          <w:tcPr>
            <w:tcW w:w="123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22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333"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458" w:type="dxa"/>
            <w:noWrap w:val="0"/>
            <w:vAlign w:val="center"/>
          </w:tcPr>
          <w:p>
            <w:pPr>
              <w:adjustRightInd w:val="0"/>
              <w:spacing w:line="360" w:lineRule="exact"/>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rPr>
              <w:t>48</w:t>
            </w:r>
            <w:r>
              <w:rPr>
                <w:rFonts w:hint="eastAsia" w:ascii="宋体" w:hAnsi="宋体" w:eastAsia="宋体" w:cs="Times New Roman"/>
                <w:bCs/>
                <w:color w:val="00000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3.2</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机房租赁与维护服务费</w:t>
            </w:r>
          </w:p>
        </w:tc>
        <w:tc>
          <w:tcPr>
            <w:tcW w:w="123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22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333"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458"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3.3</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光纤租赁服务费</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4</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智能交通指挥中心</w:t>
            </w:r>
            <w:r>
              <w:rPr>
                <w:rFonts w:hint="eastAsia" w:ascii="宋体" w:hAnsi="宋体" w:eastAsia="宋体" w:cs="Times New Roman"/>
                <w:bCs/>
                <w:color w:val="000000"/>
                <w:sz w:val="24"/>
                <w:lang w:val="en-US" w:eastAsia="zh-CN"/>
              </w:rPr>
              <w:t>车辆</w:t>
            </w:r>
            <w:r>
              <w:rPr>
                <w:rFonts w:hint="eastAsia" w:ascii="宋体" w:hAnsi="宋体" w:eastAsia="宋体" w:cs="Times New Roman"/>
                <w:bCs/>
                <w:color w:val="000000"/>
                <w:sz w:val="24"/>
              </w:rPr>
              <w:t>分析</w:t>
            </w:r>
            <w:r>
              <w:rPr>
                <w:rFonts w:hint="eastAsia" w:ascii="宋体" w:hAnsi="宋体" w:eastAsia="宋体" w:cs="Times New Roman"/>
                <w:bCs/>
                <w:color w:val="000000"/>
                <w:sz w:val="24"/>
                <w:lang w:val="en-US" w:eastAsia="zh-CN"/>
              </w:rPr>
              <w:t>应用</w:t>
            </w:r>
            <w:r>
              <w:rPr>
                <w:rFonts w:hint="eastAsia" w:ascii="宋体" w:hAnsi="宋体" w:eastAsia="宋体" w:cs="Times New Roman"/>
                <w:bCs/>
                <w:color w:val="000000"/>
                <w:sz w:val="24"/>
              </w:rPr>
              <w:t>、信号配时与交通组织服务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5</w:t>
            </w:r>
          </w:p>
        </w:tc>
        <w:tc>
          <w:tcPr>
            <w:tcW w:w="9134" w:type="dxa"/>
            <w:gridSpan w:val="5"/>
            <w:noWrap w:val="0"/>
            <w:vAlign w:val="center"/>
          </w:tcPr>
          <w:p>
            <w:pPr>
              <w:pStyle w:val="27"/>
              <w:spacing w:line="460" w:lineRule="exact"/>
              <w:jc w:val="left"/>
              <w:rPr>
                <w:rFonts w:hint="eastAsia"/>
                <w:color w:val="000000"/>
                <w:sz w:val="24"/>
                <w:szCs w:val="24"/>
              </w:rPr>
            </w:pPr>
            <w:r>
              <w:rPr>
                <w:rFonts w:hint="eastAsia"/>
                <w:color w:val="000000"/>
                <w:sz w:val="24"/>
                <w:szCs w:val="24"/>
                <w:lang w:val="en-US" w:eastAsia="zh-CN"/>
              </w:rPr>
              <w:t>合同价</w:t>
            </w:r>
            <w:r>
              <w:rPr>
                <w:rFonts w:hint="eastAsia"/>
                <w:color w:val="000000"/>
                <w:sz w:val="24"/>
                <w:szCs w:val="24"/>
              </w:rPr>
              <w:t>合计：</w:t>
            </w:r>
          </w:p>
          <w:p>
            <w:pPr>
              <w:pStyle w:val="27"/>
              <w:spacing w:line="460" w:lineRule="exact"/>
              <w:jc w:val="left"/>
              <w:rPr>
                <w:color w:val="000000"/>
                <w:sz w:val="24"/>
                <w:szCs w:val="24"/>
              </w:rPr>
            </w:pPr>
            <w:r>
              <w:rPr>
                <w:rFonts w:hint="eastAsia"/>
                <w:color w:val="000000"/>
                <w:sz w:val="24"/>
                <w:szCs w:val="24"/>
              </w:rPr>
              <w:t>大写：人民币</w:t>
            </w:r>
          </w:p>
          <w:p>
            <w:pPr>
              <w:spacing w:line="460" w:lineRule="exact"/>
              <w:jc w:val="left"/>
              <w:rPr>
                <w:rFonts w:ascii="宋体" w:hAnsi="宋体"/>
                <w:color w:val="000000"/>
                <w:sz w:val="24"/>
              </w:rPr>
            </w:pPr>
            <w:r>
              <w:rPr>
                <w:rFonts w:hint="eastAsia" w:hAnsi="宋体" w:cs="宋体"/>
                <w:color w:val="000000"/>
                <w:sz w:val="24"/>
              </w:rPr>
              <w:t>小写：￥</w:t>
            </w:r>
          </w:p>
        </w:tc>
      </w:tr>
    </w:tbl>
    <w:p>
      <w:pPr>
        <w:adjustRightInd/>
        <w:snapToGrid w:val="0"/>
        <w:spacing w:before="120" w:after="120" w:line="420" w:lineRule="exact"/>
        <w:ind w:left="78" w:leftChars="37" w:firstLine="480" w:firstLineChars="200"/>
        <w:rPr>
          <w:rFonts w:hint="eastAsia" w:ascii="宋体" w:hAnsi="宋体" w:eastAsia="宋体" w:cs="宋体"/>
          <w:color w:val="000000"/>
          <w:sz w:val="24"/>
          <w:szCs w:val="24"/>
        </w:rPr>
      </w:pPr>
      <w:r>
        <w:rPr>
          <w:rFonts w:hint="eastAsia" w:ascii="宋体" w:hAnsi="宋体" w:eastAsia="宋体" w:cs="宋体"/>
          <w:color w:val="000000"/>
          <w:sz w:val="24"/>
          <w:lang w:val="en-US" w:eastAsia="zh-CN"/>
        </w:rPr>
        <w:t>备注：1.</w:t>
      </w:r>
      <w:r>
        <w:rPr>
          <w:rFonts w:hint="eastAsia" w:ascii="宋体" w:hAnsi="宋体" w:eastAsia="宋体" w:cs="宋体"/>
          <w:color w:val="000000"/>
          <w:sz w:val="24"/>
        </w:rPr>
        <w:t>机房能源费按实结算</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实际用电量以结算周期内机房的单独电表计数为准，电费单价以电力公司出具的电费发票单价或相关合同约定的单价为准。</w:t>
      </w:r>
    </w:p>
    <w:p>
      <w:pPr>
        <w:snapToGrid w:val="0"/>
        <w:spacing w:before="120" w:after="120" w:line="420" w:lineRule="exact"/>
        <w:ind w:left="78" w:leftChars="37"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机房租赁与维护服务费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包干。</w:t>
      </w:r>
    </w:p>
    <w:p>
      <w:pPr>
        <w:snapToGrid w:val="0"/>
        <w:spacing w:before="120" w:after="120" w:line="420" w:lineRule="exact"/>
        <w:ind w:firstLine="480" w:firstLineChars="200"/>
        <w:rPr>
          <w:rFonts w:hint="eastAsia" w:ascii="宋体" w:hAnsi="宋体" w:cs="宋体"/>
          <w:color w:val="000000"/>
          <w:sz w:val="24"/>
        </w:rPr>
      </w:pPr>
      <w:r>
        <w:rPr>
          <w:rFonts w:hint="eastAsia" w:ascii="宋体" w:hAnsi="宋体" w:cs="宋体"/>
          <w:color w:val="000000"/>
          <w:sz w:val="24"/>
        </w:rPr>
        <w:t>三、技术资料</w:t>
      </w:r>
    </w:p>
    <w:p>
      <w:pPr>
        <w:snapToGrid w:val="0"/>
        <w:spacing w:before="120" w:after="120" w:line="420" w:lineRule="exact"/>
        <w:ind w:left="407" w:leftChars="194" w:firstLine="120" w:firstLineChars="50"/>
        <w:rPr>
          <w:rFonts w:hint="eastAsia" w:ascii="宋体" w:hAnsi="宋体" w:cs="宋体"/>
          <w:color w:val="000000"/>
          <w:sz w:val="24"/>
        </w:rPr>
      </w:pPr>
      <w:r>
        <w:rPr>
          <w:rFonts w:hint="eastAsia" w:ascii="宋体" w:hAnsi="宋体" w:cs="宋体"/>
          <w:color w:val="000000"/>
          <w:sz w:val="24"/>
        </w:rPr>
        <w:t>1.乙方应按招标文件规定的时间向甲方提供使用货物的有关技术资料。</w:t>
      </w:r>
    </w:p>
    <w:p>
      <w:pPr>
        <w:snapToGrid w:val="0"/>
        <w:spacing w:before="120" w:after="120" w:line="420" w:lineRule="exact"/>
        <w:ind w:left="78" w:leftChars="37" w:firstLine="480" w:firstLineChars="200"/>
        <w:rPr>
          <w:rFonts w:hint="eastAsia" w:ascii="宋体" w:hAnsi="宋体" w:cs="宋体"/>
          <w:color w:val="000000"/>
          <w:sz w:val="24"/>
        </w:rPr>
      </w:pPr>
      <w:r>
        <w:rPr>
          <w:rFonts w:hint="eastAsia" w:ascii="宋体" w:hAnsi="宋体" w:cs="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20" w:lineRule="exact"/>
        <w:ind w:left="409" w:leftChars="195" w:firstLine="117" w:firstLineChars="49"/>
        <w:rPr>
          <w:rFonts w:hint="eastAsia" w:ascii="宋体" w:hAnsi="宋体" w:cs="宋体"/>
          <w:color w:val="000000"/>
          <w:sz w:val="24"/>
        </w:rPr>
      </w:pPr>
      <w:r>
        <w:rPr>
          <w:rFonts w:hint="eastAsia" w:ascii="宋体" w:hAnsi="宋体" w:cs="宋体"/>
          <w:color w:val="000000"/>
          <w:sz w:val="24"/>
        </w:rPr>
        <w:t>四、知识产权</w:t>
      </w:r>
    </w:p>
    <w:p>
      <w:pPr>
        <w:snapToGrid w:val="0"/>
        <w:spacing w:before="120" w:after="120" w:line="420" w:lineRule="exact"/>
        <w:ind w:firstLine="480" w:firstLineChars="200"/>
        <w:rPr>
          <w:rFonts w:hint="eastAsia" w:ascii="宋体" w:hAnsi="宋体" w:cs="宋体"/>
          <w:color w:val="000000"/>
          <w:sz w:val="24"/>
        </w:rPr>
      </w:pPr>
      <w:r>
        <w:rPr>
          <w:rFonts w:hint="eastAsia" w:ascii="宋体" w:hAnsi="宋体" w:cs="宋体"/>
          <w:color w:val="000000"/>
          <w:sz w:val="24"/>
        </w:rPr>
        <w:t>乙方应保证所提供的货物或其任何一部分均不会侵犯任何第三方的知识产权。</w:t>
      </w:r>
    </w:p>
    <w:p>
      <w:pPr>
        <w:snapToGrid w:val="0"/>
        <w:spacing w:before="120" w:after="120" w:line="420" w:lineRule="exact"/>
        <w:ind w:firstLine="470" w:firstLineChars="196"/>
        <w:rPr>
          <w:rFonts w:hint="eastAsia" w:ascii="宋体" w:hAnsi="宋体" w:cs="宋体"/>
          <w:color w:val="000000"/>
          <w:sz w:val="24"/>
        </w:rPr>
      </w:pPr>
      <w:r>
        <w:rPr>
          <w:rFonts w:hint="eastAsia" w:ascii="宋体" w:hAnsi="宋体" w:cs="宋体"/>
          <w:color w:val="000000"/>
          <w:sz w:val="24"/>
        </w:rPr>
        <w:t>五、产权担保</w:t>
      </w:r>
    </w:p>
    <w:p>
      <w:pPr>
        <w:snapToGrid w:val="0"/>
        <w:spacing w:before="120" w:after="120" w:line="420" w:lineRule="exact"/>
        <w:ind w:left="357" w:leftChars="170" w:firstLine="480"/>
        <w:rPr>
          <w:rFonts w:hint="eastAsia" w:ascii="宋体" w:hAnsi="宋体" w:cs="宋体"/>
          <w:color w:val="000000"/>
          <w:sz w:val="24"/>
        </w:rPr>
      </w:pPr>
      <w:r>
        <w:rPr>
          <w:rFonts w:hint="eastAsia" w:ascii="宋体" w:hAnsi="宋体" w:cs="宋体"/>
          <w:color w:val="000000"/>
          <w:sz w:val="24"/>
        </w:rPr>
        <w:t>乙方保证所交付的货物的所有权完全属于乙方且无任何抵押、查封等产权瑕疵。</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rPr>
        <w:t>六、转包或分包</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szCs w:val="24"/>
        </w:rPr>
        <w:t>1.本合同范围的服务，不允许转包，未经甲方同意，不允许分包；</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szCs w:val="24"/>
        </w:rPr>
        <w:t>2.如有转让和未经甲方同意的分包行为，甲方有权给予终止合同。</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七、</w:t>
      </w:r>
      <w:r>
        <w:rPr>
          <w:rFonts w:hint="eastAsia" w:ascii="宋体" w:hAnsi="宋体" w:cs="宋体"/>
          <w:color w:val="000000"/>
          <w:sz w:val="24"/>
          <w:lang w:val="en-US" w:eastAsia="zh-CN"/>
        </w:rPr>
        <w:t>招标服务内容</w:t>
      </w:r>
    </w:p>
    <w:p>
      <w:pPr>
        <w:snapToGrid w:val="0"/>
        <w:spacing w:before="120" w:after="120" w:line="420" w:lineRule="exact"/>
        <w:ind w:firstLine="1024" w:firstLineChars="427"/>
        <w:rPr>
          <w:rFonts w:hint="eastAsia" w:ascii="宋体" w:hAnsi="宋体" w:cs="宋体"/>
          <w:color w:val="000000"/>
          <w:sz w:val="24"/>
          <w:lang w:val="en-US" w:eastAsia="zh-CN"/>
        </w:rPr>
      </w:pPr>
      <w:r>
        <w:rPr>
          <w:rFonts w:hint="eastAsia" w:ascii="宋体" w:hAnsi="宋体" w:cs="宋体"/>
          <w:color w:val="000000"/>
          <w:sz w:val="24"/>
          <w:lang w:val="en-US" w:eastAsia="zh-CN"/>
        </w:rPr>
        <w:t>详见招标文件</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八、实施人员、设备要求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1.前端、中心应用系统维护人员要求：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1）乙方需为本项目配备   人的维护人员；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2）乙方配备的维护人员应该包含具备相应技术能力的管理人员、外场运维人员、应用系统维护人员、通信链路维护人员、驾驶员等，接受甲方管理，配合甲方工作。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2.车辆分析应用、信号配时与交通组织服务人员要求：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3.乙方配备的车辆分析应用、信号配时与交通组织服务人员须全职驻场甲方指定地点提供服务，且相关人员的专业技能在驻场前应获得甲方的确认。</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4.维护工器具要求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乙方针对本项目投入的登高作业车数量不少于6辆，维护工作车不少于3辆。</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九、其他工作要求</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1.乙方</w:t>
      </w:r>
      <w:r>
        <w:rPr>
          <w:rFonts w:hint="eastAsia" w:ascii="宋体" w:hAnsi="宋体" w:eastAsia="宋体" w:cs="宋体"/>
          <w:color w:val="000000"/>
          <w:sz w:val="24"/>
        </w:rPr>
        <w:t>在维护期内更换的维护材料包含在本次维护</w:t>
      </w:r>
      <w:r>
        <w:rPr>
          <w:rFonts w:hint="eastAsia" w:ascii="宋体" w:hAnsi="宋体" w:eastAsia="宋体" w:cs="宋体"/>
          <w:color w:val="000000"/>
          <w:sz w:val="24"/>
          <w:lang w:val="en-US" w:eastAsia="zh-CN"/>
        </w:rPr>
        <w:t>费用</w:t>
      </w:r>
      <w:r>
        <w:rPr>
          <w:rFonts w:hint="eastAsia" w:ascii="宋体" w:hAnsi="宋体" w:eastAsia="宋体" w:cs="宋体"/>
          <w:color w:val="000000"/>
          <w:sz w:val="24"/>
        </w:rPr>
        <w:t>中。维护材料更换必须与现有</w:t>
      </w:r>
      <w:r>
        <w:rPr>
          <w:rFonts w:hint="default" w:ascii="宋体" w:hAnsi="宋体" w:eastAsia="宋体" w:cs="宋体"/>
          <w:color w:val="000000"/>
          <w:sz w:val="24"/>
          <w:lang w:val="en-US"/>
        </w:rPr>
        <w:t>设备</w:t>
      </w:r>
      <w:r>
        <w:rPr>
          <w:rFonts w:hint="eastAsia" w:ascii="宋体" w:hAnsi="宋体" w:eastAsia="宋体" w:cs="宋体"/>
          <w:color w:val="000000"/>
          <w:sz w:val="24"/>
        </w:rPr>
        <w:t>相</w:t>
      </w:r>
      <w:r>
        <w:rPr>
          <w:rFonts w:hint="eastAsia" w:ascii="宋体" w:hAnsi="宋体" w:eastAsia="宋体" w:cs="宋体"/>
          <w:color w:val="000000"/>
          <w:sz w:val="24"/>
          <w:lang w:val="en-US" w:eastAsia="zh-CN"/>
        </w:rPr>
        <w:t>适</w:t>
      </w:r>
      <w:r>
        <w:rPr>
          <w:rFonts w:hint="eastAsia" w:ascii="宋体" w:hAnsi="宋体" w:eastAsia="宋体" w:cs="宋体"/>
          <w:color w:val="000000"/>
          <w:sz w:val="24"/>
        </w:rPr>
        <w:t>配和符合</w:t>
      </w:r>
      <w:r>
        <w:rPr>
          <w:rFonts w:hint="eastAsia" w:ascii="宋体" w:hAnsi="宋体" w:eastAsia="宋体" w:cs="宋体"/>
          <w:color w:val="000000"/>
          <w:sz w:val="24"/>
          <w:lang w:val="en-US" w:eastAsia="zh-CN"/>
        </w:rPr>
        <w:t>甲方</w:t>
      </w:r>
      <w:r>
        <w:rPr>
          <w:rFonts w:hint="eastAsia" w:ascii="宋体" w:hAnsi="宋体" w:eastAsia="宋体" w:cs="宋体"/>
          <w:color w:val="000000"/>
          <w:sz w:val="24"/>
        </w:rPr>
        <w:t>实际需求</w:t>
      </w:r>
      <w:r>
        <w:rPr>
          <w:rFonts w:hint="eastAsia" w:ascii="宋体" w:hAnsi="宋体" w:eastAsia="宋体" w:cs="宋体"/>
          <w:color w:val="000000"/>
          <w:sz w:val="24"/>
          <w:lang w:eastAsia="zh-CN"/>
        </w:rPr>
        <w:t>，</w:t>
      </w:r>
      <w:r>
        <w:rPr>
          <w:rFonts w:hint="default" w:ascii="宋体" w:hAnsi="宋体" w:eastAsia="宋体" w:cs="宋体"/>
          <w:color w:val="000000"/>
          <w:sz w:val="24"/>
          <w:lang w:val="en-US" w:eastAsia="zh-CN"/>
        </w:rPr>
        <w:t>设备数量、品牌、型号、</w:t>
      </w:r>
      <w:r>
        <w:rPr>
          <w:rFonts w:hint="eastAsia" w:ascii="宋体" w:hAnsi="宋体" w:eastAsia="宋体" w:cs="宋体"/>
          <w:color w:val="000000"/>
          <w:sz w:val="24"/>
          <w:lang w:val="en-US" w:eastAsia="zh-CN"/>
        </w:rPr>
        <w:t>清单必须定期向甲方报备。</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2.乙方在设备故障的维修期间，应提供相应的备品备件，保障系统的平稳运行。</w:t>
      </w:r>
      <w:r>
        <w:rPr>
          <w:rFonts w:hint="eastAsia" w:ascii="宋体" w:hAnsi="宋体" w:eastAsia="宋体" w:cs="宋体"/>
          <w:color w:val="000000"/>
          <w:sz w:val="24"/>
        </w:rPr>
        <w:t>维护过程中发生的相关配件、辅材和其他小件设备包括在本项目维护费用中，不另增加任何费用。</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default" w:ascii="宋体" w:hAnsi="宋体" w:eastAsia="宋体" w:cs="宋体"/>
          <w:b w:val="0"/>
          <w:bCs w:val="0"/>
          <w:color w:val="000000"/>
          <w:kern w:val="2"/>
          <w:sz w:val="24"/>
          <w:szCs w:val="24"/>
          <w:lang w:val="en-US" w:eastAsia="zh-CN" w:bidi="ar-SA"/>
        </w:rPr>
        <w:t>在维护期内，前端设备、中心端应用系统</w:t>
      </w:r>
      <w:r>
        <w:rPr>
          <w:rFonts w:hint="eastAsia" w:ascii="宋体" w:hAnsi="宋体" w:eastAsia="宋体" w:cs="宋体"/>
          <w:b w:val="0"/>
          <w:bCs w:val="0"/>
          <w:color w:val="000000"/>
          <w:kern w:val="2"/>
          <w:sz w:val="24"/>
          <w:szCs w:val="24"/>
          <w:lang w:val="en-US" w:eastAsia="zh-CN" w:bidi="ar-SA"/>
        </w:rPr>
        <w:t>等</w:t>
      </w:r>
      <w:r>
        <w:rPr>
          <w:rFonts w:hint="default" w:ascii="宋体" w:hAnsi="宋体" w:eastAsia="宋体" w:cs="宋体"/>
          <w:b w:val="0"/>
          <w:bCs w:val="0"/>
          <w:color w:val="000000"/>
          <w:kern w:val="2"/>
          <w:sz w:val="24"/>
          <w:szCs w:val="24"/>
          <w:lang w:val="en-US" w:eastAsia="zh-CN" w:bidi="ar-SA"/>
        </w:rPr>
        <w:t>因道路迁改、设备更新报废或</w:t>
      </w:r>
      <w:r>
        <w:rPr>
          <w:rFonts w:hint="eastAsia" w:ascii="宋体" w:hAnsi="宋体" w:eastAsia="宋体" w:cs="宋体"/>
          <w:b w:val="0"/>
          <w:bCs w:val="0"/>
          <w:color w:val="000000"/>
          <w:kern w:val="2"/>
          <w:sz w:val="24"/>
          <w:szCs w:val="24"/>
          <w:lang w:val="en-US" w:eastAsia="zh-CN" w:bidi="ar-SA"/>
        </w:rPr>
        <w:t>甲方</w:t>
      </w:r>
      <w:r>
        <w:rPr>
          <w:rFonts w:hint="default" w:ascii="宋体" w:hAnsi="宋体" w:eastAsia="宋体" w:cs="宋体"/>
          <w:b w:val="0"/>
          <w:bCs w:val="0"/>
          <w:color w:val="000000"/>
          <w:kern w:val="2"/>
          <w:sz w:val="24"/>
          <w:szCs w:val="24"/>
          <w:lang w:val="en-US" w:eastAsia="zh-CN" w:bidi="ar-SA"/>
        </w:rPr>
        <w:t>主动要求停止维护的，自停止维护之日起，不再考核、支付相应设备、系统的维护费用。</w:t>
      </w:r>
      <w:r>
        <w:rPr>
          <w:rFonts w:hint="eastAsia" w:ascii="宋体" w:hAnsi="宋体" w:eastAsia="宋体" w:cs="宋体"/>
          <w:color w:val="000000"/>
          <w:sz w:val="24"/>
          <w:lang w:val="en-US" w:eastAsia="zh-CN"/>
        </w:rPr>
        <w:t xml:space="preserve">      </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4.因巡查或整改不到位而产生的人身、财产损害责任由乙方自行承担。</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5.乙方</w:t>
      </w:r>
      <w:r>
        <w:rPr>
          <w:rFonts w:hint="eastAsia" w:ascii="宋体" w:hAnsi="宋体" w:eastAsia="宋体" w:cs="宋体"/>
          <w:color w:val="000000"/>
          <w:sz w:val="24"/>
        </w:rPr>
        <w:t>承担交通警察大队管理的所有维护</w:t>
      </w:r>
      <w:r>
        <w:rPr>
          <w:rFonts w:hint="eastAsia" w:ascii="宋体" w:hAnsi="宋体" w:eastAsia="宋体" w:cs="宋体"/>
          <w:color w:val="000000"/>
          <w:sz w:val="24"/>
          <w:lang w:val="en-US" w:eastAsia="zh-CN"/>
        </w:rPr>
        <w:t>范围</w:t>
      </w:r>
      <w:r>
        <w:rPr>
          <w:rFonts w:hint="eastAsia" w:ascii="宋体" w:hAnsi="宋体" w:eastAsia="宋体" w:cs="宋体"/>
          <w:color w:val="000000"/>
          <w:sz w:val="24"/>
        </w:rPr>
        <w:t>内智能交通系统内外场设备的统一存放保管工作，并提供固定的拆除、故障设备保管仓库，提供完整的出入库信息，同时建立建全仓管制度，做好防盗、防水等安全措施，确保设备存放安全。</w:t>
      </w:r>
    </w:p>
    <w:p>
      <w:pPr>
        <w:spacing w:line="420" w:lineRule="exact"/>
        <w:ind w:firstLine="480" w:firstLineChars="200"/>
        <w:rPr>
          <w:rFonts w:hint="eastAsia" w:ascii="宋体" w:hAnsi="宋体" w:eastAsia="宋体" w:cs="宋体"/>
          <w:color w:val="000000"/>
          <w:sz w:val="24"/>
          <w:lang w:val="zh-TW" w:eastAsia="zh-TW"/>
        </w:rPr>
      </w:pPr>
      <w:r>
        <w:rPr>
          <w:rFonts w:hint="eastAsia" w:ascii="宋体" w:hAnsi="宋体" w:eastAsia="宋体" w:cs="宋体"/>
          <w:color w:val="000000"/>
          <w:sz w:val="24"/>
          <w:lang w:val="en-US" w:eastAsia="zh-CN"/>
        </w:rPr>
        <w:t>6.乙方</w:t>
      </w:r>
      <w:r>
        <w:rPr>
          <w:rFonts w:hint="eastAsia" w:ascii="宋体" w:hAnsi="宋体" w:eastAsia="宋体" w:cs="宋体"/>
          <w:color w:val="000000"/>
          <w:sz w:val="24"/>
          <w:lang w:val="zh-TW" w:eastAsia="zh-TW"/>
        </w:rPr>
        <w:t>负责为</w:t>
      </w:r>
      <w:r>
        <w:rPr>
          <w:rFonts w:hint="eastAsia" w:ascii="宋体" w:hAnsi="宋体" w:eastAsia="宋体" w:cs="宋体"/>
          <w:color w:val="000000"/>
          <w:sz w:val="24"/>
          <w:lang w:val="en-US" w:eastAsia="zh-CN"/>
        </w:rPr>
        <w:t>甲方</w:t>
      </w:r>
      <w:r>
        <w:rPr>
          <w:rFonts w:hint="eastAsia" w:ascii="宋体" w:hAnsi="宋体" w:eastAsia="宋体" w:cs="宋体"/>
          <w:color w:val="000000"/>
          <w:sz w:val="24"/>
          <w:lang w:val="zh-TW" w:eastAsia="zh-TW"/>
        </w:rPr>
        <w:t>提供设备及系统的所有维护、系统管理、维修、设备更换、系统优化、系统运行和培训等专业化服务，保证</w:t>
      </w:r>
      <w:r>
        <w:rPr>
          <w:rFonts w:hint="eastAsia" w:ascii="宋体" w:hAnsi="宋体" w:eastAsia="宋体" w:cs="宋体"/>
          <w:color w:val="000000"/>
          <w:sz w:val="24"/>
          <w:lang w:val="en-US" w:eastAsia="zh-CN"/>
        </w:rPr>
        <w:t>甲方</w:t>
      </w:r>
      <w:r>
        <w:rPr>
          <w:rFonts w:hint="eastAsia" w:ascii="宋体" w:hAnsi="宋体" w:eastAsia="宋体" w:cs="宋体"/>
          <w:color w:val="000000"/>
          <w:sz w:val="24"/>
          <w:lang w:val="zh-TW" w:eastAsia="zh-TW"/>
        </w:rPr>
        <w:t>能正常使用系统，获得高质量满意的服务。</w:t>
      </w:r>
    </w:p>
    <w:p>
      <w:pPr>
        <w:numPr>
          <w:ilvl w:val="0"/>
          <w:numId w:val="0"/>
        </w:num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zh-TW" w:eastAsia="zh-TW"/>
        </w:rPr>
        <w:t>7.</w:t>
      </w:r>
      <w:r>
        <w:rPr>
          <w:rFonts w:hint="eastAsia" w:ascii="宋体" w:hAnsi="宋体" w:eastAsia="宋体" w:cs="宋体"/>
          <w:b w:val="0"/>
          <w:bCs w:val="0"/>
          <w:color w:val="000000"/>
          <w:kern w:val="2"/>
          <w:sz w:val="24"/>
          <w:szCs w:val="24"/>
          <w:lang w:val="en-US" w:eastAsia="zh-CN" w:bidi="ar-SA"/>
        </w:rPr>
        <w:t>乙方</w:t>
      </w:r>
      <w:r>
        <w:rPr>
          <w:rFonts w:hint="eastAsia" w:ascii="宋体" w:hAnsi="宋体" w:eastAsia="宋体" w:cs="宋体"/>
          <w:b w:val="0"/>
          <w:bCs w:val="0"/>
          <w:color w:val="000000"/>
          <w:kern w:val="2"/>
          <w:sz w:val="24"/>
          <w:szCs w:val="24"/>
          <w:lang w:val="zh-TW" w:eastAsia="zh-TW" w:bidi="ar-SA"/>
        </w:rPr>
        <w:t>提供三年的原厂延保服务承诺函，并提供原厂工程师现场服务，现场服务工程师在提供服务前需获得</w:t>
      </w:r>
      <w:r>
        <w:rPr>
          <w:rFonts w:hint="eastAsia" w:ascii="宋体" w:hAnsi="宋体" w:eastAsia="宋体" w:cs="宋体"/>
          <w:b w:val="0"/>
          <w:bCs w:val="0"/>
          <w:color w:val="000000"/>
          <w:kern w:val="2"/>
          <w:sz w:val="24"/>
          <w:szCs w:val="24"/>
          <w:lang w:val="en-US" w:eastAsia="zh-CN" w:bidi="ar-SA"/>
        </w:rPr>
        <w:t>甲方</w:t>
      </w:r>
      <w:r>
        <w:rPr>
          <w:rFonts w:hint="eastAsia" w:ascii="宋体" w:hAnsi="宋体" w:eastAsia="宋体" w:cs="宋体"/>
          <w:b w:val="0"/>
          <w:bCs w:val="0"/>
          <w:color w:val="000000"/>
          <w:kern w:val="2"/>
          <w:sz w:val="24"/>
          <w:szCs w:val="24"/>
          <w:lang w:val="zh-TW" w:eastAsia="zh-TW" w:bidi="ar-SA"/>
        </w:rPr>
        <w:t>的认可。</w:t>
      </w:r>
    </w:p>
    <w:p>
      <w:pPr>
        <w:spacing w:line="42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乙方须为本项目提供具备3年的义乌市本地光纤网络长期使用权，并于中标后15个工作日提供相关佐证材料（如与义乌市本地光纤网络资源的网络传输服务运营商签订针对本项目的签订的线路租用合作协议或其他相关资料）。</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9.窗口期：本项目以2023年1月1日为维护的第一天，如由于招投标周期原因导致签订合同日期晚于2023年1月1日，则由甲方按中标价扣除相应天数的维护费用。、</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lang w:val="en-US" w:eastAsia="zh-CN"/>
        </w:rPr>
        <w:t>十</w:t>
      </w:r>
      <w:r>
        <w:rPr>
          <w:rFonts w:hint="eastAsia" w:ascii="宋体" w:hAnsi="宋体" w:cs="宋体"/>
          <w:color w:val="000000"/>
          <w:sz w:val="24"/>
        </w:rPr>
        <w:t>、服务期及服务地点</w:t>
      </w:r>
    </w:p>
    <w:p>
      <w:pPr>
        <w:wordWrap w:val="0"/>
        <w:spacing w:line="400" w:lineRule="exact"/>
        <w:ind w:firstLine="470" w:firstLineChars="196"/>
        <w:rPr>
          <w:rFonts w:hint="eastAsia" w:ascii="宋体" w:hAnsi="宋体" w:cs="宋体"/>
          <w:color w:val="000000"/>
          <w:sz w:val="24"/>
        </w:rPr>
      </w:pPr>
      <w:r>
        <w:rPr>
          <w:rFonts w:hint="eastAsia" w:ascii="宋体" w:hAnsi="宋体" w:cs="宋体"/>
          <w:color w:val="000000"/>
          <w:sz w:val="24"/>
        </w:rPr>
        <w:t>1.服务期：</w:t>
      </w:r>
      <w:r>
        <w:rPr>
          <w:rFonts w:hint="eastAsia" w:ascii="宋体" w:hAnsi="宋体" w:cs="宋体"/>
          <w:b/>
          <w:bCs/>
          <w:color w:val="000000"/>
          <w:sz w:val="24"/>
        </w:rPr>
        <w:t>自</w:t>
      </w:r>
      <w:r>
        <w:rPr>
          <w:rFonts w:hint="eastAsia" w:ascii="宋体" w:hAnsi="宋体" w:cs="宋体"/>
          <w:b/>
          <w:bCs/>
          <w:color w:val="000000"/>
          <w:sz w:val="24"/>
          <w:u w:val="single"/>
        </w:rPr>
        <w:t xml:space="preserve">      年    </w:t>
      </w:r>
      <w:r>
        <w:rPr>
          <w:rFonts w:hint="eastAsia" w:ascii="宋体" w:hAnsi="宋体" w:cs="宋体"/>
          <w:b/>
          <w:bCs/>
          <w:color w:val="000000"/>
          <w:sz w:val="24"/>
        </w:rPr>
        <w:t>月</w:t>
      </w:r>
      <w:r>
        <w:rPr>
          <w:rFonts w:hint="eastAsia" w:ascii="宋体" w:hAnsi="宋体" w:cs="宋体"/>
          <w:b/>
          <w:bCs/>
          <w:color w:val="000000"/>
          <w:sz w:val="24"/>
          <w:u w:val="single"/>
        </w:rPr>
        <w:t xml:space="preserve">    </w:t>
      </w:r>
      <w:r>
        <w:rPr>
          <w:rFonts w:hint="eastAsia" w:ascii="宋体" w:hAnsi="宋体" w:cs="宋体"/>
          <w:b/>
          <w:bCs/>
          <w:color w:val="000000"/>
          <w:sz w:val="24"/>
        </w:rPr>
        <w:t>日起至</w:t>
      </w:r>
      <w:r>
        <w:rPr>
          <w:rFonts w:hint="eastAsia" w:ascii="宋体" w:hAnsi="宋体" w:cs="宋体"/>
          <w:b/>
          <w:bCs/>
          <w:color w:val="000000"/>
          <w:sz w:val="24"/>
          <w:u w:val="single"/>
        </w:rPr>
        <w:t xml:space="preserve">     </w:t>
      </w:r>
      <w:r>
        <w:rPr>
          <w:rFonts w:hint="eastAsia" w:ascii="宋体" w:hAnsi="宋体" w:cs="宋体"/>
          <w:b/>
          <w:bCs/>
          <w:color w:val="000000"/>
          <w:sz w:val="24"/>
        </w:rPr>
        <w:t>年</w:t>
      </w:r>
      <w:r>
        <w:rPr>
          <w:rFonts w:hint="eastAsia" w:ascii="宋体" w:hAnsi="宋体" w:cs="宋体"/>
          <w:b/>
          <w:bCs/>
          <w:color w:val="000000"/>
          <w:sz w:val="24"/>
          <w:u w:val="single"/>
        </w:rPr>
        <w:t xml:space="preserve">    </w:t>
      </w:r>
      <w:r>
        <w:rPr>
          <w:rFonts w:hint="eastAsia" w:ascii="宋体" w:hAnsi="宋体" w:cs="宋体"/>
          <w:b/>
          <w:bCs/>
          <w:color w:val="000000"/>
          <w:sz w:val="24"/>
        </w:rPr>
        <w:t>月</w:t>
      </w:r>
      <w:r>
        <w:rPr>
          <w:rFonts w:hint="eastAsia" w:ascii="宋体" w:hAnsi="宋体" w:cs="宋体"/>
          <w:b/>
          <w:bCs/>
          <w:color w:val="000000"/>
          <w:sz w:val="24"/>
          <w:u w:val="single"/>
        </w:rPr>
        <w:t xml:space="preserve">    </w:t>
      </w:r>
      <w:r>
        <w:rPr>
          <w:rFonts w:hint="eastAsia" w:ascii="宋体" w:hAnsi="宋体" w:cs="宋体"/>
          <w:b/>
          <w:bCs/>
          <w:color w:val="000000"/>
          <w:sz w:val="24"/>
        </w:rPr>
        <w:t>日止</w:t>
      </w:r>
      <w:r>
        <w:rPr>
          <w:rFonts w:hint="eastAsia" w:ascii="宋体" w:hAnsi="宋体" w:cs="宋体"/>
          <w:color w:val="000000"/>
          <w:sz w:val="24"/>
        </w:rPr>
        <w:t>。</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rPr>
        <w:t xml:space="preserve">2.服务地点： </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lang w:val="en-US" w:eastAsia="zh-CN"/>
        </w:rPr>
        <w:t>十一</w:t>
      </w:r>
      <w:r>
        <w:rPr>
          <w:rFonts w:hint="eastAsia" w:ascii="宋体" w:hAnsi="宋体" w:cs="宋体"/>
          <w:color w:val="000000"/>
          <w:sz w:val="24"/>
        </w:rPr>
        <w:t>、合同款支付</w:t>
      </w:r>
    </w:p>
    <w:p>
      <w:pPr>
        <w:pStyle w:val="96"/>
        <w:ind w:firstLine="495"/>
        <w:rPr>
          <w:rFonts w:hint="eastAsia" w:ascii="宋体" w:hAnsi="宋体" w:eastAsia="宋体" w:cs="宋体"/>
          <w:color w:val="000000"/>
          <w:lang w:val="en-US" w:eastAsia="zh-CN"/>
        </w:rPr>
      </w:pPr>
      <w:r>
        <w:rPr>
          <w:rFonts w:hint="eastAsia" w:ascii="宋体" w:hAnsi="宋体" w:eastAsia="宋体" w:cs="宋体"/>
          <w:color w:val="000000"/>
          <w:lang w:val="en-US" w:eastAsia="zh-CN"/>
        </w:rPr>
        <w:t>本项目总</w:t>
      </w:r>
      <w:r>
        <w:rPr>
          <w:rFonts w:hint="eastAsia" w:ascii="宋体" w:hAnsi="宋体" w:cs="宋体"/>
          <w:color w:val="000000"/>
          <w:lang w:val="en-US" w:eastAsia="zh-CN"/>
        </w:rPr>
        <w:t>运维服务期</w:t>
      </w:r>
      <w:r>
        <w:rPr>
          <w:rFonts w:hint="eastAsia" w:ascii="宋体" w:hAnsi="宋体" w:eastAsia="宋体" w:cs="宋体"/>
          <w:color w:val="000000"/>
          <w:lang w:val="en-US" w:eastAsia="zh-CN"/>
        </w:rPr>
        <w:t>为三年。</w:t>
      </w:r>
    </w:p>
    <w:p>
      <w:pPr>
        <w:pStyle w:val="96"/>
        <w:ind w:firstLine="495"/>
        <w:rPr>
          <w:rFonts w:hint="eastAsia" w:ascii="宋体" w:hAnsi="宋体" w:eastAsia="宋体" w:cs="宋体"/>
          <w:color w:val="000000"/>
          <w:lang w:val="en-US"/>
        </w:rPr>
      </w:pPr>
      <w:r>
        <w:rPr>
          <w:rFonts w:hint="eastAsia" w:ascii="宋体" w:hAnsi="宋体" w:eastAsia="宋体" w:cs="宋体"/>
          <w:color w:val="000000"/>
          <w:lang w:val="en-US"/>
        </w:rPr>
        <w:t>1.合同签订以及具备实施条件后</w:t>
      </w:r>
      <w:r>
        <w:rPr>
          <w:rFonts w:hint="eastAsia" w:ascii="宋体" w:hAnsi="宋体" w:eastAsia="宋体" w:cs="宋体"/>
          <w:color w:val="000000"/>
          <w:lang w:val="en-US" w:eastAsia="zh-CN"/>
        </w:rPr>
        <w:t>7个工作日内</w:t>
      </w:r>
      <w:r>
        <w:rPr>
          <w:rFonts w:hint="eastAsia" w:ascii="宋体" w:hAnsi="宋体" w:eastAsia="宋体" w:cs="宋体"/>
          <w:color w:val="000000"/>
          <w:lang w:val="en-US"/>
        </w:rPr>
        <w:t>支付</w:t>
      </w:r>
      <w:r>
        <w:rPr>
          <w:rFonts w:hint="eastAsia" w:ascii="宋体" w:hAnsi="宋体" w:eastAsia="宋体" w:cs="宋体"/>
          <w:color w:val="000000"/>
          <w:lang w:val="en-US" w:eastAsia="zh-CN"/>
        </w:rPr>
        <w:t>本项目第一年应支付</w:t>
      </w:r>
      <w:r>
        <w:rPr>
          <w:rFonts w:hint="eastAsia" w:ascii="宋体" w:hAnsi="宋体" w:eastAsia="宋体" w:cs="宋体"/>
          <w:color w:val="000000"/>
          <w:lang w:val="en-US"/>
        </w:rPr>
        <w:t>金额</w:t>
      </w:r>
      <w:r>
        <w:rPr>
          <w:rFonts w:hint="eastAsia" w:ascii="宋体" w:hAnsi="宋体" w:eastAsia="宋体" w:cs="宋体"/>
          <w:color w:val="000000"/>
          <w:lang w:val="en-US" w:eastAsia="zh-CN"/>
        </w:rPr>
        <w:t>40</w:t>
      </w:r>
      <w:r>
        <w:rPr>
          <w:rFonts w:hint="eastAsia" w:ascii="宋体" w:hAnsi="宋体" w:eastAsia="宋体" w:cs="宋体"/>
          <w:color w:val="000000"/>
          <w:lang w:val="en-US"/>
        </w:rPr>
        <w:t>%的预付款</w:t>
      </w:r>
      <w:r>
        <w:rPr>
          <w:rFonts w:hint="eastAsia" w:ascii="宋体" w:hAnsi="宋体" w:eastAsia="宋体" w:cs="宋体"/>
          <w:color w:val="000000"/>
          <w:lang w:val="en-US" w:eastAsia="zh-CN"/>
        </w:rPr>
        <w:t>(在签订合同时，乙方明确表示无需预付款或者主动要求降低预付款比例的，甲方可不支付或减少预付款支付比例)</w:t>
      </w:r>
      <w:r>
        <w:rPr>
          <w:rFonts w:hint="eastAsia" w:ascii="宋体" w:hAnsi="宋体" w:eastAsia="宋体" w:cs="宋体"/>
          <w:color w:val="000000"/>
          <w:lang w:val="en-US"/>
        </w:rPr>
        <w:t>；甲方可以要求乙方提交银行、保险公司等金融机构出具的预付款保函或其他担保措施。</w:t>
      </w:r>
    </w:p>
    <w:p>
      <w:pPr>
        <w:pStyle w:val="96"/>
        <w:ind w:firstLine="495"/>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r>
        <w:rPr>
          <w:rFonts w:hint="eastAsia" w:ascii="宋体" w:hAnsi="宋体" w:eastAsia="宋体" w:cs="宋体"/>
          <w:color w:val="000000"/>
          <w:lang w:val="en-US"/>
        </w:rPr>
        <w:t>根据</w:t>
      </w:r>
      <w:r>
        <w:rPr>
          <w:rFonts w:hint="eastAsia" w:ascii="宋体" w:hAnsi="宋体" w:eastAsia="宋体" w:cs="宋体"/>
          <w:color w:val="000000"/>
          <w:lang w:val="en-US" w:eastAsia="zh-CN"/>
        </w:rPr>
        <w:t>甲方</w:t>
      </w:r>
      <w:r>
        <w:rPr>
          <w:rFonts w:hint="eastAsia" w:ascii="宋体" w:hAnsi="宋体" w:eastAsia="宋体" w:cs="宋体"/>
          <w:color w:val="000000"/>
          <w:lang w:val="en-US"/>
        </w:rPr>
        <w:t>组织人员对</w:t>
      </w:r>
      <w:r>
        <w:rPr>
          <w:rFonts w:hint="eastAsia" w:ascii="宋体" w:hAnsi="宋体" w:eastAsia="宋体" w:cs="宋体"/>
          <w:color w:val="000000"/>
          <w:lang w:val="en-US" w:eastAsia="zh-CN"/>
        </w:rPr>
        <w:t>乙方</w:t>
      </w:r>
      <w:r>
        <w:rPr>
          <w:rFonts w:hint="eastAsia" w:ascii="宋体" w:hAnsi="宋体" w:eastAsia="宋体" w:cs="宋体"/>
          <w:color w:val="000000"/>
          <w:lang w:val="en-US"/>
        </w:rPr>
        <w:t>的实施情况进行考核，</w:t>
      </w:r>
      <w:r>
        <w:rPr>
          <w:rFonts w:hint="eastAsia" w:ascii="宋体" w:hAnsi="宋体" w:eastAsia="宋体" w:cs="宋体"/>
          <w:color w:val="000000"/>
          <w:lang w:val="en-US" w:eastAsia="zh-CN"/>
        </w:rPr>
        <w:t>视实际扣款情况按月计算，按季支付</w:t>
      </w:r>
      <w:r>
        <w:rPr>
          <w:rFonts w:hint="eastAsia" w:ascii="宋体" w:hAnsi="宋体" w:eastAsia="宋体" w:cs="宋体"/>
          <w:color w:val="000000"/>
          <w:lang w:val="en-US"/>
        </w:rPr>
        <w:t>。</w:t>
      </w:r>
      <w:r>
        <w:rPr>
          <w:rFonts w:hint="eastAsia" w:ascii="宋体" w:hAnsi="宋体" w:eastAsia="宋体" w:cs="宋体"/>
          <w:color w:val="000000"/>
          <w:lang w:val="en-US" w:eastAsia="zh-CN"/>
        </w:rPr>
        <w:t>（预付款在第一季度支付服务费时开始扣回</w:t>
      </w:r>
      <w:r>
        <w:rPr>
          <w:rFonts w:hint="eastAsia" w:ascii="宋体" w:hAnsi="宋体" w:eastAsia="宋体" w:cs="宋体"/>
          <w:color w:val="000000"/>
          <w:lang w:val="en-US"/>
        </w:rPr>
        <w:t>，扣完为止。</w:t>
      </w:r>
      <w:r>
        <w:rPr>
          <w:rFonts w:hint="eastAsia" w:ascii="宋体" w:hAnsi="宋体" w:eastAsia="宋体" w:cs="宋体"/>
          <w:color w:val="000000"/>
          <w:lang w:val="en-US" w:eastAsia="zh-CN"/>
        </w:rPr>
        <w:t>）运维服务费</w:t>
      </w:r>
      <w:r>
        <w:rPr>
          <w:rFonts w:hint="eastAsia" w:ascii="宋体" w:hAnsi="宋体" w:eastAsia="宋体" w:cs="宋体"/>
          <w:color w:val="000000"/>
          <w:lang w:val="zh-CN"/>
        </w:rPr>
        <w:t>凭</w:t>
      </w:r>
      <w:r>
        <w:rPr>
          <w:rFonts w:hint="eastAsia" w:ascii="宋体" w:hAnsi="宋体" w:eastAsia="宋体" w:cs="宋体"/>
          <w:color w:val="000000"/>
          <w:lang w:val="en-US" w:eastAsia="zh-CN"/>
        </w:rPr>
        <w:t>资金结算单</w:t>
      </w:r>
      <w:r>
        <w:rPr>
          <w:rFonts w:hint="eastAsia" w:ascii="宋体" w:hAnsi="宋体" w:eastAsia="宋体" w:cs="宋体"/>
          <w:color w:val="000000"/>
          <w:lang w:val="zh-CN"/>
        </w:rPr>
        <w:t>、</w:t>
      </w:r>
      <w:r>
        <w:rPr>
          <w:rFonts w:hint="eastAsia" w:ascii="宋体" w:hAnsi="宋体" w:eastAsia="宋体" w:cs="宋体"/>
          <w:color w:val="000000"/>
          <w:lang w:val="en-US" w:eastAsia="zh-CN"/>
        </w:rPr>
        <w:t>月度考核记录</w:t>
      </w:r>
      <w:r>
        <w:rPr>
          <w:rFonts w:hint="eastAsia" w:ascii="宋体" w:hAnsi="宋体" w:eastAsia="宋体" w:cs="宋体"/>
          <w:color w:val="000000"/>
          <w:lang w:val="zh-CN"/>
        </w:rPr>
        <w:t>、合同、发票等相关资料由</w:t>
      </w:r>
      <w:r>
        <w:rPr>
          <w:rFonts w:hint="eastAsia" w:ascii="宋体" w:hAnsi="宋体" w:eastAsia="宋体" w:cs="宋体"/>
          <w:color w:val="000000"/>
          <w:lang w:val="en-US" w:eastAsia="zh-CN"/>
        </w:rPr>
        <w:t>甲方</w:t>
      </w:r>
      <w:r>
        <w:rPr>
          <w:rFonts w:hint="eastAsia" w:ascii="宋体" w:hAnsi="宋体" w:eastAsia="宋体" w:cs="宋体"/>
          <w:color w:val="000000"/>
          <w:lang w:val="zh-CN"/>
        </w:rPr>
        <w:t>负责办理费用支付。</w:t>
      </w:r>
      <w:r>
        <w:rPr>
          <w:rFonts w:hint="eastAsia" w:ascii="宋体" w:hAnsi="宋体" w:eastAsia="宋体" w:cs="宋体"/>
          <w:color w:val="000000"/>
          <w:lang w:val="en-US" w:eastAsia="zh-CN"/>
        </w:rPr>
        <w:t>项目月度考核服务费计算Sy= Ywf *ａ-∑</w:t>
      </w:r>
      <w:r>
        <w:rPr>
          <w:rFonts w:hint="eastAsia" w:ascii="宋体" w:hAnsi="宋体" w:eastAsia="宋体" w:cs="宋体"/>
          <w:color w:val="000000"/>
          <w:lang w:val="en-US"/>
        </w:rPr>
        <w:t>Rc</w:t>
      </w:r>
      <w:r>
        <w:rPr>
          <w:rFonts w:hint="eastAsia" w:ascii="宋体" w:hAnsi="宋体" w:eastAsia="宋体" w:cs="宋体"/>
          <w:color w:val="000000"/>
          <w:lang w:val="en-US" w:eastAsia="zh-CN"/>
        </w:rPr>
        <w:t>y（Sy：月度考核服务费；Ywf：当月运维服务费；ａ：绩效全面考核支付比例，根据考核确定；</w:t>
      </w:r>
      <w:r>
        <w:rPr>
          <w:rFonts w:hint="eastAsia" w:ascii="宋体" w:hAnsi="宋体" w:eastAsia="宋体" w:cs="宋体"/>
          <w:color w:val="000000"/>
          <w:lang w:val="en-US"/>
        </w:rPr>
        <w:t>Rc</w:t>
      </w:r>
      <w:r>
        <w:rPr>
          <w:rFonts w:hint="eastAsia" w:ascii="宋体" w:hAnsi="宋体" w:eastAsia="宋体" w:cs="宋体"/>
          <w:color w:val="000000"/>
          <w:lang w:val="en-US" w:eastAsia="zh-CN"/>
        </w:rPr>
        <w:t>y：日常维护工作考核月服务费考核扣款，根据考核确定。）。</w:t>
      </w:r>
    </w:p>
    <w:p>
      <w:pPr>
        <w:pStyle w:val="96"/>
        <w:ind w:left="479" w:leftChars="228" w:firstLine="0" w:firstLineChars="0"/>
        <w:rPr>
          <w:rFonts w:hint="eastAsia" w:ascii="宋体" w:hAnsi="宋体" w:eastAsia="宋体" w:cs="宋体"/>
          <w:color w:val="000000"/>
          <w:lang w:eastAsia="zh-CN"/>
        </w:rPr>
      </w:pPr>
      <w:r>
        <w:rPr>
          <w:rFonts w:hint="eastAsia" w:ascii="宋体" w:hAnsi="宋体" w:cs="宋体"/>
          <w:color w:val="000000"/>
        </w:rPr>
        <w:t>十</w:t>
      </w:r>
      <w:r>
        <w:rPr>
          <w:rFonts w:hint="eastAsia" w:ascii="宋体" w:hAnsi="宋体" w:cs="宋体"/>
          <w:color w:val="000000"/>
          <w:lang w:val="en-US" w:eastAsia="zh-CN"/>
        </w:rPr>
        <w:t>二</w:t>
      </w:r>
      <w:r>
        <w:rPr>
          <w:rFonts w:hint="eastAsia" w:ascii="宋体" w:hAnsi="宋体" w:cs="宋体"/>
          <w:color w:val="000000"/>
        </w:rPr>
        <w:t>、  保密要求</w:t>
      </w:r>
    </w:p>
    <w:p>
      <w:pPr>
        <w:pStyle w:val="96"/>
        <w:ind w:firstLine="495"/>
        <w:rPr>
          <w:rFonts w:hint="eastAsia" w:ascii="宋体" w:hAnsi="宋体" w:eastAsia="宋体" w:cs="宋体"/>
          <w:color w:val="000000"/>
          <w:lang w:val="en-US"/>
        </w:rPr>
      </w:pPr>
      <w:r>
        <w:rPr>
          <w:rFonts w:hint="eastAsia" w:ascii="宋体" w:hAnsi="宋体" w:eastAsia="宋体" w:cs="宋体"/>
          <w:color w:val="000000"/>
          <w:lang w:val="en-US"/>
        </w:rPr>
        <w:t>1.乙方必须和甲方签订保密协议和非侵害性协议，乙方必须要与参加此次维保项目的所有项目组成员签订保密协议和非侵害性协议，在合同签订时一并提供给甲方。</w:t>
      </w:r>
    </w:p>
    <w:p>
      <w:pPr>
        <w:pStyle w:val="96"/>
        <w:ind w:firstLine="495"/>
        <w:rPr>
          <w:rFonts w:hint="eastAsia" w:ascii="宋体" w:hAnsi="宋体" w:eastAsia="宋体" w:cs="宋体"/>
          <w:color w:val="000000"/>
          <w:lang w:val="en-US"/>
        </w:rPr>
      </w:pPr>
      <w:r>
        <w:rPr>
          <w:rFonts w:hint="eastAsia" w:ascii="宋体" w:hAnsi="宋体" w:eastAsia="宋体" w:cs="宋体"/>
          <w:color w:val="000000"/>
          <w:lang w:val="en-US"/>
        </w:rPr>
        <w:t>2.乙方对本规范书中的内容及在应标过程中接触的设备信息、数据资料等负有保密责任，不得泄露给任何第三方。</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三</w:t>
      </w:r>
      <w:r>
        <w:rPr>
          <w:rFonts w:hint="eastAsia" w:ascii="宋体" w:hAnsi="宋体" w:cs="宋体"/>
          <w:color w:val="000000"/>
          <w:sz w:val="24"/>
        </w:rPr>
        <w:t>、违约责任</w:t>
      </w:r>
    </w:p>
    <w:p>
      <w:pPr>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1.甲方无正当理由拒绝接受服务的，甲方向乙方偿付拒收合同款总额的     违约金。</w:t>
      </w:r>
    </w:p>
    <w:p>
      <w:pPr>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2.甲方无故逾期验收和办理款项支付手续的,甲方应按逾期付款总额每日    向乙方支付违约金。</w:t>
      </w:r>
    </w:p>
    <w:p>
      <w:pPr>
        <w:snapToGrid w:val="0"/>
        <w:spacing w:line="440" w:lineRule="exact"/>
        <w:ind w:firstLine="480" w:firstLineChars="200"/>
        <w:rPr>
          <w:rFonts w:hint="eastAsia" w:ascii="宋体" w:hAnsi="宋体" w:eastAsia="宋体"/>
          <w:color w:val="000000"/>
          <w:sz w:val="24"/>
          <w:lang w:eastAsia="zh-CN"/>
        </w:rPr>
      </w:pPr>
      <w:r>
        <w:rPr>
          <w:rFonts w:hint="eastAsia" w:ascii="宋体" w:hAnsi="宋体"/>
          <w:color w:val="000000"/>
          <w:sz w:val="24"/>
        </w:rPr>
        <w:t>3</w:t>
      </w:r>
      <w:r>
        <w:rPr>
          <w:rFonts w:ascii="宋体" w:hAnsi="宋体"/>
          <w:color w:val="000000"/>
          <w:sz w:val="24"/>
        </w:rPr>
        <w:t>.乙方若在合同期内，未能认真履行</w:t>
      </w:r>
      <w:r>
        <w:rPr>
          <w:rFonts w:hint="eastAsia" w:ascii="宋体" w:hAnsi="宋体"/>
          <w:color w:val="000000"/>
          <w:sz w:val="24"/>
        </w:rPr>
        <w:t>维保</w:t>
      </w:r>
      <w:r>
        <w:rPr>
          <w:rFonts w:ascii="宋体" w:hAnsi="宋体"/>
          <w:color w:val="000000"/>
          <w:sz w:val="24"/>
        </w:rPr>
        <w:t>服务，导致设备、系统不能正常运行的，乙方应迅速采取补救措施并恢复正常运行，如造成损失的，乙方应承担相应责任并赔偿由此产生的经济损失。</w:t>
      </w:r>
    </w:p>
    <w:p>
      <w:pPr>
        <w:snapToGrid w:val="0"/>
        <w:spacing w:line="440" w:lineRule="exact"/>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4.乙方未按本合同完成维保工作量的，甲方有权减扣相应的维保费用。</w:t>
      </w:r>
    </w:p>
    <w:p>
      <w:pPr>
        <w:snapToGrid w:val="0"/>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5.甲乙双方违反本合同内的其他义务，需赔偿因此给对方造成的损失。</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四</w:t>
      </w:r>
      <w:r>
        <w:rPr>
          <w:rFonts w:hint="eastAsia" w:ascii="宋体" w:hAnsi="宋体" w:cs="宋体"/>
          <w:color w:val="000000"/>
          <w:sz w:val="24"/>
        </w:rPr>
        <w:t>、不可抗力事件处理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2.不可抗力事件发生后，应立即通知对方，并寄送有关权威机构出具的</w:t>
      </w:r>
      <w:r>
        <w:rPr>
          <w:rFonts w:hint="eastAsia" w:ascii="宋体" w:hAnsi="宋体" w:cs="宋体"/>
          <w:color w:val="000000"/>
          <w:sz w:val="24"/>
          <w:lang w:val="en-US" w:eastAsia="zh-CN"/>
        </w:rPr>
        <w:t>说</w:t>
      </w:r>
      <w:r>
        <w:rPr>
          <w:rFonts w:hint="eastAsia" w:ascii="宋体" w:hAnsi="宋体" w:cs="宋体"/>
          <w:color w:val="000000"/>
          <w:sz w:val="24"/>
        </w:rPr>
        <w:t>明</w:t>
      </w:r>
      <w:r>
        <w:rPr>
          <w:rFonts w:hint="eastAsia" w:ascii="宋体" w:hAnsi="宋体" w:cs="宋体"/>
          <w:color w:val="000000"/>
          <w:sz w:val="24"/>
          <w:lang w:val="en-US" w:eastAsia="zh-CN"/>
        </w:rPr>
        <w:t>资料</w:t>
      </w:r>
      <w:r>
        <w:rPr>
          <w:rFonts w:hint="eastAsia" w:ascii="宋体" w:hAnsi="宋体" w:cs="宋体"/>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3.不可抗力事件延续_____天以上，双方应通过友好协商，确定是否继续履行合同。</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五</w:t>
      </w:r>
      <w:r>
        <w:rPr>
          <w:rFonts w:hint="eastAsia" w:ascii="宋体" w:hAnsi="宋体" w:cs="宋体"/>
          <w:color w:val="000000"/>
          <w:sz w:val="24"/>
        </w:rPr>
        <w:t>、诉讼</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本合同项目所在地为义乌市，本合同发生争议产生的诉讼，可向项目所在地有管辖权的法院提起诉讼。</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六</w:t>
      </w:r>
      <w:r>
        <w:rPr>
          <w:rFonts w:hint="eastAsia" w:ascii="宋体" w:hAnsi="宋体" w:cs="宋体"/>
          <w:color w:val="000000"/>
          <w:sz w:val="24"/>
        </w:rPr>
        <w:t>、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七</w:t>
      </w:r>
      <w:r>
        <w:rPr>
          <w:rFonts w:hint="eastAsia" w:ascii="宋体" w:hAnsi="宋体" w:cs="宋体"/>
          <w:color w:val="000000"/>
          <w:sz w:val="24"/>
        </w:rPr>
        <w:t>、合同生效及其它</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1.合同经双方法定代表人或授权代表签字并加盖单位公章后生效。</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2.本合同未尽事宜，遵照《中华人民共和国民法典》有关条文执行。</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八</w:t>
      </w:r>
      <w:r>
        <w:rPr>
          <w:rFonts w:hint="eastAsia" w:ascii="宋体" w:hAnsi="宋体" w:cs="宋体"/>
          <w:color w:val="000000"/>
          <w:sz w:val="24"/>
        </w:rPr>
        <w:t>、本合同一式____份，甲乙双方各执____份，浙江至诚工程咨询有限责任公司执一份，均具同等效力。</w:t>
      </w:r>
    </w:p>
    <w:p>
      <w:pPr>
        <w:spacing w:line="46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十九、本合同附件为：</w:t>
      </w:r>
    </w:p>
    <w:p>
      <w:pPr>
        <w:spacing w:line="46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附件一、</w:t>
      </w:r>
      <w:r>
        <w:rPr>
          <w:rFonts w:hint="eastAsia" w:ascii="宋体" w:hAnsi="宋体" w:eastAsia="宋体" w:cs="宋体"/>
          <w:color w:val="000000"/>
          <w:kern w:val="2"/>
          <w:sz w:val="24"/>
          <w:szCs w:val="24"/>
          <w:highlight w:val="none"/>
        </w:rPr>
        <w:t>开标一览表及合同价明细表</w:t>
      </w:r>
      <w:r>
        <w:rPr>
          <w:rFonts w:hint="eastAsia" w:ascii="宋体" w:hAnsi="宋体" w:eastAsia="宋体" w:cs="宋体"/>
          <w:color w:val="000000"/>
          <w:sz w:val="24"/>
          <w:highlight w:val="none"/>
          <w:lang w:val="en-US" w:eastAsia="zh-CN"/>
        </w:rPr>
        <w:t>；</w:t>
      </w:r>
    </w:p>
    <w:p>
      <w:pPr>
        <w:spacing w:line="46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附件二、维护工作要求及考核细则</w:t>
      </w:r>
    </w:p>
    <w:p>
      <w:pPr>
        <w:spacing w:line="460" w:lineRule="exact"/>
        <w:ind w:firstLine="480" w:firstLineChars="200"/>
        <w:rPr>
          <w:rFonts w:hint="eastAsia" w:ascii="宋体" w:hAnsi="宋体" w:eastAsia="宋体" w:cs="宋体"/>
          <w:color w:val="000000"/>
          <w:sz w:val="24"/>
          <w:highlight w:val="none"/>
          <w:lang w:val="en-US" w:eastAsia="zh-CN"/>
        </w:rPr>
      </w:pP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甲    方：________________________  乙    方：________________________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地    址：________________________  地    址：________________________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法定代表人：______________________  法定代表人：______________________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 xml:space="preserve">授权代表：_____________________  _  授权代表：____________________    </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电    话：________________________  电    话：________________________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帐户名称：________________________  帐户名称：________________________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开户银行：________________________  开户银行：________________________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帐    号：________________________  帐    号：________________________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签约时间：________________________  签约地点：</w:t>
      </w:r>
    </w:p>
    <w:p>
      <w:pPr>
        <w:spacing w:line="460" w:lineRule="exact"/>
        <w:ind w:firstLine="420" w:firstLineChars="200"/>
        <w:rPr>
          <w:rFonts w:hint="eastAsia"/>
          <w:color w:val="000000"/>
          <w:highlight w:val="yellow"/>
          <w:lang w:val="en-US" w:eastAsia="zh-CN"/>
        </w:rPr>
      </w:pPr>
      <w:r>
        <w:rPr>
          <w:rFonts w:hint="eastAsia"/>
          <w:color w:val="000000"/>
        </w:rPr>
        <w:br w:type="page"/>
      </w:r>
      <w:r>
        <w:rPr>
          <w:rFonts w:hint="eastAsia"/>
          <w:color w:val="000000"/>
        </w:rPr>
        <w:t xml:space="preserve"> </w:t>
      </w:r>
      <w:r>
        <w:rPr>
          <w:rFonts w:hint="eastAsia"/>
          <w:color w:val="000000"/>
          <w:highlight w:val="yellow"/>
          <w:lang w:val="en-US" w:eastAsia="zh-CN"/>
        </w:rPr>
        <w:t>附件一、</w:t>
      </w:r>
      <w:r>
        <w:rPr>
          <w:rFonts w:hint="eastAsia" w:ascii="Calibri" w:hAnsi="Calibri" w:eastAsia="宋体"/>
          <w:color w:val="000000"/>
          <w:kern w:val="2"/>
          <w:sz w:val="21"/>
          <w:szCs w:val="24"/>
          <w:highlight w:val="yellow"/>
        </w:rPr>
        <w:t>开标一览表及合同价明细表</w:t>
      </w:r>
      <w:r>
        <w:rPr>
          <w:rFonts w:hint="eastAsia"/>
          <w:color w:val="000000"/>
          <w:highlight w:val="yellow"/>
          <w:lang w:val="en-US" w:eastAsia="zh-CN"/>
        </w:rPr>
        <w:t>；</w:t>
      </w:r>
    </w:p>
    <w:p>
      <w:pPr>
        <w:spacing w:line="460" w:lineRule="exact"/>
        <w:ind w:firstLine="0" w:firstLineChars="0"/>
        <w:rPr>
          <w:rFonts w:hint="eastAsia"/>
          <w:color w:val="000000"/>
          <w:highlight w:val="yellow"/>
          <w:lang w:val="en-US" w:eastAsia="zh-CN"/>
        </w:rPr>
      </w:pPr>
      <w:r>
        <w:rPr>
          <w:rFonts w:hint="eastAsia"/>
          <w:color w:val="000000"/>
          <w:highlight w:val="yellow"/>
          <w:lang w:val="en-US" w:eastAsia="zh-CN"/>
        </w:rPr>
        <w:br w:type="page"/>
      </w:r>
      <w:r>
        <w:rPr>
          <w:rFonts w:hint="eastAsia"/>
          <w:color w:val="000000"/>
          <w:highlight w:val="yellow"/>
          <w:lang w:val="en-US" w:eastAsia="zh-CN"/>
        </w:rPr>
        <w:t>附件二、维护工作要求及考核细则</w:t>
      </w:r>
    </w:p>
    <w:p>
      <w:pPr>
        <w:numPr>
          <w:ilvl w:val="0"/>
          <w:numId w:val="5"/>
        </w:numPr>
        <w:tabs>
          <w:tab w:val="left" w:pos="2212"/>
        </w:tabs>
        <w:adjustRightInd w:val="0"/>
        <w:snapToGrid w:val="0"/>
        <w:spacing w:line="420" w:lineRule="exact"/>
        <w:ind w:firstLine="482" w:firstLineChars="200"/>
        <w:rPr>
          <w:rFonts w:hint="eastAsia" w:ascii="宋体" w:hAnsi="宋体" w:cs="宋体"/>
          <w:b/>
          <w:bCs/>
          <w:color w:val="000000"/>
          <w:sz w:val="24"/>
          <w:szCs w:val="21"/>
          <w:lang w:val="en-US" w:eastAsia="zh-CN"/>
        </w:rPr>
      </w:pPr>
      <w:r>
        <w:rPr>
          <w:rFonts w:hint="eastAsia" w:ascii="宋体" w:hAnsi="宋体" w:cs="宋体"/>
          <w:b/>
          <w:bCs/>
          <w:color w:val="000000"/>
          <w:sz w:val="24"/>
          <w:szCs w:val="21"/>
          <w:lang w:val="en-US" w:eastAsia="zh-CN"/>
        </w:rPr>
        <w:t>维护工作要求</w:t>
      </w:r>
    </w:p>
    <w:p>
      <w:pPr>
        <w:numPr>
          <w:ilvl w:val="0"/>
          <w:numId w:val="0"/>
        </w:num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w:t>
      </w:r>
      <w:r>
        <w:rPr>
          <w:rFonts w:hint="eastAsia" w:ascii="宋体" w:hAnsi="宋体" w:eastAsia="宋体" w:cs="宋体"/>
          <w:b/>
          <w:bCs/>
          <w:color w:val="000000"/>
          <w:sz w:val="24"/>
          <w:szCs w:val="21"/>
          <w:lang w:val="zh-TW" w:eastAsia="zh-TW"/>
        </w:rPr>
        <w:t>1前端设施设备维护工作要求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1</w:t>
      </w:r>
      <w:r>
        <w:rPr>
          <w:rFonts w:hint="eastAsia" w:ascii="宋体" w:hAnsi="宋体" w:eastAsia="宋体" w:cs="宋体"/>
          <w:b/>
          <w:bCs/>
          <w:color w:val="000000"/>
          <w:sz w:val="24"/>
          <w:szCs w:val="21"/>
          <w:lang w:val="zh-TW" w:eastAsia="zh-CN"/>
        </w:rPr>
        <w:t>.</w:t>
      </w: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交通信号设施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2道路监控设施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（4）每年重要节假日（“五一”、“十一”等）、大型活动期间，特定巡检、维修、维护、清洁、保养。重大活动现场保障人员参与现场保障。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3电子警察等非现场执法设施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（2）维护点7×24小时正常运行，违法数据的安全存储、备份。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（3）接交警大队通知后在规定工期内能完成指定路口的调整改造任务。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4交通诱导设施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5智能卡口设施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号牌全牌识别准确率白天及晚上均需达到要求。车辆识别应具有车牌识别、车辆类型、车辆颜色识别、车标识别、车辆子品牌等功能，拍头式卡口要求清晰分辨前排司乘人员图像，拍尾式卡口要求完整反映车尾特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.2维护工作备品备件要求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按GA/T 1043—2013《道路交通技术监控设备运行维护规范》6.4条的要求，维护服务实施单位根据实际的维护的工作内容，应备有道路交通技术监控设备的关键零部件、易损易耗件。包括抓拍单元、球机、补光灯、闪光灯、控制主机、硬盘录像机、硬盘、雷达、交换机、光纤收发器、红灯信号检测器、防雷器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w:t>
      </w:r>
      <w:r>
        <w:rPr>
          <w:rFonts w:hint="eastAsia" w:ascii="宋体" w:hAnsi="宋体" w:cs="宋体"/>
          <w:b/>
          <w:bCs/>
          <w:color w:val="000000"/>
          <w:sz w:val="24"/>
          <w:szCs w:val="21"/>
          <w:lang w:val="en-US" w:eastAsia="zh-CN"/>
        </w:rPr>
        <w:t>3</w:t>
      </w:r>
      <w:r>
        <w:rPr>
          <w:rFonts w:hint="eastAsia" w:ascii="宋体" w:hAnsi="宋体" w:eastAsia="宋体" w:cs="宋体"/>
          <w:b/>
          <w:bCs/>
          <w:color w:val="000000"/>
          <w:sz w:val="24"/>
          <w:szCs w:val="21"/>
          <w:lang w:val="zh-TW" w:eastAsia="zh-TW"/>
        </w:rPr>
        <w:t>中心系统维护工作要求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1</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设立7×24小时服务专用电话，做好机房7×24小时值班保障工作。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2</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做好每天一次机房内部温度、湿度、供电等基础设施的巡检工作，并做好登记。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3</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做好机房内部服务器、存储、矩阵、交换机、硬盘录像机、光端机等硬件设备的巡检、故障排除、故障修复工作并做好登记。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4</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做好机房、仓库的管理工作和设备出入登记，并及时更新库存清单。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5</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做好新建（或迁改）智能交通系统机房接入工作，核对工程量清单，完成项目所附设备出入库工作，并做好新建项目的资料归档统计工作。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6</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按要求完成大数据精准协同管控平台等中心系统软件平台维护工作，确保系统平台稳定运行。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7</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按要求完成网络通信系统的日常巡检、故障分析、网络安全事件防范工作，做好网络故障应急抢修和反馈。</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8</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做好各系统数据的安全存储、交互，按要求实时监测、分析数据存储的可靠性，交互的及时性。</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9</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按要求完成信号控制系统的巡检、故障修复工作，协助开展信号控制配时优化工作。配合外场道路施工信号控制系统的优化移位工作。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10</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做好大型会议、活动期间各现场交通信号管控保障、科技设备搭建调试及通讯保障任务。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w:t>
      </w:r>
      <w:r>
        <w:rPr>
          <w:rFonts w:hint="eastAsia" w:ascii="宋体" w:hAnsi="宋体" w:cs="宋体"/>
          <w:b/>
          <w:bCs/>
          <w:color w:val="000000"/>
          <w:sz w:val="24"/>
          <w:szCs w:val="21"/>
          <w:lang w:val="en-US" w:eastAsia="zh-CN"/>
        </w:rPr>
        <w:t>4</w:t>
      </w:r>
      <w:r>
        <w:rPr>
          <w:rFonts w:hint="eastAsia" w:ascii="宋体" w:hAnsi="宋体" w:eastAsia="宋体" w:cs="宋体"/>
          <w:b/>
          <w:bCs/>
          <w:color w:val="000000"/>
          <w:sz w:val="24"/>
          <w:szCs w:val="21"/>
          <w:lang w:val="zh-TW" w:eastAsia="zh-TW"/>
        </w:rPr>
        <w:t>运维流程与职责</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1</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运维工作流程：</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运维工作主要包括设备（软件）故障维护修复和工程抢修两个方面，其中设备（软件）故障维护修复主要来源于三个维度：</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自动检测故障：通过运维系统检测实时在线率、数据传输延时监测，视频完好率、图像质量达标率、卡口过车图片完好率、录像完整率、码流统计、丢包率、服务器在线率、存储节点完好率，中心设备在线率等，自动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人工巡检：人工巡包括在线巡检和现场巡检。在线巡检包括人工视频、图像质量判别，监控画面远程设备巡检，以及网络传输、安全、存储、虚拟化集群、系统软件等进行在线巡检。现场巡检包括对前端信号灯、信号机、电子警察、卡口、道路监控、交通诱导屏、测速仪等，以及中心机房交换机、各类传输设备、服务器、存储、安全设备、UPS、供电设备、线缆等进行现场人工巡查。发现故障后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其他：通过其他渠道上报受理产生的工单，包括市民热线、微信公众号等。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运维单位需要开展工程抢修的，对问题上报、审批、受理、施工维护、问题反馈等进行全面管理：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2</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运维单位根据服务内容编制维护计划，建立设备及维护档案，按照服务内容执行日常巡检、故障抢修等工作，接受实施单位的监督和考核；</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3</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服务期内设备的质保、备件的提供、更换、调试由运维单位负责，根据设备实际使用维护情况，运维单位提出设备报废更新申请，实施单位根据实际情况予以报废更新或提供相应解决方案。因不可抗力造成的设备损坏需更换设备、迁改由实施单位负责；</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4</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实施单位故障通过专人向运维单位专线保障平台或专职客户经理进行申报，运维单位接到报障后区分是否系统故障，系统故障通过故障工单系统下达维护指令。维护人员接到维护指令后因迅速派遣专人在约定时间抵达故障现场处理故障，故障处理完后做好相关记录，并向故障工单系统申请撤障。故障工单系统工作人员接到销障请求后与甲方确认故障是否解决，并全程记录故障处理时间和相关信息；</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5</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运维单位实行定期检查和巡检制度，定时向甲方提供维护周报，实施单位根据周报内容不定期召集维护相关各方，解决维护问题、努力提高正常使用率；</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6</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运维单位指定专人负责甲方故障申报和故障处理，及时向实施单位反馈故障处理进度，并与甲方核对销障，全程记录故障处理情况；实施单位可随时检查运维单位故障处理记录和日常维护台账，并提出整改意见。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二、</w:t>
      </w:r>
      <w:r>
        <w:rPr>
          <w:rFonts w:hint="eastAsia" w:ascii="宋体" w:hAnsi="宋体" w:eastAsia="宋体" w:cs="宋体"/>
          <w:b/>
          <w:bCs/>
          <w:color w:val="000000"/>
          <w:sz w:val="24"/>
          <w:szCs w:val="21"/>
          <w:lang w:val="zh-TW" w:eastAsia="zh-TW"/>
        </w:rPr>
        <w:t>运维标准与考核办法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en-US" w:eastAsia="zh-CN"/>
        </w:rPr>
        <w:t>2.1</w:t>
      </w:r>
      <w:r>
        <w:rPr>
          <w:rFonts w:hint="eastAsia" w:ascii="宋体" w:hAnsi="宋体" w:eastAsia="宋体" w:cs="宋体"/>
          <w:b w:val="0"/>
          <w:bCs w:val="0"/>
          <w:color w:val="000000"/>
          <w:sz w:val="24"/>
          <w:szCs w:val="21"/>
          <w:lang w:val="zh-TW" w:eastAsia="zh-TW"/>
        </w:rPr>
        <w:t>运维标准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（1）运维单位在维护工作实施当中，应符合实施单位的相关要求，为实施单位提供相应的维护工作和技术服务工作。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运维标准：运维单位实行7×24小时专人值班制，提供热线服务电话，接收实施单位故障申告；运维单位在接到故障通知后，15分钟内响应，环城路以内45分钟、环城路以外90分钟内到达现场，一般故障24小时内解决；特殊障碍（如不可抗力或严重毁损）一周内完成；因不可抗拒原因发生设备停用情况，可延长至15日，但不得超过15日；实施单位通知停止使用或移位情况除外。故障的开始时间以甲方申告记载并经运维单位记录确认的时间为准，故障消除时间以双方确认的时间为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en-US" w:eastAsia="zh-CN"/>
        </w:rPr>
        <w:t>2.2</w:t>
      </w:r>
      <w:r>
        <w:rPr>
          <w:rFonts w:hint="eastAsia" w:ascii="宋体" w:hAnsi="宋体" w:eastAsia="宋体" w:cs="宋体"/>
          <w:b w:val="0"/>
          <w:bCs w:val="0"/>
          <w:color w:val="000000"/>
          <w:sz w:val="24"/>
          <w:szCs w:val="21"/>
          <w:lang w:val="zh-TW" w:eastAsia="zh-TW"/>
        </w:rPr>
        <w:t>设备使用率、故障响应等级、不可抗力定义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（1）设备使用率的定义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故障通道在故障修复的规定时间内恢复，该通道当次可使用率为100%；故障通道未在故障修复规定时间内恢复，该通道当次可使用率为0%（使用率24小时按单通道计算，24小时内修复正常，使用率为100%，超过24小时修复的，使用率为0%，因不可抗拒因素（如天气）照成的无法修复故障的情况，不计入修复时间，从因素消除起重新计算故障修复时间）。</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（2）故障响应等级定义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 xml:space="preserve"> 故障响应等级定义表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203"/>
        <w:gridCol w:w="574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特级故障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1、数据中心瘫痪，关键功能模块无法使用；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2、网络核心层故障，平台、存储、服务器不在线；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3、存储系统故障造成的图像数据丢失、无法存储；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4、信号控制系统故障引起的交通瘫痪、拥堵；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5、其他紧急情况，大型活动、重大事件等。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严重故障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1、平台管理系统可使用，但功能模块无法全部实现；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2、网络接入层、汇聚层故障，各子系统数据图像无法上传；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3、机房环境不达标，空调、UPS等故障导致无法运行；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4、前端设备不在线或图片、录像等数据丢失超过24小时；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5、重要路口主干道路、早晚高峰信号灯故障。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1、前端设备不在线或图片、录像等数据丢失；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2、图片、录像等数据质量差、响应时间慢；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3、信号灯故障（除严重故障等级以外的）；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4、其他一般性故障。</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（3）不可抗力定义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2</w:t>
      </w:r>
      <w:r>
        <w:rPr>
          <w:rFonts w:hint="eastAsia" w:ascii="宋体" w:hAnsi="宋体" w:eastAsia="宋体" w:cs="宋体"/>
          <w:b w:val="0"/>
          <w:bCs w:val="0"/>
          <w:color w:val="000000"/>
          <w:sz w:val="24"/>
          <w:szCs w:val="21"/>
          <w:lang w:val="zh-TW" w:eastAsia="zh-TW"/>
        </w:rPr>
        <w:t xml:space="preserve">  不可抗力定义表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84"/>
        <w:gridCol w:w="621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天气原因造成的无法及时维护；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区域网络瘫痪、中断、延时、黑客攻击；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区域电力瘫痪、中断；</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道路施工、拆迁、围挡等城市建设导致的设备或系统故障；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雷电、低温、冻土、干旱、地震、火山爆发、滑坡、水灾、火灾、暴雨、暴雪、海啸、洪水、台风或任何其它自然灾害；</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非本项目中的信息、数据、视频等来源缺失或故障；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政治等不可抗力，即超出可控范围内的重大法律、政策等变更。</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运维考核办法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考核内容包含整体完好率（设备使用率）考核与日常维护工作考核（日常工作考核、系统及平台考核、其他考核）；整体完好率考核以月为周期进行考核，日常维护工作考核以天为周期进行考核，考核结果由实施单位或者运维监理单位提交，并由运维单位确认。</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（2）考核运维服务费用计算办法：在以整体完好率（设备使用率）考核运维服务费用基础上，减除日常维护工作考核工作服务扣除费用，日常维护考核中扣除的费用；整体完好率考核详见表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3</w:t>
      </w:r>
      <w:r>
        <w:rPr>
          <w:rFonts w:hint="eastAsia" w:ascii="宋体" w:hAnsi="宋体" w:eastAsia="宋体" w:cs="宋体"/>
          <w:b w:val="0"/>
          <w:bCs w:val="0"/>
          <w:color w:val="000000"/>
          <w:sz w:val="24"/>
          <w:szCs w:val="21"/>
          <w:lang w:val="zh-TW" w:eastAsia="zh-TW"/>
        </w:rPr>
        <w:t>、日常维护工作考核详见表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4</w:t>
      </w:r>
      <w:r>
        <w:rPr>
          <w:rFonts w:hint="eastAsia" w:ascii="宋体" w:hAnsi="宋体" w:eastAsia="宋体" w:cs="宋体"/>
          <w:b w:val="0"/>
          <w:bCs w:val="0"/>
          <w:color w:val="000000"/>
          <w:sz w:val="24"/>
          <w:szCs w:val="21"/>
          <w:lang w:val="zh-TW" w:eastAsia="zh-TW"/>
        </w:rPr>
        <w:t>、</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5</w:t>
      </w:r>
      <w:r>
        <w:rPr>
          <w:rFonts w:hint="eastAsia" w:ascii="宋体" w:hAnsi="宋体" w:eastAsia="宋体" w:cs="宋体"/>
          <w:b w:val="0"/>
          <w:bCs w:val="0"/>
          <w:color w:val="000000"/>
          <w:sz w:val="24"/>
          <w:szCs w:val="21"/>
          <w:lang w:val="zh-TW" w:eastAsia="zh-TW"/>
        </w:rPr>
        <w:t>、</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6</w:t>
      </w:r>
      <w:r>
        <w:rPr>
          <w:rFonts w:hint="eastAsia" w:ascii="宋体" w:hAnsi="宋体" w:eastAsia="宋体" w:cs="宋体"/>
          <w:b w:val="0"/>
          <w:bCs w:val="0"/>
          <w:color w:val="000000"/>
          <w:sz w:val="24"/>
          <w:szCs w:val="21"/>
          <w:lang w:val="zh-TW" w:eastAsia="zh-TW"/>
        </w:rPr>
        <w:t>：</w:t>
      </w:r>
    </w:p>
    <w:p>
      <w:pPr>
        <w:pStyle w:val="2"/>
        <w:spacing w:line="360" w:lineRule="auto"/>
        <w:ind w:firstLine="480" w:firstLineChars="200"/>
        <w:jc w:val="left"/>
        <w:rPr>
          <w:rFonts w:hint="default" w:eastAsia="宋体"/>
          <w:color w:val="000000"/>
          <w:sz w:val="24"/>
          <w:szCs w:val="24"/>
          <w:lang w:val="en-US" w:eastAsia="zh-CN"/>
        </w:rPr>
      </w:pP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3</w:t>
      </w: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前端</w:t>
      </w:r>
      <w:r>
        <w:rPr>
          <w:rFonts w:hint="eastAsia" w:eastAsia="宋体" w:cs="宋体"/>
          <w:b w:val="0"/>
          <w:bCs w:val="0"/>
          <w:color w:val="000000"/>
          <w:kern w:val="2"/>
          <w:sz w:val="24"/>
          <w:szCs w:val="21"/>
          <w:lang w:val="en-US" w:eastAsia="zh-CN" w:bidi="ar-SA"/>
        </w:rPr>
        <w:t>系统</w:t>
      </w:r>
      <w:r>
        <w:rPr>
          <w:rFonts w:hint="eastAsia" w:ascii="宋体" w:hAnsi="宋体" w:eastAsia="宋体" w:cs="宋体"/>
          <w:b w:val="0"/>
          <w:bCs w:val="0"/>
          <w:color w:val="000000"/>
          <w:kern w:val="2"/>
          <w:sz w:val="24"/>
          <w:szCs w:val="21"/>
          <w:lang w:val="en-US" w:eastAsia="zh-CN" w:bidi="ar-SA"/>
        </w:rPr>
        <w:t>维护考核以中标人各系统投标</w:t>
      </w:r>
      <w:r>
        <w:rPr>
          <w:rFonts w:hint="eastAsia" w:eastAsia="宋体" w:cs="宋体"/>
          <w:b w:val="0"/>
          <w:bCs w:val="0"/>
          <w:color w:val="000000"/>
          <w:kern w:val="2"/>
          <w:sz w:val="24"/>
          <w:szCs w:val="21"/>
          <w:lang w:val="en-US" w:eastAsia="zh-CN" w:bidi="ar-SA"/>
        </w:rPr>
        <w:t>总</w:t>
      </w:r>
      <w:r>
        <w:rPr>
          <w:rFonts w:hint="eastAsia" w:ascii="宋体" w:hAnsi="宋体" w:eastAsia="宋体" w:cs="宋体"/>
          <w:b w:val="0"/>
          <w:bCs w:val="0"/>
          <w:color w:val="000000"/>
          <w:kern w:val="2"/>
          <w:sz w:val="24"/>
          <w:szCs w:val="21"/>
          <w:lang w:val="en-US" w:eastAsia="zh-CN" w:bidi="ar-SA"/>
        </w:rPr>
        <w:t>报价</w:t>
      </w:r>
      <w:r>
        <w:rPr>
          <w:rFonts w:hint="eastAsia" w:eastAsia="宋体" w:cs="宋体"/>
          <w:b w:val="0"/>
          <w:bCs w:val="0"/>
          <w:color w:val="000000"/>
          <w:kern w:val="2"/>
          <w:sz w:val="24"/>
          <w:szCs w:val="21"/>
          <w:lang w:val="en-US" w:eastAsia="zh-CN" w:bidi="ar-SA"/>
        </w:rPr>
        <w:t>除以各系统的通道数，得出</w:t>
      </w:r>
      <w:r>
        <w:rPr>
          <w:rFonts w:hint="eastAsia" w:ascii="宋体" w:hAnsi="宋体" w:eastAsia="宋体" w:cs="宋体"/>
          <w:b w:val="0"/>
          <w:bCs w:val="0"/>
          <w:color w:val="000000"/>
          <w:kern w:val="2"/>
          <w:sz w:val="24"/>
          <w:szCs w:val="21"/>
          <w:lang w:val="en-US" w:eastAsia="zh-CN" w:bidi="ar-SA"/>
        </w:rPr>
        <w:t>平均单通道维护价作为考核基数。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3</w:t>
      </w:r>
      <w:r>
        <w:rPr>
          <w:rFonts w:hint="eastAsia" w:ascii="宋体" w:hAnsi="宋体" w:eastAsia="宋体" w:cs="宋体"/>
          <w:b w:val="0"/>
          <w:bCs w:val="0"/>
          <w:color w:val="000000"/>
          <w:sz w:val="24"/>
          <w:szCs w:val="21"/>
          <w:lang w:val="zh-TW" w:eastAsia="zh-TW"/>
        </w:rPr>
        <w:t xml:space="preserve">  整体完好率考核表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15" w:type="dxa"/>
          <w:left w:w="15" w:type="dxa"/>
          <w:bottom w:w="15" w:type="dxa"/>
          <w:right w:w="15" w:type="dxa"/>
        </w:tblCellMar>
      </w:tblPr>
      <w:tblGrid>
        <w:gridCol w:w="391"/>
        <w:gridCol w:w="1078"/>
        <w:gridCol w:w="5733"/>
        <w:gridCol w:w="284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评分</w:t>
            </w:r>
          </w:p>
        </w:tc>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计分办法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4"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设备正常使用率达到98%以上</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考核比例按100%计算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696"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90-98</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设备正常使用率达到90%-98%</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考核比例按照设备正常使用率百分比计算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不合格</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设备正常使用率达到90%以下</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扣除当月考核服务费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69"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主动发现故障率达到60%（所有维护记录录入系统，百分比根据不同阶段予以调整）</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每低于5%扣1%的考核服务费</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4</w:t>
      </w:r>
      <w:r>
        <w:rPr>
          <w:rFonts w:hint="eastAsia" w:ascii="宋体" w:hAnsi="宋体" w:eastAsia="宋体" w:cs="宋体"/>
          <w:b w:val="0"/>
          <w:bCs w:val="0"/>
          <w:color w:val="000000"/>
          <w:sz w:val="24"/>
          <w:szCs w:val="21"/>
          <w:lang w:val="zh-TW" w:eastAsia="zh-TW"/>
        </w:rPr>
        <w:t>日常工作考核表（单点考核）</w:t>
      </w:r>
    </w:p>
    <w:tbl>
      <w:tblPr>
        <w:tblStyle w:val="51"/>
        <w:tblW w:w="9858"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058"/>
        <w:gridCol w:w="1569"/>
        <w:gridCol w:w="4467"/>
        <w:gridCol w:w="276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86" w:hRule="atLeast"/>
        </w:trPr>
        <w:tc>
          <w:tcPr>
            <w:tcW w:w="1058"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69"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4467"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764"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专人值班</w:t>
            </w:r>
          </w:p>
        </w:tc>
        <w:tc>
          <w:tcPr>
            <w:tcW w:w="4467"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7×24小时（早7点-晚8点为白天模式，晚8点-早7点为夜间模式）</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15分钟以内（夜间原则上只响应严重以上故障，允许补录）</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到达故障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现场时限</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环城路以内45分钟，环城路以外90分钟</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解决时限</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24小时内解决</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762"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室外设备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包括：前端所有设备、树枝修剪、防腐油漆处理、护罩表面清洁、接地电阻的测量、管线、窨井、杆件等，以不影响正常运行为标准，24小时内解决，定期检查外场设备是否符合安全规范及美观要求。</w:t>
            </w:r>
          </w:p>
        </w:tc>
        <w:tc>
          <w:tcPr>
            <w:tcW w:w="276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安全文明</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施工</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现场警示标志、高空作业防护、接电接线规范等</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7</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数据完整</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包括：图片、录像等数据的数量和质量达标率、完整率等</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78"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维护备件</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抓拍单元、球机、补光灯、闪光灯、控制主机、硬盘录像机、硬盘、雷达、交换机、光纤收发器、红灯信号检测器、防雷器等。</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9</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维护人员</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以满足维护工作要求和不少于中标单位投标文件数量配备</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80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10</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维护档案</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完整准确</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维护周报、日志等要求完整、准确、不弄虚作假</w:t>
            </w:r>
          </w:p>
        </w:tc>
        <w:tc>
          <w:tcPr>
            <w:tcW w:w="276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5</w:t>
      </w:r>
      <w:r>
        <w:rPr>
          <w:rFonts w:hint="eastAsia" w:ascii="宋体" w:hAnsi="宋体" w:eastAsia="宋体" w:cs="宋体"/>
          <w:b w:val="0"/>
          <w:bCs w:val="0"/>
          <w:color w:val="000000"/>
          <w:sz w:val="24"/>
          <w:szCs w:val="21"/>
          <w:lang w:val="zh-TW" w:eastAsia="zh-TW"/>
        </w:rPr>
        <w:t xml:space="preserve">  系统及平台考核表</w:t>
      </w:r>
    </w:p>
    <w:tbl>
      <w:tblPr>
        <w:tblStyle w:val="51"/>
        <w:tblW w:w="9838"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058"/>
        <w:gridCol w:w="1568"/>
        <w:gridCol w:w="4438"/>
        <w:gridCol w:w="277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2" w:hRule="atLeast"/>
        </w:trPr>
        <w:tc>
          <w:tcPr>
            <w:tcW w:w="105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6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443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774"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系统运行</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系统正常运行，各功能模块满足甲方使用要求</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服务器</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14"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存储节点</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14"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53"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软件升级</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每3个月对软件进行维护升级</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6</w:t>
      </w:r>
      <w:r>
        <w:rPr>
          <w:rFonts w:hint="eastAsia" w:ascii="宋体" w:hAnsi="宋体" w:eastAsia="宋体" w:cs="宋体"/>
          <w:b w:val="0"/>
          <w:bCs w:val="0"/>
          <w:color w:val="000000"/>
          <w:sz w:val="24"/>
          <w:szCs w:val="21"/>
          <w:lang w:val="zh-TW" w:eastAsia="zh-TW"/>
        </w:rPr>
        <w:t xml:space="preserve">  其他考核表</w:t>
      </w:r>
    </w:p>
    <w:tbl>
      <w:tblPr>
        <w:tblStyle w:val="51"/>
        <w:tblW w:w="8395"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18"/>
        <w:gridCol w:w="1354"/>
        <w:gridCol w:w="3446"/>
        <w:gridCol w:w="297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54"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446" w:type="dxa"/>
            <w:noWrap w:val="0"/>
            <w:vAlign w:val="center"/>
          </w:tcPr>
          <w:p>
            <w:pPr>
              <w:widowControl/>
              <w:spacing w:line="36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考核要求</w:t>
            </w:r>
          </w:p>
        </w:tc>
        <w:tc>
          <w:tcPr>
            <w:tcW w:w="2977"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5"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5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不可抗力预防</w:t>
            </w:r>
          </w:p>
        </w:tc>
        <w:tc>
          <w:tcPr>
            <w:tcW w:w="3446"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维护单位主动发现、采取措施、跟进，并减少因第三方原因造成的损失的（例：道路改造前及时与施工方对接协调，减少施工影响）</w:t>
            </w:r>
          </w:p>
        </w:tc>
        <w:tc>
          <w:tcPr>
            <w:tcW w:w="2977"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根据具体情况酌情加分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5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消极待工</w:t>
            </w:r>
          </w:p>
        </w:tc>
        <w:tc>
          <w:tcPr>
            <w:tcW w:w="3446"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具体内容以甲乙双方及监理方核定</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扣除当</w:t>
            </w:r>
            <w:r>
              <w:rPr>
                <w:rFonts w:hint="eastAsia" w:ascii="宋体" w:hAnsi="宋体" w:eastAsia="宋体" w:cs="宋体"/>
                <w:color w:val="000000"/>
                <w:kern w:val="0"/>
                <w:szCs w:val="21"/>
                <w:lang w:eastAsia="zh-CN"/>
              </w:rPr>
              <w:t>月运维费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35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设备恢复及时率</w:t>
            </w:r>
          </w:p>
        </w:tc>
        <w:tc>
          <w:tcPr>
            <w:tcW w:w="3446"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不可抗力消失后，三天内安排设备恢复</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超过三天扣除当</w:t>
            </w:r>
            <w:r>
              <w:rPr>
                <w:rFonts w:hint="eastAsia" w:ascii="宋体" w:hAnsi="宋体" w:eastAsia="宋体" w:cs="宋体"/>
                <w:color w:val="000000"/>
                <w:kern w:val="0"/>
                <w:szCs w:val="21"/>
                <w:lang w:eastAsia="zh-CN"/>
              </w:rPr>
              <w:t>月运维费</w:t>
            </w:r>
            <w:r>
              <w:rPr>
                <w:rFonts w:hint="eastAsia" w:ascii="宋体" w:hAnsi="宋体" w:eastAsia="宋体" w:cs="宋体"/>
                <w:color w:val="000000"/>
                <w:kern w:val="0"/>
                <w:szCs w:val="21"/>
              </w:rPr>
              <w:t>，超过15天扣除半</w:t>
            </w:r>
            <w:r>
              <w:rPr>
                <w:rFonts w:hint="eastAsia" w:ascii="宋体" w:hAnsi="宋体" w:eastAsia="宋体" w:cs="宋体"/>
                <w:color w:val="000000"/>
                <w:kern w:val="0"/>
                <w:szCs w:val="21"/>
                <w:lang w:eastAsia="zh-CN"/>
              </w:rPr>
              <w:t>年运维费</w:t>
            </w:r>
            <w:r>
              <w:rPr>
                <w:rFonts w:hint="eastAsia" w:ascii="宋体" w:hAnsi="宋体" w:eastAsia="宋体" w:cs="宋体"/>
                <w:color w:val="000000"/>
                <w:kern w:val="0"/>
                <w:szCs w:val="21"/>
              </w:rPr>
              <w:t>，超过一个月扣除当</w:t>
            </w:r>
            <w:r>
              <w:rPr>
                <w:rFonts w:hint="eastAsia" w:ascii="宋体" w:hAnsi="宋体" w:eastAsia="宋体" w:cs="宋体"/>
                <w:color w:val="000000"/>
                <w:kern w:val="0"/>
                <w:szCs w:val="21"/>
                <w:lang w:eastAsia="zh-CN"/>
              </w:rPr>
              <w:t>年运维费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135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人员到岗率</w:t>
            </w:r>
          </w:p>
        </w:tc>
        <w:tc>
          <w:tcPr>
            <w:tcW w:w="3446" w:type="dxa"/>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少于中标单位投标文件数量配备</w:t>
            </w:r>
            <w:r>
              <w:rPr>
                <w:rFonts w:hint="eastAsia" w:ascii="宋体" w:hAnsi="宋体" w:eastAsia="宋体" w:cs="宋体"/>
                <w:color w:val="000000"/>
                <w:kern w:val="0"/>
                <w:szCs w:val="21"/>
                <w:lang w:val="en-US" w:eastAsia="zh-CN"/>
              </w:rPr>
              <w:t>的</w:t>
            </w:r>
          </w:p>
        </w:tc>
        <w:tc>
          <w:tcPr>
            <w:tcW w:w="297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按到岗率计算当月运维服务费（经采购方认可的除外）</w:t>
            </w:r>
          </w:p>
        </w:tc>
      </w:tr>
    </w:tbl>
    <w:p>
      <w:pPr>
        <w:numPr>
          <w:ilvl w:val="0"/>
          <w:numId w:val="6"/>
        </w:numPr>
        <w:spacing w:line="460" w:lineRule="exact"/>
        <w:ind w:firstLine="480" w:firstLineChars="200"/>
        <w:rPr>
          <w:rFonts w:hint="eastAsia" w:ascii="宋体" w:hAnsi="宋体" w:cs="宋体"/>
          <w:b w:val="0"/>
          <w:bCs w:val="0"/>
          <w:color w:val="000000"/>
          <w:kern w:val="2"/>
          <w:sz w:val="24"/>
          <w:szCs w:val="21"/>
          <w:lang w:val="en-US" w:eastAsia="zh-CN" w:bidi="ar-SA"/>
        </w:rPr>
      </w:pPr>
      <w:r>
        <w:rPr>
          <w:rFonts w:hint="eastAsia" w:ascii="宋体" w:hAnsi="宋体" w:eastAsia="宋体" w:cs="宋体"/>
          <w:b w:val="0"/>
          <w:bCs w:val="0"/>
          <w:color w:val="000000"/>
          <w:kern w:val="2"/>
          <w:sz w:val="24"/>
          <w:szCs w:val="21"/>
          <w:lang w:val="en-US" w:eastAsia="zh-CN" w:bidi="ar-SA"/>
        </w:rPr>
        <w:t>前端</w:t>
      </w:r>
      <w:r>
        <w:rPr>
          <w:rFonts w:hint="eastAsia" w:eastAsia="宋体" w:cs="宋体"/>
          <w:b w:val="0"/>
          <w:bCs w:val="0"/>
          <w:color w:val="000000"/>
          <w:kern w:val="2"/>
          <w:sz w:val="24"/>
          <w:szCs w:val="21"/>
          <w:lang w:val="en-US" w:eastAsia="zh-CN" w:bidi="ar-SA"/>
        </w:rPr>
        <w:t>系统</w:t>
      </w:r>
      <w:r>
        <w:rPr>
          <w:rFonts w:hint="eastAsia" w:ascii="宋体" w:hAnsi="宋体" w:eastAsia="宋体" w:cs="宋体"/>
          <w:b w:val="0"/>
          <w:bCs w:val="0"/>
          <w:color w:val="000000"/>
          <w:kern w:val="2"/>
          <w:sz w:val="24"/>
          <w:szCs w:val="21"/>
          <w:lang w:val="en-US" w:eastAsia="zh-CN" w:bidi="ar-SA"/>
        </w:rPr>
        <w:t>维护考核</w:t>
      </w:r>
      <w:r>
        <w:rPr>
          <w:rFonts w:hint="eastAsia" w:ascii="宋体" w:hAnsi="宋体" w:cs="宋体"/>
          <w:b w:val="0"/>
          <w:bCs w:val="0"/>
          <w:color w:val="000000"/>
          <w:kern w:val="2"/>
          <w:sz w:val="24"/>
          <w:szCs w:val="21"/>
          <w:lang w:val="en-US" w:eastAsia="zh-CN" w:bidi="ar-SA"/>
        </w:rPr>
        <w:t>月费用计算表</w:t>
      </w: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739"/>
        <w:gridCol w:w="741"/>
        <w:gridCol w:w="2220"/>
        <w:gridCol w:w="1587"/>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12"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0" w:type="auto"/>
            <w:tcBorders>
              <w:top w:val="single" w:color="000000" w:sz="12"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w:t>
            </w:r>
          </w:p>
        </w:tc>
        <w:tc>
          <w:tcPr>
            <w:tcW w:w="0" w:type="auto"/>
            <w:tcBorders>
              <w:top w:val="single" w:color="000000" w:sz="12"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通道</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0" w:type="auto"/>
            <w:tcBorders>
              <w:top w:val="single" w:color="000000" w:sz="12" w:space="0"/>
              <w:left w:val="nil"/>
              <w:bottom w:val="single" w:color="000000" w:sz="8" w:space="0"/>
              <w:right w:val="single" w:color="000000" w:sz="12"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三年合计维护费（A）</w:t>
            </w:r>
          </w:p>
        </w:tc>
        <w:tc>
          <w:tcPr>
            <w:tcW w:w="0" w:type="auto"/>
            <w:tcBorders>
              <w:top w:val="single" w:color="000000" w:sz="12" w:space="0"/>
              <w:left w:val="nil"/>
              <w:bottom w:val="single" w:color="000000" w:sz="8" w:space="0"/>
              <w:right w:val="single" w:color="000000" w:sz="12"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维护月数（B）</w:t>
            </w:r>
          </w:p>
        </w:tc>
        <w:tc>
          <w:tcPr>
            <w:tcW w:w="0" w:type="auto"/>
            <w:tcBorders>
              <w:top w:val="single" w:color="000000" w:sz="12" w:space="0"/>
              <w:left w:val="nil"/>
              <w:bottom w:val="single" w:color="000000" w:sz="8" w:space="0"/>
              <w:right w:val="single" w:color="000000" w:sz="12"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月考核费用（A/B）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电子警察</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4257</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模拟球机</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数字球机</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1291</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多功能执法</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常规卡口</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1098</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雷达卡口</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6平方交通诱导</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12平方交通诱导</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加油站卡口</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行人闯红灯</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测速仪</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信号机</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625</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信号灯</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15647</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bl>
    <w:p>
      <w:pPr>
        <w:pStyle w:val="27"/>
        <w:bidi w:val="0"/>
        <w:rPr>
          <w:rFonts w:hint="default"/>
          <w:color w:val="000000"/>
          <w:lang w:val="en-US" w:eastAsia="zh-CN"/>
        </w:rPr>
      </w:pPr>
    </w:p>
    <w:p>
      <w:pPr>
        <w:rPr>
          <w:color w:val="000000"/>
        </w:rPr>
      </w:pPr>
      <w:r>
        <w:rPr>
          <w:rFonts w:hint="eastAsia"/>
          <w:color w:val="000000"/>
        </w:rPr>
        <w:t xml:space="preserve">                       </w:t>
      </w:r>
    </w:p>
    <w:p>
      <w:pPr>
        <w:pStyle w:val="5"/>
        <w:numPr>
          <w:ilvl w:val="0"/>
          <w:numId w:val="0"/>
        </w:numPr>
        <w:spacing w:before="0" w:after="0" w:line="440" w:lineRule="exact"/>
        <w:jc w:val="center"/>
        <w:rPr>
          <w:rFonts w:hint="eastAsia" w:ascii="宋体" w:hAnsi="宋体" w:cs="宋体"/>
          <w:bCs w:val="0"/>
          <w:color w:val="000000"/>
          <w:sz w:val="36"/>
          <w:szCs w:val="36"/>
        </w:rPr>
      </w:pPr>
      <w:bookmarkStart w:id="296" w:name="_Toc4232"/>
      <w:bookmarkStart w:id="297" w:name="_Toc235778631"/>
      <w:bookmarkStart w:id="298" w:name="_Toc238878129"/>
      <w:bookmarkStart w:id="299" w:name="_Toc213038698"/>
      <w:bookmarkStart w:id="300" w:name="_Toc187829774"/>
      <w:bookmarkStart w:id="301" w:name="_Toc274303259"/>
      <w:r>
        <w:rPr>
          <w:rFonts w:hint="eastAsia" w:ascii="宋体" w:hAnsi="宋体" w:cs="宋体"/>
          <w:color w:val="000000"/>
          <w:sz w:val="24"/>
          <w:szCs w:val="24"/>
        </w:rPr>
        <w:br w:type="page"/>
      </w:r>
      <w:bookmarkStart w:id="302" w:name="_Toc30606"/>
      <w:bookmarkStart w:id="303" w:name="_Toc21478"/>
      <w:bookmarkStart w:id="304" w:name="_Toc31367"/>
      <w:r>
        <w:rPr>
          <w:rFonts w:hint="eastAsia" w:ascii="宋体" w:hAnsi="宋体" w:cs="宋体"/>
          <w:bCs w:val="0"/>
          <w:color w:val="000000"/>
          <w:sz w:val="36"/>
          <w:szCs w:val="36"/>
        </w:rPr>
        <w:t>第八章  投标文件部分格式</w:t>
      </w:r>
      <w:bookmarkEnd w:id="296"/>
      <w:bookmarkEnd w:id="297"/>
      <w:bookmarkEnd w:id="298"/>
      <w:bookmarkEnd w:id="299"/>
      <w:bookmarkEnd w:id="300"/>
      <w:bookmarkEnd w:id="301"/>
      <w:bookmarkEnd w:id="302"/>
      <w:bookmarkEnd w:id="303"/>
      <w:bookmarkEnd w:id="304"/>
    </w:p>
    <w:p>
      <w:pPr>
        <w:pStyle w:val="35"/>
        <w:spacing w:before="167" w:beforeLines="50" w:after="167" w:afterLines="50" w:line="600" w:lineRule="exact"/>
        <w:rPr>
          <w:rFonts w:hint="eastAsia" w:ascii="宋体" w:hAnsi="宋体" w:cs="宋体"/>
          <w:color w:val="000000"/>
        </w:rPr>
      </w:pPr>
    </w:p>
    <w:p>
      <w:pPr>
        <w:pStyle w:val="35"/>
        <w:spacing w:before="167" w:beforeLines="50" w:after="167"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color w:val="000000"/>
          <w:szCs w:val="21"/>
        </w:rPr>
        <w:t>资格响应文件</w:t>
      </w:r>
      <w:r>
        <w:rPr>
          <w:rFonts w:hint="eastAsia"/>
          <w:color w:val="000000"/>
        </w:rPr>
        <w:t>部分格式</w:t>
      </w:r>
      <w:r>
        <w:rPr>
          <w:rFonts w:hint="eastAsia" w:ascii="宋体" w:hAnsi="宋体" w:cs="宋体"/>
          <w:color w:val="000000"/>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40" w:lineRule="exact"/>
        <w:ind w:firstLine="480" w:firstLineChars="200"/>
        <w:rPr>
          <w:rFonts w:hint="eastAsia"/>
          <w:color w:val="000000"/>
        </w:rPr>
      </w:pP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rPr>
        <w:t>.联合体协议书格式（若投标人为联合体，则须提供)</w:t>
      </w:r>
    </w:p>
    <w:p>
      <w:pPr>
        <w:spacing w:line="440" w:lineRule="exact"/>
        <w:ind w:firstLine="480" w:firstLineChars="200"/>
        <w:rPr>
          <w:rFonts w:ascii="宋体" w:hAnsi="宋体" w:cs="宋体"/>
          <w:color w:val="000000"/>
          <w:sz w:val="24"/>
        </w:rPr>
      </w:pPr>
    </w:p>
    <w:p>
      <w:pPr>
        <w:pStyle w:val="35"/>
        <w:spacing w:before="167" w:beforeLines="50" w:after="167" w:afterLines="50" w:line="600" w:lineRule="exact"/>
        <w:rPr>
          <w:rFonts w:hint="eastAsia" w:ascii="宋体" w:hAnsi="宋体" w:cs="宋体"/>
          <w:color w:val="000000"/>
        </w:rPr>
      </w:pPr>
      <w:r>
        <w:rPr>
          <w:rFonts w:hint="eastAsia" w:ascii="宋体" w:hAnsi="宋体" w:cs="宋体"/>
          <w:color w:val="000000"/>
        </w:rPr>
        <w:t>二、商务技术响应文件部分格式：</w:t>
      </w:r>
    </w:p>
    <w:p>
      <w:pPr>
        <w:spacing w:line="440" w:lineRule="exact"/>
        <w:rPr>
          <w:rFonts w:hint="eastAsia" w:ascii="宋体" w:hAnsi="宋体" w:cs="宋体"/>
          <w:color w:val="000000"/>
          <w:sz w:val="24"/>
        </w:rPr>
      </w:pPr>
      <w:r>
        <w:rPr>
          <w:rFonts w:hint="eastAsia" w:ascii="宋体" w:hAnsi="宋体" w:cs="宋体"/>
          <w:color w:val="000000"/>
        </w:rPr>
        <w:t xml:space="preserve">    </w:t>
      </w:r>
      <w:r>
        <w:rPr>
          <w:rFonts w:hint="eastAsia" w:ascii="宋体" w:hAnsi="宋体" w:cs="宋体"/>
          <w:color w:val="000000"/>
          <w:sz w:val="24"/>
        </w:rPr>
        <w:t xml:space="preserve"> 1.投标文件封面格式</w:t>
      </w:r>
    </w:p>
    <w:p>
      <w:pPr>
        <w:spacing w:line="440" w:lineRule="exact"/>
        <w:ind w:left="488"/>
        <w:rPr>
          <w:rFonts w:hint="eastAsia" w:ascii="宋体" w:hAnsi="宋体" w:cs="宋体"/>
          <w:color w:val="000000"/>
          <w:sz w:val="24"/>
        </w:rPr>
      </w:pPr>
      <w:r>
        <w:rPr>
          <w:rFonts w:hint="eastAsia" w:ascii="宋体" w:hAnsi="宋体" w:cs="宋体"/>
          <w:color w:val="000000"/>
          <w:sz w:val="24"/>
        </w:rPr>
        <w:t>2.关于资格的声明函格式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3.法定代表人说明书格式</w:t>
      </w:r>
    </w:p>
    <w:p>
      <w:pPr>
        <w:spacing w:line="440" w:lineRule="exact"/>
        <w:ind w:left="488"/>
        <w:rPr>
          <w:rFonts w:hint="eastAsia" w:ascii="宋体" w:hAnsi="宋体" w:cs="宋体"/>
          <w:color w:val="000000"/>
          <w:sz w:val="24"/>
        </w:rPr>
      </w:pPr>
      <w:r>
        <w:rPr>
          <w:rFonts w:hint="eastAsia" w:ascii="宋体" w:hAnsi="宋体" w:cs="宋体"/>
          <w:color w:val="000000"/>
          <w:sz w:val="24"/>
        </w:rPr>
        <w:t>4.法定代表人授权书格式</w:t>
      </w:r>
    </w:p>
    <w:p>
      <w:pPr>
        <w:spacing w:line="440" w:lineRule="exact"/>
        <w:ind w:left="488"/>
        <w:rPr>
          <w:rFonts w:hint="eastAsia"/>
          <w:color w:val="000000"/>
        </w:rPr>
      </w:pPr>
      <w:r>
        <w:rPr>
          <w:rFonts w:hint="eastAsia" w:ascii="Times New Roman" w:hAnsi="Times New Roman" w:eastAsia="宋体" w:cs="Times New Roman"/>
          <w:color w:val="000000"/>
          <w:sz w:val="24"/>
          <w:lang w:val="en-US" w:eastAsia="zh-CN"/>
        </w:rPr>
        <w:t>5.</w:t>
      </w:r>
      <w:r>
        <w:rPr>
          <w:rFonts w:hint="eastAsia" w:ascii="Times New Roman" w:hAnsi="Times New Roman" w:eastAsia="宋体" w:cs="Times New Roman"/>
          <w:color w:val="000000"/>
          <w:sz w:val="24"/>
        </w:rPr>
        <w:t>联合体牵头人授权委托书（若投标人为联合体，则须提供)</w:t>
      </w:r>
    </w:p>
    <w:p>
      <w:pPr>
        <w:spacing w:line="440" w:lineRule="exact"/>
        <w:ind w:left="488"/>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.服务质量承诺书格式</w:t>
      </w:r>
    </w:p>
    <w:p>
      <w:pPr>
        <w:spacing w:line="440" w:lineRule="exact"/>
        <w:ind w:left="488"/>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w:t>
      </w:r>
      <w:r>
        <w:rPr>
          <w:rFonts w:hint="eastAsia" w:ascii="宋体" w:hAnsi="宋体" w:cs="宋体"/>
          <w:color w:val="000000"/>
          <w:sz w:val="24"/>
          <w:lang w:val="zh-CN"/>
        </w:rPr>
        <w:t>拟投入本项目维</w:t>
      </w:r>
      <w:r>
        <w:rPr>
          <w:rFonts w:hint="eastAsia" w:ascii="宋体" w:hAnsi="宋体" w:cs="宋体"/>
          <w:color w:val="000000"/>
          <w:sz w:val="24"/>
          <w:lang w:val="en-US" w:eastAsia="zh-CN"/>
        </w:rPr>
        <w:t>护</w:t>
      </w:r>
      <w:r>
        <w:rPr>
          <w:rFonts w:hint="eastAsia" w:ascii="宋体" w:hAnsi="宋体" w:cs="宋体"/>
          <w:color w:val="000000"/>
          <w:sz w:val="24"/>
          <w:lang w:val="zh-CN"/>
        </w:rPr>
        <w:t>人员名单</w:t>
      </w:r>
      <w:r>
        <w:rPr>
          <w:rFonts w:hint="eastAsia" w:ascii="宋体" w:hAnsi="宋体" w:cs="宋体"/>
          <w:color w:val="000000"/>
          <w:sz w:val="24"/>
        </w:rPr>
        <w:t>格式</w:t>
      </w:r>
    </w:p>
    <w:p>
      <w:pPr>
        <w:spacing w:line="440" w:lineRule="exact"/>
        <w:ind w:left="488"/>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.义乌市政府采购项目投标承诺书格式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w:t>
      </w:r>
    </w:p>
    <w:p>
      <w:pPr>
        <w:pStyle w:val="35"/>
        <w:spacing w:before="167" w:beforeLines="50" w:after="167" w:afterLines="50" w:line="600" w:lineRule="exact"/>
        <w:rPr>
          <w:rFonts w:hint="eastAsia" w:ascii="宋体" w:hAnsi="宋体" w:cs="宋体"/>
          <w:color w:val="000000"/>
        </w:rPr>
      </w:pPr>
      <w:r>
        <w:rPr>
          <w:rFonts w:hint="eastAsia" w:ascii="宋体" w:hAnsi="宋体" w:cs="宋体"/>
          <w:color w:val="000000"/>
        </w:rPr>
        <w:t>三、报价响应文件部分格式：</w:t>
      </w:r>
    </w:p>
    <w:p>
      <w:pPr>
        <w:tabs>
          <w:tab w:val="left" w:pos="1050"/>
        </w:tabs>
        <w:spacing w:line="520" w:lineRule="exact"/>
        <w:ind w:left="52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b/>
          <w:color w:val="000000"/>
          <w:kern w:val="0"/>
          <w:sz w:val="24"/>
        </w:rPr>
        <w:t>.</w:t>
      </w:r>
      <w:r>
        <w:rPr>
          <w:rFonts w:hint="eastAsia" w:ascii="宋体" w:hAnsi="宋体" w:cs="宋体"/>
          <w:color w:val="000000"/>
          <w:sz w:val="24"/>
        </w:rPr>
        <w:t>投标函格式</w:t>
      </w:r>
    </w:p>
    <w:p>
      <w:pPr>
        <w:tabs>
          <w:tab w:val="left" w:pos="1080"/>
        </w:tabs>
        <w:spacing w:line="520" w:lineRule="exact"/>
        <w:ind w:left="52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color w:val="000000"/>
          <w:kern w:val="0"/>
          <w:sz w:val="24"/>
        </w:rPr>
        <w:t>.</w:t>
      </w:r>
      <w:r>
        <w:rPr>
          <w:rFonts w:hint="eastAsia" w:ascii="宋体" w:hAnsi="宋体" w:cs="宋体"/>
          <w:color w:val="000000"/>
          <w:sz w:val="24"/>
        </w:rPr>
        <w:t>报价一览表格式</w:t>
      </w:r>
    </w:p>
    <w:p>
      <w:pPr>
        <w:tabs>
          <w:tab w:val="left" w:pos="1080"/>
        </w:tabs>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 xml:space="preserve">.中小企业声明函格式 </w:t>
      </w:r>
    </w:p>
    <w:p>
      <w:pPr>
        <w:tabs>
          <w:tab w:val="left" w:pos="1080"/>
        </w:tabs>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.残疾人福利企业声明函格式</w:t>
      </w:r>
    </w:p>
    <w:p>
      <w:pPr>
        <w:tabs>
          <w:tab w:val="left" w:pos="1080"/>
        </w:tabs>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.监狱企业声明函格式</w:t>
      </w:r>
    </w:p>
    <w:p>
      <w:pPr>
        <w:rPr>
          <w:rFonts w:hint="eastAsia" w:ascii="宋体" w:hAnsi="宋体" w:cs="宋体"/>
          <w:color w:val="000000"/>
          <w:sz w:val="30"/>
        </w:rPr>
      </w:pPr>
    </w:p>
    <w:p>
      <w:pPr>
        <w:rPr>
          <w:rFonts w:hint="eastAsia" w:ascii="宋体" w:hAnsi="宋体" w:cs="宋体"/>
          <w:color w:val="000000"/>
          <w:sz w:val="30"/>
        </w:rPr>
      </w:pPr>
    </w:p>
    <w:p>
      <w:pPr>
        <w:rPr>
          <w:rFonts w:hint="eastAsia" w:ascii="宋体" w:hAnsi="宋体" w:cs="宋体"/>
          <w:color w:val="000000"/>
          <w:sz w:val="24"/>
        </w:rPr>
      </w:pPr>
      <w:r>
        <w:rPr>
          <w:rFonts w:hint="eastAsia" w:ascii="宋体" w:hAnsi="宋体" w:cs="宋体"/>
          <w:b/>
          <w:color w:val="000000"/>
          <w:sz w:val="24"/>
        </w:rPr>
        <w:t>备注：具体的投标文件组成详见投标须知第12条，未提供格式的自行制作。</w:t>
      </w: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color w:val="000000"/>
          <w:sz w:val="52"/>
          <w:u w:val="single"/>
        </w:rPr>
      </w:pPr>
      <w:r>
        <w:rPr>
          <w:rFonts w:hint="eastAsia" w:ascii="宋体" w:hAnsi="宋体" w:cs="宋体"/>
          <w:b/>
          <w:bCs/>
          <w:color w:val="000000"/>
          <w:sz w:val="28"/>
        </w:rPr>
        <w:t>封面格式</w:t>
      </w:r>
    </w:p>
    <w:p>
      <w:pPr>
        <w:jc w:val="center"/>
        <w:rPr>
          <w:rFonts w:hint="eastAsia" w:ascii="宋体" w:hAnsi="宋体" w:cs="宋体"/>
          <w:b/>
          <w:color w:val="000000"/>
          <w:sz w:val="30"/>
          <w:szCs w:val="30"/>
        </w:rPr>
      </w:pPr>
      <w:r>
        <w:rPr>
          <w:rFonts w:hint="eastAsia" w:ascii="宋体" w:hAnsi="宋体" w:cs="宋体"/>
          <w:b/>
          <w:color w:val="000000"/>
          <w:sz w:val="30"/>
          <w:szCs w:val="30"/>
        </w:rPr>
        <w:t xml:space="preserve"> </w:t>
      </w:r>
    </w:p>
    <w:p>
      <w:pPr>
        <w:pStyle w:val="96"/>
        <w:ind w:firstLine="495"/>
        <w:rPr>
          <w:rFonts w:hint="eastAsia" w:ascii="宋体" w:hAnsi="宋体" w:cs="宋体"/>
          <w:color w:val="000000"/>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 标文件</w:t>
      </w:r>
    </w:p>
    <w:p>
      <w:pPr>
        <w:jc w:val="center"/>
        <w:rPr>
          <w:rFonts w:hint="eastAsia" w:ascii="宋体" w:hAnsi="宋体" w:cs="宋体"/>
          <w:b/>
          <w:bCs/>
          <w:color w:val="000000"/>
          <w:sz w:val="28"/>
        </w:rPr>
      </w:pPr>
    </w:p>
    <w:p>
      <w:pPr>
        <w:tabs>
          <w:tab w:val="left" w:pos="5320"/>
        </w:tabs>
        <w:ind w:firstLine="2520" w:firstLineChars="700"/>
        <w:rPr>
          <w:rFonts w:hint="eastAsia" w:ascii="宋体" w:hAnsi="宋体" w:cs="宋体"/>
          <w:color w:val="000000"/>
          <w:sz w:val="36"/>
        </w:rPr>
      </w:pPr>
      <w:r>
        <w:rPr>
          <w:rFonts w:hint="eastAsia" w:ascii="宋体" w:hAnsi="宋体" w:cs="宋体"/>
          <w:color w:val="000000"/>
          <w:sz w:val="36"/>
        </w:rPr>
        <w:t>采购编号：</w:t>
      </w:r>
      <w:r>
        <w:rPr>
          <w:rFonts w:hint="eastAsia" w:ascii="宋体" w:hAnsi="宋体" w:cs="宋体"/>
          <w:color w:val="000000"/>
          <w:sz w:val="36"/>
          <w:u w:val="single"/>
        </w:rPr>
        <w:t xml:space="preserve">            </w:t>
      </w:r>
    </w:p>
    <w:p>
      <w:pPr>
        <w:jc w:val="center"/>
        <w:rPr>
          <w:rFonts w:hint="eastAsia" w:ascii="宋体" w:hAnsi="宋体" w:cs="宋体"/>
          <w:b/>
          <w:bCs/>
          <w:color w:val="000000"/>
          <w:sz w:val="28"/>
        </w:rPr>
      </w:pPr>
    </w:p>
    <w:p>
      <w:pP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ind w:firstLine="320" w:firstLineChars="100"/>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ind w:firstLine="313" w:firstLineChars="98"/>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ind w:left="-4" w:leftChars="-2" w:firstLine="320" w:firstLineChars="100"/>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 xml:space="preserve"> 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rPr>
          <w:rFonts w:hint="eastAsia" w:ascii="宋体" w:hAnsi="宋体" w:cs="宋体"/>
          <w:color w:val="000000"/>
        </w:rPr>
      </w:pPr>
    </w:p>
    <w:p>
      <w:pPr>
        <w:jc w:val="center"/>
        <w:rPr>
          <w:rFonts w:hint="eastAsia" w:ascii="宋体" w:hAnsi="宋体" w:cs="宋体"/>
          <w:b/>
          <w:bCs/>
          <w:color w:val="000000"/>
          <w:sz w:val="36"/>
        </w:rPr>
      </w:pPr>
    </w:p>
    <w:p>
      <w:pPr>
        <w:pStyle w:val="2"/>
        <w:rPr>
          <w:rFonts w:hint="eastAsia" w:ascii="宋体" w:hAnsi="宋体" w:cs="宋体"/>
          <w:b w:val="0"/>
          <w:bCs w:val="0"/>
          <w:color w:val="000000"/>
          <w:sz w:val="36"/>
        </w:rPr>
      </w:pPr>
    </w:p>
    <w:p>
      <w:pPr>
        <w:pStyle w:val="3"/>
        <w:rPr>
          <w:rFonts w:hint="eastAsia" w:ascii="宋体" w:hAnsi="宋体" w:cs="宋体"/>
          <w:b w:val="0"/>
          <w:bCs w:val="0"/>
          <w:color w:val="000000"/>
          <w:sz w:val="36"/>
        </w:rPr>
      </w:pPr>
    </w:p>
    <w:p>
      <w:pPr>
        <w:pStyle w:val="4"/>
        <w:rPr>
          <w:rFonts w:hint="eastAsia" w:ascii="宋体" w:hAnsi="宋体" w:cs="宋体"/>
          <w:b/>
          <w:bCs/>
          <w:color w:val="000000"/>
          <w:sz w:val="36"/>
        </w:rPr>
      </w:pPr>
    </w:p>
    <w:p>
      <w:pPr>
        <w:pStyle w:val="4"/>
        <w:rPr>
          <w:rFonts w:hint="eastAsia" w:ascii="宋体" w:hAnsi="宋体" w:cs="宋体"/>
          <w:b/>
          <w:bCs/>
          <w:color w:val="000000"/>
          <w:sz w:val="36"/>
        </w:rPr>
      </w:pPr>
    </w:p>
    <w:p>
      <w:pPr>
        <w:pStyle w:val="4"/>
        <w:rPr>
          <w:rFonts w:hint="eastAsia" w:ascii="宋体" w:hAnsi="宋体" w:cs="宋体"/>
          <w:b/>
          <w:bCs/>
          <w:color w:val="000000"/>
          <w:sz w:val="36"/>
        </w:rPr>
      </w:pPr>
    </w:p>
    <w:p>
      <w:pPr>
        <w:jc w:val="center"/>
        <w:rPr>
          <w:rFonts w:hint="eastAsia" w:ascii="宋体" w:cs="宋体"/>
          <w:b/>
          <w:bCs/>
          <w:color w:val="000000"/>
          <w:spacing w:val="0"/>
          <w:w w:val="100"/>
          <w:position w:val="0"/>
          <w:sz w:val="36"/>
          <w:szCs w:val="36"/>
        </w:rPr>
      </w:pPr>
    </w:p>
    <w:p>
      <w:pPr>
        <w:pStyle w:val="2"/>
        <w:spacing w:line="400" w:lineRule="exact"/>
        <w:rPr>
          <w:rFonts w:ascii="Times New Roman" w:hAnsi="Times New Roman"/>
          <w:color w:val="000000"/>
          <w:sz w:val="36"/>
          <w:szCs w:val="36"/>
        </w:rPr>
      </w:pPr>
      <w:r>
        <w:rPr>
          <w:rFonts w:ascii="Times New Roman" w:hAnsi="Times New Roman"/>
          <w:color w:val="000000"/>
          <w:sz w:val="36"/>
          <w:szCs w:val="36"/>
        </w:rPr>
        <w:t>联合体协议书</w:t>
      </w:r>
      <w:r>
        <w:rPr>
          <w:rFonts w:hint="eastAsia" w:cs="宋体"/>
          <w:color w:val="000000"/>
          <w:sz w:val="36"/>
          <w:szCs w:val="36"/>
        </w:rPr>
        <w:t>（格式）</w:t>
      </w:r>
    </w:p>
    <w:p>
      <w:pPr>
        <w:spacing w:line="480" w:lineRule="auto"/>
        <w:jc w:val="center"/>
        <w:rPr>
          <w:rFonts w:hint="eastAsia" w:ascii="宋体" w:hAnsi="宋体" w:cs="宋体"/>
          <w:b/>
          <w:color w:val="000000"/>
          <w:sz w:val="24"/>
        </w:rPr>
      </w:pPr>
      <w:r>
        <w:rPr>
          <w:rFonts w:hint="eastAsia" w:ascii="宋体" w:hAnsi="宋体"/>
          <w:color w:val="000000"/>
          <w:sz w:val="24"/>
        </w:rPr>
        <w:t>（适用于联合体投标）</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牵头人名称：</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法定代表人：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法定住所：</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成员二名称：</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法定代表人：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法定住所：</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鉴于上述各成员单位经过友好协商，自愿组成 </w:t>
      </w:r>
      <w:r>
        <w:rPr>
          <w:rFonts w:hint="eastAsia" w:ascii="宋体" w:hAnsi="宋体" w:cs="宋体"/>
          <w:color w:val="000000"/>
          <w:szCs w:val="21"/>
          <w:u w:val="single"/>
        </w:rPr>
        <w:t xml:space="preserve">             </w:t>
      </w:r>
      <w:r>
        <w:rPr>
          <w:rFonts w:hint="eastAsia" w:ascii="宋体" w:hAnsi="宋体" w:cs="宋体"/>
          <w:color w:val="000000"/>
          <w:szCs w:val="21"/>
        </w:rPr>
        <w:t>（联合体名称）联合体，共同参加</w:t>
      </w:r>
      <w:r>
        <w:rPr>
          <w:rFonts w:hint="eastAsia" w:ascii="宋体" w:hAnsi="宋体" w:cs="宋体"/>
          <w:color w:val="000000"/>
          <w:szCs w:val="21"/>
          <w:u w:val="single"/>
        </w:rPr>
        <w:t xml:space="preserve">                              </w:t>
      </w:r>
      <w:r>
        <w:rPr>
          <w:rFonts w:hint="eastAsia" w:ascii="宋体" w:hAnsi="宋体" w:cs="宋体"/>
          <w:color w:val="000000"/>
          <w:szCs w:val="21"/>
        </w:rPr>
        <w:t>（采购人名称）（以下简称采购人）</w:t>
      </w:r>
      <w:r>
        <w:rPr>
          <w:rFonts w:hint="eastAsia" w:ascii="宋体" w:hAnsi="宋体" w:cs="宋体"/>
          <w:color w:val="000000"/>
          <w:szCs w:val="21"/>
          <w:u w:val="single"/>
        </w:rPr>
        <w:t xml:space="preserve">                </w:t>
      </w:r>
      <w:r>
        <w:rPr>
          <w:rFonts w:hint="eastAsia" w:ascii="宋体" w:hAnsi="宋体" w:cs="宋体"/>
          <w:color w:val="000000"/>
          <w:szCs w:val="21"/>
        </w:rPr>
        <w:t>（项目名称）（以下简称本项目）的投标并争取赢得本项目承包合同（以下简称合同）。现就联合体投标事宜订立如下协议：</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 xml:space="preserve">               </w:t>
      </w:r>
      <w:r>
        <w:rPr>
          <w:rFonts w:hint="eastAsia" w:ascii="宋体" w:hAnsi="宋体" w:cs="宋体"/>
          <w:color w:val="000000"/>
          <w:szCs w:val="21"/>
        </w:rPr>
        <w:t xml:space="preserve">（某成员单位名称）为 </w:t>
      </w:r>
      <w:r>
        <w:rPr>
          <w:rFonts w:hint="eastAsia" w:ascii="宋体" w:hAnsi="宋体" w:cs="宋体"/>
          <w:color w:val="000000"/>
          <w:szCs w:val="21"/>
          <w:u w:val="single"/>
        </w:rPr>
        <w:t xml:space="preserve">               </w:t>
      </w:r>
      <w:r>
        <w:rPr>
          <w:rFonts w:hint="eastAsia" w:ascii="宋体" w:hAnsi="宋体" w:cs="宋体"/>
          <w:color w:val="000000"/>
          <w:szCs w:val="21"/>
        </w:rPr>
        <w:t>（联合体名称）牵头人。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在本项目投标阶段，联合体牵头人合法代表联合体各成员负责本项目一切组织、协调工作，授权投标代理人以联合体的名义参加本项目的投标，并代表联合体提交和接收相关的资料、信息及指示，处理与投标和中标有关的一切事务；联合体中标后，联合体牵头人负责合同订立和合同实施阶段的主办、组织和协调工作。</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4．联合体各成员单位内部的职责分工如下：</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按照本条上述分工，联合体成员单位各自所承担的合同工作量比例如下：</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5．投标工作和联合体在中标后工程实施过程中的有关费用按各自承担的工作量分摊。</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6．其他：</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7.联合体中标后，本联合体协议是合同的附件，对联合体各成员单位有合同约束力。</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8．本协议书自签署之日起生效，联合体未中标或者中标时合同履行完毕后自动失效。</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9．本协议书一式 份，联合体成员和采购人各执一份。</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牵头人名称：</w:t>
      </w:r>
      <w:r>
        <w:rPr>
          <w:rFonts w:hint="eastAsia" w:ascii="宋体" w:hAnsi="宋体" w:cs="宋体"/>
          <w:color w:val="000000"/>
          <w:szCs w:val="21"/>
          <w:u w:val="single"/>
        </w:rPr>
        <w:t xml:space="preserve">               </w:t>
      </w:r>
      <w:r>
        <w:rPr>
          <w:rFonts w:hint="eastAsia" w:ascii="宋体" w:hAnsi="宋体" w:cs="宋体"/>
          <w:color w:val="000000"/>
          <w:szCs w:val="21"/>
        </w:rPr>
        <w:t>（单位公章）</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法定代表人： </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成员二名称： </w:t>
      </w:r>
      <w:r>
        <w:rPr>
          <w:rFonts w:hint="eastAsia" w:ascii="宋体" w:hAnsi="宋体" w:cs="宋体"/>
          <w:color w:val="000000"/>
          <w:szCs w:val="21"/>
          <w:u w:val="single"/>
        </w:rPr>
        <w:t xml:space="preserve">               </w:t>
      </w:r>
      <w:r>
        <w:rPr>
          <w:rFonts w:hint="eastAsia" w:ascii="宋体" w:hAnsi="宋体" w:cs="宋体"/>
          <w:color w:val="000000"/>
          <w:szCs w:val="21"/>
        </w:rPr>
        <w:t>（单位公章）</w:t>
      </w:r>
    </w:p>
    <w:p>
      <w:pPr>
        <w:snapToGrid w:val="0"/>
        <w:spacing w:line="420" w:lineRule="exact"/>
        <w:ind w:firstLine="420" w:firstLineChars="200"/>
        <w:rPr>
          <w:rFonts w:hint="eastAsia"/>
          <w:color w:val="000000"/>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 xml:space="preserve"> （签字或盖章）</w:t>
      </w:r>
      <w:r>
        <w:rPr>
          <w:rFonts w:hint="eastAsia" w:ascii="宋体" w:hAnsi="宋体"/>
          <w:color w:val="000000"/>
          <w:szCs w:val="21"/>
        </w:rPr>
        <w:t xml:space="preserve"> （备注：联合体投标时需签订本协议，联合体各方签字盖章。）</w:t>
      </w:r>
    </w:p>
    <w:p>
      <w:pPr>
        <w:jc w:val="center"/>
        <w:rPr>
          <w:rFonts w:hint="eastAsia" w:ascii="宋体" w:cs="宋体"/>
          <w:b/>
          <w:bCs/>
          <w:color w:val="000000"/>
          <w:spacing w:val="0"/>
          <w:w w:val="100"/>
          <w:position w:val="0"/>
          <w:sz w:val="36"/>
          <w:szCs w:val="36"/>
        </w:rPr>
      </w:pPr>
    </w:p>
    <w:p>
      <w:pPr>
        <w:jc w:val="center"/>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2"/>
        <w:rPr>
          <w:rFonts w:hint="eastAsia" w:cs="宋体"/>
          <w:bCs w:val="0"/>
          <w:color w:val="000000"/>
          <w:sz w:val="24"/>
        </w:rPr>
      </w:pPr>
    </w:p>
    <w:p>
      <w:pPr>
        <w:pStyle w:val="2"/>
        <w:jc w:val="both"/>
        <w:rPr>
          <w:rFonts w:hint="eastAsia" w:cs="宋体"/>
          <w:b w:val="0"/>
          <w:bCs w:val="0"/>
          <w:color w:val="000000"/>
          <w:sz w:val="24"/>
          <w:u w:val="single"/>
        </w:rPr>
      </w:pPr>
      <w:r>
        <w:rPr>
          <w:rFonts w:hint="eastAsia" w:cs="宋体"/>
          <w:b w:val="0"/>
          <w:bCs w:val="0"/>
          <w:color w:val="000000"/>
          <w:sz w:val="24"/>
        </w:rPr>
        <w:t>致：（</w:t>
      </w:r>
      <w:r>
        <w:rPr>
          <w:rFonts w:hint="eastAsia" w:cs="宋体"/>
          <w:b w:val="0"/>
          <w:bCs w:val="0"/>
          <w:color w:val="00000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日第</w:t>
      </w:r>
      <w:r>
        <w:rPr>
          <w:rFonts w:hint="eastAsia" w:ascii="宋体" w:hAnsi="宋体" w:cs="宋体"/>
          <w:color w:val="000000"/>
          <w:sz w:val="24"/>
          <w:u w:val="single"/>
        </w:rPr>
        <w:t xml:space="preserve">                </w:t>
      </w:r>
      <w:r>
        <w:rPr>
          <w:rFonts w:hint="eastAsia" w:ascii="宋体" w:hAnsi="宋体" w:cs="宋体"/>
          <w:color w:val="000000"/>
          <w:sz w:val="24"/>
        </w:rPr>
        <w:t>（采购编号）招标公告，本签字人愿意参加投标，按招标文件要求提供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 设备和服务，提交的下列文件和说明是正确和真实的。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（签发单位）签发的我方工商营业执照副本（复印件加盖公章后附该声明函后）一份。</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w:t>
      </w:r>
      <w:r>
        <w:rPr>
          <w:rFonts w:hint="eastAsia" w:ascii="宋体" w:hAnsi="宋体" w:cs="宋体"/>
          <w:color w:val="000000"/>
          <w:sz w:val="24"/>
          <w:u w:val="single"/>
        </w:rPr>
        <w:t xml:space="preserve">                        </w:t>
      </w:r>
      <w:r>
        <w:rPr>
          <w:rFonts w:hint="eastAsia" w:ascii="宋体" w:hAnsi="宋体" w:cs="宋体"/>
          <w:color w:val="000000"/>
          <w:sz w:val="24"/>
        </w:rPr>
        <w:t xml:space="preserve">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w:t>
      </w:r>
      <w:r>
        <w:rPr>
          <w:rFonts w:hint="eastAsia" w:ascii="宋体" w:hAnsi="宋体" w:cs="宋体"/>
          <w:color w:val="000000"/>
          <w:sz w:val="24"/>
          <w:u w:val="single"/>
        </w:rPr>
        <w:t xml:space="preserve">                               </w:t>
      </w:r>
      <w:r>
        <w:rPr>
          <w:rFonts w:hint="eastAsia" w:ascii="宋体" w:hAnsi="宋体" w:cs="宋体"/>
          <w:color w:val="000000"/>
          <w:sz w:val="24"/>
        </w:rPr>
        <w:t xml:space="preserve">    签署日期：</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p>
    <w:p>
      <w:pPr>
        <w:spacing w:line="480" w:lineRule="auto"/>
        <w:jc w:val="center"/>
        <w:rPr>
          <w:rFonts w:hint="eastAsia" w:ascii="宋体" w:hAnsi="宋体" w:cs="宋体"/>
          <w:b/>
          <w:bCs/>
          <w:color w:val="000000"/>
          <w:sz w:val="36"/>
          <w:szCs w:val="36"/>
        </w:rPr>
      </w:pPr>
    </w:p>
    <w:p>
      <w:pPr>
        <w:pStyle w:val="96"/>
        <w:ind w:firstLine="495"/>
        <w:rPr>
          <w:rFonts w:hint="eastAsia" w:ascii="宋体" w:hAnsi="宋体" w:cs="宋体"/>
          <w:color w:val="000000"/>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w:t>
      </w:r>
      <w:r>
        <w:rPr>
          <w:rFonts w:hint="eastAsia" w:ascii="宋体" w:hAnsi="宋体" w:cs="宋体"/>
          <w:color w:val="000000"/>
          <w:sz w:val="24"/>
          <w:lang w:val="en-US" w:eastAsia="zh-CN"/>
        </w:rPr>
        <w:t>说</w:t>
      </w:r>
      <w:r>
        <w:rPr>
          <w:rFonts w:hint="eastAsia" w:ascii="宋体" w:hAnsi="宋体" w:cs="宋体"/>
          <w:color w:val="000000"/>
          <w:sz w:val="24"/>
        </w:rPr>
        <w:t>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投标人（公章）：             </w:t>
      </w:r>
    </w:p>
    <w:p>
      <w:pPr>
        <w:spacing w:line="540" w:lineRule="exact"/>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kern w:val="0"/>
          <w:sz w:val="24"/>
          <w:szCs w:val="20"/>
        </w:rPr>
        <w:t>签字或盖章</w:t>
      </w:r>
      <w:r>
        <w:rPr>
          <w:rFonts w:hint="eastAsia" w:ascii="宋体" w:hAnsi="宋体" w:cs="宋体"/>
          <w:color w:val="000000"/>
          <w:sz w:val="24"/>
        </w:rPr>
        <w:t>：</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日期：    年   月    日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pStyle w:val="2"/>
        <w:rPr>
          <w:rFonts w:hint="eastAsia"/>
          <w:color w:val="000000"/>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hint="eastAsia" w:ascii="宋体" w:hAnsi="宋体" w:cs="宋体"/>
          <w:b/>
          <w:color w:val="000000"/>
          <w:sz w:val="48"/>
        </w:rPr>
      </w:pPr>
    </w:p>
    <w:p>
      <w:pPr>
        <w:spacing w:line="360" w:lineRule="auto"/>
        <w:ind w:firstLine="6000" w:firstLineChars="2500"/>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ind w:firstLine="6000" w:firstLineChars="2500"/>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b/>
          <w:bCs/>
          <w:color w:val="000000"/>
          <w:sz w:val="24"/>
        </w:rPr>
      </w:pPr>
      <w:r>
        <w:rPr>
          <w:rFonts w:hint="eastAsia" w:ascii="宋体" w:hAnsi="宋体" w:cs="宋体"/>
          <w:b/>
          <w:bCs/>
          <w:color w:val="000000"/>
          <w:sz w:val="24"/>
        </w:rPr>
        <w:t>法定代表人身份证复印件：                    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640" w:lineRule="exact"/>
        <w:rPr>
          <w:rFonts w:hint="eastAsia" w:ascii="宋体" w:hAnsi="宋体" w:cs="宋体"/>
          <w:color w:val="000000"/>
          <w:sz w:val="24"/>
        </w:rPr>
      </w:pPr>
      <w:r>
        <w:rPr>
          <w:rFonts w:hint="eastAsia" w:ascii="宋体" w:hAnsi="宋体" w:cs="宋体"/>
          <w:color w:val="000000"/>
          <w:sz w:val="24"/>
        </w:rPr>
        <w:t>投标人（公章）：</w:t>
      </w:r>
    </w:p>
    <w:p>
      <w:pPr>
        <w:spacing w:line="640" w:lineRule="exact"/>
        <w:rPr>
          <w:rFonts w:hint="eastAsia" w:ascii="宋体" w:hAnsi="宋体" w:cs="宋体"/>
          <w:color w:val="000000"/>
          <w:sz w:val="24"/>
          <w:u w:val="single"/>
        </w:rPr>
      </w:pPr>
      <w:r>
        <w:rPr>
          <w:rFonts w:hint="eastAsia" w:ascii="宋体" w:hAnsi="宋体" w:cs="宋体"/>
          <w:color w:val="000000"/>
          <w:sz w:val="24"/>
        </w:rPr>
        <w:t>授权人</w:t>
      </w:r>
      <w:r>
        <w:rPr>
          <w:rFonts w:hint="eastAsia" w:ascii="宋体" w:hAnsi="宋体" w:cs="宋体"/>
          <w:color w:val="000000"/>
          <w:kern w:val="0"/>
          <w:sz w:val="24"/>
          <w:szCs w:val="20"/>
        </w:rPr>
        <w:t>签字或盖章</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 xml:space="preserve">     职        务：</w:t>
      </w:r>
      <w:r>
        <w:rPr>
          <w:rFonts w:hint="eastAsia" w:ascii="宋体" w:hAnsi="宋体" w:cs="宋体"/>
          <w:color w:val="000000"/>
          <w:sz w:val="24"/>
          <w:u w:val="single"/>
        </w:rPr>
        <w:t xml:space="preserve">                </w:t>
      </w:r>
    </w:p>
    <w:p>
      <w:pPr>
        <w:spacing w:line="640" w:lineRule="exact"/>
        <w:rPr>
          <w:rFonts w:hint="eastAsia" w:ascii="宋体" w:hAnsi="宋体" w:cs="宋体"/>
          <w:color w:val="000000"/>
          <w:sz w:val="24"/>
        </w:rPr>
      </w:pPr>
      <w:r>
        <w:rPr>
          <w:rFonts w:hint="eastAsia" w:ascii="宋体" w:hAnsi="宋体" w:cs="宋体"/>
          <w:color w:val="000000"/>
          <w:sz w:val="24"/>
        </w:rPr>
        <w:t>被授权人</w:t>
      </w:r>
      <w:r>
        <w:rPr>
          <w:rFonts w:hint="eastAsia" w:ascii="宋体" w:hAnsi="宋体" w:cs="宋体"/>
          <w:color w:val="000000"/>
          <w:kern w:val="0"/>
          <w:sz w:val="24"/>
          <w:szCs w:val="20"/>
        </w:rPr>
        <w:t>签字或盖章</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b/>
          <w:bCs/>
          <w:color w:val="000000"/>
          <w:sz w:val="24"/>
        </w:rPr>
      </w:pPr>
      <w:r>
        <w:rPr>
          <w:rFonts w:hint="eastAsia" w:ascii="宋体" w:hAnsi="宋体" w:cs="宋体"/>
          <w:b/>
          <w:bCs/>
          <w:color w:val="000000"/>
          <w:sz w:val="24"/>
        </w:rPr>
        <w:t>注：1.投标人法定代表人参加投标的，提供法定代表人</w:t>
      </w:r>
      <w:r>
        <w:rPr>
          <w:rFonts w:hint="eastAsia" w:ascii="宋体" w:hAnsi="宋体" w:cs="宋体"/>
          <w:b/>
          <w:bCs/>
          <w:color w:val="000000"/>
          <w:sz w:val="24"/>
          <w:lang w:val="en-US" w:eastAsia="zh-CN"/>
        </w:rPr>
        <w:t>说</w:t>
      </w:r>
      <w:r>
        <w:rPr>
          <w:rFonts w:hint="eastAsia" w:ascii="宋体" w:hAnsi="宋体" w:cs="宋体"/>
          <w:b/>
          <w:bCs/>
          <w:color w:val="000000"/>
          <w:sz w:val="24"/>
        </w:rPr>
        <w:t>明书和身份说明即可。</w:t>
      </w:r>
    </w:p>
    <w:p>
      <w:pPr>
        <w:numPr>
          <w:ilvl w:val="0"/>
          <w:numId w:val="7"/>
        </w:numPr>
        <w:spacing w:line="480" w:lineRule="auto"/>
        <w:ind w:left="-62" w:leftChars="0" w:firstLine="482" w:firstLineChars="0"/>
        <w:rPr>
          <w:rFonts w:hint="eastAsia" w:ascii="宋体" w:hAnsi="宋体" w:cs="宋体"/>
          <w:b/>
          <w:bCs/>
          <w:color w:val="000000"/>
          <w:sz w:val="24"/>
        </w:rPr>
      </w:pPr>
      <w:r>
        <w:rPr>
          <w:rFonts w:hint="eastAsia" w:ascii="宋体" w:hAnsi="宋体" w:cs="宋体"/>
          <w:b/>
          <w:bCs/>
          <w:color w:val="000000"/>
          <w:sz w:val="24"/>
        </w:rPr>
        <w:t>身份证复印件放不下可以附后。</w:t>
      </w: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联合体牵头人授权委托书（格式）</w:t>
      </w:r>
    </w:p>
    <w:p>
      <w:pPr>
        <w:spacing w:line="480" w:lineRule="auto"/>
        <w:jc w:val="center"/>
        <w:rPr>
          <w:rFonts w:hint="eastAsia" w:ascii="宋体" w:hAnsi="宋体" w:cs="宋体"/>
          <w:b/>
          <w:color w:val="000000"/>
          <w:sz w:val="48"/>
        </w:rPr>
      </w:pPr>
      <w:r>
        <w:rPr>
          <w:rFonts w:hint="eastAsia" w:ascii="宋体" w:hAnsi="宋体"/>
          <w:color w:val="000000"/>
          <w:sz w:val="28"/>
          <w:szCs w:val="28"/>
        </w:rPr>
        <w:t>（适用于联合体投标）</w:t>
      </w:r>
    </w:p>
    <w:p>
      <w:pPr>
        <w:spacing w:line="460" w:lineRule="exact"/>
        <w:jc w:val="center"/>
        <w:rPr>
          <w:b/>
          <w:color w:val="000000"/>
          <w:sz w:val="32"/>
        </w:rPr>
      </w:pPr>
    </w:p>
    <w:p>
      <w:pPr>
        <w:spacing w:line="460" w:lineRule="exact"/>
        <w:rPr>
          <w:color w:val="000000"/>
          <w:sz w:val="24"/>
        </w:rPr>
      </w:pPr>
    </w:p>
    <w:p>
      <w:pPr>
        <w:spacing w:line="460" w:lineRule="exact"/>
        <w:ind w:firstLine="720" w:firstLineChars="300"/>
        <w:rPr>
          <w:color w:val="000000"/>
          <w:sz w:val="24"/>
        </w:rPr>
      </w:pPr>
      <w:r>
        <w:rPr>
          <w:color w:val="000000"/>
          <w:sz w:val="24"/>
        </w:rPr>
        <w:t xml:space="preserve">本授权委托书声明：我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（姓名）系</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（单位名称）的法定代表人，现授权委托</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（联合体牵头人的单位名称）的</w:t>
      </w:r>
      <w:r>
        <w:rPr>
          <w:color w:val="000000"/>
          <w:sz w:val="24"/>
          <w:u w:val="single"/>
        </w:rPr>
        <w:t xml:space="preserve">       </w:t>
      </w:r>
      <w:r>
        <w:rPr>
          <w:rFonts w:hint="eastAsia"/>
          <w:color w:val="000000"/>
          <w:sz w:val="24"/>
          <w:u w:val="single"/>
        </w:rPr>
        <w:t xml:space="preserve">   </w:t>
      </w:r>
      <w:r>
        <w:rPr>
          <w:color w:val="000000"/>
          <w:sz w:val="24"/>
        </w:rPr>
        <w:t>（姓名）为联合体</w:t>
      </w:r>
      <w:r>
        <w:rPr>
          <w:rFonts w:hint="eastAsia"/>
          <w:color w:val="000000"/>
          <w:sz w:val="24"/>
        </w:rPr>
        <w:t>双方</w:t>
      </w:r>
      <w:r>
        <w:rPr>
          <w:color w:val="000000"/>
          <w:sz w:val="24"/>
        </w:rPr>
        <w:t>全权代表，以</w:t>
      </w:r>
      <w:r>
        <w:rPr>
          <w:color w:val="000000"/>
          <w:sz w:val="24"/>
          <w:u w:val="single"/>
        </w:rPr>
        <w:t xml:space="preserve">                                </w:t>
      </w:r>
      <w:r>
        <w:rPr>
          <w:color w:val="000000"/>
          <w:sz w:val="24"/>
        </w:rPr>
        <w:t>（联合体名称：牵头单位全称加成员单位全称）联合体的名义参加</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（采购人）的</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（项目名称）</w:t>
      </w:r>
      <w:r>
        <w:rPr>
          <w:color w:val="000000"/>
          <w:sz w:val="24"/>
        </w:rPr>
        <w:t>的投标活动。全权代表在开标、评标、询标、合同谈判过程中所签署的一切文件和处理与之有关的一切事务，</w:t>
      </w:r>
      <w:r>
        <w:rPr>
          <w:rFonts w:hint="eastAsia"/>
          <w:color w:val="000000"/>
          <w:sz w:val="24"/>
        </w:rPr>
        <w:t>我</w:t>
      </w:r>
      <w:r>
        <w:rPr>
          <w:rFonts w:hint="eastAsia" w:ascii="宋体" w:hAnsi="宋体" w:cs="宋体"/>
          <w:color w:val="000000"/>
          <w:sz w:val="24"/>
        </w:rPr>
        <w:t>方均予以承认并承担法律责任</w:t>
      </w:r>
      <w:r>
        <w:rPr>
          <w:color w:val="000000"/>
          <w:sz w:val="24"/>
        </w:rPr>
        <w:t>。</w:t>
      </w:r>
    </w:p>
    <w:p>
      <w:pPr>
        <w:spacing w:line="460" w:lineRule="exact"/>
        <w:ind w:firstLine="480" w:firstLineChars="200"/>
        <w:rPr>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480" w:lineRule="auto"/>
        <w:rPr>
          <w:color w:val="000000"/>
          <w:sz w:val="24"/>
        </w:rPr>
      </w:pPr>
    </w:p>
    <w:p>
      <w:pPr>
        <w:spacing w:line="480" w:lineRule="auto"/>
        <w:ind w:firstLine="480" w:firstLineChars="200"/>
        <w:rPr>
          <w:color w:val="000000"/>
          <w:sz w:val="24"/>
          <w:u w:val="single"/>
        </w:rPr>
      </w:pPr>
      <w:r>
        <w:rPr>
          <w:rFonts w:hint="eastAsia" w:ascii="宋体" w:hAnsi="宋体" w:cs="宋体"/>
          <w:color w:val="000000"/>
          <w:sz w:val="24"/>
        </w:rPr>
        <w:t>被授权人</w:t>
      </w:r>
      <w:r>
        <w:rPr>
          <w:color w:val="000000"/>
          <w:sz w:val="24"/>
        </w:rPr>
        <w:t>：</w:t>
      </w:r>
      <w:r>
        <w:rPr>
          <w:color w:val="000000"/>
          <w:sz w:val="24"/>
          <w:u w:val="single"/>
        </w:rPr>
        <w:t xml:space="preserve">                   </w:t>
      </w:r>
      <w:r>
        <w:rPr>
          <w:color w:val="000000"/>
          <w:sz w:val="24"/>
        </w:rPr>
        <w:t xml:space="preserve">  性别：</w:t>
      </w:r>
      <w:r>
        <w:rPr>
          <w:color w:val="000000"/>
          <w:sz w:val="24"/>
          <w:u w:val="single"/>
        </w:rPr>
        <w:t xml:space="preserve">          </w:t>
      </w:r>
      <w:r>
        <w:rPr>
          <w:color w:val="000000"/>
          <w:sz w:val="24"/>
        </w:rPr>
        <w:t xml:space="preserve">  年龄：</w:t>
      </w:r>
      <w:r>
        <w:rPr>
          <w:color w:val="000000"/>
          <w:sz w:val="24"/>
          <w:u w:val="single"/>
        </w:rPr>
        <w:t xml:space="preserve">         </w:t>
      </w:r>
    </w:p>
    <w:p>
      <w:pPr>
        <w:spacing w:line="480" w:lineRule="auto"/>
        <w:ind w:firstLine="480" w:firstLineChars="200"/>
        <w:rPr>
          <w:color w:val="000000"/>
          <w:sz w:val="24"/>
        </w:rPr>
      </w:pPr>
      <w:r>
        <w:rPr>
          <w:color w:val="000000"/>
          <w:sz w:val="24"/>
        </w:rPr>
        <w:t>身份证号码：</w:t>
      </w:r>
      <w:r>
        <w:rPr>
          <w:color w:val="000000"/>
          <w:sz w:val="24"/>
          <w:u w:val="single"/>
        </w:rPr>
        <w:t xml:space="preserve">               </w:t>
      </w:r>
    </w:p>
    <w:p>
      <w:pPr>
        <w:spacing w:line="480" w:lineRule="auto"/>
        <w:ind w:firstLine="480" w:firstLineChars="200"/>
        <w:rPr>
          <w:color w:val="000000"/>
          <w:sz w:val="24"/>
        </w:rPr>
      </w:pPr>
      <w:r>
        <w:rPr>
          <w:color w:val="000000"/>
          <w:sz w:val="24"/>
        </w:rPr>
        <w:t>单位：</w:t>
      </w:r>
      <w:r>
        <w:rPr>
          <w:color w:val="000000"/>
          <w:sz w:val="24"/>
          <w:u w:val="single"/>
        </w:rPr>
        <w:t xml:space="preserve">                     </w:t>
      </w:r>
      <w:r>
        <w:rPr>
          <w:color w:val="000000"/>
          <w:sz w:val="24"/>
        </w:rPr>
        <w:t xml:space="preserve">  部门：</w:t>
      </w:r>
      <w:r>
        <w:rPr>
          <w:color w:val="000000"/>
          <w:sz w:val="24"/>
          <w:u w:val="single"/>
        </w:rPr>
        <w:t xml:space="preserve">          </w:t>
      </w:r>
      <w:r>
        <w:rPr>
          <w:color w:val="000000"/>
          <w:sz w:val="24"/>
        </w:rPr>
        <w:t xml:space="preserve">  职务：</w:t>
      </w:r>
      <w:r>
        <w:rPr>
          <w:color w:val="000000"/>
          <w:sz w:val="24"/>
          <w:u w:val="single"/>
        </w:rPr>
        <w:t xml:space="preserve">         </w:t>
      </w:r>
    </w:p>
    <w:p>
      <w:pPr>
        <w:spacing w:line="480" w:lineRule="auto"/>
        <w:ind w:firstLine="480" w:firstLineChars="200"/>
        <w:rPr>
          <w:color w:val="000000"/>
          <w:sz w:val="24"/>
        </w:rPr>
      </w:pPr>
    </w:p>
    <w:p>
      <w:pPr>
        <w:spacing w:line="480" w:lineRule="auto"/>
        <w:ind w:firstLine="480" w:firstLineChars="200"/>
        <w:rPr>
          <w:color w:val="000000"/>
          <w:sz w:val="24"/>
        </w:rPr>
      </w:pPr>
    </w:p>
    <w:p>
      <w:pPr>
        <w:spacing w:line="480" w:lineRule="auto"/>
        <w:ind w:firstLine="480" w:firstLineChars="200"/>
        <w:rPr>
          <w:color w:val="000000"/>
          <w:sz w:val="24"/>
        </w:rPr>
      </w:pPr>
      <w:r>
        <w:rPr>
          <w:color w:val="000000"/>
          <w:sz w:val="24"/>
        </w:rPr>
        <w:t>联合体牵头人（盖</w:t>
      </w:r>
      <w:r>
        <w:rPr>
          <w:rFonts w:hint="eastAsia"/>
          <w:color w:val="000000"/>
          <w:sz w:val="24"/>
        </w:rPr>
        <w:t>单位公</w:t>
      </w:r>
      <w:r>
        <w:rPr>
          <w:color w:val="000000"/>
          <w:sz w:val="24"/>
        </w:rPr>
        <w:t>章）：</w:t>
      </w:r>
    </w:p>
    <w:p>
      <w:pPr>
        <w:spacing w:line="480" w:lineRule="auto"/>
        <w:ind w:firstLine="480" w:firstLineChars="200"/>
        <w:rPr>
          <w:color w:val="000000"/>
          <w:sz w:val="24"/>
        </w:rPr>
      </w:pPr>
      <w:r>
        <w:rPr>
          <w:color w:val="000000"/>
          <w:sz w:val="24"/>
        </w:rPr>
        <w:t>法定代表人（签字</w:t>
      </w:r>
      <w:r>
        <w:rPr>
          <w:rFonts w:hint="eastAsia"/>
          <w:color w:val="000000"/>
          <w:sz w:val="24"/>
        </w:rPr>
        <w:t>或</w:t>
      </w:r>
      <w:r>
        <w:rPr>
          <w:color w:val="000000"/>
          <w:sz w:val="24"/>
        </w:rPr>
        <w:t>盖章）：</w:t>
      </w:r>
    </w:p>
    <w:p>
      <w:pPr>
        <w:spacing w:line="480" w:lineRule="auto"/>
        <w:ind w:firstLine="480" w:firstLineChars="200"/>
        <w:rPr>
          <w:color w:val="000000"/>
          <w:sz w:val="24"/>
        </w:rPr>
      </w:pPr>
      <w:r>
        <w:rPr>
          <w:color w:val="000000"/>
          <w:sz w:val="24"/>
        </w:rPr>
        <w:t>日期：      年    月    日</w:t>
      </w:r>
    </w:p>
    <w:p>
      <w:pPr>
        <w:pStyle w:val="4"/>
        <w:ind w:firstLine="575"/>
        <w:rPr>
          <w:rFonts w:hint="eastAsia"/>
          <w:color w:val="000000"/>
        </w:rPr>
      </w:pPr>
    </w:p>
    <w:p>
      <w:pPr>
        <w:tabs>
          <w:tab w:val="left" w:pos="360"/>
        </w:tabs>
        <w:spacing w:line="360" w:lineRule="auto"/>
        <w:ind w:left="357" w:hanging="357"/>
        <w:jc w:val="center"/>
        <w:rPr>
          <w:rFonts w:hint="eastAsia"/>
          <w:b/>
          <w:bCs/>
          <w:color w:val="000000"/>
          <w:sz w:val="36"/>
        </w:rPr>
      </w:pPr>
    </w:p>
    <w:p>
      <w:pPr>
        <w:tabs>
          <w:tab w:val="left" w:pos="360"/>
        </w:tabs>
        <w:spacing w:line="360" w:lineRule="auto"/>
        <w:ind w:left="357" w:hanging="357"/>
        <w:jc w:val="center"/>
        <w:rPr>
          <w:rFonts w:hint="eastAsia"/>
          <w:b/>
          <w:bCs/>
          <w:color w:val="000000"/>
          <w:sz w:val="36"/>
        </w:rPr>
      </w:pPr>
    </w:p>
    <w:p>
      <w:pPr>
        <w:tabs>
          <w:tab w:val="left" w:pos="360"/>
        </w:tabs>
        <w:spacing w:line="360" w:lineRule="auto"/>
        <w:ind w:left="357" w:hanging="357"/>
        <w:jc w:val="center"/>
        <w:rPr>
          <w:rFonts w:hint="eastAsia"/>
          <w:b/>
          <w:bCs/>
          <w:color w:val="000000"/>
          <w:sz w:val="36"/>
        </w:rPr>
      </w:pPr>
    </w:p>
    <w:p>
      <w:pPr>
        <w:tabs>
          <w:tab w:val="left" w:pos="360"/>
        </w:tabs>
        <w:spacing w:line="360" w:lineRule="auto"/>
        <w:ind w:left="357" w:hanging="357"/>
        <w:jc w:val="center"/>
        <w:rPr>
          <w:b/>
          <w:bCs/>
          <w:color w:val="000000"/>
          <w:sz w:val="36"/>
        </w:rPr>
      </w:pPr>
      <w:r>
        <w:rPr>
          <w:rFonts w:hint="eastAsia"/>
          <w:b/>
          <w:bCs/>
          <w:color w:val="000000"/>
          <w:sz w:val="36"/>
        </w:rPr>
        <w:t>服务质量承诺书格式</w:t>
      </w:r>
    </w:p>
    <w:p>
      <w:pPr>
        <w:tabs>
          <w:tab w:val="left" w:pos="360"/>
        </w:tabs>
        <w:spacing w:line="360" w:lineRule="auto"/>
        <w:ind w:left="357" w:hanging="357"/>
        <w:jc w:val="center"/>
        <w:rPr>
          <w:b/>
          <w:bCs/>
          <w:color w:val="000000"/>
          <w:sz w:val="36"/>
        </w:rPr>
      </w:pPr>
    </w:p>
    <w:p>
      <w:pPr>
        <w:pStyle w:val="27"/>
        <w:spacing w:line="420" w:lineRule="exact"/>
        <w:rPr>
          <w:rFonts w:hAnsi="宋体"/>
          <w:color w:val="000000"/>
          <w:sz w:val="24"/>
        </w:rPr>
      </w:pPr>
      <w:r>
        <w:rPr>
          <w:rFonts w:hint="eastAsia" w:hAnsi="宋体"/>
          <w:color w:val="000000"/>
          <w:sz w:val="24"/>
        </w:rPr>
        <w:t>致：</w:t>
      </w:r>
      <w:r>
        <w:rPr>
          <w:rFonts w:hint="eastAsia" w:hAnsi="宋体"/>
          <w:b/>
          <w:color w:val="000000"/>
          <w:sz w:val="24"/>
          <w:u w:val="single"/>
          <w:lang w:eastAsia="zh-CN"/>
        </w:rPr>
        <w:t>义乌市公安局交通警察大队</w:t>
      </w:r>
      <w:r>
        <w:rPr>
          <w:rFonts w:hint="eastAsia" w:hAnsi="宋体"/>
          <w:b/>
          <w:color w:val="000000"/>
          <w:sz w:val="24"/>
          <w:u w:val="single"/>
        </w:rPr>
        <w:t xml:space="preserve">           </w:t>
      </w:r>
    </w:p>
    <w:p>
      <w:pPr>
        <w:pStyle w:val="27"/>
        <w:spacing w:line="420" w:lineRule="exact"/>
        <w:ind w:firstLine="472" w:firstLineChars="196"/>
        <w:rPr>
          <w:rFonts w:hAnsi="宋体"/>
          <w:b/>
          <w:color w:val="000000"/>
          <w:sz w:val="24"/>
          <w:u w:val="single"/>
        </w:rPr>
      </w:pPr>
      <w:r>
        <w:rPr>
          <w:rFonts w:hint="eastAsia" w:hAnsi="宋体"/>
          <w:b/>
          <w:color w:val="000000"/>
          <w:sz w:val="24"/>
          <w:u w:val="single"/>
        </w:rPr>
        <w:t xml:space="preserve">浙江至诚工程咨询有限责任公司    </w:t>
      </w:r>
    </w:p>
    <w:p>
      <w:pPr>
        <w:tabs>
          <w:tab w:val="left" w:pos="360"/>
        </w:tabs>
        <w:spacing w:line="460" w:lineRule="exact"/>
        <w:ind w:left="359" w:leftChars="171" w:firstLine="105" w:firstLineChars="50"/>
        <w:rPr>
          <w:color w:val="000000"/>
        </w:rPr>
      </w:pPr>
      <w:r>
        <w:rPr>
          <w:rFonts w:hint="eastAsia"/>
          <w:color w:val="000000"/>
        </w:rPr>
        <w:t>根据己收到的</w:t>
      </w:r>
      <w:r>
        <w:rPr>
          <w:rFonts w:hint="eastAsia"/>
          <w:color w:val="000000"/>
          <w:u w:val="single"/>
        </w:rPr>
        <w:t xml:space="preserve">                                    </w:t>
      </w:r>
      <w:r>
        <w:rPr>
          <w:rFonts w:hint="eastAsia"/>
          <w:color w:val="000000"/>
        </w:rPr>
        <w:t>项目招标文件（编号</w:t>
      </w:r>
    </w:p>
    <w:p>
      <w:pPr>
        <w:tabs>
          <w:tab w:val="left" w:pos="360"/>
        </w:tabs>
        <w:spacing w:line="460" w:lineRule="exact"/>
        <w:rPr>
          <w:color w:val="000000"/>
        </w:rPr>
      </w:pPr>
      <w:r>
        <w:rPr>
          <w:rFonts w:hint="eastAsia"/>
          <w:color w:val="000000"/>
        </w:rPr>
        <w:t>为：</w:t>
      </w:r>
      <w:r>
        <w:rPr>
          <w:rFonts w:hint="eastAsia"/>
          <w:color w:val="000000"/>
          <w:u w:val="single"/>
        </w:rPr>
        <w:t xml:space="preserve">                ）</w:t>
      </w:r>
      <w:r>
        <w:rPr>
          <w:rFonts w:hint="eastAsia"/>
          <w:color w:val="000000"/>
        </w:rPr>
        <w:t>，我单位经考察现场和</w:t>
      </w:r>
      <w:r>
        <w:rPr>
          <w:rFonts w:hint="eastAsia"/>
          <w:bCs/>
          <w:color w:val="000000"/>
        </w:rPr>
        <w:t>认真阅读</w:t>
      </w:r>
      <w:r>
        <w:rPr>
          <w:rFonts w:hint="eastAsia"/>
          <w:color w:val="000000"/>
        </w:rPr>
        <w:t>了招标文件的</w:t>
      </w:r>
      <w:r>
        <w:rPr>
          <w:rFonts w:hint="eastAsia"/>
          <w:bCs/>
          <w:color w:val="000000"/>
        </w:rPr>
        <w:t>投标须知、项目要求、报价要求、合同条件、规定格式等招标文件所有的内容</w:t>
      </w:r>
      <w:r>
        <w:rPr>
          <w:rFonts w:hint="eastAsia"/>
          <w:color w:val="000000"/>
        </w:rPr>
        <w:t>，根据国家有关规定并结合本企业的实际情况，决定完全接受招标文件所提出的各项要求，完全遵循招标文件中的各项规定，现向采购人作如下承诺：</w:t>
      </w:r>
    </w:p>
    <w:p>
      <w:pPr>
        <w:tabs>
          <w:tab w:val="left" w:pos="360"/>
        </w:tabs>
        <w:spacing w:line="460" w:lineRule="exact"/>
        <w:rPr>
          <w:color w:val="000000"/>
          <w:u w:val="single"/>
        </w:rPr>
      </w:pPr>
      <w:r>
        <w:rPr>
          <w:rFonts w:hint="eastAsia"/>
          <w:color w:val="000000"/>
        </w:rPr>
        <w:t>1.质量：</w:t>
      </w:r>
      <w:r>
        <w:rPr>
          <w:rFonts w:hint="eastAsia"/>
          <w:color w:val="000000"/>
          <w:u w:val="single"/>
        </w:rPr>
        <w:t xml:space="preserve">                                                                 </w:t>
      </w:r>
    </w:p>
    <w:p>
      <w:pPr>
        <w:tabs>
          <w:tab w:val="left" w:pos="360"/>
        </w:tabs>
        <w:spacing w:line="460" w:lineRule="exact"/>
        <w:rPr>
          <w:rFonts w:hint="eastAsia"/>
          <w:color w:val="000000"/>
        </w:rPr>
      </w:pPr>
      <w:r>
        <w:rPr>
          <w:rFonts w:hint="eastAsia"/>
          <w:color w:val="000000"/>
          <w:u w:val="single"/>
        </w:rPr>
        <w:t xml:space="preserve">                                                                                                                                                         </w:t>
      </w:r>
      <w:r>
        <w:rPr>
          <w:rFonts w:hint="eastAsia"/>
          <w:color w:val="000000"/>
        </w:rPr>
        <w:t>；</w:t>
      </w:r>
    </w:p>
    <w:p>
      <w:pPr>
        <w:tabs>
          <w:tab w:val="left" w:pos="360"/>
        </w:tabs>
        <w:spacing w:line="460" w:lineRule="exact"/>
        <w:rPr>
          <w:color w:val="000000"/>
          <w:u w:val="single"/>
        </w:rPr>
      </w:pPr>
      <w:r>
        <w:rPr>
          <w:rFonts w:hint="eastAsia"/>
          <w:color w:val="000000"/>
        </w:rPr>
        <w:t>2.服务人员等：</w:t>
      </w:r>
      <w:r>
        <w:rPr>
          <w:rFonts w:hint="eastAsia"/>
          <w:color w:val="000000"/>
          <w:u w:val="single"/>
        </w:rPr>
        <w:t xml:space="preserve">                                                           </w:t>
      </w:r>
    </w:p>
    <w:p>
      <w:pPr>
        <w:tabs>
          <w:tab w:val="left" w:pos="360"/>
        </w:tabs>
        <w:spacing w:line="460" w:lineRule="exact"/>
        <w:rPr>
          <w:color w:val="000000"/>
        </w:rPr>
      </w:pPr>
      <w:r>
        <w:rPr>
          <w:rFonts w:hint="eastAsia"/>
          <w:color w:val="000000"/>
          <w:u w:val="single"/>
        </w:rPr>
        <w:t xml:space="preserve">                                                                                                                                                         </w:t>
      </w:r>
      <w:r>
        <w:rPr>
          <w:rFonts w:hint="eastAsia"/>
          <w:color w:val="000000"/>
        </w:rPr>
        <w:t>；</w:t>
      </w:r>
    </w:p>
    <w:p>
      <w:pPr>
        <w:tabs>
          <w:tab w:val="left" w:pos="360"/>
        </w:tabs>
        <w:spacing w:line="460" w:lineRule="exact"/>
        <w:rPr>
          <w:color w:val="000000"/>
          <w:u w:val="single"/>
        </w:rPr>
      </w:pPr>
      <w:r>
        <w:rPr>
          <w:rFonts w:hint="eastAsia"/>
          <w:color w:val="000000"/>
        </w:rPr>
        <w:t xml:space="preserve">3.其他： </w:t>
      </w:r>
      <w:r>
        <w:rPr>
          <w:rFonts w:hint="eastAsia"/>
          <w:color w:val="000000"/>
          <w:u w:val="single"/>
        </w:rPr>
        <w:t xml:space="preserve">                                                                    </w:t>
      </w:r>
    </w:p>
    <w:p>
      <w:pPr>
        <w:tabs>
          <w:tab w:val="left" w:pos="360"/>
        </w:tabs>
        <w:spacing w:line="460" w:lineRule="exact"/>
        <w:rPr>
          <w:color w:val="000000"/>
          <w:u w:val="single"/>
        </w:rPr>
      </w:pPr>
      <w:r>
        <w:rPr>
          <w:rFonts w:hint="eastAsia"/>
          <w:color w:val="000000"/>
          <w:u w:val="single"/>
        </w:rPr>
        <w:t xml:space="preserve">                                                                              </w:t>
      </w:r>
    </w:p>
    <w:p>
      <w:pPr>
        <w:tabs>
          <w:tab w:val="left" w:pos="360"/>
        </w:tabs>
        <w:spacing w:line="460" w:lineRule="exact"/>
        <w:rPr>
          <w:color w:val="000000"/>
        </w:rPr>
      </w:pPr>
      <w:r>
        <w:rPr>
          <w:rFonts w:hint="eastAsia"/>
          <w:color w:val="000000"/>
          <w:u w:val="single"/>
        </w:rPr>
        <w:t xml:space="preserve">                                                                            ；                                                                           </w:t>
      </w:r>
    </w:p>
    <w:p>
      <w:pPr>
        <w:tabs>
          <w:tab w:val="left" w:pos="360"/>
        </w:tabs>
        <w:spacing w:line="460" w:lineRule="atLeast"/>
        <w:rPr>
          <w:bCs/>
          <w:color w:val="000000"/>
          <w:spacing w:val="-6"/>
          <w:szCs w:val="28"/>
        </w:rPr>
      </w:pPr>
    </w:p>
    <w:p>
      <w:pPr>
        <w:tabs>
          <w:tab w:val="left" w:pos="360"/>
        </w:tabs>
        <w:spacing w:line="460" w:lineRule="atLeast"/>
        <w:rPr>
          <w:bCs/>
          <w:color w:val="000000"/>
          <w:spacing w:val="-6"/>
          <w:szCs w:val="28"/>
        </w:rPr>
      </w:pPr>
    </w:p>
    <w:p>
      <w:pPr>
        <w:tabs>
          <w:tab w:val="left" w:pos="360"/>
        </w:tabs>
        <w:spacing w:line="460" w:lineRule="atLeast"/>
        <w:rPr>
          <w:bCs/>
          <w:color w:val="000000"/>
          <w:spacing w:val="-6"/>
          <w:szCs w:val="28"/>
        </w:rPr>
      </w:pPr>
    </w:p>
    <w:p>
      <w:pPr>
        <w:tabs>
          <w:tab w:val="left" w:pos="360"/>
        </w:tabs>
        <w:spacing w:line="600" w:lineRule="exact"/>
        <w:ind w:firstLine="2520" w:firstLineChars="1200"/>
        <w:rPr>
          <w:color w:val="000000"/>
        </w:rPr>
      </w:pPr>
      <w:r>
        <w:rPr>
          <w:rFonts w:hint="eastAsia"/>
          <w:bCs/>
          <w:color w:val="000000"/>
          <w:szCs w:val="28"/>
        </w:rPr>
        <w:t>投标人：（公章）</w:t>
      </w:r>
    </w:p>
    <w:p>
      <w:pPr>
        <w:tabs>
          <w:tab w:val="left" w:pos="360"/>
        </w:tabs>
        <w:spacing w:line="600" w:lineRule="exact"/>
        <w:ind w:firstLine="2310" w:firstLineChars="1100"/>
        <w:rPr>
          <w:color w:val="000000"/>
        </w:rPr>
      </w:pPr>
      <w:r>
        <w:rPr>
          <w:rFonts w:hint="eastAsia"/>
          <w:color w:val="000000"/>
        </w:rPr>
        <w:t>全权代表：（签字或盖章）</w:t>
      </w:r>
    </w:p>
    <w:p>
      <w:pPr>
        <w:tabs>
          <w:tab w:val="left" w:pos="360"/>
        </w:tabs>
        <w:spacing w:line="600" w:lineRule="exact"/>
        <w:rPr>
          <w:color w:val="000000"/>
        </w:rPr>
      </w:pPr>
      <w:r>
        <w:rPr>
          <w:rFonts w:hint="eastAsia"/>
          <w:color w:val="000000"/>
        </w:rPr>
        <w:t xml:space="preserve">                          日期：</w:t>
      </w:r>
    </w:p>
    <w:p>
      <w:pPr>
        <w:tabs>
          <w:tab w:val="left" w:pos="360"/>
        </w:tabs>
        <w:spacing w:line="460" w:lineRule="exact"/>
        <w:rPr>
          <w:color w:val="000000"/>
        </w:rPr>
      </w:pPr>
      <w:r>
        <w:rPr>
          <w:rFonts w:hint="eastAsia"/>
          <w:color w:val="000000"/>
        </w:rPr>
        <w:t>本附件在不改变表式内容的情况下可自行制作。</w:t>
      </w:r>
    </w:p>
    <w:p>
      <w:pPr>
        <w:jc w:val="center"/>
        <w:rPr>
          <w:b/>
          <w:bCs/>
          <w:color w:val="000000"/>
          <w:sz w:val="36"/>
        </w:rPr>
      </w:pPr>
    </w:p>
    <w:p>
      <w:pPr>
        <w:pStyle w:val="96"/>
        <w:ind w:firstLine="495"/>
        <w:rPr>
          <w:rFonts w:ascii="宋体" w:hAnsi="宋体"/>
          <w:color w:val="000000"/>
        </w:rPr>
      </w:pPr>
    </w:p>
    <w:p>
      <w:pPr>
        <w:pStyle w:val="96"/>
        <w:ind w:firstLine="495"/>
        <w:rPr>
          <w:rFonts w:ascii="宋体" w:hAnsi="宋体"/>
          <w:color w:val="000000"/>
        </w:rPr>
      </w:pPr>
    </w:p>
    <w:p>
      <w:pPr>
        <w:rPr>
          <w:b/>
          <w:bCs/>
          <w:color w:val="000000"/>
          <w:sz w:val="36"/>
        </w:rPr>
      </w:pPr>
    </w:p>
    <w:p>
      <w:pPr>
        <w:jc w:val="center"/>
        <w:rPr>
          <w:b/>
          <w:bCs/>
          <w:color w:val="000000"/>
          <w:sz w:val="36"/>
        </w:rPr>
      </w:pPr>
      <w:r>
        <w:rPr>
          <w:rFonts w:hint="eastAsia"/>
          <w:b/>
          <w:bCs/>
          <w:color w:val="000000"/>
          <w:sz w:val="36"/>
          <w:lang w:val="zh-CN"/>
        </w:rPr>
        <w:t>拟投入本项目维</w:t>
      </w:r>
      <w:r>
        <w:rPr>
          <w:rFonts w:hint="eastAsia"/>
          <w:b/>
          <w:bCs/>
          <w:color w:val="000000"/>
          <w:sz w:val="36"/>
          <w:lang w:val="en-US" w:eastAsia="zh-CN"/>
        </w:rPr>
        <w:t>护</w:t>
      </w:r>
      <w:r>
        <w:rPr>
          <w:rFonts w:hint="eastAsia"/>
          <w:b/>
          <w:bCs/>
          <w:color w:val="000000"/>
          <w:sz w:val="36"/>
          <w:lang w:val="zh-CN"/>
        </w:rPr>
        <w:t>人员名单表</w:t>
      </w:r>
      <w:r>
        <w:rPr>
          <w:rFonts w:hint="eastAsia"/>
          <w:b/>
          <w:bCs/>
          <w:color w:val="000000"/>
          <w:sz w:val="36"/>
        </w:rPr>
        <w:t>格式</w:t>
      </w:r>
    </w:p>
    <w:p>
      <w:pPr>
        <w:tabs>
          <w:tab w:val="left" w:pos="360"/>
        </w:tabs>
        <w:spacing w:line="360" w:lineRule="auto"/>
        <w:rPr>
          <w:b/>
          <w:bCs/>
          <w:color w:val="000000"/>
        </w:rPr>
      </w:pPr>
      <w:r>
        <w:rPr>
          <w:rFonts w:hint="eastAsia"/>
          <w:bCs/>
          <w:color w:val="000000"/>
          <w:szCs w:val="28"/>
        </w:rPr>
        <w:t>投标人（公章）：</w:t>
      </w:r>
      <w:r>
        <w:rPr>
          <w:rFonts w:hint="eastAsia"/>
          <w:bCs/>
          <w:color w:val="000000"/>
          <w:szCs w:val="28"/>
          <w:u w:val="singl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r>
              <w:rPr>
                <w:rFonts w:hint="eastAsia"/>
                <w:color w:val="000000"/>
              </w:rPr>
              <w:t>姓名</w:t>
            </w:r>
          </w:p>
        </w:tc>
        <w:tc>
          <w:tcPr>
            <w:tcW w:w="900" w:type="dxa"/>
            <w:noWrap w:val="0"/>
            <w:vAlign w:val="center"/>
          </w:tcPr>
          <w:p>
            <w:pPr>
              <w:tabs>
                <w:tab w:val="left" w:pos="360"/>
              </w:tabs>
              <w:spacing w:line="460" w:lineRule="exact"/>
              <w:jc w:val="center"/>
              <w:rPr>
                <w:color w:val="000000"/>
              </w:rPr>
            </w:pPr>
            <w:r>
              <w:rPr>
                <w:rFonts w:hint="eastAsia"/>
                <w:color w:val="000000"/>
              </w:rPr>
              <w:t>性别</w:t>
            </w:r>
          </w:p>
        </w:tc>
        <w:tc>
          <w:tcPr>
            <w:tcW w:w="1440" w:type="dxa"/>
            <w:noWrap w:val="0"/>
            <w:vAlign w:val="center"/>
          </w:tcPr>
          <w:p>
            <w:pPr>
              <w:tabs>
                <w:tab w:val="left" w:pos="360"/>
              </w:tabs>
              <w:spacing w:line="460" w:lineRule="exact"/>
              <w:jc w:val="center"/>
              <w:rPr>
                <w:color w:val="000000"/>
              </w:rPr>
            </w:pPr>
            <w:r>
              <w:rPr>
                <w:rFonts w:hint="eastAsia"/>
                <w:color w:val="000000"/>
              </w:rPr>
              <w:t>职称</w:t>
            </w:r>
          </w:p>
        </w:tc>
        <w:tc>
          <w:tcPr>
            <w:tcW w:w="1460" w:type="dxa"/>
            <w:noWrap w:val="0"/>
            <w:vAlign w:val="center"/>
          </w:tcPr>
          <w:p>
            <w:pPr>
              <w:tabs>
                <w:tab w:val="left" w:pos="360"/>
              </w:tabs>
              <w:spacing w:line="460" w:lineRule="exact"/>
              <w:jc w:val="center"/>
              <w:rPr>
                <w:color w:val="000000"/>
              </w:rPr>
            </w:pPr>
            <w:r>
              <w:rPr>
                <w:rFonts w:hint="eastAsia"/>
                <w:color w:val="000000"/>
              </w:rPr>
              <w:t>从事岗位</w:t>
            </w:r>
          </w:p>
        </w:tc>
        <w:tc>
          <w:tcPr>
            <w:tcW w:w="2680" w:type="dxa"/>
            <w:noWrap w:val="0"/>
            <w:vAlign w:val="center"/>
          </w:tcPr>
          <w:p>
            <w:pPr>
              <w:tabs>
                <w:tab w:val="left" w:pos="360"/>
              </w:tabs>
              <w:spacing w:line="460" w:lineRule="exact"/>
              <w:jc w:val="center"/>
              <w:rPr>
                <w:color w:val="000000"/>
              </w:rPr>
            </w:pPr>
            <w:r>
              <w:rPr>
                <w:rFonts w:hint="eastAsia"/>
                <w:color w:val="000000"/>
              </w:rPr>
              <w:t>联系电话</w:t>
            </w:r>
          </w:p>
        </w:tc>
        <w:tc>
          <w:tcPr>
            <w:tcW w:w="1542" w:type="dxa"/>
            <w:noWrap w:val="0"/>
            <w:vAlign w:val="center"/>
          </w:tcPr>
          <w:p>
            <w:pPr>
              <w:tabs>
                <w:tab w:val="left" w:pos="360"/>
              </w:tabs>
              <w:jc w:val="center"/>
              <w:rPr>
                <w:color w:val="000000"/>
              </w:rPr>
            </w:pPr>
            <w:r>
              <w:rPr>
                <w:rFonts w:hint="eastAsia"/>
                <w:color w:val="000000"/>
              </w:rPr>
              <w:t>从事</w:t>
            </w:r>
          </w:p>
          <w:p>
            <w:pPr>
              <w:tabs>
                <w:tab w:val="left" w:pos="360"/>
              </w:tabs>
              <w:jc w:val="center"/>
              <w:rPr>
                <w:color w:val="000000"/>
              </w:rPr>
            </w:pPr>
            <w:r>
              <w:rPr>
                <w:rFonts w:hint="eastAsia"/>
                <w:color w:val="000000"/>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bl>
    <w:p>
      <w:pPr>
        <w:tabs>
          <w:tab w:val="left" w:pos="360"/>
        </w:tabs>
        <w:spacing w:line="500" w:lineRule="exact"/>
        <w:rPr>
          <w:color w:val="000000"/>
        </w:rPr>
      </w:pPr>
    </w:p>
    <w:p>
      <w:pPr>
        <w:tabs>
          <w:tab w:val="left" w:pos="360"/>
        </w:tabs>
        <w:spacing w:line="500" w:lineRule="exact"/>
        <w:rPr>
          <w:color w:val="000000"/>
          <w:u w:val="single"/>
        </w:rPr>
      </w:pPr>
      <w:r>
        <w:rPr>
          <w:rFonts w:hint="eastAsia"/>
          <w:color w:val="000000"/>
        </w:rPr>
        <w:t>全权代表签字或盖章：                   职 务：         日 期：</w:t>
      </w:r>
      <w:r>
        <w:rPr>
          <w:rFonts w:hint="eastAsia"/>
          <w:color w:val="000000"/>
          <w:u w:val="single"/>
        </w:rPr>
        <w:t xml:space="preserve">           </w:t>
      </w:r>
    </w:p>
    <w:p>
      <w:pPr>
        <w:tabs>
          <w:tab w:val="left" w:pos="360"/>
        </w:tabs>
        <w:spacing w:line="460" w:lineRule="exact"/>
        <w:rPr>
          <w:color w:val="000000"/>
        </w:rPr>
      </w:pPr>
      <w:r>
        <w:rPr>
          <w:rFonts w:hint="eastAsia"/>
          <w:color w:val="000000"/>
        </w:rPr>
        <w:t>注：1.此表在不改变表式的情况下，可自行制作。</w:t>
      </w:r>
    </w:p>
    <w:p>
      <w:pPr>
        <w:tabs>
          <w:tab w:val="left" w:pos="360"/>
        </w:tabs>
        <w:spacing w:line="460" w:lineRule="exact"/>
        <w:ind w:firstLine="420" w:firstLineChars="200"/>
        <w:rPr>
          <w:color w:val="000000"/>
        </w:rPr>
      </w:pPr>
      <w:r>
        <w:rPr>
          <w:rFonts w:hint="eastAsia"/>
          <w:color w:val="000000"/>
        </w:rPr>
        <w:t>2.有资格、职称人员须附相关职称证书和资格证书复印件（加盖公章）。</w:t>
      </w:r>
    </w:p>
    <w:p>
      <w:pPr>
        <w:tabs>
          <w:tab w:val="left" w:pos="360"/>
        </w:tabs>
        <w:spacing w:line="460" w:lineRule="exact"/>
        <w:rPr>
          <w:color w:val="000000"/>
        </w:rPr>
      </w:pPr>
    </w:p>
    <w:p>
      <w:pPr>
        <w:pStyle w:val="4"/>
        <w:spacing w:line="440" w:lineRule="exact"/>
        <w:ind w:firstLine="0" w:firstLineChars="0"/>
        <w:rPr>
          <w:rFonts w:hint="eastAsia" w:ascii="宋体" w:hAnsi="宋体" w:cs="宋体"/>
          <w:b/>
          <w:bCs/>
          <w:color w:val="000000"/>
          <w:sz w:val="36"/>
          <w:szCs w:val="36"/>
        </w:rPr>
      </w:pPr>
    </w:p>
    <w:p>
      <w:pPr>
        <w:pStyle w:val="27"/>
        <w:spacing w:line="460" w:lineRule="exact"/>
        <w:ind w:left="239" w:leftChars="114" w:firstLine="2088" w:firstLineChars="650"/>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47"/>
        <w:spacing w:before="0" w:beforeAutospacing="0" w:after="0" w:afterAutospacing="0" w:line="39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2、自愿接受义乌市财政局（以下简称财政局）的管理，并严格遵守财政局制定的招投标管理制度、规范和纪律。</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我单位承诺参与本次投标的资格符合《中华人民共和国政府采购法》和《中华人民共和国政府采购法实施条列》的规定，并承诺近三年内，在经营活动中没有重大违法记录。我单位承诺财务状况良好，并已依法按时缴纳税收和社会保障资金。我单位承诺具备履行本项目合同所必需的设备和专业技术能力。</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5、不转让、出借、涂改、伪造资质（资格）证书或者以其他方式允许其他单位（个人）以我单位（本人）名义承接业务。</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6、不与采购人或者其他投标人相互串通投标，围标，不以行贿等不正当手段谋取中标。</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7、在备案、招标、投标、报名、开标、评标、询标、中标、签订合同、合同备案等招投标预备和进行的全过程中提供的资料均真实、有效，不弄虚作假。</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8、我方已详细审核全部招标文件，包括修改文件(如果有的话)，及有关附件，我方同意放弃提出含糊不清或误解的权力。 </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9、我方同意所递交的投标文件在招标期内有效，在此期间内我方有可能中标，我方将受此约束。</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10、我方相信贵方的招标结果是公正、合法的，无论我方中标还是落标，我方将接受这一结果。 </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11、一旦我方中标，我方将严格依照招标文件中的相关规定与采购人签订合同。</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12、不低于企业成本价投标，不恶意过高报价，不扰乱招投标的正常秩序。</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13、严格遵守开标会议纪律，不在开标会场吵闹、滋事，服从工作人员指挥。</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14、按照法律法规和本项目招标文件规定的程序和方式进行异议和投诉，不越级投诉，不无理投诉。如捏造事实、伪造材料或者以非法手段取得</w:t>
      </w:r>
      <w:r>
        <w:rPr>
          <w:rFonts w:hint="eastAsia" w:ascii="宋体" w:hAnsi="宋体" w:cs="宋体"/>
          <w:color w:val="000000"/>
          <w:szCs w:val="21"/>
          <w:lang w:val="en-US" w:eastAsia="zh-CN"/>
        </w:rPr>
        <w:t>说</w:t>
      </w:r>
      <w:r>
        <w:rPr>
          <w:rFonts w:hint="eastAsia" w:ascii="宋体" w:hAnsi="宋体" w:cs="宋体"/>
          <w:color w:val="000000"/>
          <w:szCs w:val="21"/>
        </w:rPr>
        <w:t>明材料进行投诉，给他人造成损失的，依法承担赔偿责任。</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中标资格，采购人可据此将我公司列入政府采购严重违法失信行为记录名单，并承担因此引起的经济损失。如我单位违反上述承诺事项，无条件接受监管部门或相关监管部门作出的任何管理和处理决定，并自愿承担一切不利的后果。</w:t>
      </w:r>
    </w:p>
    <w:p>
      <w:pPr>
        <w:spacing w:before="167" w:beforeLines="50" w:line="390" w:lineRule="exact"/>
        <w:rPr>
          <w:rFonts w:hint="eastAsia" w:ascii="宋体" w:hAnsi="宋体" w:cs="宋体"/>
          <w:color w:val="000000"/>
          <w:szCs w:val="21"/>
        </w:rPr>
      </w:pPr>
      <w:r>
        <w:rPr>
          <w:rFonts w:hint="eastAsia" w:ascii="宋体" w:hAnsi="宋体" w:cs="宋体"/>
          <w:color w:val="000000"/>
          <w:szCs w:val="21"/>
        </w:rPr>
        <w:t>投标人（公章）：        法定代表人或其授权的委托代理人（签字或盖章）：      年  月   日</w:t>
      </w:r>
    </w:p>
    <w:p>
      <w:pPr>
        <w:spacing w:line="440" w:lineRule="exact"/>
        <w:jc w:val="center"/>
        <w:rPr>
          <w:rFonts w:hint="eastAsia" w:ascii="宋体" w:hAnsi="宋体" w:cs="宋体"/>
          <w:b/>
          <w:bCs/>
          <w:color w:val="000000"/>
          <w:sz w:val="36"/>
          <w:szCs w:val="36"/>
        </w:rPr>
      </w:pPr>
    </w:p>
    <w:p>
      <w:pPr>
        <w:pStyle w:val="2"/>
        <w:rPr>
          <w:rFonts w:hint="eastAsia"/>
          <w:color w:val="000000"/>
        </w:rPr>
      </w:pPr>
    </w:p>
    <w:p>
      <w:pPr>
        <w:jc w:val="both"/>
        <w:rPr>
          <w:rFonts w:hint="eastAsia" w:ascii="宋体" w:hAnsi="宋体" w:cs="宋体"/>
          <w:b/>
          <w:bCs/>
          <w:color w:val="000000"/>
          <w:sz w:val="36"/>
          <w:szCs w:val="36"/>
        </w:rPr>
      </w:pPr>
    </w:p>
    <w:p>
      <w:pPr>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投标函 </w:t>
      </w:r>
    </w:p>
    <w:p>
      <w:pPr>
        <w:pStyle w:val="27"/>
        <w:spacing w:line="360" w:lineRule="auto"/>
        <w:rPr>
          <w:rFonts w:hint="eastAsia" w:hAnsi="宋体" w:cs="宋体"/>
          <w:color w:val="000000"/>
          <w:sz w:val="24"/>
        </w:rPr>
      </w:pPr>
      <w:r>
        <w:rPr>
          <w:rFonts w:hint="eastAsia" w:hAnsi="宋体" w:cs="宋体"/>
          <w:color w:val="000000"/>
          <w:sz w:val="24"/>
        </w:rPr>
        <w:t>致：</w:t>
      </w:r>
      <w:r>
        <w:rPr>
          <w:rFonts w:hint="eastAsia" w:hAnsi="宋体" w:cs="宋体"/>
          <w:color w:val="000000"/>
          <w:sz w:val="24"/>
          <w:u w:val="single"/>
        </w:rPr>
        <w:t xml:space="preserve">                  </w:t>
      </w:r>
    </w:p>
    <w:p>
      <w:pPr>
        <w:pStyle w:val="27"/>
        <w:spacing w:line="360" w:lineRule="auto"/>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项目（招标项目名称、采购编号）的招标、投标等有关活动，为此提交下述文件：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资格响应文件、商务技术响应文件和报价响应文件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．其他：</w:t>
      </w:r>
    </w:p>
    <w:p>
      <w:pPr>
        <w:numPr>
          <w:ilvl w:val="0"/>
          <w:numId w:val="0"/>
        </w:numPr>
        <w:spacing w:line="360" w:lineRule="auto"/>
        <w:ind w:left="420" w:leftChars="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据此函，签字代表宣布同意如下：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12"/>
          <w:sz w:val="24"/>
        </w:rPr>
        <w:t>所附投标报价表中规定的应提供和支付的服务投标总价为（人民币）</w:t>
      </w:r>
      <w:r>
        <w:rPr>
          <w:rFonts w:hint="eastAsia" w:ascii="宋体" w:hAnsi="宋体" w:cs="宋体"/>
          <w:color w:val="000000"/>
          <w:sz w:val="24"/>
          <w:u w:val="single"/>
        </w:rPr>
        <w:t xml:space="preserve">           ，</w:t>
      </w:r>
      <w:r>
        <w:rPr>
          <w:rFonts w:hint="eastAsia" w:ascii="宋体" w:hAnsi="宋体" w:cs="宋体"/>
          <w:color w:val="000000"/>
          <w:sz w:val="24"/>
        </w:rPr>
        <w:t>即 _______________________________________</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____</w:t>
      </w:r>
      <w:r>
        <w:rPr>
          <w:rFonts w:hint="eastAsia" w:ascii="宋体" w:hAnsi="宋体" w:cs="宋体"/>
          <w:color w:val="000000"/>
          <w:sz w:val="24"/>
        </w:rPr>
        <w:t>_______（大写）。</w:t>
      </w:r>
      <w:r>
        <w:rPr>
          <w:rFonts w:hint="eastAsia" w:ascii="宋体" w:hAnsi="宋体" w:cs="宋体"/>
          <w:b/>
          <w:bCs/>
          <w:color w:val="000000"/>
          <w:sz w:val="24"/>
        </w:rPr>
        <w:t>企业成本价为</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元, </w:t>
      </w:r>
      <w:r>
        <w:rPr>
          <w:rFonts w:hint="eastAsia" w:ascii="宋体" w:hAnsi="宋体" w:cs="宋体"/>
          <w:b/>
          <w:bCs/>
          <w:color w:val="000000"/>
          <w:sz w:val="24"/>
          <w:u w:val="single"/>
        </w:rPr>
        <w:t xml:space="preserve">                (大写</w:t>
      </w:r>
      <w:r>
        <w:rPr>
          <w:rFonts w:hint="eastAsia" w:ascii="宋体" w:hAnsi="宋体" w:cs="宋体"/>
          <w:b/>
          <w:bCs/>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4）投标自开标之日起有效期</w:t>
      </w:r>
      <w:r>
        <w:rPr>
          <w:rFonts w:hint="eastAsia" w:ascii="宋体" w:hAnsi="宋体" w:cs="宋体"/>
          <w:color w:val="000000"/>
          <w:sz w:val="24"/>
          <w:u w:val="single"/>
        </w:rPr>
        <w:t>____</w:t>
      </w:r>
      <w:r>
        <w:rPr>
          <w:rFonts w:hint="eastAsia" w:ascii="宋体" w:hAnsi="宋体" w:cs="宋体"/>
          <w:color w:val="000000"/>
          <w:sz w:val="24"/>
        </w:rPr>
        <w:t>个日历天。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5）如果在规定的开标时间后，我方在投标有效期内撤回投标，我方同意列入失信行为记录名单。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360" w:lineRule="auto"/>
        <w:rPr>
          <w:rFonts w:hint="eastAsia" w:ascii="宋体" w:hAnsi="宋体" w:cs="宋体"/>
          <w:color w:val="000000"/>
          <w:sz w:val="24"/>
        </w:rPr>
      </w:pPr>
      <w:r>
        <w:rPr>
          <w:rFonts w:hint="eastAsia" w:ascii="宋体" w:hAnsi="宋体" w:cs="宋体"/>
          <w:color w:val="000000"/>
          <w:sz w:val="24"/>
        </w:rPr>
        <w:t xml:space="preserve">地址：______________________        邮编：______________________  </w:t>
      </w:r>
    </w:p>
    <w:p>
      <w:pPr>
        <w:spacing w:line="360" w:lineRule="auto"/>
        <w:rPr>
          <w:rFonts w:hint="eastAsia" w:ascii="宋体" w:hAnsi="宋体" w:cs="宋体"/>
          <w:color w:val="000000"/>
          <w:sz w:val="24"/>
        </w:rPr>
      </w:pPr>
      <w:r>
        <w:rPr>
          <w:rFonts w:hint="eastAsia" w:ascii="宋体" w:hAnsi="宋体" w:cs="宋体"/>
          <w:color w:val="000000"/>
          <w:sz w:val="24"/>
        </w:rPr>
        <w:t xml:space="preserve">电话：______________________        传真：______________________ </w:t>
      </w:r>
    </w:p>
    <w:p>
      <w:pPr>
        <w:spacing w:line="360" w:lineRule="auto"/>
        <w:rPr>
          <w:rFonts w:hint="eastAsia" w:ascii="宋体" w:hAnsi="宋体" w:cs="宋体"/>
          <w:color w:val="000000"/>
          <w:sz w:val="24"/>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投标人代表职务： ______________________</w:t>
      </w:r>
    </w:p>
    <w:p>
      <w:pPr>
        <w:spacing w:line="360" w:lineRule="auto"/>
        <w:jc w:val="left"/>
        <w:rPr>
          <w:rFonts w:hint="eastAsia" w:ascii="宋体" w:hAnsi="宋体" w:cs="宋体"/>
          <w:color w:val="000000"/>
          <w:sz w:val="24"/>
        </w:rPr>
      </w:pPr>
      <w:r>
        <w:rPr>
          <w:rFonts w:hint="eastAsia" w:ascii="宋体" w:hAnsi="宋体" w:cs="宋体"/>
          <w:color w:val="000000"/>
          <w:sz w:val="24"/>
        </w:rPr>
        <w:t>投标日期： _______年____月____日      全权代表签字或盖章： ____________</w:t>
      </w:r>
    </w:p>
    <w:p>
      <w:pPr>
        <w:pStyle w:val="2"/>
        <w:jc w:val="both"/>
        <w:rPr>
          <w:rFonts w:hint="eastAsia"/>
          <w:color w:val="000000"/>
        </w:rPr>
      </w:pPr>
    </w:p>
    <w:p>
      <w:pPr>
        <w:jc w:val="center"/>
        <w:rPr>
          <w:rFonts w:hint="eastAsia" w:ascii="宋体" w:hAnsi="宋体" w:cs="宋体"/>
          <w:b/>
          <w:bCs/>
          <w:color w:val="000000"/>
          <w:sz w:val="36"/>
        </w:rPr>
      </w:pPr>
      <w:r>
        <w:rPr>
          <w:rFonts w:hint="eastAsia" w:ascii="宋体" w:hAnsi="宋体" w:cs="宋体"/>
          <w:b/>
          <w:bCs/>
          <w:color w:val="000000"/>
          <w:sz w:val="36"/>
        </w:rPr>
        <w:t xml:space="preserve">报价一览表 </w:t>
      </w:r>
    </w:p>
    <w:p>
      <w:pPr>
        <w:rPr>
          <w:rFonts w:hint="eastAsia" w:ascii="宋体" w:hAnsi="宋体" w:cs="宋体"/>
          <w:color w:val="000000"/>
          <w:sz w:val="24"/>
        </w:rPr>
      </w:pPr>
    </w:p>
    <w:p>
      <w:pPr>
        <w:spacing w:line="336" w:lineRule="auto"/>
        <w:rPr>
          <w:rFonts w:hint="eastAsia" w:ascii="宋体" w:hAnsi="宋体" w:cs="宋体"/>
          <w:color w:val="000000"/>
          <w:sz w:val="24"/>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after="167" w:afterLines="50" w:line="336" w:lineRule="auto"/>
        <w:rPr>
          <w:rFonts w:hint="eastAsia" w:ascii="宋体" w:hAnsi="宋体" w:cs="宋体"/>
          <w:color w:val="000000"/>
          <w:sz w:val="24"/>
        </w:rPr>
      </w:pPr>
      <w:r>
        <w:rPr>
          <w:rFonts w:hint="eastAsia" w:ascii="宋体" w:hAnsi="宋体" w:cs="宋体"/>
          <w:color w:val="000000"/>
          <w:sz w:val="24"/>
        </w:rPr>
        <w:t>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468"/>
        <w:gridCol w:w="1067"/>
        <w:gridCol w:w="1067"/>
        <w:gridCol w:w="10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4"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4468"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3203" w:type="dxa"/>
            <w:gridSpan w:val="3"/>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运维服务费用</w:t>
            </w:r>
          </w:p>
        </w:tc>
        <w:tc>
          <w:tcPr>
            <w:tcW w:w="1169" w:type="dxa"/>
            <w:vMerge w:val="restart"/>
            <w:noWrap w:val="0"/>
            <w:vAlign w:val="center"/>
          </w:tcPr>
          <w:p>
            <w:pPr>
              <w:adjustRightInd w:val="0"/>
              <w:spacing w:line="340" w:lineRule="exact"/>
              <w:jc w:val="center"/>
              <w:rPr>
                <w:rFonts w:hint="eastAsia" w:ascii="宋体" w:hAnsi="宋体"/>
                <w:color w:val="000000"/>
                <w:sz w:val="24"/>
                <w:lang w:val="en-US" w:eastAsia="zh-CN"/>
              </w:rPr>
            </w:pPr>
            <w:r>
              <w:rPr>
                <w:rFonts w:hint="eastAsia" w:ascii="宋体" w:hAnsi="宋体"/>
                <w:color w:val="000000"/>
                <w:sz w:val="24"/>
                <w:lang w:val="en-US" w:eastAsia="zh-CN"/>
              </w:rPr>
              <w:t>总价</w:t>
            </w:r>
          </w:p>
          <w:p>
            <w:pPr>
              <w:adjustRightInd w:val="0"/>
              <w:spacing w:line="3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4" w:type="dxa"/>
            <w:vMerge w:val="continue"/>
            <w:noWrap w:val="0"/>
            <w:vAlign w:val="center"/>
          </w:tcPr>
          <w:p>
            <w:pPr>
              <w:adjustRightInd w:val="0"/>
              <w:spacing w:line="340" w:lineRule="exact"/>
              <w:jc w:val="center"/>
              <w:rPr>
                <w:rFonts w:hint="eastAsia" w:ascii="宋体" w:hAnsi="宋体"/>
                <w:bCs/>
                <w:color w:val="000000"/>
                <w:sz w:val="24"/>
              </w:rPr>
            </w:pPr>
          </w:p>
        </w:tc>
        <w:tc>
          <w:tcPr>
            <w:tcW w:w="4468" w:type="dxa"/>
            <w:vMerge w:val="continue"/>
            <w:noWrap w:val="0"/>
            <w:vAlign w:val="center"/>
          </w:tcPr>
          <w:p>
            <w:pPr>
              <w:adjustRightInd w:val="0"/>
              <w:spacing w:line="340" w:lineRule="exact"/>
              <w:jc w:val="center"/>
              <w:rPr>
                <w:rFonts w:hint="eastAsia" w:ascii="宋体" w:hAnsi="宋体"/>
                <w:bCs/>
                <w:color w:val="000000"/>
                <w:sz w:val="24"/>
              </w:rPr>
            </w:pPr>
          </w:p>
        </w:tc>
        <w:tc>
          <w:tcPr>
            <w:tcW w:w="1067"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2023年</w:t>
            </w:r>
          </w:p>
        </w:tc>
        <w:tc>
          <w:tcPr>
            <w:tcW w:w="1067"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2024年</w:t>
            </w:r>
          </w:p>
        </w:tc>
        <w:tc>
          <w:tcPr>
            <w:tcW w:w="1069" w:type="dxa"/>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2025年</w:t>
            </w:r>
          </w:p>
        </w:tc>
        <w:tc>
          <w:tcPr>
            <w:tcW w:w="1169" w:type="dxa"/>
            <w:vMerge w:val="continue"/>
            <w:noWrap w:val="0"/>
            <w:vAlign w:val="center"/>
          </w:tcPr>
          <w:p>
            <w:pPr>
              <w:adjustRightInd w:val="0"/>
              <w:spacing w:line="340" w:lineRule="exact"/>
              <w:jc w:val="center"/>
              <w:rPr>
                <w:rFonts w:hint="eastAsia" w:ascii="宋体" w:hAnsi="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34" w:type="dxa"/>
            <w:noWrap w:val="0"/>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前端设备运维服务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574" w:type="dxa"/>
            <w:gridSpan w:val="6"/>
            <w:noWrap w:val="0"/>
            <w:vAlign w:val="center"/>
          </w:tcPr>
          <w:p>
            <w:pPr>
              <w:jc w:val="left"/>
              <w:rPr>
                <w:rFonts w:hint="default" w:ascii="宋体" w:hAnsi="宋体" w:eastAsia="宋体"/>
                <w:color w:val="000000"/>
                <w:sz w:val="24"/>
                <w:lang w:val="en-US" w:eastAsia="zh-CN"/>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2</w:t>
            </w:r>
          </w:p>
        </w:tc>
        <w:tc>
          <w:tcPr>
            <w:tcW w:w="8840" w:type="dxa"/>
            <w:gridSpan w:val="5"/>
            <w:noWrap w:val="0"/>
            <w:vAlign w:val="center"/>
          </w:tcPr>
          <w:p>
            <w:pPr>
              <w:jc w:val="center"/>
              <w:rPr>
                <w:rFonts w:hint="eastAsia" w:ascii="宋体" w:hAnsi="宋体" w:eastAsia="宋体"/>
                <w:color w:val="000000"/>
                <w:sz w:val="24"/>
                <w:lang w:val="en-US" w:eastAsia="zh-CN"/>
              </w:rPr>
            </w:pPr>
            <w:r>
              <w:rPr>
                <w:rFonts w:hint="eastAsia" w:ascii="宋体" w:hAnsi="宋体" w:eastAsia="宋体" w:cs="Times New Roman"/>
                <w:bCs/>
                <w:color w:val="000000"/>
                <w:sz w:val="24"/>
              </w:rPr>
              <w:t>中心系统的应用系统与支撑系统运维</w:t>
            </w:r>
            <w:r>
              <w:rPr>
                <w:rFonts w:hint="eastAsia" w:ascii="宋体" w:hAnsi="宋体" w:eastAsia="宋体" w:cs="Times New Roman"/>
                <w:bCs/>
                <w:color w:val="000000"/>
                <w:sz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2.1</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应用系统硬件维护服务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2.2</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应用系统软件维护服务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2.3</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支撑系统维护服务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574" w:type="dxa"/>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3</w:t>
            </w:r>
          </w:p>
        </w:tc>
        <w:tc>
          <w:tcPr>
            <w:tcW w:w="8840" w:type="dxa"/>
            <w:gridSpan w:val="5"/>
            <w:noWrap w:val="0"/>
            <w:vAlign w:val="center"/>
          </w:tcPr>
          <w:p>
            <w:pPr>
              <w:jc w:val="center"/>
              <w:rPr>
                <w:rFonts w:ascii="宋体" w:hAnsi="宋体"/>
                <w:color w:val="000000"/>
                <w:sz w:val="24"/>
              </w:rPr>
            </w:pPr>
            <w:r>
              <w:rPr>
                <w:rFonts w:hint="eastAsia" w:ascii="宋体" w:hAnsi="宋体" w:eastAsia="宋体" w:cs="Times New Roman"/>
                <w:bCs/>
                <w:color w:val="000000"/>
                <w:sz w:val="24"/>
              </w:rPr>
              <w:t>机房、光纤租赁及指挥中心维护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3.1</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机房能源费</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069"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169" w:type="dxa"/>
            <w:noWrap w:val="0"/>
            <w:vAlign w:val="center"/>
          </w:tcPr>
          <w:p>
            <w:pPr>
              <w:adjustRightInd w:val="0"/>
              <w:spacing w:line="360" w:lineRule="exact"/>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rPr>
              <w:t>48</w:t>
            </w:r>
            <w:r>
              <w:rPr>
                <w:rFonts w:hint="eastAsia" w:ascii="宋体" w:hAnsi="宋体" w:eastAsia="宋体" w:cs="Times New Roman"/>
                <w:bCs/>
                <w:color w:val="00000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3.2</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机房租赁与维护服务费</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069"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169"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3.3</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光纤租赁服务费</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574" w:type="dxa"/>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4</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智能交通指挥中心</w:t>
            </w:r>
            <w:r>
              <w:rPr>
                <w:rFonts w:hint="eastAsia" w:ascii="宋体" w:hAnsi="宋体" w:eastAsia="宋体" w:cs="Times New Roman"/>
                <w:bCs/>
                <w:color w:val="000000"/>
                <w:sz w:val="24"/>
                <w:lang w:val="en-US" w:eastAsia="zh-CN"/>
              </w:rPr>
              <w:t>车辆</w:t>
            </w:r>
            <w:r>
              <w:rPr>
                <w:rFonts w:hint="eastAsia" w:ascii="宋体" w:hAnsi="宋体" w:eastAsia="宋体" w:cs="Times New Roman"/>
                <w:bCs/>
                <w:color w:val="000000"/>
                <w:sz w:val="24"/>
              </w:rPr>
              <w:t>分析</w:t>
            </w:r>
            <w:r>
              <w:rPr>
                <w:rFonts w:hint="eastAsia" w:ascii="宋体" w:hAnsi="宋体" w:eastAsia="宋体" w:cs="Times New Roman"/>
                <w:bCs/>
                <w:color w:val="000000"/>
                <w:sz w:val="24"/>
                <w:lang w:val="en-US" w:eastAsia="zh-CN"/>
              </w:rPr>
              <w:t>应用</w:t>
            </w:r>
            <w:r>
              <w:rPr>
                <w:rFonts w:hint="eastAsia" w:ascii="宋体" w:hAnsi="宋体" w:eastAsia="宋体" w:cs="Times New Roman"/>
                <w:bCs/>
                <w:color w:val="000000"/>
                <w:sz w:val="24"/>
              </w:rPr>
              <w:t>、信号配时与交通组织服务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574" w:type="dxa"/>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5</w:t>
            </w:r>
          </w:p>
        </w:tc>
        <w:tc>
          <w:tcPr>
            <w:tcW w:w="8840" w:type="dxa"/>
            <w:gridSpan w:val="5"/>
            <w:noWrap w:val="0"/>
            <w:vAlign w:val="center"/>
          </w:tcPr>
          <w:p>
            <w:pPr>
              <w:pStyle w:val="27"/>
              <w:spacing w:line="460" w:lineRule="exact"/>
              <w:jc w:val="left"/>
              <w:rPr>
                <w:rFonts w:hint="eastAsia"/>
                <w:color w:val="000000"/>
                <w:sz w:val="24"/>
                <w:szCs w:val="24"/>
              </w:rPr>
            </w:pPr>
            <w:r>
              <w:rPr>
                <w:rFonts w:hint="eastAsia"/>
                <w:color w:val="000000"/>
                <w:sz w:val="24"/>
                <w:szCs w:val="24"/>
                <w:lang w:val="en-US" w:eastAsia="zh-CN"/>
              </w:rPr>
              <w:t>1+2+3+4</w:t>
            </w:r>
            <w:r>
              <w:rPr>
                <w:rFonts w:hint="eastAsia"/>
                <w:color w:val="000000"/>
                <w:sz w:val="24"/>
                <w:szCs w:val="24"/>
              </w:rPr>
              <w:t>合计：</w:t>
            </w:r>
          </w:p>
          <w:p>
            <w:pPr>
              <w:pStyle w:val="27"/>
              <w:spacing w:line="460" w:lineRule="exact"/>
              <w:jc w:val="left"/>
              <w:rPr>
                <w:color w:val="000000"/>
                <w:sz w:val="24"/>
                <w:szCs w:val="24"/>
              </w:rPr>
            </w:pPr>
            <w:r>
              <w:rPr>
                <w:rFonts w:hint="eastAsia"/>
                <w:color w:val="000000"/>
                <w:sz w:val="24"/>
                <w:szCs w:val="24"/>
              </w:rPr>
              <w:t>大写：人民币</w:t>
            </w:r>
          </w:p>
          <w:p>
            <w:pPr>
              <w:spacing w:line="460" w:lineRule="exact"/>
              <w:jc w:val="left"/>
              <w:rPr>
                <w:rFonts w:ascii="宋体" w:hAnsi="宋体"/>
                <w:color w:val="000000"/>
                <w:sz w:val="24"/>
              </w:rPr>
            </w:pPr>
            <w:r>
              <w:rPr>
                <w:rFonts w:hint="eastAsia" w:hAnsi="宋体" w:cs="宋体"/>
                <w:color w:val="000000"/>
                <w:sz w:val="24"/>
              </w:rPr>
              <w:t>小写：￥</w:t>
            </w:r>
          </w:p>
        </w:tc>
      </w:tr>
    </w:tbl>
    <w:p>
      <w:pPr>
        <w:spacing w:before="167" w:beforeLines="50" w:after="167" w:afterLines="50" w:line="336" w:lineRule="auto"/>
        <w:rPr>
          <w:rFonts w:hint="eastAsia" w:ascii="宋体" w:hAnsi="宋体" w:cs="宋体"/>
          <w:color w:val="000000"/>
          <w:sz w:val="24"/>
        </w:rPr>
      </w:pPr>
      <w:r>
        <w:rPr>
          <w:rFonts w:hint="eastAsia" w:ascii="宋体" w:hAnsi="宋体" w:cs="宋体"/>
          <w:b/>
          <w:bCs/>
          <w:color w:val="000000"/>
          <w:sz w:val="24"/>
        </w:rPr>
        <w:t xml:space="preserve">全权代表签字或盖章：                               日 期：     </w:t>
      </w:r>
      <w:r>
        <w:rPr>
          <w:rFonts w:hint="eastAsia" w:ascii="宋体" w:hAnsi="宋体" w:cs="宋体"/>
          <w:color w:val="000000"/>
          <w:sz w:val="24"/>
        </w:rPr>
        <w:t xml:space="preserve">      </w:t>
      </w:r>
    </w:p>
    <w:p>
      <w:pPr>
        <w:pStyle w:val="27"/>
        <w:spacing w:line="420" w:lineRule="exact"/>
        <w:rPr>
          <w:rFonts w:hint="eastAsia" w:hAnsi="宋体" w:cs="宋体"/>
          <w:color w:val="000000"/>
          <w:sz w:val="24"/>
        </w:rPr>
      </w:pPr>
      <w:r>
        <w:rPr>
          <w:rFonts w:hint="eastAsia" w:hAnsi="宋体" w:cs="宋体"/>
          <w:color w:val="000000"/>
          <w:sz w:val="24"/>
        </w:rPr>
        <w:t>注：</w:t>
      </w:r>
    </w:p>
    <w:p>
      <w:pPr>
        <w:pStyle w:val="27"/>
        <w:spacing w:line="420" w:lineRule="exact"/>
        <w:ind w:firstLine="480" w:firstLineChars="200"/>
        <w:rPr>
          <w:rFonts w:hint="eastAsia" w:hAnsi="宋体" w:cs="宋体"/>
          <w:color w:val="000000"/>
          <w:sz w:val="24"/>
        </w:rPr>
      </w:pPr>
      <w:r>
        <w:rPr>
          <w:rFonts w:hint="eastAsia" w:hAnsi="宋体" w:cs="宋体"/>
          <w:color w:val="000000"/>
          <w:sz w:val="24"/>
        </w:rPr>
        <w:t>1.</w:t>
      </w:r>
      <w:r>
        <w:rPr>
          <w:rFonts w:hint="eastAsia" w:hAnsi="宋体" w:cs="宋体"/>
          <w:b/>
          <w:color w:val="000000"/>
          <w:sz w:val="24"/>
        </w:rPr>
        <w:t>投标报价为投标人所能承受的最低、最终一次性报价。</w:t>
      </w:r>
    </w:p>
    <w:p>
      <w:pPr>
        <w:pStyle w:val="27"/>
        <w:spacing w:line="460" w:lineRule="exact"/>
        <w:ind w:left="239" w:leftChars="114" w:firstLine="240" w:firstLineChars="100"/>
        <w:rPr>
          <w:rFonts w:hint="eastAsia" w:hAnsi="宋体" w:cs="宋体"/>
          <w:color w:val="000000"/>
          <w:sz w:val="24"/>
          <w:szCs w:val="24"/>
        </w:rPr>
      </w:pPr>
      <w:r>
        <w:rPr>
          <w:rFonts w:hint="eastAsia" w:hAnsi="宋体" w:cs="宋体"/>
          <w:color w:val="000000"/>
          <w:sz w:val="24"/>
        </w:rPr>
        <w:t>2.</w:t>
      </w:r>
      <w:r>
        <w:rPr>
          <w:rFonts w:hint="eastAsia" w:hAnsi="宋体" w:cs="宋体"/>
          <w:color w:val="000000"/>
          <w:sz w:val="24"/>
          <w:szCs w:val="24"/>
        </w:rPr>
        <w:t>此表在不改变表式内容的情况下，可自行制作。</w:t>
      </w:r>
    </w:p>
    <w:p>
      <w:pPr>
        <w:pStyle w:val="27"/>
        <w:spacing w:line="460" w:lineRule="exact"/>
        <w:ind w:left="239" w:leftChars="114" w:firstLine="240" w:firstLineChars="100"/>
        <w:rPr>
          <w:rFonts w:hint="eastAsia"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hAnsi="宋体" w:eastAsia="宋体" w:cs="宋体"/>
          <w:color w:val="000000"/>
          <w:sz w:val="24"/>
          <w:szCs w:val="24"/>
          <w:lang w:val="en-US" w:eastAsia="zh-CN"/>
        </w:rPr>
        <w:t>维护费、</w:t>
      </w:r>
      <w:r>
        <w:rPr>
          <w:rFonts w:hint="eastAsia" w:ascii="宋体" w:hAnsi="宋体" w:eastAsia="宋体" w:cs="宋体"/>
          <w:color w:val="000000"/>
          <w:sz w:val="24"/>
          <w:szCs w:val="24"/>
        </w:rPr>
        <w:t>设备费、</w:t>
      </w:r>
      <w:r>
        <w:rPr>
          <w:rFonts w:hint="eastAsia" w:ascii="宋体" w:hAnsi="宋体" w:eastAsia="宋体" w:cs="宋体"/>
          <w:color w:val="000000"/>
          <w:sz w:val="24"/>
          <w:szCs w:val="24"/>
          <w:lang w:val="en-US" w:eastAsia="zh-CN"/>
        </w:rPr>
        <w:t>零部件、易损易耗件费、</w:t>
      </w:r>
      <w:r>
        <w:rPr>
          <w:rFonts w:hint="eastAsia" w:hAnsi="宋体" w:eastAsia="宋体" w:cs="宋体"/>
          <w:color w:val="000000"/>
          <w:sz w:val="24"/>
          <w:szCs w:val="24"/>
          <w:lang w:val="en-US" w:eastAsia="zh-CN"/>
        </w:rPr>
        <w:t>备</w:t>
      </w:r>
      <w:r>
        <w:rPr>
          <w:rFonts w:hint="eastAsia" w:ascii="宋体" w:hAnsi="宋体" w:eastAsia="宋体" w:cs="宋体"/>
          <w:color w:val="000000"/>
          <w:sz w:val="24"/>
          <w:szCs w:val="24"/>
          <w:lang w:val="en-US" w:eastAsia="zh-CN"/>
        </w:rPr>
        <w:t>品</w:t>
      </w:r>
      <w:r>
        <w:rPr>
          <w:rFonts w:hint="eastAsia" w:ascii="宋体" w:hAnsi="宋体" w:eastAsia="宋体" w:cs="宋体"/>
          <w:color w:val="000000"/>
          <w:sz w:val="24"/>
          <w:szCs w:val="24"/>
        </w:rPr>
        <w:t>配件费</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管理</w:t>
      </w:r>
      <w:r>
        <w:rPr>
          <w:rFonts w:hint="eastAsia" w:hAnsi="宋体" w:eastAsia="宋体" w:cs="宋体"/>
          <w:color w:val="000000"/>
          <w:sz w:val="24"/>
          <w:szCs w:val="24"/>
        </w:rPr>
        <w:t>费、利润、税金、保险等完成本项目的其它费用和政策性文件规定及合同包含的所有风险、责任等各项应有费用</w:t>
      </w:r>
      <w:r>
        <w:rPr>
          <w:rFonts w:hint="eastAsia" w:hAnsi="宋体" w:eastAsia="宋体" w:cs="宋体"/>
          <w:color w:val="000000"/>
          <w:sz w:val="24"/>
          <w:szCs w:val="24"/>
          <w:lang w:val="en-US" w:eastAsia="zh-CN"/>
        </w:rPr>
        <w:t>均包函在上述报价费用中，不需要投标单位在单独报出。</w:t>
      </w:r>
    </w:p>
    <w:p>
      <w:pPr>
        <w:pStyle w:val="27"/>
        <w:spacing w:line="460" w:lineRule="exact"/>
        <w:ind w:left="239" w:leftChars="114" w:firstLine="240" w:firstLineChars="100"/>
        <w:rPr>
          <w:rFonts w:hint="eastAsia" w:ascii="宋体" w:hAnsi="宋体" w:eastAsia="宋体" w:cs="宋体"/>
          <w:bCs w:val="0"/>
          <w:color w:val="000000"/>
          <w:sz w:val="24"/>
          <w:szCs w:val="24"/>
          <w:lang w:val="en-US" w:eastAsia="zh-CN"/>
        </w:rPr>
      </w:pPr>
      <w:r>
        <w:rPr>
          <w:rFonts w:hint="eastAsia" w:ascii="宋体" w:hAnsi="宋体" w:eastAsia="宋体" w:cs="宋体"/>
          <w:color w:val="000000"/>
          <w:sz w:val="24"/>
          <w:szCs w:val="24"/>
          <w:lang w:val="en-US" w:eastAsia="zh-CN"/>
        </w:rPr>
        <w:t xml:space="preserve"> 4.</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投标单位需按上述价格进行报价，不得去更改；如果投标单位的</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未按上述价格进行报价的，报价评审时由评审小组按招标文件中规定的价格进行修正后，再进行评审。</w:t>
      </w: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r>
        <w:rPr>
          <w:rFonts w:hint="eastAsia" w:ascii="宋体" w:hAnsi="宋体" w:eastAsia="宋体" w:cs="宋体"/>
          <w:bCs w:val="0"/>
          <w:color w:val="000000"/>
          <w:sz w:val="24"/>
          <w:szCs w:val="24"/>
          <w:lang w:val="en-US" w:eastAsia="zh-CN"/>
        </w:rPr>
        <w:t xml:space="preserve"> 5.中标后</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val="en-US" w:eastAsia="zh-CN"/>
        </w:rPr>
        <w:t>按实结算，</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为包干费用。</w:t>
      </w: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p>
    <w:p>
      <w:pPr>
        <w:pStyle w:val="3"/>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ind w:firstLine="0" w:firstLineChars="0"/>
        <w:rPr>
          <w:rFonts w:hint="eastAsia" w:ascii="宋体" w:hAnsi="宋体" w:eastAsia="宋体" w:cs="宋体"/>
          <w:color w:val="000000"/>
          <w:sz w:val="24"/>
          <w:szCs w:val="24"/>
          <w:lang w:val="en-US" w:eastAsia="zh-CN"/>
        </w:rPr>
      </w:pPr>
    </w:p>
    <w:p>
      <w:pPr>
        <w:pStyle w:val="4"/>
        <w:rPr>
          <w:rFonts w:hint="default" w:ascii="宋体" w:hAnsi="宋体" w:eastAsia="宋体" w:cs="宋体"/>
          <w:color w:val="000000"/>
          <w:sz w:val="24"/>
          <w:szCs w:val="24"/>
          <w:lang w:val="en-US" w:eastAsia="zh-CN"/>
        </w:rPr>
      </w:pPr>
    </w:p>
    <w:p>
      <w:pPr>
        <w:adjustRightInd w:val="0"/>
        <w:snapToGrid w:val="0"/>
        <w:spacing w:line="360" w:lineRule="auto"/>
        <w:jc w:val="center"/>
        <w:rPr>
          <w:rFonts w:hint="eastAsia" w:eastAsia="仿宋"/>
          <w:color w:val="000000"/>
          <w:sz w:val="28"/>
          <w:szCs w:val="28"/>
          <w:lang w:val="en-US" w:eastAsia="zh-CN"/>
        </w:rPr>
      </w:pPr>
      <w:r>
        <w:rPr>
          <w:rFonts w:hint="eastAsia" w:eastAsia="仿宋"/>
          <w:color w:val="000000"/>
          <w:sz w:val="28"/>
          <w:szCs w:val="28"/>
          <w:lang w:val="en-US" w:eastAsia="zh-CN"/>
        </w:rPr>
        <w:t xml:space="preserve">     1.</w:t>
      </w:r>
      <w:r>
        <w:rPr>
          <w:rFonts w:eastAsia="仿宋"/>
          <w:color w:val="000000"/>
          <w:sz w:val="28"/>
          <w:szCs w:val="28"/>
        </w:rPr>
        <w:t>前端设备</w:t>
      </w:r>
      <w:r>
        <w:rPr>
          <w:rFonts w:hint="eastAsia" w:eastAsia="仿宋"/>
          <w:color w:val="000000"/>
          <w:sz w:val="28"/>
          <w:szCs w:val="28"/>
        </w:rPr>
        <w:t>运</w:t>
      </w:r>
      <w:r>
        <w:rPr>
          <w:rFonts w:eastAsia="仿宋"/>
          <w:color w:val="000000"/>
          <w:sz w:val="28"/>
          <w:szCs w:val="28"/>
        </w:rPr>
        <w:t>维服务费</w:t>
      </w:r>
      <w:r>
        <w:rPr>
          <w:rFonts w:hint="eastAsia" w:eastAsia="仿宋"/>
          <w:color w:val="000000"/>
          <w:sz w:val="28"/>
          <w:szCs w:val="28"/>
          <w:lang w:val="en-US" w:eastAsia="zh-CN"/>
        </w:rPr>
        <w:t>报价明细汇总表</w:t>
      </w:r>
    </w:p>
    <w:p>
      <w:pPr>
        <w:pStyle w:val="2"/>
        <w:jc w:val="both"/>
        <w:rPr>
          <w:color w:val="000000"/>
        </w:rPr>
      </w:pPr>
      <w:r>
        <w:rPr>
          <w:rFonts w:hint="eastAsia" w:ascii="宋体" w:hAnsi="宋体" w:eastAsia="宋体" w:cs="宋体"/>
          <w:b w:val="0"/>
          <w:bCs w:val="0"/>
          <w:color w:val="000000"/>
          <w:kern w:val="2"/>
          <w:sz w:val="24"/>
          <w:szCs w:val="20"/>
          <w:lang w:val="en-US" w:eastAsia="zh-CN" w:bidi="ar-SA"/>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tblInd w:w="0" w:type="dxa"/>
        <w:tblLayout w:type="fixed"/>
        <w:tblCellMar>
          <w:top w:w="0" w:type="dxa"/>
          <w:left w:w="108" w:type="dxa"/>
          <w:bottom w:w="0" w:type="dxa"/>
          <w:right w:w="108" w:type="dxa"/>
        </w:tblCellMar>
      </w:tblPr>
      <w:tblGrid>
        <w:gridCol w:w="585"/>
        <w:gridCol w:w="1475"/>
        <w:gridCol w:w="1094"/>
        <w:gridCol w:w="969"/>
        <w:gridCol w:w="1602"/>
        <w:gridCol w:w="1602"/>
        <w:gridCol w:w="1602"/>
        <w:gridCol w:w="988"/>
      </w:tblGrid>
      <w:tr>
        <w:tblPrEx>
          <w:tblCellMar>
            <w:top w:w="0" w:type="dxa"/>
            <w:left w:w="108" w:type="dxa"/>
            <w:bottom w:w="0" w:type="dxa"/>
            <w:right w:w="108" w:type="dxa"/>
          </w:tblCellMar>
        </w:tblPrEx>
        <w:trPr>
          <w:trHeight w:val="343" w:hRule="atLeast"/>
        </w:trPr>
        <w:tc>
          <w:tcPr>
            <w:tcW w:w="585"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序号</w:t>
            </w:r>
          </w:p>
        </w:tc>
        <w:tc>
          <w:tcPr>
            <w:tcW w:w="1475"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类型</w:t>
            </w:r>
          </w:p>
        </w:tc>
        <w:tc>
          <w:tcPr>
            <w:tcW w:w="1094"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使用期</w:t>
            </w:r>
          </w:p>
        </w:tc>
        <w:tc>
          <w:tcPr>
            <w:tcW w:w="969"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通道数量</w:t>
            </w:r>
          </w:p>
        </w:tc>
        <w:tc>
          <w:tcPr>
            <w:tcW w:w="5794" w:type="dxa"/>
            <w:gridSpan w:val="4"/>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553" w:hRule="atLeast"/>
        </w:trPr>
        <w:tc>
          <w:tcPr>
            <w:tcW w:w="58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hint="default" w:eastAsia="仿宋"/>
                <w:b/>
                <w:bCs/>
                <w:color w:val="000000"/>
                <w:kern w:val="0"/>
                <w:szCs w:val="21"/>
                <w:lang w:val="en-US" w:eastAsia="zh-CN"/>
              </w:rPr>
            </w:pPr>
            <w:r>
              <w:rPr>
                <w:rFonts w:eastAsia="仿宋"/>
                <w:b/>
                <w:bCs/>
                <w:color w:val="000000"/>
                <w:kern w:val="0"/>
                <w:szCs w:val="21"/>
              </w:rPr>
              <w:t>2023年</w:t>
            </w:r>
            <w:r>
              <w:rPr>
                <w:rFonts w:hint="eastAsia" w:eastAsia="仿宋"/>
                <w:b/>
                <w:bCs/>
                <w:color w:val="000000"/>
                <w:kern w:val="0"/>
                <w:szCs w:val="21"/>
                <w:lang w:val="en-US" w:eastAsia="zh-CN"/>
              </w:rPr>
              <w:t>运维费用</w:t>
            </w:r>
          </w:p>
        </w:tc>
        <w:tc>
          <w:tcPr>
            <w:tcW w:w="1602"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2024年</w:t>
            </w:r>
            <w:r>
              <w:rPr>
                <w:rFonts w:hint="eastAsia" w:eastAsia="仿宋"/>
                <w:b/>
                <w:bCs/>
                <w:color w:val="000000"/>
                <w:kern w:val="0"/>
                <w:szCs w:val="21"/>
                <w:lang w:val="en-US" w:eastAsia="zh-CN"/>
              </w:rPr>
              <w:t>运维费用</w:t>
            </w:r>
          </w:p>
        </w:tc>
        <w:tc>
          <w:tcPr>
            <w:tcW w:w="1602"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2025年</w:t>
            </w:r>
            <w:r>
              <w:rPr>
                <w:rFonts w:hint="eastAsia" w:eastAsia="仿宋"/>
                <w:b/>
                <w:bCs/>
                <w:color w:val="000000"/>
                <w:kern w:val="0"/>
                <w:szCs w:val="21"/>
                <w:lang w:val="en-US" w:eastAsia="zh-CN"/>
              </w:rPr>
              <w:t>运维费用</w:t>
            </w:r>
          </w:p>
        </w:tc>
        <w:tc>
          <w:tcPr>
            <w:tcW w:w="988" w:type="dxa"/>
            <w:tcBorders>
              <w:top w:val="nil"/>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三年合计</w:t>
            </w: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电子警察</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1661</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2596</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模拟球机</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272</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数字球机</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1187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多功能执法</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常规卡口</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847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251</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雷达卡口</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173</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7</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6平方交通诱导</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22</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12平方交通诱导</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加油站卡口</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行人闯红灯</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96</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测速仪</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信号机</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505</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信号灯</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15647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
                <w:color w:val="000000"/>
                <w:kern w:val="0"/>
                <w:szCs w:val="21"/>
                <w:lang w:val="en-US" w:eastAsia="zh-CN"/>
              </w:rPr>
            </w:pPr>
            <w:r>
              <w:rPr>
                <w:rFonts w:eastAsia="仿宋"/>
                <w:color w:val="000000"/>
                <w:kern w:val="0"/>
                <w:szCs w:val="21"/>
              </w:rPr>
              <w:t>　</w:t>
            </w:r>
            <w:r>
              <w:rPr>
                <w:rFonts w:hint="eastAsia" w:eastAsia="仿宋"/>
                <w:color w:val="000000"/>
                <w:kern w:val="0"/>
                <w:szCs w:val="21"/>
                <w:lang w:val="en-US" w:eastAsia="zh-CN"/>
              </w:rPr>
              <w:t>0</w:t>
            </w: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829" w:hRule="atLeast"/>
        </w:trPr>
        <w:tc>
          <w:tcPr>
            <w:tcW w:w="9917" w:type="dxa"/>
            <w:gridSpan w:val="8"/>
            <w:tcBorders>
              <w:top w:val="nil"/>
              <w:left w:val="single" w:color="auto" w:sz="12" w:space="0"/>
              <w:bottom w:val="single" w:color="auto" w:sz="12"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　</w:t>
            </w:r>
          </w:p>
          <w:p>
            <w:pPr>
              <w:widowControl/>
              <w:jc w:val="both"/>
              <w:rPr>
                <w:rFonts w:eastAsia="仿宋"/>
                <w:b/>
                <w:bCs/>
                <w:color w:val="000000"/>
                <w:kern w:val="0"/>
                <w:szCs w:val="21"/>
              </w:rPr>
            </w:pPr>
            <w:r>
              <w:rPr>
                <w:rFonts w:hint="eastAsia" w:eastAsia="仿宋"/>
                <w:b/>
                <w:bCs/>
                <w:color w:val="000000"/>
                <w:kern w:val="0"/>
                <w:szCs w:val="21"/>
                <w:lang w:val="en-US" w:eastAsia="zh-CN"/>
              </w:rPr>
              <w:t>合</w:t>
            </w:r>
            <w:r>
              <w:rPr>
                <w:rFonts w:eastAsia="仿宋"/>
                <w:b/>
                <w:bCs/>
                <w:color w:val="000000"/>
                <w:kern w:val="0"/>
                <w:szCs w:val="21"/>
              </w:rPr>
              <w:t>计</w:t>
            </w:r>
            <w:r>
              <w:rPr>
                <w:rFonts w:hint="eastAsia" w:eastAsia="仿宋"/>
                <w:b/>
                <w:bCs/>
                <w:color w:val="000000"/>
                <w:kern w:val="0"/>
                <w:szCs w:val="21"/>
                <w:lang w:eastAsia="zh-CN"/>
              </w:rPr>
              <w:t>：</w:t>
            </w:r>
            <w:r>
              <w:rPr>
                <w:rFonts w:eastAsia="仿宋"/>
                <w:b/>
                <w:bCs/>
                <w:color w:val="000000"/>
                <w:kern w:val="0"/>
                <w:szCs w:val="21"/>
              </w:rPr>
              <w:t>（万元）</w:t>
            </w:r>
          </w:p>
          <w:p>
            <w:pPr>
              <w:widowControl/>
              <w:jc w:val="center"/>
              <w:rPr>
                <w:rFonts w:eastAsia="仿宋"/>
                <w:b/>
                <w:bCs/>
                <w:color w:val="000000"/>
                <w:kern w:val="0"/>
                <w:szCs w:val="21"/>
              </w:rPr>
            </w:pPr>
            <w:r>
              <w:rPr>
                <w:rFonts w:eastAsia="仿宋"/>
                <w:b/>
                <w:bCs/>
                <w:color w:val="000000"/>
                <w:kern w:val="0"/>
                <w:szCs w:val="21"/>
              </w:rPr>
              <w:t>　</w:t>
            </w:r>
          </w:p>
        </w:tc>
      </w:tr>
    </w:tbl>
    <w:p>
      <w:pPr>
        <w:adjustRightInd w:val="0"/>
        <w:snapToGrid w:val="0"/>
        <w:spacing w:line="360" w:lineRule="auto"/>
        <w:ind w:firstLine="482" w:firstLineChars="200"/>
        <w:rPr>
          <w:rFonts w:eastAsia="仿宋"/>
          <w:b/>
          <w:color w:val="000000"/>
          <w:sz w:val="30"/>
          <w:szCs w:val="30"/>
        </w:rPr>
        <w:sectPr>
          <w:pgSz w:w="11906" w:h="16838"/>
          <w:pgMar w:top="1440" w:right="947" w:bottom="1440" w:left="947" w:header="851" w:footer="992" w:gutter="0"/>
          <w:paperSrc/>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
          <w:bCs/>
          <w:color w:val="000000"/>
          <w:sz w:val="24"/>
        </w:rPr>
        <w:t>全权代表签字或盖章：                               日 期：</w:t>
      </w:r>
    </w:p>
    <w:p>
      <w:pPr>
        <w:adjustRightInd w:val="0"/>
        <w:snapToGrid w:val="0"/>
        <w:spacing w:line="360" w:lineRule="auto"/>
        <w:ind w:firstLine="0" w:firstLineChars="0"/>
        <w:jc w:val="center"/>
        <w:rPr>
          <w:rFonts w:hint="eastAsia" w:ascii="Times New Roman" w:hAnsi="Times New Roman" w:eastAsia="仿宋" w:cs="Times New Roman"/>
          <w:color w:val="000000"/>
          <w:sz w:val="28"/>
          <w:szCs w:val="28"/>
        </w:rPr>
      </w:pPr>
      <w:r>
        <w:rPr>
          <w:rFonts w:hint="eastAsia" w:ascii="宋体" w:hAnsi="宋体" w:cs="宋体"/>
          <w:b/>
          <w:bCs/>
          <w:color w:val="000000"/>
          <w:sz w:val="24"/>
          <w:lang w:val="en-US" w:eastAsia="zh-CN"/>
        </w:rPr>
        <w:t>1.1.1</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电子警察</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2772"/>
        <w:gridCol w:w="1096"/>
        <w:gridCol w:w="1206"/>
        <w:gridCol w:w="672"/>
        <w:gridCol w:w="1071"/>
        <w:gridCol w:w="1100"/>
        <w:gridCol w:w="1100"/>
        <w:gridCol w:w="1100"/>
        <w:gridCol w:w="1100"/>
        <w:gridCol w:w="110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通道</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净居西路城北路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商城大道净居路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商城大道上周村口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禅花路驾考科目三考场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银海路西城北路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银河小区黎明湖路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东洲路商博路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江东东路茂盛街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江东路信联小区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清波路宗泽东路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清波路广福桥</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上佛路季宅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环城北路群英路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S310新院路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G351上华溪</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S103大陈收费站</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宏农路春晗路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S310龙祁路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S103黄山路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西城路伏龙山路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渡馨南路建设中路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香溪路稠佛线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香溪路稠岭线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上佛路佛低线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稠岭线培德路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上佛线金义东南线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稠义线深塘路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五联路同义路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培德路朝阳东路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天祥路朝阳东路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天祥路双峰路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培德路双峰路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杨横路五洲大道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香溪路环徐线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东萧公路长富村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诚信大道华盛路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开元北街诚信大道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开元北街银海路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春风大道苏华街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龙岗路西城路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宏农路拥军路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城北路洪深路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机场路北苑路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北站大道站南一路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S103贺田路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上佛路义杭线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武溪北街通宝路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上佛路祥贝</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S103神舟路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S103净居路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S103德胜路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稠岭线鲁雅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香溪路于毛线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长和路文盛路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戚继光路松门里路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江东路龚青路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宾王路梅湖体育馆交叉口反向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廿东线惠民路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江东东路第二中学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吉庆路金义东公路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洪深路群英路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杨村路高新路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南门街黎明湖路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城北路柳青路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五洲大道杨横线辅道电警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开元街竺阳路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义武公路下清溪村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雪峰路绣湖路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佛堂大道倍鱼线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芳山路朝阳东路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天祥路大士路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柳青路群英路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佛堂大道梅林线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洪深路神舟路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上佛路王阡二村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宾王路与梅湖体育馆交叉口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宾王路工人路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华川北路大乔路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S103看守所路段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上佛路吴村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S310南山路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S310G351</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春风大道荷叶塘小学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稠佛路徐江小学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新科路戚继光路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银海路S310</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四海大道伏龙山路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香溪路龙海路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经发大道夏荷路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五洲大道朝阳路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雪峰路丹溪北路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经发大道西江路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环城西路西站大道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通宝路武岩路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四季路鸿运路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S103超限检测站</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东洲路广福路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伏龙山路圣寿路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圣达路圣寿路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城中路宏宝行</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清波路下王路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G351阳光大道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诚信大道福田路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S103站前大道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经发大道杨村路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五洲大道开创路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S310复线楂东线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大通路春风大道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城北路稠州北路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雪峰西路西站大道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雪峰西路春晗南路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稠州北路诚信一区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雪峰西路伏龙山路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城北路江滨北路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大通路口岸路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环城南路四海大道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福田路草塘沿路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机场路柳青路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西江路童店路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工人北路诚信一区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绣湖西路秀禾路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稠义路镇前街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龙祈路高浒路（规划一路）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北门街康园路（阳光大道花园下移位）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苏福路高君路（规划二路）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苏华街高浒路（规划一路）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经发大道城店路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好派路长府路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苏华街高君路（规划二路）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稠州路国贸大道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华川南路报国东路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S103大陈三村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S310苏华街 97KM+900M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机场路拥军路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 97KM+500M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北苑路文盛路（支路二）</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机场路洪深路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西江路永顺路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城中北路长春六街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S103莲藕街 138KM+200M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S103圣达街139KM+100M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S103上杨村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北苑路宏农路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丹溪北路广场路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黎明湖路西陈三区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环城南路南洲路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伏龙山北路圣寿路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雪峰西路荷花街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丹溪路西城路（南反向，西反向，北反向）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丹溪路广场路（北反）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化工路城中北路（南反向，北反向）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东洲路商博路（南反向，北反向）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稠州路戚继光（南反向、东反向）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贝村路永顺路（东反）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江东路下王路（东反向，西反向）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黄杨梅路望道路（南反向，北反向）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雪峰路春华路（东反向.西反向）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S103义乌超限运输检测站（南反向、北正向2）</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南门街南山路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环城南路戚继光路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苏八线大陈大道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春晗路夏荷路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义武路金义东南线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富港大道稠义线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义武路稠岭线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商城大道武岩路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商城大道S103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上佛路隔湖村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四季路留园路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黎明湖路西陈二区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义武路报国东路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义武路倍鱼路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义武路枫赤线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金义东公路-吉祥路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贝村路-童店路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银海路-华盛路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国贸大道银海路金华方向入口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国贸大道银海路杭州方向出口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国贸大道大通路金华方向入口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国贸大道大通路杭州方向入口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国贸大道大通路金华方向出口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国贸大道天宝路金华方向入口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310省道兴苏路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春谭路欧景路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西江路欧景路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环城南路地横头村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商城大道集聚区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官塘路德贸路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富港大道西站大道电警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四季路香溪裕园电警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富港大道开运路电警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汇港路开运路电警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西城路富港大道电警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富港大道稠义路电警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富港大道城店南路电警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富港大道五洲大道电警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西站大道香溪路口电警　</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龙祁路高君路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G351塘下店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S310苏八线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稠州北路草塘沿路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开元街中新街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环城南路学院路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工人北路长春六街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塘溪路龚青路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西江路崇德路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江东路梅湖会展中心</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廿东线稠下线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银海路口岸路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诚信大道口岸路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疏港快速路恒通路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S103模具城（义东路江滨路）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S103模具城（江滨路义东路南向北反向全景）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210省道103省道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龙海路伏龙山路（篁园路塘溪路移位）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东义公路宾王路上下闸道口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东义公路宾王路和欣路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雪峰路与秋实路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城中路与宗泽路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稠义富港辅道3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商城大道廿东线（北方向电警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义兰公路王村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江滨路赵宅路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疏港快速路S103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疏港快速路四海大道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义兰公路S103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义兰公路上店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义武公路山盆</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义武公路毛店初级中学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义武公路朱店初（毛店中桥岔口）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东义公路宗泽路久府和园（往东阳第一个路口）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东义公路宗泽路金星村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东义公路东义路大元村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G351阳光大道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G351商城大道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苏福路春风大道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S103湖门互通</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阳光大道苏兴大道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S310清溪路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新马路康园路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江滨路下车门路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S103鹤田</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S310稠大公路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戚继光路西城路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戚继光路稠关三街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戚继光路高新路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五洲大道永贸路（江湾）</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黎明湖路南洲路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丹溪路县前街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东萧公路东黄线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东萧公路义兰公路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东萧公路杨横线西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江东路江南菜市场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东义路宗泽路环形立交上匝道1（流量检测）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东义路宗泽路环形立交上匝道2（流量检测）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东义路宗泽路环形立交下匝道1（流量检测）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东义路宗泽路环形立交下匝道2（流量检测）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东萧公路何里隧道进口处（流量监测）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桃花坞出隧道口岔口（流量监测）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福田出口环城立交（流量监测）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疏港快速望道口辅道（流量检测口）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疏港快速路佛堂口辅道（流量检测口）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江滨路宾王路南向北反向全景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江滨路篁园路西向东反向全景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江滨路南门街西向东反向全景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绣湖西路秀禾路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绣湖西路秀禾路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疏港快速路龙海路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疏港快速路稠义线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S310复线大陈镇云溪小学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S310复线善坑村电警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雪峰西路富港大道电警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阳光大道刑里线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大陈收费站</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环城西路四海大道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新科路杨二村卫生服务站路段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宾王路房产交易大楼路段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西江路师范附属小学路段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丹溪路绣湖中学路段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望道路丹阳街路段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北苑路好安居路段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北苑乐购路段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工人路宾王中学路段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江东路犯罪侦查中心路段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江滨路/义驾山小学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江东路/鸡鸣山公园</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丹溪路丹溪三区（城中路/民主路移位）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西城路大水畈</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雪峰西路圣达街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稠州西路朝日科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稠州西路稠关三街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稠州路城店路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稠州路宏迪路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城北路上洪</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城中北路阳光小区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香山路法院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稠州北路宾王商贸区六街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稠州北路489街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稠州中路民主路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稠州西路宏迪路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通宝路下湾</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S103上扬村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稠州路香山路东</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大陈大道瑞云路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零星工程（反向枪机抓拍过车）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阳光大道镇前街交叉口交通设施安装工程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环城南路江东路下穿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佛堂大道渡磬南路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风情街项目</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雪峰东路大塘下路段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雪峰东路文盛路路段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雪峰西路中医院路段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雪峰西路三凯路路段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雪峰西路西景园路段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丹溪北路洪深路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丹溪路拥军路（反向抓拍）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金苑路（贝村路-铁东路）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江滨西路锦都豪苑路段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江东路中央城路段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篁园路樊村路段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南门街江南小区路段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南门街中心医院路段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经发大道楼下村路段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黎明湖路民强路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江东路九联菜场路段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江东路九联宾馆路段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宾王路银都酒店路段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宗泽路宾王小学路段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诚信大道义乌港路段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银海路银海二区路段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宗泽路久府和园路段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宾王路和欣家园路段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南门街春江路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工人路913号路段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经发大道千人计划创业园路段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江滨西路儿童公园路段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江东路桔子酒店路段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宾王路凯信酒店路段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商博路东洲花园路段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城中北路新豪都酒店路段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大陈大道天行服饰路段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西城路机电技师学院路段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大通路玉皇殿路段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戚继光路建材物流园路段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戚继光路稠江一小路段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涌金大道荷塘月色路段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商城大道遗安一区路段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城北路大塘下二区路段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宾王路春晗二区路段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望道路丹溪三区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310复线八坑线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望道路北苑路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春晗路和聚园路段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春晗路国际村路段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五洲大道下金村路段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四海大道龙回村路段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四海大道森山小镇路段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佛堂大道马村路段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西站大道枫溪村路段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香溪路上崇山路段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S103上溪综合市场路段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S103文明路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S103汽车城路段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城北路永宁路段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稠岭线机动车考试中心路段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人民路苏溪综合市场路段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S310上西陶路段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S310里外甘村路段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S310新院村路段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S310杜桥村路段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开元街19号路段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西城路春晗路北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宝港路雪峰路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宝港路求真路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江东路中心医院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西站大道与茂后村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国贸大道镇前街微循环抓拍设备安装工程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金塘路聚贤路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杭金衢上溪出口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S103吴店收费所</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S103上溪***路段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蟠龙路朝阳路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双林路莲池路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蟠龙路莲池路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佛画线芳山路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清润路朝阳路东</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清润路朝阳路西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佛堂大道渡磬路东反向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佛堂大道双峰路西反向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江北路蟠龙路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江东路蟠龙路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佛低线上佛线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建设西路桥西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道院路大成路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文化路建设中路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渡馨南路22号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渡磬南路81号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祥瑞路宝港路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稠州路大通路北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天宝路福田物流中心</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南山路南山公园路段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吉祥路青城路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苏福路里外甘村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神舟路渠成街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通宝路金桥路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雪峰西路溪干村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稠岭线雅西村路段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佛堂大道古塘村路段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佛堂大道宝龙广场路段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江滨路大学路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江滨路科圣路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江滨路1号门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江滨路2号门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江滨路3号门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科圣路计量大学北门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江滨北路119号对面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江滨北路197号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江滨北路201号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稠州北路66号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双林路大成路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宾王路清波路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廿三里屏石头</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五洲大道张宅村路段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西站大道八一村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西站大道前洪村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伏龙山路西站大道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涌金大道全宅村路段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东萧公路义兰公路南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S310复线大陈镇云溪小学北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阳光大道刑里线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稠义路富港大道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宾王路和欣路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稠义路官塘小学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贝村路欧景东路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拥军路神舟路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武岩路稠下线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武岩路上社二区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阳光大道云溪村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阳光大道振兴路流量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阳光大道城信大道流量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阳光大道规划之路2流量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香山路县前街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苏八线楂林工作片门口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苏八线马畈景区彩虹广场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富港大道祥瑞路东方向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祥瑞路旺津路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国贸大道辅道苏溪二小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国贸大道红旗村出城方向靠稠大线南向北（出城）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国贸大道红旗村出城方向靠城区南向北（出城）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国贸大道邢宅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国贸大道苏福路往杭州方向上匝道（出城）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国贸大道苏福路往杭州方向下匝道（出城）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国贸大道环城北路南向北（出城）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国贸大道环城北路北向南（进城）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国贸大道环城北路进城方向二次分流点北向南（进城）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国贸大道疏港快速路出城方向二次分流点</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国贸大道华统集团出城方向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国贸大道香溪路进城方向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国贸大道（疏港快速路-香溪路）进城方向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国贸大道疏港快速路进城方向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国贸大道疏港快速路进城方向二次分流点</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大通路开元北街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大通路武溪路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诚信大道廿李线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国贸大道芳菲路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佛堂大道许宅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春风大道龙祈路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民生路龙祈路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诚信大道武岩北路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义乌白马路芳山路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义乌白马路葛仙路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义乌白马路达摩路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义乌达摩路含笑路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义乌含笑路葛仙路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义乌含笑路2号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义乌前案路芳山路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义乌前案路99号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义乌前案路111号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富港大道江湾</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铜山路东黄线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铜山路环镇北路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国贸大道宾王路往金华方向(下国贸)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国贸大道城中路往金华方向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国贸大道稠州路往金华方向（下国贸）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国贸大道稠州路往杭州方向（下国贸）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国贸大道稠州路往金华方向（上国贸）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国贸大道新科路往金华方向（下国贸）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国贸大道新科路往杭州方向（下国贸）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国贸大道新科路往金华方向（上国贸）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学院路工商学院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工人北路稠城***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篁园路商苑社区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镇前街S310</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镇前街长府路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镇前街春风大道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商城大道武溪北街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商城大道开元街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商城大道华盛路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商城大道金桥路路段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60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adjustRightInd w:val="0"/>
        <w:snapToGrid w:val="0"/>
        <w:spacing w:line="360" w:lineRule="auto"/>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1.1.2</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模拟球机</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2736"/>
        <w:gridCol w:w="936"/>
        <w:gridCol w:w="1301"/>
        <w:gridCol w:w="939"/>
        <w:gridCol w:w="939"/>
        <w:gridCol w:w="1035"/>
        <w:gridCol w:w="1035"/>
        <w:gridCol w:w="103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佛堂大道徐江小学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海关大楼（城北路）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G351S310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江滨路丹溪路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篁园市场5号出口门口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篁园市场8号出口门口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篁园市场19号出口门口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宾王路会展中心</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经发大道与戚继光路交叉口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春华路与春晗路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交管分局办事大厅</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义乌中学南门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S310上坑口加油站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S310龙山寺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S310红旗村何塘坞之间弯道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S310刑宅村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S310新乐村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义乌中学东门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宗泽路工人北路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S310银海路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南山路青口圆盘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南山路青口圆盘信号机箱边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苏华街高圆路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廿东线惠民路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四季路汇港路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倍鱼线佛堂大道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五洲大道扬横线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大士路芳山路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四季路经发大道下穿东向西进口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四季路经发大道下穿东向西中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华川路大乔路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四季路经发大道下穿西向东中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四季路经发大道下穿东向西出口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鸿运路地下通道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朝阳路天祥路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四季路经发大道下穿西向东出口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鸿运路汇港路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四季路经发大道下穿西向东进口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大士路天祥路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鸿运路四季路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佛堂大道真爱毛毯门口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四季路通港路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双峰路天祥路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四季路环城西路下穿东向西进口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四季路环城西路下穿西向东进口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渡馨路建设路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四季路环城西路下穿西向东出口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四季路环城西路下穿东向西出口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朝阳路芳山路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稠佛路徐村路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稠佛路梅林路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四海大道荷花街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丹溪路工人路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商城大道遗安村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S310下沈路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S103湖门养老院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S310兴苏路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诚信大道茂盛街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江东路新广电大楼</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戚继光路松门里路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青波路宗泽路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商博路南下路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上西陶上环城北路叉口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春风大道荷叶塘小学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西城路（辅道）龙岗路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宾王客运中心后门出口的对面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S103S210三岔口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S103下金村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S103下金北公交站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S103上金村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S103报警点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S103潘塘村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廿东路稠下线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S310青溪路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雪峰路丹溪路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江东路丹溪路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北门街工人路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五洲大道锦纶一号线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黄杨梅路经发大道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西站大道粮食市场2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春风大道苏福街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江东路茂盛路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S103大陈三村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经一路纬一路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大陈大道中心幼儿园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诚信大道兴隆街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华川路-报国路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县前街新马路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上城路贺田路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南山路经发大道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丹溪路绣湖路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龙祈路高浒路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大陈大道苏八线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五联路/同义路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五洲大道富港大道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江滨路儿童公园对面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西城路-丹溪桥上（西）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南州路2号路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73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长府路好派路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西城路-丹溪桥上（东）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南州路环城南路（北）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圣寿路/荷花街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商城大道上周村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S103超限运输检测站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火车站应急通道入口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上佛路季村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火车站邮件分拣中心门口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火车站邮件分拣中心侧门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火车站入口斜坡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口岸路大通路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西城路涌金大道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银海路浙医路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春风大道大通路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春风大道苏华街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阳光大道邢里路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苏华街高浒路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苏八线稠大线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商城大道东新村陵园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圣寿路/伏龙山路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香溪路四季路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雪峰路义乌公学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经发大道/北苑路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五洲大道上金村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老金义新金义</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南州路环城南路（南）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稠义线镇前街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环城北路与物华路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五洲大道上佛路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S103与伏龙山北路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稠义线五联路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稠义线深塘路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S103与信达街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中新街与信联街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S103与莲藕街交叉口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青岩刘牌坊前面绿化带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S103圣达街交叉口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南山路与南门街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广场路北站大道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S103家具市场对面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S103鹤田</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国贸大道口岸路（东）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国贸大道口岸路（西）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草塘沿路福田路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阳光大道苏巧路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国贸大道涌金大道（东）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国贸大道涌金大道（西）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环城路幸福湖路（南）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环城路幸福湖路（北）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草塘沿路稠州路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国贸大道宗泽路北侧</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国贸大道宗泽路南侧</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上佛路祥贝路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上佛路吴村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上佛路王阡二村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义武路/稠岭线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义武路报国东路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义武路枫赤线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义武路金义东快速路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望道路二手车市场门口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国贸大道诚信大道大通路中间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S310红旗村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国贸大道大通路涌金大道中间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国贸大道天宝路龙岗路中间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国贸大道龙岗路东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国贸大道龙岗路西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环城北路国贸大道交叉口南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环城北路国贸大道交叉口北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国贸大道环城北路匝道掉头处</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环城北路宗泽路下穿进城</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环城北路宗泽路下穿出城</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大通路幸福湖路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银海路二区三区连接体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西城路商城大道银海路诱导屏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商城大道西京村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商城大道后宅集聚区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金义东南线吉祥路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S103商城大道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义武路倍鱼路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人民路兴苏路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人民路美一天超市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人民路蒋诚林西医诊所</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人民路华阳路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人民路镇前街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人民路同春堂大药房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人民路龙祈路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人民路农业银行门口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双峰路芳山路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苏福路高圆路（规划三路）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大陈镇中南路50号对面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大陈镇中南路工商银行旁边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大陈镇中北路61号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大陈镇中南路15号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大陈镇中北路94号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大陈镇中北路23号对面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大陈镇中北路51号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78" w:type="dxa"/>
            <w:tcBorders>
              <w:top w:val="nil"/>
              <w:left w:val="single" w:color="auto" w:sz="4" w:space="0"/>
              <w:bottom w:val="single" w:color="auto"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nil"/>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color w:val="000000"/>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3</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数字球机</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default" w:ascii="Times New Roman" w:hAnsi="Times New Roman" w:eastAsia="仿宋" w:cs="Times New Roman"/>
          <w:color w:val="000000"/>
          <w:sz w:val="28"/>
          <w:szCs w:val="28"/>
          <w:lang w:val="en-US" w:eastAsia="zh-CN"/>
        </w:rPr>
      </w:pP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2555"/>
        <w:gridCol w:w="1354"/>
        <w:gridCol w:w="1646"/>
        <w:gridCol w:w="1164"/>
        <w:gridCol w:w="1146"/>
        <w:gridCol w:w="939"/>
        <w:gridCol w:w="939"/>
        <w:gridCol w:w="939"/>
        <w:gridCol w:w="939"/>
        <w:gridCol w:w="939"/>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6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11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八坑线杜门东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青口圆盘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八坑线杜门西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神舟路与北站大道交叉口东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廿东线王畈村东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廿东线王畈村西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春风大道徐樟塘南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春风大道徐樟塘北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篁园路市场4号门前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稠州路民主街路口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义武公路大桥村路口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江滨西路龚青路交叉口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五洲大道环城南路路口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义乌港东北（原南）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义乌港东南（原北）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广电大楼南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广电大楼北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福田二区炮塔（海洋商务酒店边）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福田四区炮塔（四区五区连接体边）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西景园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复原医院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北苑行政中心楼顶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北苑行政中心楼顶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雪峰商务楼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稠州北路旁财富大厦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江东路时代广场A座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江滨路（浙商证券楼上）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义乌万豪酒店（商城大道福田路）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城市风景写字楼（宾王路环城南路）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塔山路培德路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五洲大道永贸路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贝村路金马路叉口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贝村路鹏程一街叉口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贝村路菜市场路段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城北路下穿兴中小区路段东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双峰路蝉花路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新科路城店路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城中路宗泽路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城中北路化工路岔口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化工路富国超市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北苑路乌商面馆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北苑路好安居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西城路人力资源市场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城店南路复元医院门口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贝村路永顺路稠江医院门口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欧景东路春潭路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西江路欧景东路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工人北路福田一区建设银行门口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工人北路福田一区锦耀宾馆门口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商博路四期五期连接体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银海路商贸城四区南门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西城路物资市场门口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城北路下穿兴中小区路段西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广场路丹溪路南向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广场路丹溪路北向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丹溪路绣湖西路交叉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新马路菜市场3号门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新马路菜市场门口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城中北路狂野之城门口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南门街妇幼保健院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江东南路九联农商银行门口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江东中路中心医院门口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江东南路南苑社区服务中心门口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S310省道青溪路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篁园路商苑小区门口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环城北路寺前村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经发大道城店路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五洲大道朝阳路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环城西路-四季路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环城西路-西站大道拥军路瑞趣公司附近掉头口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S310环城北路（西）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环城南路-稠佛路黎明湖路中间掉头口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江东路阳光大道南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S103贺田路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四季路留园路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香溪路龙海路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宏迪路-金苑路（十字路口）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宏迪路（工商银行门口）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欧景东路-西江路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童店路-贝村路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春晗路-夏荷路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新马路图书大厦路口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康园路北门街路口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工人路北门街（农商银行对面）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义乌之心新马路公寓B座对面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新马路义乌之心步行街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北门街新天地商厦对面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新光汇东北角（国信证券大楼旁）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新光汇东南角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新光汇西北角（海关大楼高空）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新光汇西南角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义乌二手车市场夏荷路口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双峰路达摩路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义乌长和路大队堆场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义乌之心银泰高空球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G351上娄村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G351颜坞村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G351颜坞村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G351与阳光大道交叉口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G351东宅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G351与商城大道交叉口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G351与龙祈路交岔口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G351东殿前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G351范家村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G351张口塘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G351新厅村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G351上大路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G351好派路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G351李塘（塘下店）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G351巧溪大桥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G351杨家村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G351上平阳村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S310复线老八坑线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S310复线婆姆村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S310复线岩界村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S310复线溪后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S310复线马鞍山小桥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S310复线大陈镇云溪小学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S310复线同春立交桥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S310复线同春立交桥往楂林方向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S310复线新八坑线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S310复线善坑村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S310复线苏八线（楂东线）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S310复线灯塔村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东萧公路东黄线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东萧公路何里隧道出口处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东萧公路长富村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东萧公路出乔里何隧道岔口2（桃花坞后）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东萧公路萧皇塘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东萧公路出黄山岭隧道一号岔口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东萧公路出黄山岭隧道3号岔口后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东萧公路山坞</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桃花坞隧道进口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东萧公路何里隧道口桥下100米处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东萧公路何里隧道进口处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黄山岭隧道进口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黄山岭隧道出口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高岩山隧道进口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东萧公路出高岩山隧道岔口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乔里何隧道出口处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东萧公路上新塘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桃花坞出隧道口岔口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东义路篁园路3（桥上）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东义路篁园路4（桥上）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东义公路宗泽路金星村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青岩刘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东苑路清溪路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东苑路东房新村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宾王路上匝道口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东义公路G527东阳交界处1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东义公路G527东阳交界处2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东义公路宾王路和欣路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大元村新建枪球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长城公园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稠州路涌金大道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东义公路宗泽路久府和园（往东阳第一个路口）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大元村出口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东义公路东义路大元村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大庆大桥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宾王路下匝道口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东义路三联桥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老环城南路与南门桥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灿烂烟花</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富港大道四海大道高架下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富港大道四海大道高架上北向南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富港大道四海大道高架上南向北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富港大道下何宅村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富港大道城店南路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四季路香溪裕园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富港大道雪峰路1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富港大道雪峰路2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富港大道雪峰路3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西城路富港大道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汇港路开运路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富港大道稠义路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富港大道鸿运路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义乌（后宅）高速收费站入口1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苏溪高速收费站入口2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苏溪高速收费站入口1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义乌（后宅）高速收费站入口2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湖门高速收费站入口1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湖门高速收费站入口2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湖门高速收费站出口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疏港快速路五洲大道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疏港快速顺通路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疏港快速路四海大道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疏港快速五洲大道（望道到佛堂）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疏港快速五洲大道（佛堂到望道）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疏港快速路恒通路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疏港快速稠义线（佛堂到望道）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疏港快速路与佛堂互通交叉口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疏港快速稠义线（望道到佛堂）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疏港快速S103（望道到佛堂）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疏港快速S103（佛堂到望道）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疏港快速路S103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疏港快速龙海路（望道到佛堂）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疏港快速龙海路（佛堂到望道）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疏港快速路龙海路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疏港快速四海大道（望道到佛堂）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疏港快速四海大道（佛堂到望道）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疏港快速路稠义线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疏港快速恒通路（望道到佛堂）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疏港快速恒通路（佛堂到望道）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疏港快速同和路（望道到佛堂）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疏港快速同和路（佛堂到望道）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疏港快速路G1512（望道到佛堂）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义乌西城北路环城北路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S310苏八线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苏福路月白塘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春风大道镇前街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龙祈路规划二路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阳光大道苏兴大道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103省道湖门互通</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义乌福田路国际商贸城二区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义乌春晗路丹溪路西南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义乌四季路春华路西北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义乌拥军路宏农路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义乌环城路城北路西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义乌春晗路宏农路西南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义乌南方联客运中心环驰手机卖场前面出口的对面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义乌北站大道神舟路至站前大道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义乌工人北路诚信一区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义乌商博路南下路西南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义乌雪峰路荷花街西南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义乌塘溪路篁园路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义乌S310城北路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义乌站前大道城北路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江东东路与东山路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义乌宗泽路工人北路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义乌环城路稠义线东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义乌站西支路西北角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义乌经发大道西江路西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义乌绣湖广场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义乌迎恩门二街西南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义乌迎恩门三街对面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义乌西城路绣湖西路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义乌宾王路车站路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义乌商贸城客运中心客车入口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义乌环城南路篁园路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义乌雪峰路秋实路西南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义乌拥军路丹溪路东北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义乌北苑路丹溪路西北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义乌S103高铁桥下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义乌北苑路春华路西北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义乌商城大道东新村寺庙处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义乌江东路会展中心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义乌宾王客运中心深圳发展银行前面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五洲大道环城路桥下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义乌江东路广电局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义乌商贸城客运中心客车出口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义乌城北路净居西路西北朝东南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义乌县前街北门街3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义乌四季路秋实路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城店南路永贸路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义乌群英路柳青路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义乌黄杨梅路春晗路西南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义乌城中路客运中心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义乌城中路宏宝行前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通宝路与东苑路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义乌阳光大道海德东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义乌阳光大道海德西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城店南路香溪路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义乌江滨路宗泽路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义乌江滨路龚青路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乌春晗路十二号路西南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义乌东洲路宗泽路西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义乌支路一稠州路诚信小区旁边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义乌商博路江东路东北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义乌雪峰路环城桥下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义乌国贸大道诚信大道东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义乌国贸大道诚信大道西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义乌拥军路望道路西南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义乌江滨路篁园路2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义乌福田路福田市场三四区诱导屏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义乌童店路西江路西朝东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义乌香山路西江路西南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义乌江滨路广发银行对面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义乌城中路博物馆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义乌城中路化工路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义乌环城南路青岩刘牌坊北朝南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义乌江东路江南菜市场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义乌西城路大通路西南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义乌江东路雷迪森酒店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义乌青岩刘路塘溪路西北朝东南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义乌东洲路广福路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义乌香山路经发大道东北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义乌四季路春晗南路西北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义乌望道中学东门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义乌春晗路望道路西南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义乌丹溪路广场路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丹溪北路县前街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义乌江东客运站十足的侧对面长途车的进口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义乌雪峰路新科路西南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义乌黎明湖路南门街西北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义乌环城西路四海大道西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义乌拥军路机场路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义乌雪峰路伏龙山路西北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义乌西城路诚信大道至银海路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义乌江滨路篁园路1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义乌西城路诚信大道西南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义乌清波路广福路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义乌城北路工人路西北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义乌城北路城中路西北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义乌宾王路会展中心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市政府大门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义乌新科路戚继光路西北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义乌北苑路下里角塘村口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义乌江东南路南山路西北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义乌贝村路永顺路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义乌S103后宅卫生院南朝北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义乌环城路五洲大道东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义乌环城路五洲大道西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义乌江滨路南门街1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义乌商贸城客运中心行包托运处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义乌商博路四期五期连接体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义乌贝村路经发大道西南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义乌诚信大道商博路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S310复线燕窝村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义乌商贸城客运中心地下停车场出口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义乌诚信大道工人路东北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义乌诚信大道城中路西南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义乌诚信大道口岸路东北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义乌银海路城中路西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义乌国贸大道城北路东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义乌国贸大道城北路西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义乌国贸大道长春六街东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义乌国贸大道长春六街西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义乌国贸大道商城大道东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义乌国贸大道商城大道西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义乌国贸大道长春六街至城北路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义乌雪峰路城北路西北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义乌香山劳务市场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义乌商城大道遗安村西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义乌大通路福田路西南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义乌经发大道戚继光路北朝南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义乌江东路实验小学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义乌黄杨梅路经发大道西南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义乌环城路商城大道南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义乌丹溪路西江路西南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义乌环城路稠义线西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义乌城中路南门街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义乌江滨路南门街2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义乌江东路南门街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义乌江东路篁园路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义乌西城路城中西路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义乌工人路宾王路1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义乌商贸区五街六街交叉口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义乌诚信小区福田路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义乌商贸城一期海关后面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义乌环城南路宾王路东北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义乌北苑路望道路东北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义乌雪峰路望道路西北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义乌雪峰路春晗路西南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义乌雪峰路经发大道西南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义乌雪峰路香溪路西北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义乌雪峰路圣达街西南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义乌稠州北路阳光幼儿园门口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义乌商城大道金城高尔夫西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义乌江东客运站KFC对面候车室前面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义乌江滨路城市规划设计院对面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义乌新马路工人路西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义乌迎恩门一街西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义乌迎恩门四街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义乌丹溪路丹溪公园东朝西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义乌清波路图书馆大门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义乌西城路银海路至商城大道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义乌望道中学南门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义乌国贸大道银海路东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义乌国贸大道银海路西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义乌国贸大道大通路东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义乌国贸大道大通路西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义乌国贸大道诚信大道至银海路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义乌北苑路春晗南路西北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义乌四季路经发大道西北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义乌四季路望道路西北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义乌新科路贝村路西北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义乌新科路西江路西南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义乌黎明湖路银河湾西北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义乌黎明湖路江东路西北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义乌黎明湖路西陈二区西南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义乌黎明湖路西陈三区西北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义乌城北路商博路西北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义乌城北路拥军路西北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义乌大通路稠州北路西南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义乌江东路龚青路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义乌洪深路群英路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义乌洪深路神舟路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义乌北苑路春晗三区西南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义乌北苑路秋实路西南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义乌高新路杨村路西北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义乌秀禾路绣湖路西南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义乌福田路诚信大道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义乌环城路商城大道北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义乌环城路城北路东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义乌环城西路四海大道东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义乌县前街北门街2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义武公路下清溪（红绿灯路口）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义乌工人路宾王路2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义乌工人路化工路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义乌江东路经发大道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义乌雪峰路丹溪路西北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义乌黎明湖路塔下洲西北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义乌商城大道柳青路西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义乌拥军路机场路西南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义乌长春六街工人路西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义乌西城路银海路西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义乌商博路东洲路西南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义乌环城路广福路东北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义乌江东路宗泽路西南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义乌青波路宗泽路西南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义乌江东路新广电大楼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义乌香山路江滨路西南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义乌贝村路江滨路西南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义乌丹溪路工人路西南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义乌经发大道杨村路西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义乌银海路工人路西南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义乌西江路污水处理站大门对面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义乌S103德胜路西南朝东北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义乌长和路文盛路西朝东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义乌雪峰路春华路东朝西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义乌S103神舟路西朝东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义乌雪峰路汇港路北朝南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义乌南山路南门街东南朝西北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义乌雪峰路绣湖路东朝西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义乌香溪路于毛线东南朝西北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义乌商城大道大通路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义乌清波路下王路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义乌城北路柳青路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义乌圣达路圣寿路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义乌环城南路商博路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义乌北站大道神舟路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义乌西城路丹溪桥下西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义乌西城路丹溪桥下东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义乌广福路江东路西南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义乌城北路洪深路东北2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义乌站南一路北站大道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义乌新科路杨村路西北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义乌黄杨梅路望道路东北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义乌伊美广场酒店门口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义乌江滨路化工路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义乌S103荷花街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义乌环城路学院路桥上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义乌江滨路赵宅路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江滨路诱导屏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义乌银海路口岸路西南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义乌洪深路商城大道西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义乌城北路洪深路东北1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义乌南山路经发大道西北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高新路杨村路2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义乌雪峰路宾王路西北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通宝路与东山路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通宝路与茂盛大街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江东东路与东苑路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江东东路与S310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雪峰路环城路东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雪峰路环城路西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义乌北苑路望道路西南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江东南路638号（红利超市）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秀禾路秀禾小区11幢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通惠门八街10-1号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望道路行政服务中心入口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义乌城北路鸿儒路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西站大道上连树村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夏桥街圣寿路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江东路桔子酒店门口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篁园路江东货运市场对面（进口）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稠义路五联路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东山路兴隆大街南侧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贝村路六瑞堂路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西城路义乌收藏品市场牌坊对面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城中路丹溪路2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武康路银海路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开元南街中国银行门口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贝村路金苑路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戚继光路大润发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江滨西路宏迪路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金麟北路永泰路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江滨路中国大地保险公司</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江东路永悦路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江东路青口小学门口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疏港快速路圣寿路东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疏港快速路圣寿路西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望道路268号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通惠门八街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求真路伏龙山路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县前街市政府门口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江东路铭豪宾馆旁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上佛路稠义线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好派路幸运路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五联路161号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金融一街金融六街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丹溪北路柳青菜市场门口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梅湖库存二手五街与五爱路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宾王路东洲路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贝村路275门口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工人北路1162号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群英路金城高尔夫二区2号门门口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龙海路东河街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龙海路荷花街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江滨西路锦都豪苑门口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新科路妇幼保健院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东兴路平湖路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北站大道北站五区38栋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上佛路义杭线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荷花街殿口菜市场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宾王路行政7号楼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拥军路厚富小区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上佛路金义东南线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宾王路山口小区116栋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好派路民丰路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诚信大道义乌港门口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龙海路万邮路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南景路黎明湖路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s103上扬村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稠义线德贸路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口岸路义乌港对面国贸大道进口处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望道路行政服务中心出口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环城北路万盛街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大陈大道瑞云路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丹溪北路21号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南景路环城路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塘溪路商苑菜市场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桥东街41号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义乌副食品市场南大门对面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篁园路春江路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清溪东路27号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诚信大道国际商贸城四区五号门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工人北路777号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长春六街工人北路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城中北路稠州医院停车场出口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江滨中路308号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江东南路黎明湖路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四通路信达路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上佛路四通路岔口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银海路茂盛大街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城北路义乌农商银行门口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西城路望道路北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宗泽路宾王中学门口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镇前街398号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江东南路九联宾馆门口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四通路上溪桥边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工人北路中国邮政银行对面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后宅综合市场东门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大通路幸福湖路2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净居路神舟路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群英路金城生鲜超市门口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义乌副食品市场东大门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信达路萧皇路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东苑路平湖路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篁园路篁园市场8号门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塘溪路中心医院南门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五爱路48号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友谊路永宁路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香山路法院门口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诚信大道与华盛路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南门街中心医院西门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佛堂大道93号门口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福田路支路一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华劲路起航路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雪峰路复兴路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西城路望道路东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化工路华山医院后门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贝村路鹏城二街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新科路万达广场门口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市场东街未来之星幼儿园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镇前街319号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龚青路中心医院东门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心安溪路净居路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香山路556号门口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贝村路204号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机场路义浦线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戚继光路高新路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伏龙山路龙腾路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苏八线上楼村公交站牌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上佛路隔湖村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310省道稠大公路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义乌上佛路五洲大道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S310苏溪公铁立交桥桥下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宾王路数码城门口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好派路人民路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五洲大道永茂路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望道路复兴路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高寿尖隧道口南（义乌往武义）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方坑隧洞路口（武义往义乌）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义乌新科路城店南路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戚继光路西城路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戚继光路稠关三街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商城大道九洲百合</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恩惠路新马路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310省道106km+900m处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春风大道雅兆村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春风大道支路三（下西陶）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环城路全备村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金义东路吉庆路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环城南路稠佛路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义兰公路王村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义兰公路外苍黄球机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义兰公路上店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青口物流园北侧入口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青口物流园南侧入口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义兰公路古塘下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义兰公路沿华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义兰公路陡深岭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义兰公路东萧公路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义兰公路萧皇塘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义兰公路下宅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义兰公路里苍黄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高寿尖隧道7号停车带（武义往义乌）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义武公路尚阳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义武公路朱一新故里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义武公路大桥村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义武公路朱店初（毛店中桥岔口）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高寿尖隧道2号停车带（义乌往武义）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义武公路倍鱼线往南第一个路口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上吴路口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下清溪1（进义乌）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下清溪2（进武义）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义武公路山盆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吴溪后金宅村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义武公路毛店初级中学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义武公路隧道口南诱导屏处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高寿尖隧道口北（武义往义乌）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高寿尖隧道口北（义乌往武义）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高寿尖隧道3号停车带（义乌往武义）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高寿尖隧道4号停车带（义乌往武义）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高寿尖隧道6号停车带（武义往义乌）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高寿尖隧道5号停车带（武义往义乌）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高寿尖隧道口南岔口（义乌往武义）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义乌机场路587号中国人保楼顶西南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铜材大厦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义乌购高空球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红辣椒袜业</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义乌经发大道329号金路达袜业楼顶西南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环城北路西城路信号塔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义乌江东南路309号第九会所楼顶东南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义乌大酒店楼顶西北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义乌宾王路1号稠州医院楼顶北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总部经济园A2新科路贝村路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义乌城北路225号米兰假日酒店楼顶南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招商银行大楼江滨路宗泽路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海创服饰</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之江大酒店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华川金融大厦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卿悦府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万商酒店城北路国贸大道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环城北路与阳光大道信号塔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义乌工人北路2号颐和大酒店楼顶东北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香江大厦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义乌江东路699号中心医院楼顶南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解放新苑楼顶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久府和园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义乌经发大道452号浙江欧罗针织楼顶东北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东方医院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机场路环城路立交信号塔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和聚园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开元日信大酒店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义乌雪峰西路968号北苑创业园楼顶东北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义乌城西路199号浙江物通楼顶东南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紫竹苑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海景花园楼顶西北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海景花园楼顶东南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海客电商园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上城家园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五亭华府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义乌江滨北路279建设大楼楼顶西南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义乌篁园路128号工商银行楼顶西南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义乌江滨西路148号楼下村综合大楼楼顶南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义乌工人西路113号天成大厦楼顶西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义乌丹溪北路500号华亭酒店楼顶东南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义乌丹溪北路677号天恒国际大酒店楼顶西北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义乌春晗路118号北苑***楼顶西南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义乌贝村路385号经贝家园楼顶东北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义乌宗泽北路511号柳青路口楼顶西南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义乌宾王路217号凯信酒店楼顶北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义乌城中西路273_279号侨盛宾馆楼顶南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义乌供电局楼顶西北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御金嘉园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九州百合</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巴厘岛雅庭酒店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顺丰大楼龙海路香溪路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邮政大楼四海大道香溪路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浙中副食品物流中心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明珠广场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苏溪综合市场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银海国际商务中心对面高楼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义乌佰仁老年康复医院（西城路宾王路）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田畈村茂盛家园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吾悦广场鹰眼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伊美广场鹰眼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稠州路涌金宾馆楼顶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稠州路国税局楼顶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稠州西路国贸大道东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稠州西路丹溪路东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稠州西路丹溪路北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稠州中路南门街东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稠州中路南门街北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稠州中路篁园路东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稠州中路篁园路北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稠州北路义东路西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稠州北路义东路北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稠州北路商城大道东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稠州北路商城大道北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新科路消防站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新科路加油站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西城路新科路东侧北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西城路新科路东侧南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西城路沈村路北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西城路沈村路南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西城路秋实路东朝西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西城路大水畈西朝东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西城路大水畈东朝西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稠州西路创意园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稠州西路朝日科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稠州西路稠关三街东朝西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稠州西路城店路西朝东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稠州西路城店路东侧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稠州西路宏迪路西侧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稠州西路宏迪路东侧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稠州西路南方联西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稠州西路丹溪路西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稠州中路民主路西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稠州中路民主路东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稠州中路稠州公园门口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稠州中路下车门路东侧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稠州中路篁园路西侧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稠州中路稠州路停车场东朝西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稠州中路前大路西朝东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稠州中街38号东朝西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稠州北路联运路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稠州北路涌金宾馆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稠州北路杉杉集团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稠州北路商贸区六街南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稠州北路三挺路南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稠州北路国际大厦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稠州北路赵宅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稠州北路词林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稠州北路宾王中学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稠州北路金福源</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稠州北路长春七街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稠州北路长春六街北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稠州北路长春三街北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稠州北路商贸城二区天桥东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稠州北路商贸城二区天桥西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稠州北路商贸城三区天桥东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稠州北路商贸城三区天桥西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金茂大厦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皇朝酒店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花来香酒店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农业大楼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迪元酒店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环城西路机场立交桥上道路监控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民航南航对面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民航路机场航空管理局叉口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民航路贵宾通道2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商贸城客运中心正门东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商贸城客运中心正门西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北苑街道四季社区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春华路131号路段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春华路北苑路段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春华路四季路段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春华路夏荷路段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稠佛路许宅路段1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稠佛路许宅路段2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稠佛路许宅路段3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稠州路三挺路岗亭对面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S310环城南路岗亭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江东路中心医院岗亭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万达嘉华酒店楼顶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工人西路北门街东向星光违停道路监控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民航路贵宾通道1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工人西路路口星光违停道路监控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工人西路中央公馆路口星光违停道路监控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北苑路乐购岗亭对面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上佛线与S103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工人西路新马路东向星光违停道路监控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新科路春潭路路段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佛堂大道渡馨南路东向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佛堂大道朝阳路东向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佛堂大道大士路东向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佛堂大道建设东路南向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佛堂大道建设东路西向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风情街项目</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义亭小学南门对面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稠义路镇前街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义亭综合市场9号楼对面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义亭综合市场广场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稠义路深塘路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铜溪路17号对面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镇前街望月路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镇前街重阳路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稠义路上佛路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深塘路义亭小学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五联路同义路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北站大道火车站对面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民航路三岔路口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黄杨梅路秋实路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丹溪路洪深路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未来之星幼儿园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镇前街与深塘路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开元街竺阳路西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开元街竺阳路南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开元街永乐路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开元街40号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开元街肯德基门口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开元街国家电网对面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开元街中新街西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武溪北街诚信大道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武溪路通宝路西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武溪路通宝路南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通宝路畅想幼儿园对面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金麟路商城大道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世俊路机场路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世俊路362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世俊路352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城北路武德路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城北路武德路路牌往廿三里方向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城北路兴隆大街指路牌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城北路阳光大道西北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城北路阳光大道西南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城北路阳光大道东北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城北路中新街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城北路紫金路西向东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宝港路雪峰路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宝港路求真路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金塘路聚贤路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水岸家园一栋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益达宾馆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天瑞针织</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精粹袜业</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派对集团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百安街上城路口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上溪小学文明路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S103金塘路（模拟球更换）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上城路兴华街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吴店小学（寄挂治安）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吴肖路双平路（新立杆）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上溪航慈溪边（新立杆）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S103兴华街（模拟球更换）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上溪小学岩口校区（寄挂治安）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S103云溪路北（寄挂电警杆）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S103云溪路南（模拟球更换）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云溪路文明路（寄挂指示牌）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上溪综合市场（新立杆）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兴华路镇政府（寄挂指示牌）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S103上溪***路段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月湖公寓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恒盛酒店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金塘雅居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农商银行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蟠龙路与涌泉路（寄挂限行卡口）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蟠龙路与莲池路南（寄挂红绿灯）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江北路与蟠龙路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蟠龙东路湖山殿下西（新立杆）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蟠龙路与朝阳路西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双林路和大成路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江北路与江滨路路口（寄挂治安）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双林路税务局门前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双林路与莲池路西（寄挂电子警察）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双林路与莲池路北（寄挂电子警察）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云黄路与大成路（寄挂治安）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建设路大成路西（寄挂红绿灯）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建设路大成路北（寄挂红绿灯）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佛堂镇中门口（寄挂卡口）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建设东路初级中学门口（寄挂治安）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大成路与道院路路口（寄挂治安）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道院路48号（寄挂治安）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大成路与文化东路（寄挂治安）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建设中路与东风路路口工商银行（寄挂治安）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建设路与文化路路口（寄挂治安）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芳山路朝阳路西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朝阳路31号（寄挂行政）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朝阳路与大成路路口北（寄挂治安）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朝阳西路与朝阳路东（寄挂卡口）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朝阳西路与朝阳路西（寄挂卡口）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渡馨中路建设西路西（寄挂治安）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渡馨中路建设西路北（寄挂电子警察）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渡磬南路22号（寄挂治安）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小吴溪村19幢路口（新立杆）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建设西路东（新立杆）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建设西路72号（寄挂治安）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佛堂影院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芳山路培德路东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佛堂大道上佛路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渡磬路宝龙广场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蟠龙路和佛低线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蟠龙路和江东路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渡馨北路和佛低线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渡馨南路和大成路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蟠龙路和朝阳路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佛画线和芳山路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蟠龙路和莲池路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蟠龙花园18幢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蟠龙花园2幢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维也纳楼顶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宝龙广场楼顶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佛堂安居4栋楼顶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蟠龙花园10栋楼顶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老市基浮桥头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祥瑞路富港大道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祥瑞路宝港路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天宝路福田物流中心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南山路经发大道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吉祥路青城路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神舟路渠成街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通宝路金桥路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江滨路大学路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江滨路科圣路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江滨路蟠龙路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江滨路1号门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江滨路2号门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江滨路3号门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佛堂广播电视局门口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佛堂幼儿园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培德路白马路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佛堂大道宝龙广场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朝阳路佛堂二小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西站大道前洪</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西站大道八一村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幸福湖路大通路东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和欣路江东卫生院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贝村路欧景东路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义乌港西南高空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新光聚饰云产业园高空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新马路新马路菜市场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通宝路武岩路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武岩路中新街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武岩路稠下线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武岩路上社二区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阳光大道天宝路东向西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阳光大道云溪村南向北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阳光大道殿前路北向南道路监控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阳光大道殿前路南向北道路监控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阳光大道大通路涌金大道中间东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阳光大道大通路涌金大道中间西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阳光大道振兴路东高架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阳光大道振兴路商城大道中间高架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阳光大道诚信大道大通路中间西高架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阳光大道诚信大道大通路中间东高架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阳光大道天宝路殿前路中间西高架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阳光大道天宝路殿前路中间东高架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阳光大道下环城北路匝道高架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环城北路上阳光大道高架处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环城北路上阳光大道高架匝道靠阳光大道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阳光大道下环城北路匝道靠环城北路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阳光大道高架出口处靠下西线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阳光大道殿前路高架东下匝道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雪峰西路伏龙山路北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伏龙山路工商街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江东东路阳光大道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香山路县前街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香山路铁东路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苏八线溪后路口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苏八线马畈桥头公交站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苏八线楂林小学入口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苏八线楂林狗肉总店斜对面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苏八线马畈景区彩虹广场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江滨路前大路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义武公路水岸家园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官塘路官塘幼儿园门口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环城西路拥军路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城北路起航路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稠关一街稠关菜市场东门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稠关一街稠关菜市场南门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稠关一街6号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文昌路2号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文昌路石鱼路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S103广场大道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祥瑞路旺津路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祥瑞路汇港路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国贸大道富港大道（高架）南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国贸大道香溪路（高架）南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国贸大道香溪路（地面）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国贸大道芳菲路（高架）北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国贸大道五联路（高架）南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国贸大道深塘路（高架）北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义乌国贸大道稠大线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国贸大道丹丹路（高架）东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国贸大道丹丹路（高架）西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国贸大道大陈江（高架）东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国贸大道大陈江（高架）西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国贸大道邢宅村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国贸大道G351北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国贸大道G351南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国贸大道S310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国贸大道蒋宅一区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国贸大道雅星织造（高架）东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国贸大道雅星织造（高架）西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大通路武康路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诚信大道廿李线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国贸大道芳菲路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春风大道龙祈路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民生路龙祈路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白马路葛仙路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白马路42号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白马路达摩路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达摩路含笑路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含笑路19号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含笑路葛仙路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含笑路2号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前安路葛仙路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前安路99号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前安路111号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广场大道火车站楼顶东南角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广场大道火车站楼顶西南角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富港大道江湾街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铜山路东黄线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铜山路环镇北路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铜山路（荷店塘村-甘塘路中间）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铜山路甘塘路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铜山路荷店塘村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篁园路商苑社区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国贸大道宾王路下穿隧道南向北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国贸大道宾王路下穿隧道北向南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国贸大道农贸城站台南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国贸大道农贸城站台北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国贸大道城中路（高杆）南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国贸大道城中路（高杆）北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国贸大道江滨路东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国贸大道江滨路西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义乌国贸大道经发大道东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义乌国贸大道经发大道西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义乌国贸大道新科路站台南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义乌国贸大道新科路站台北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商城大道开元街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563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4</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多功能执法</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096"/>
        <w:gridCol w:w="936"/>
        <w:gridCol w:w="1301"/>
        <w:gridCol w:w="939"/>
        <w:gridCol w:w="939"/>
        <w:gridCol w:w="1035"/>
        <w:gridCol w:w="1035"/>
        <w:gridCol w:w="103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江滨北路城市规划设计院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江滨北路兴中小区17幢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银海路九如堂村(视光眼科医院移）</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丹溪路迎恩门四街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广场路迎恩门二街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南门街迎恩门一街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站南一路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国贸大道农贸城入口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新科人力资源市场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江滨北路中能商务楼</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江滨北路广发银行</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江滨北路仁和宾馆</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南门街广场路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稠州路工人路356街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大成路文化路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天宝路国贸大道匝道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义乌通惠门稠州幼儿园门口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五洲大道徐塘下</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环城北路宗泽路下穿隧道北反</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环城北路宗泽路下穿隧道北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环城路前店村路段</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环城南路五洲大道路口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宗泽东路东洲路主道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四季路留园路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国贸大道大通路杭州方向上匝道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航站楼一楼乘客出口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环城北路幸福湖路禁货</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国贸大道城北路出口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商城大道大通路禁货</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国贸大道宗泽路路段南向北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国贸大道宗泽路路段北向南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环城南路龙回立交匝道东向西</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西城路前店小学出口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四海大道樊村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铁东路（稠州西路国贸大道交叉口）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丹溪路恩惠路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铁东路（稠州西路-贝村路）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五洲大道中金村路段</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宏迪路江滨西路交叉口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行政服务中心东出入口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丹阳街（望道路-丹阳街）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丹阳街（丹溪路-丹阳街）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S103汽车城路段辅道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金苑路（香山路-贝村路）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5</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常规卡口</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2857"/>
        <w:gridCol w:w="1040"/>
        <w:gridCol w:w="1465"/>
        <w:gridCol w:w="939"/>
        <w:gridCol w:w="1017"/>
        <w:gridCol w:w="1046"/>
        <w:gridCol w:w="1047"/>
        <w:gridCol w:w="1047"/>
        <w:gridCol w:w="1047"/>
        <w:gridCol w:w="1047"/>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8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4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10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8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金义东南线后阳村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金义东南线后塘村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商城大道后毛店</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雪峰路近西站大道路段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江滨路自来水厂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上佛线王阡</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浦义线10KM+200M隧道口处</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佛画线三角店村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香溪路江湾大桥路段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香溪路孙村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四海大道羊八山</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民航路营区</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诚信大道九如堂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西城北路荷叶塘公园</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江东东路江干村路段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通宝路新兴村路段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城北路杜元村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S310甬金高速出口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西站大道货站</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S310复线燕窝村路段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s103吴店收费所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义武公路方坑隧道路段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南山路青岩刘路段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宗泽路会展中心下穿通道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S103夏楼村路段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上佛路下前王村路段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金义东南线葛仙村路段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金义东南线塘下洋村路段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金义东南线上谷村路段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稠岭线光明村路段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稠佛路后园村路段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大通路杏园村路段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S310下沈村路段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S103俊塘村路段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新科路银河湾路段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义武公路尚阳村路段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阳光大道苏溪路段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商城大道西京村路段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南山路刑大路段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苏八线上娄村路段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五洲大道羊角山</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S210下余山村路段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S103上金村路段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S103潘塘村路段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四季路下穿隧道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城北路下穿隧道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环城北路全备村路段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环城西路龙回村路段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西城路龙回互通</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国贸大道G351-S310中间路段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四海大道古母塘村路段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五洲大道张宅</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西城路交警大队</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义武线后金宅路段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G351上山下村路段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黎明湖路义乌党校路段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国贸大道物华路路段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义武线4KM+400M</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疏港快速路望道口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义兰公路里苍黄至外苍黄</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义武公路大桥村路口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银海路下华店村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稠义线官塘村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八坑线杜门村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商城大道下骆宅</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西城北路荷叶塘公园</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诚信大道九如堂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江东东路江干村路段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通宝路新兴村路段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环城南路青岩刘路段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城北路杜元村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S310甬金高速出口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四季路下穿隧道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大通路杏园村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西城路龙回互通</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环城北路寺前村路段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国贸大道物华路路段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上佛线（王阡）</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阳光大道高速桥下（拆）（江滨自来水厂）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雪峰西路靠近西站大道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义浦线隧道口处</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商城大道后毛店</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稠义线（荷店塘）</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S310复线燕窝村路段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S103吴店收费所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金义东南线葛仙村路段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金义东南线东阳交界</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阳光大道苏溪路段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S210下余山村路段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S103上金村路段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商城大道西京村路段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四海大道毛塘楼路段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机场路下穿涵洞国贸大道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稠州路宾王商贸区六街路段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新科路西城路路段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稠州路稠州公园路段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西城路秋实路路段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四海大道毛塘楼路段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83"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6</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雷达卡口</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5"/>
        <w:gridCol w:w="3359"/>
        <w:gridCol w:w="1049"/>
        <w:gridCol w:w="1054"/>
        <w:gridCol w:w="709"/>
        <w:gridCol w:w="919"/>
        <w:gridCol w:w="1045"/>
        <w:gridCol w:w="1055"/>
        <w:gridCol w:w="963"/>
        <w:gridCol w:w="1000"/>
        <w:gridCol w:w="964"/>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05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70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3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义兰公路仇宅（出义乌）</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义兰公路仇宅（进义乌）</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东义公路G527东阳交界处</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东义路黄山隧道进城</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东义路黄山隧道出城</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S310复线同春村南</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S310复线同春村北</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东萧公路出黄山岭隧道1号岔口前卡口（出义乌方向）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东萧公路出黄山岭隧道3号岔口后卡口(进义乌方向）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东萧公路山坞卡口（出义乌方向）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东萧公路桃花坞卡口(进义乌方向）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春风大道徐樟塘村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北站大道雅楼村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廿东线王畈村路段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佛堂大道清韵里农庄路段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环城北路东陶村路段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阳光大道坞盘院村路段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国贸大道龙溪玫瑰园路段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国贸大道富港大道香溪路路段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稠义路荷店塘卡口</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国贸大道绣湖中学稠江校区路段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599"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7</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交通诱导（6平方）</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3538"/>
        <w:gridCol w:w="936"/>
        <w:gridCol w:w="1301"/>
        <w:gridCol w:w="939"/>
        <w:gridCol w:w="759"/>
        <w:gridCol w:w="1033"/>
        <w:gridCol w:w="1037"/>
        <w:gridCol w:w="1033"/>
        <w:gridCol w:w="1037"/>
        <w:gridCol w:w="103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5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5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江东路（永胜小区对面）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国贸大道建设三村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国贸大道文昌路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银海路商贸城四期</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福田路海关东门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工人路银海路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稠州北路长春六街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金义东泽塘村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金义东芦塘下村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雅西村村口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朝阳东路365前</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朝阳路古民居</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江滨西路篁园市场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商博路商贸城五区南连接体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福田路商贸城三期连接体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阳光大道商城大道东上匝道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阳光大道涌金大道东上匝道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阳光大道涌金大道西上匝道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阳光大道殿前路西口上匝道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8</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交通诱导（12平方）</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
        <w:gridCol w:w="4086"/>
        <w:gridCol w:w="1388"/>
        <w:gridCol w:w="1442"/>
        <w:gridCol w:w="768"/>
        <w:gridCol w:w="793"/>
        <w:gridCol w:w="878"/>
        <w:gridCol w:w="884"/>
        <w:gridCol w:w="878"/>
        <w:gridCol w:w="884"/>
        <w:gridCol w:w="87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3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44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7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40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诚信大道（义乌港门口）</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稠州北路（国税局往西200米）</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宾王路（清波路）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工人西路（义乌四中对面）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南门街（妇幼保健院对面）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国贸大道丹溪桥下</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北苑路（乐购对面）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江东南路（刑大正门右侧）</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环城南路（南山路）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诚信大道（客运中心）</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西城路新科路（人才市场）</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稠州北路（国税局往西200米）</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宾王路（清波路）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工人西路（义乌四中对面）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南门街（妇幼保健院对面）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国贸大道丹溪桥下</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北苑路（乐购对面）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江东南路（刑大正门右侧）</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环城南路（南山路）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诚信大道（客运中心）</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西城路新科路（人才市场）</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国贸大道绣湖中学稠江校区路段</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国贸大道城北路往金华方向方屏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国贸大道刑宅村</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国贸大道（物华路往金华方向）条屏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国贸大道涌金大道（往杭州方向）方屏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稠义路（往环城西路方向）方屏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西城路（出城，机场-宾王）方屏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环城南路塔下州(往佛堂大道方向）条屏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环城南路塔下州(进城方向）方屏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环城南路龙回（往西城路方向)条屏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环城南路龙回（往四海大道方向）方屏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环城西路柳二村(往机场路）方屏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环城北路全备村(往商城大道全）方屏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环城北路全备村条屏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国贸大道城北路往杭州方向（光带板）</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G527东阳交界处（东阳至义乌）</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G527东阳交界处（义乌至东阳）</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疏港快速路望道口（南向北）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疏港快速路望道口（北向南）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疏港快速路佛堂口（南向北）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疏港快速路佛堂口（北向南）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义武公路高寿尖隧道口</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西城路（商城大道至银海路）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大队门口</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阳光大道商城大道高架西</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阳光大道天宝路东高架</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阳光大道天宝路西高架</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529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9</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加油站卡口</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
        <w:gridCol w:w="3777"/>
        <w:gridCol w:w="770"/>
        <w:gridCol w:w="1301"/>
        <w:gridCol w:w="939"/>
        <w:gridCol w:w="759"/>
        <w:gridCol w:w="1032"/>
        <w:gridCol w:w="1038"/>
        <w:gridCol w:w="1032"/>
        <w:gridCol w:w="1038"/>
        <w:gridCol w:w="103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7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下西陶加油站（S310下西陶）</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马丁加油站（S310马丁三岔口）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荷叶塘加油站（S310物华路口）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大陈加油站（大陈大道大陈团结村）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滴水岩加油站（S310红旗村）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华光加油站（稠大线与苏八线路口）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义乌城东加油站（东义路与环城南路口）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环城北路加油站（环城北路祖科塘村）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望道加油站（S103疏港快速路）</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鑫桥加油站（商城大道开元路口）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下骆宅加油站（商城大道阳光大道路口）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义乌城中加油站（城中路化工路口）进口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义乌篁园路加油站（篁园路环城南路口）出口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义乌物流中心加油站（西城路银海路口）进口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义乌商城大道加油站（商城大道城中路口）出口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义乌拥军加油站（拥军路城北路口）进口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义乌经发加油站（西城路新科路口）出口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义乌江东加油站（江东中路宾王路口）进口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义乌航天加油站（机场路拥军路口）出口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义乌宗泽路加油站（西城路宗泽路口）进口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义乌春晗加油站（北苑路152号）出口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义乌城北加油站（宗泽路西城路口）进口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义乌城西加油站（北苑街道西城路578号）出口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义乌北苑加油站（机场路1号）出口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义乌江东货运市场撬装式加油站</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义兰公路前山村（古塘下）</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义乌畈田朱加油站（东黄线畈吴线路口）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杨宅加油站（佛堂江北路106号）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稽亭加油站（佛堂大道蟠龙路口）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江南街加油站（佛堂大道江南街村）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殿口加油站（S103香溪路口）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上溪吴店加油站（上溪镇四通西路161号）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贾伯塘加油站（S103四通路贾伯塘村）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毛店金潮加油站（枫赤线后金宅村）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义亭杭畴加油站（佛低线义杭线路口）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义亭上鲍重油经营部（义亭友谊路35号1单元）</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徐村加油站（佛堂大道真爱毛纺）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义亭加油站（稠义线义亭中学对面）</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竞荣机油经营部（渡磬南路24号）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10</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行人闯红灯</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3056"/>
        <w:gridCol w:w="1029"/>
        <w:gridCol w:w="1451"/>
        <w:gridCol w:w="939"/>
        <w:gridCol w:w="932"/>
        <w:gridCol w:w="1032"/>
        <w:gridCol w:w="1038"/>
        <w:gridCol w:w="1031"/>
        <w:gridCol w:w="1040"/>
        <w:gridCol w:w="1034"/>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0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4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0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县前街与北门街交叉口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宾王路与稠州路交叉口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城北路与稠州路交叉口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工人路与北门街交叉口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福田路与银海路交叉口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工人北路与银海路交叉口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望道路与雪峰路交叉口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北苑路与望道路交叉口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贝村路与稠州路交叉口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江东路与宾王路交叉口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西江路新科路交叉口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稠州路与化工路交叉口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26"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11</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测速仪</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
        <w:gridCol w:w="2089"/>
        <w:gridCol w:w="1137"/>
        <w:gridCol w:w="1599"/>
        <w:gridCol w:w="995"/>
        <w:gridCol w:w="958"/>
        <w:gridCol w:w="1142"/>
        <w:gridCol w:w="1142"/>
        <w:gridCol w:w="1142"/>
        <w:gridCol w:w="1142"/>
        <w:gridCol w:w="1143"/>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1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59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0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59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多功能执法仪二期</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多功能执法仪十期</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857"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12</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信号机</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3244"/>
        <w:gridCol w:w="1224"/>
        <w:gridCol w:w="1301"/>
        <w:gridCol w:w="939"/>
        <w:gridCol w:w="759"/>
        <w:gridCol w:w="1035"/>
        <w:gridCol w:w="1036"/>
        <w:gridCol w:w="1036"/>
        <w:gridCol w:w="1036"/>
        <w:gridCol w:w="103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2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江东路江南菜市场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丹溪路雪峰路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江东路梅湖会展中心</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丹溪路工人路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江东路茂盛路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丹溪路春晗路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丹溪路城中路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江东路二中前</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宗泽路柳青路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拥军路宏农路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杨村路高新路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雪峰路春晗南路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绣湖路秀禾路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新科路杨村路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新科路江东江滨路（银河小区黎明湖）</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塘溪路龚青路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南门街南山路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经发大道杨村路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经发大道南山路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经发大道黄杨梅路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机场路民航路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环城西路杨村路（四海大道）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南山路学院路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环城南路江东南路（稠佛路）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广福路清波路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工人北路长春六街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中新西街开元路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春晗路黄杨梅路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城中路长春六街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北苑路秋实路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北苑路宏农路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北苑路文盛路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G351塘下店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春晗路文盛路（十二号路）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稠州路支路一（诚信一区）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稠州北路草塘沿路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黎明湖路西陈三区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黎明湖路西陈二区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柳青路群英路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商博路东洲路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春晗路宏农路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文盛路长和路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五洲大道朝阳路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工人北路诚信一区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宗泽路春晗路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武岩路稠下线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西江路永顺路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北门街康园路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环城南路贝村路（五洲大道）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宗泽路洪深路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江滨路前大路（东江路）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南山路青岩刘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佛堂大道徐江小学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西江路童店路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西江路崇德路（污水处理厂）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S310南山路（青口圆盘）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S310永康路（新院）</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雪峰路绣湖西路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商城大道雪峰东路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商博路清波路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五岔路口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雪峰路秋实路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商城大道商博路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洪深路群英路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香溪路于毛路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商城大道洪深路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S310清溪路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苏兴路阳光大道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江滨路赵宅路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福田路草塘沿路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福田路支路一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洪深路神舟路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商城大道上周村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商城大道净居路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塔山路葛仙路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S210S103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江东路信联小区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清波路下王路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上佛路张家</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雪峰路西站大道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鸿运路汇港路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雪峰路汇港路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雪峰路荷花街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江东路龚青路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四季路秋实路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稠义路五联路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江滨路龚青路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S310龙祈路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S103大陈收费站</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S103站前大道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上佛路季村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宗泽路起航路（支路一）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开元北街通宝路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S103神舟路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苏兴路苏八线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S103宗泽北路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西城路伏龙山</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西站大道支路一(西站大道前洪村)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江东路广福路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S103德胜路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雪峰路圣达路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北站大道神舟路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西城路圣达路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新科路城店路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上佛路祥贝</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雪峰路伏龙山</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城中路县前街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北站大道园丁路（雅楼村）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环城西路经发大道（西站大道）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丹溪路江滨路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S103家具市场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香溪路环徐线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环城路地横头交叉口（南景路）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双峰路天祥路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上佛路义亭互通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上佛路S103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佛堂大道梅林路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朝阳路天祥路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四海大道疏港快速路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西站大道楼宅村(西站大道宝港路)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西站大道西站二区(西站大道八一村)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西站大道伏龙山路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S103省道后宅社区（净居）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上佛路佛低线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通宝路茂盛大街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香溪路稠岭线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大士路天祥路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西站大道（支路二）(西站大道K5+600路口)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丹溪路广场路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上佛路王阡二村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戚继光松门里路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G351上华溪</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义武公路072乡道（毛店）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经发大道城店路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阳光大道邢里线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信达路上成路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新科路雪峰路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义武路山盆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五洲大道开创路（富港大道）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苏华街春风大道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苏福路武德路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双峰路稠佛路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圣寿路伏龙山路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环城路南洲路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金义公路东吉祥路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建设路渡馨路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广福路东洲路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兴隆大街振兴路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大成路建设路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宾王路梅湖体育馆交叉口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S103莲藕街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S103省道黄山路口（兴华路）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S310稠大线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S103贺田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义武路朱店初</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诚信大道紫金路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涌金大道物华路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廿东线惠民路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义武公路529乡道（毛店初中）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五洲大道-江湾（五洲永贸）</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汇港路四季路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贝村路永顺路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好派路长府路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城中路宏宝行</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华川路大乔路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宗泽路渠成街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华川路报国路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龙祈路武德路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S103金塘路（义兰公路）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银海路九如堂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开运路汇港路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S310兴苏路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S103信达路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武岩路通宝路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西站大道茂后村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西站大道（天天快递）（粮食市场）（西站大道义乌港二期)</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苏华路武德路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北苑路和聚园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西站大道（楼宅村）(西站大道富港大道)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诚信大道华盛路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S310草塘沿路(诚信大道往北)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金义线老金义线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圣寿路圣达路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同义路五联路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南洲路支路一（南洲花园）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工人路三挺路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新马路铁西路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西城路荷花街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上佛路隔湖村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武溪北街通宝路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东萧公路长富村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鸿运路开运路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富港大道开运路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塔山路培德路(佛画线）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义武公路金义东路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义武公路报国路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廿东路稠下线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欧景东路春潭路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官塘路德贸路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夏荷路春晗路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环城路群英路（全备）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童店路贝村路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商城大道S103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商城大道集聚区路口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东山路桥头</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欧景东路西江路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义武公路枫赤线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东义路大元村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佛堂大道倍鱼线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新马路康园路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义武公路稠岭线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宾王路和欣路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环城路全备村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伏龙山路龙腾路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华盛路银海路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芳山路塔山路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新马路物资市场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永茂路龙海路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S310复线诸暨（善坑村）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S310复线苏八线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G351S310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江东路蟠龙路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江东路实验小学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宗泽路久府合园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青城路吉祥路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青城路吉庆路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吉庆路青山路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吉庆路金义东路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戚继光路高新路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蟠龙路蟠龙花园（莲池路）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宗泽路金星村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东萧公路义兰公路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稠州路宾王商贸区六街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东萧公路东黄线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戚继光路稠关三街（西城路戚继光路）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双峰路蝉花路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春风大道雅兆村（下兆村）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春风大道下西线（下西陶）</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龙海路万邮路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义兰公路寺口陈</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宝港路鸿运路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双峰路达摩路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吉祥路青山路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丹溪路县前街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永茂路支路二（城店路永贸路）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永贸路支路一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西站大道（西方村）（西站香溪）</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佛赤线芳山路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环城南路黎明湖路（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贝村路六瑞堂路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香山路铁东路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香山路县前街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城中路通道二</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银海路浙医路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城北路金融五街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富港大道老稠义路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阳光大道支路四</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环城北路阳光大道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和欣路学院路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阳光大道高岭村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镇前街长府路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S103湖门互通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四海大道通港大道（富港大道）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S310下西线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水岸家园枫赤线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义武线水岸家园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后山路报国路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五洲大道上金村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篁园路江东新村路口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大陈大道瑞云路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雪峰路宝港路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龙海路伏龙山路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上城路贺田路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上城路杨横线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银海路武康路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银海路武溪路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银海路武岩路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龙潭路金鳞北路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龙潭路开元街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龙潭路武溪街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廿东线富商线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银海路金鳞北路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武岩路惠民路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武岩路武梅二街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武岩路祥民路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安商路康民路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通宝路金桥路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金鳞北路中新街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金鳞北路永泰路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大通路武康路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城北路鸿儒路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城北路起航路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佛赤线飞凤路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国贸大道杨横线路口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商城大道华盛路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商城大道开元街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稠义路深塘路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义兰公路下宅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S310复线朝塘村(云溪小学)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S310塘坞村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S103上杨村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S103超限检测站</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S103大陈三村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铜山路东黄线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铜山路何店塘村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江滨路江北路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大成路双林路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拥军路神州路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神舟路渠成街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东苑路平湖路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东山路平湖路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广场大道站南一路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广场大道站南三路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广场大道站南四路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北站大道站南四路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江滨路大学路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江滨路科圣路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江滨路蟠龙路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江赤公路青城路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义武线下清溪</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义武线朱店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阳光大道江东连接线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望道路夏荷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望道路洪深路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望道路柳河路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望道路丹桂苑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望道路夏荷路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北苑路景三路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春晗路凯吉路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5"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13</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信号灯</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2683"/>
        <w:gridCol w:w="1153"/>
        <w:gridCol w:w="1508"/>
        <w:gridCol w:w="939"/>
        <w:gridCol w:w="1051"/>
        <w:gridCol w:w="1102"/>
        <w:gridCol w:w="1106"/>
        <w:gridCol w:w="1035"/>
        <w:gridCol w:w="1035"/>
        <w:gridCol w:w="1032"/>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5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宗泽路柳青路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拥军路宏农路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S103家具市场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杨村路高新路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阳光大道邢里线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雪峰路西站大道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雪峰路汇港路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雪峰路荷花街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雪峰路春晗南路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绣湖路秀禾路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新科路杨村路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新科路雪峰路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香溪路环徐线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塘溪路龚青路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苏华街春风大道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上佛路S103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商城大道拥军路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稠岭线培德路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环城路南洲路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开元街诚信大道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经发大道杨村路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经发大道黄杨梅路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江东路经发大道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江东路江南菜市场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江东路龚青路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南山路学院路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环城南路江东南路（稠佛路）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广福路清波路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广福路东洲路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工人北路长春六街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中新西街开元路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丹溪路雪峰路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丹溪路县前街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丹溪路工人路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春晗路北苑路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稠州路化工路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北苑路秋实路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北苑路宏农路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S310江东路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S310镇前街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S103鹤田</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欧景东路春潭路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环城路群英路（全备）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商城大道S103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春晗路文盛路（十二号路）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稠州路支路一（诚信一区）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稠州北路草塘沿路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江东路实验小学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镇前街长府路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五洲大道上金村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宗泽路久府合园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清波路下王路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柳青路群英路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宗泽路北苑路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商博路东洲路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春晗路宏农路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东义路大元村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环城南路戚继光路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丹溪路柳河路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丹溪路柳英路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丹溪路柳青路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丹溪路江滨路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戚继光松门里路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上佛路稠义路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佛堂大道倍鱼线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新马路康园路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北门街康园路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环城南路贝村路（五洲大道）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好派路长府路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春晗路四季路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城中路化工路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华川路大乔路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宗泽路渠成街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宗泽路洪深路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S310龙祈路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江滨路前大路（东江路）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南山路青岩刘</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华川路报国路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佛堂大道徐江小学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经发大道贝村路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西江路童店路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西江路崇德路（污水处理厂）</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丹溪路洪深路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雪峰路绣湖西路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S103信达路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S103省道后宅社区（净居）</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宗泽路起航路（支路一）</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雪峰路秋实路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雪峰路经发大道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通宝路茂盛大街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春风大道镇前街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香溪路于毛路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商城大道洪深路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S310清溪路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经发大道北苑路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香溪路稠岭线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S103宗泽北路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西城路伏龙山</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环城路全备村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江东路广福路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江滨路赵宅路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S103德胜路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雪峰路圣达路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江东路茂盛路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诚信大道华盛路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福田路草塘沿路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福田路支路一</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宗泽路金星村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华盛路银海路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北站大道神舟路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圣寿路圣达路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丹溪路城中路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城中西路贝村路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雪峰路伏龙山</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西城北路涌金大道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丹溪路拥军路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丹溪路春晗路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涌金大道物华路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S103神舟路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黄杨梅路秋实路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宗泽路春晗路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上佛路义亭互通</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上佛路佛低线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S103莲藕街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商博路清波路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北苑路文盛路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南洲路支路一（南洲花园）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江东路二中前</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稠岭线江湾村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宗泽路拥军路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五洲大道江湾</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江滨路龚青路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拥军路神州路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工人北路诚信一区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双峰路天祥路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双峰路培德路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双峰路稠佛路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圣寿路伏龙山路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大士路芳山路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大成路建设路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春晗路黄杨梅路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朝阳路芳山路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S310复线善坑村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S310复线苏八线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S210S103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S103黄山路口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S310稠大公路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塔山路培德路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义武公路金义东</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义武公路报国路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官塘路德茂路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夏荷路春晗路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G351S310</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G351塘下店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丹溪路广场路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江东路信联小区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武溪路通宝路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东山路桥头</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稠州路商贸区六街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四海大道伏龙山路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五联同义路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大士路天祥路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永贸路支路二</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黎明湖路江东路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五叉路口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稠州路诚信大道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新马路物资市场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双峰路蝉花路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双峰路达摩路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北苑路和聚路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蟠龙路蟠龙花园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江北路蟠龙路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G351上华溪</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S310永康路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S103金塘路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上城路金塘路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S310兴苏路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伏龙山路龙腾路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戚继光路稠官三街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望道路夏荷路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塔山路芳山路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西城路圣达路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洪深路神州路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大陈大道锦衣路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和欣路学院路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城北路通宝路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S310塘坞村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诚信大道廿李线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上城路杨横线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义兰公路下宅路口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富港大道老稠义路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城中路通道二</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苏八线楂林小学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通宝路下湾村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东山路平湖路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东苑路平湖路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348"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widowControl w:val="0"/>
        <w:kinsoku/>
        <w:wordWrap/>
        <w:overflowPunct/>
        <w:topLinePunct w:val="0"/>
        <w:autoSpaceDE/>
        <w:autoSpaceDN/>
        <w:bidi w:val="0"/>
        <w:adjustRightInd w:val="0"/>
        <w:snapToGrid w:val="0"/>
        <w:spacing w:line="400" w:lineRule="exact"/>
        <w:jc w:val="center"/>
        <w:textAlignment w:val="auto"/>
        <w:rPr>
          <w:rFonts w:hint="default" w:eastAsia="仿宋"/>
          <w:color w:val="000000"/>
          <w:sz w:val="28"/>
          <w:szCs w:val="28"/>
          <w:lang w:val="en-US" w:eastAsia="zh-CN"/>
        </w:rPr>
      </w:pPr>
      <w:r>
        <w:rPr>
          <w:rFonts w:hint="eastAsia" w:eastAsia="仿宋"/>
          <w:color w:val="000000"/>
          <w:sz w:val="28"/>
          <w:szCs w:val="28"/>
          <w:lang w:val="en-US" w:eastAsia="zh-CN"/>
        </w:rPr>
        <w:t>2.</w:t>
      </w:r>
      <w:r>
        <w:rPr>
          <w:rFonts w:hint="eastAsia" w:eastAsia="仿宋"/>
          <w:color w:val="000000"/>
          <w:sz w:val="28"/>
          <w:szCs w:val="28"/>
        </w:rPr>
        <w:t>中心系统的应用系统与支撑系统运维服务费</w:t>
      </w:r>
      <w:r>
        <w:rPr>
          <w:rFonts w:hint="eastAsia" w:eastAsia="仿宋"/>
          <w:color w:val="000000"/>
          <w:sz w:val="28"/>
          <w:szCs w:val="28"/>
          <w:lang w:val="en-US" w:eastAsia="zh-CN"/>
        </w:rPr>
        <w:t>报价明细表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仿宋"/>
          <w:color w:val="000000"/>
          <w:sz w:val="28"/>
          <w:szCs w:val="28"/>
        </w:rPr>
      </w:pPr>
      <w:r>
        <w:rPr>
          <w:rFonts w:hint="eastAsia" w:eastAsia="仿宋"/>
          <w:color w:val="000000"/>
          <w:sz w:val="28"/>
          <w:szCs w:val="28"/>
          <w:lang w:val="en-US" w:eastAsia="zh-CN"/>
        </w:rPr>
        <w:t>2.1</w:t>
      </w:r>
      <w:r>
        <w:rPr>
          <w:rFonts w:hint="eastAsia" w:eastAsia="仿宋"/>
          <w:color w:val="000000"/>
          <w:sz w:val="28"/>
          <w:szCs w:val="28"/>
        </w:rPr>
        <w:t>应用系统</w:t>
      </w:r>
      <w:bookmarkStart w:id="305" w:name="_Hlk114410679"/>
      <w:r>
        <w:rPr>
          <w:rFonts w:hint="eastAsia" w:eastAsia="仿宋"/>
          <w:color w:val="000000"/>
          <w:sz w:val="28"/>
          <w:szCs w:val="28"/>
        </w:rPr>
        <w:t>硬件</w:t>
      </w:r>
      <w:bookmarkEnd w:id="305"/>
      <w:r>
        <w:rPr>
          <w:rFonts w:hint="eastAsia" w:eastAsia="仿宋"/>
          <w:color w:val="000000"/>
          <w:sz w:val="28"/>
          <w:szCs w:val="28"/>
        </w:rPr>
        <w:t>维护</w:t>
      </w:r>
      <w:r>
        <w:rPr>
          <w:rFonts w:eastAsia="仿宋"/>
          <w:color w:val="000000"/>
          <w:sz w:val="28"/>
          <w:szCs w:val="28"/>
        </w:rPr>
        <w:t>服务费</w:t>
      </w:r>
      <w:r>
        <w:rPr>
          <w:rFonts w:hint="eastAsia" w:eastAsia="仿宋"/>
          <w:color w:val="000000"/>
          <w:sz w:val="28"/>
          <w:szCs w:val="28"/>
          <w:lang w:val="en-US" w:eastAsia="zh-CN"/>
        </w:rPr>
        <w:t>报价明细表</w:t>
      </w:r>
    </w:p>
    <w:p>
      <w:pPr>
        <w:pStyle w:val="2"/>
        <w:jc w:val="both"/>
        <w:rPr>
          <w:rFonts w:hint="eastAsia"/>
          <w:color w:val="000000"/>
        </w:rPr>
      </w:pPr>
      <w:r>
        <w:rPr>
          <w:rFonts w:hint="eastAsia" w:ascii="宋体" w:hAnsi="宋体" w:eastAsia="宋体" w:cs="宋体"/>
          <w:b w:val="0"/>
          <w:bCs w:val="0"/>
          <w:color w:val="000000"/>
          <w:kern w:val="2"/>
          <w:sz w:val="24"/>
          <w:szCs w:val="20"/>
          <w:lang w:val="en-US" w:eastAsia="zh-CN" w:bidi="ar-SA"/>
        </w:rPr>
        <w:t xml:space="preserve">投标人（公章）： </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jc w:val="center"/>
        <w:tblLayout w:type="fixed"/>
        <w:tblCellMar>
          <w:top w:w="0" w:type="dxa"/>
          <w:left w:w="108" w:type="dxa"/>
          <w:bottom w:w="0" w:type="dxa"/>
          <w:right w:w="108" w:type="dxa"/>
        </w:tblCellMar>
      </w:tblPr>
      <w:tblGrid>
        <w:gridCol w:w="572"/>
        <w:gridCol w:w="942"/>
        <w:gridCol w:w="1124"/>
        <w:gridCol w:w="1095"/>
        <w:gridCol w:w="1231"/>
        <w:gridCol w:w="1548"/>
        <w:gridCol w:w="616"/>
        <w:gridCol w:w="523"/>
        <w:gridCol w:w="872"/>
        <w:gridCol w:w="592"/>
        <w:gridCol w:w="599"/>
        <w:gridCol w:w="602"/>
        <w:gridCol w:w="679"/>
        <w:gridCol w:w="720"/>
        <w:gridCol w:w="716"/>
        <w:gridCol w:w="1084"/>
      </w:tblGrid>
      <w:tr>
        <w:tblPrEx>
          <w:tblCellMar>
            <w:top w:w="0" w:type="dxa"/>
            <w:left w:w="108" w:type="dxa"/>
            <w:bottom w:w="0" w:type="dxa"/>
            <w:right w:w="108" w:type="dxa"/>
          </w:tblCellMar>
        </w:tblPrEx>
        <w:trPr>
          <w:trHeight w:val="323" w:hRule="atLeast"/>
          <w:jc w:val="center"/>
        </w:trPr>
        <w:tc>
          <w:tcPr>
            <w:tcW w:w="572"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序号</w:t>
            </w:r>
          </w:p>
        </w:tc>
        <w:tc>
          <w:tcPr>
            <w:tcW w:w="942"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项目</w:t>
            </w:r>
          </w:p>
        </w:tc>
        <w:tc>
          <w:tcPr>
            <w:tcW w:w="1124"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子项（子系统）</w:t>
            </w:r>
          </w:p>
        </w:tc>
        <w:tc>
          <w:tcPr>
            <w:tcW w:w="1095"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维护开始时间</w:t>
            </w:r>
          </w:p>
        </w:tc>
        <w:tc>
          <w:tcPr>
            <w:tcW w:w="1231"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设备名称</w:t>
            </w:r>
          </w:p>
        </w:tc>
        <w:tc>
          <w:tcPr>
            <w:tcW w:w="1548"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品牌型号</w:t>
            </w:r>
          </w:p>
        </w:tc>
        <w:tc>
          <w:tcPr>
            <w:tcW w:w="616"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单位</w:t>
            </w:r>
          </w:p>
        </w:tc>
        <w:tc>
          <w:tcPr>
            <w:tcW w:w="523"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数量</w:t>
            </w:r>
          </w:p>
        </w:tc>
        <w:tc>
          <w:tcPr>
            <w:tcW w:w="872"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月运维费</w:t>
            </w:r>
            <w:r>
              <w:rPr>
                <w:rFonts w:hint="eastAsia" w:eastAsia="仿宋"/>
                <w:color w:val="000000"/>
                <w:kern w:val="0"/>
                <w:sz w:val="18"/>
                <w:szCs w:val="18"/>
                <w:lang w:val="en-US" w:eastAsia="zh-CN"/>
              </w:rPr>
              <w:t>用</w:t>
            </w:r>
            <w:r>
              <w:rPr>
                <w:rFonts w:eastAsia="仿宋"/>
                <w:color w:val="000000"/>
                <w:kern w:val="0"/>
                <w:sz w:val="18"/>
                <w:szCs w:val="18"/>
              </w:rPr>
              <w:t>（元）</w:t>
            </w:r>
          </w:p>
        </w:tc>
        <w:tc>
          <w:tcPr>
            <w:tcW w:w="4992" w:type="dxa"/>
            <w:gridSpan w:val="7"/>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246" w:hRule="atLeast"/>
          <w:jc w:val="center"/>
        </w:trPr>
        <w:tc>
          <w:tcPr>
            <w:tcW w:w="572" w:type="dxa"/>
            <w:vMerge w:val="continue"/>
            <w:tcBorders>
              <w:left w:val="single" w:color="auto" w:sz="12" w:space="0"/>
              <w:right w:val="single" w:color="auto" w:sz="4" w:space="0"/>
            </w:tcBorders>
            <w:noWrap/>
            <w:vAlign w:val="center"/>
          </w:tcPr>
          <w:p>
            <w:pPr>
              <w:widowControl/>
              <w:jc w:val="center"/>
              <w:rPr>
                <w:rFonts w:eastAsia="仿宋"/>
                <w:color w:val="000000"/>
                <w:kern w:val="0"/>
                <w:sz w:val="18"/>
                <w:szCs w:val="18"/>
              </w:rPr>
            </w:pPr>
          </w:p>
        </w:tc>
        <w:tc>
          <w:tcPr>
            <w:tcW w:w="942"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1124"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095"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231"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548"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616"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523"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872"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91"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2023年</w:t>
            </w:r>
          </w:p>
        </w:tc>
        <w:tc>
          <w:tcPr>
            <w:tcW w:w="1281"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2024年</w:t>
            </w:r>
          </w:p>
        </w:tc>
        <w:tc>
          <w:tcPr>
            <w:tcW w:w="1436" w:type="dxa"/>
            <w:gridSpan w:val="2"/>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r>
              <w:rPr>
                <w:rFonts w:eastAsia="仿宋"/>
                <w:color w:val="000000"/>
                <w:kern w:val="0"/>
                <w:sz w:val="18"/>
                <w:szCs w:val="18"/>
              </w:rPr>
              <w:t>2025年</w:t>
            </w:r>
          </w:p>
        </w:tc>
        <w:tc>
          <w:tcPr>
            <w:tcW w:w="1084" w:type="dxa"/>
            <w:vMerge w:val="restart"/>
            <w:tcBorders>
              <w:top w:val="single" w:color="auto" w:sz="4" w:space="0"/>
              <w:left w:val="nil"/>
              <w:right w:val="single" w:color="auto" w:sz="12" w:space="0"/>
            </w:tcBorders>
            <w:noWrap/>
            <w:vAlign w:val="center"/>
          </w:tcPr>
          <w:p>
            <w:pPr>
              <w:widowControl/>
              <w:jc w:val="center"/>
              <w:rPr>
                <w:rFonts w:eastAsia="仿宋"/>
                <w:color w:val="000000"/>
                <w:kern w:val="0"/>
                <w:sz w:val="18"/>
                <w:szCs w:val="18"/>
              </w:rPr>
            </w:pPr>
            <w:r>
              <w:rPr>
                <w:rFonts w:hint="eastAsia" w:ascii="Times New Roman" w:hAnsi="Times New Roman" w:eastAsia="仿宋" w:cs="Times New Roman"/>
                <w:color w:val="000000"/>
                <w:kern w:val="0"/>
                <w:sz w:val="18"/>
                <w:szCs w:val="18"/>
                <w:lang w:val="en-US" w:eastAsia="zh-CN"/>
              </w:rPr>
              <w:t>三年合计</w:t>
            </w:r>
          </w:p>
        </w:tc>
      </w:tr>
      <w:tr>
        <w:tblPrEx>
          <w:tblCellMar>
            <w:top w:w="0" w:type="dxa"/>
            <w:left w:w="108" w:type="dxa"/>
            <w:bottom w:w="0" w:type="dxa"/>
            <w:right w:w="108" w:type="dxa"/>
          </w:tblCellMar>
        </w:tblPrEx>
        <w:trPr>
          <w:trHeight w:val="472"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599" w:type="dxa"/>
            <w:tcBorders>
              <w:top w:val="nil"/>
              <w:left w:val="nil"/>
              <w:bottom w:val="single" w:color="auto" w:sz="4" w:space="0"/>
              <w:right w:val="single" w:color="auto" w:sz="4" w:space="0"/>
            </w:tcBorders>
            <w:noWrap/>
            <w:vAlign w:val="center"/>
          </w:tcPr>
          <w:p>
            <w:pPr>
              <w:widowControl/>
              <w:jc w:val="center"/>
              <w:rPr>
                <w:rFonts w:hint="default" w:eastAsia="仿宋"/>
                <w:color w:val="000000"/>
                <w:kern w:val="0"/>
                <w:sz w:val="18"/>
                <w:szCs w:val="18"/>
                <w:lang w:val="en-US" w:eastAsia="zh-CN"/>
              </w:rPr>
            </w:pPr>
            <w:r>
              <w:rPr>
                <w:rFonts w:hint="eastAsia" w:eastAsia="仿宋"/>
                <w:color w:val="000000"/>
                <w:kern w:val="0"/>
                <w:sz w:val="18"/>
                <w:szCs w:val="18"/>
                <w:lang w:val="en-US" w:eastAsia="zh-CN"/>
              </w:rPr>
              <w:t>年运维费</w:t>
            </w: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1084" w:type="dxa"/>
            <w:vMerge w:val="continue"/>
            <w:tcBorders>
              <w:left w:val="nil"/>
              <w:bottom w:val="single" w:color="auto" w:sz="4" w:space="0"/>
              <w:right w:val="single" w:color="auto" w:sz="12" w:space="0"/>
            </w:tcBorders>
            <w:noWrap/>
            <w:vAlign w:val="center"/>
          </w:tcPr>
          <w:p>
            <w:pPr>
              <w:widowControl/>
              <w:jc w:val="center"/>
              <w:rPr>
                <w:rFonts w:hint="eastAsia" w:eastAsia="仿宋"/>
                <w:color w:val="000000"/>
                <w:kern w:val="0"/>
                <w:sz w:val="18"/>
                <w:szCs w:val="18"/>
                <w:lang w:val="en-US" w:eastAsia="zh-CN"/>
              </w:rPr>
            </w:pPr>
          </w:p>
        </w:tc>
      </w:tr>
      <w:tr>
        <w:tblPrEx>
          <w:tblCellMar>
            <w:top w:w="0" w:type="dxa"/>
            <w:left w:w="108" w:type="dxa"/>
            <w:bottom w:w="0" w:type="dxa"/>
            <w:right w:w="108" w:type="dxa"/>
          </w:tblCellMar>
        </w:tblPrEx>
        <w:trPr>
          <w:trHeight w:val="472" w:hRule="atLeast"/>
          <w:jc w:val="center"/>
        </w:trPr>
        <w:tc>
          <w:tcPr>
            <w:tcW w:w="572" w:type="dxa"/>
            <w:vMerge w:val="restart"/>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智能交通一期</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指挥调度平台硬件子系统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ind w:left="-73" w:leftChars="-35" w:firstLine="82" w:firstLineChars="46"/>
              <w:jc w:val="left"/>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GIS数据服务器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X3850X5</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SAN交换机</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SAN24B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消息服务器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通信服务器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预处理服务器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数据库服务器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X3850X5</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WEB服务器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智能交通数据中心暨实战应用平台</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2023.10.1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NameNode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SecondaryNameNode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BackupNameNode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395"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管理配置节点</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X3650M4Inter E5-2640V2  2.0GHz  8核CPU；48G内存；4*1TB 7.2K SAS 2.5" SFF Slim-HS HDD HS；四个1GbE以太网电口；RAID 5 Upgrade</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DataNode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X3530M4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X3530M4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CISCO WS-C3560X-24T-S</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KVM</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1754A2X</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原有存储扩容升级</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MS2500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虚拟化平台存储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MS5520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卡口、电警图片存储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MS5520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8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HBA卡升级</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原有IBM X3650M3 服务器包括1台消息服务器、2台通信服务器、2台WEB服务器和2台应用服务器均不带双口8GB HBA卡，每台服务器均增加IBM双口8GB HBA卡1块；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83"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内存升级</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原有IBM X3850X5服务器包括2台GIS数据服务器和2台数据库服务器全部从32GB内存升级为128GB内存；原有8台IBM X3650M3服务器全部从16GB内存升级为64GB内存；</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SAN交换机端口全部激活</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SAN交换机经本次激活16端口后，其24端口获全部激活，并配置相同数量的光纤连接线。</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道路监控一期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模拟矩阵</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CM9780-352X128-X</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串行通讯卡</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CM9700-SER</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串行通讯扩展卡</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CM9700-SER32</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数据管理器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CM9760-DMR-X</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控制键盘</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KBD300A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16路光端机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蛙视VNX-16V-4D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码分配器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超视SSP-D0116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道路监控二期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eSFP-GE-SX-MM850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道路监控三期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道路监控四期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道路监控五期</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道路监控六期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道路监控七期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道路监控八期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道路监控九期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2023.8.1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蛙视VNX-1V-2D-E</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S3700-52P-SI-AC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华为1310nm，10km,LC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矩阵中央处理单元</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PELCOCM9780-CC1</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高空监控一期子系统</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核心交换机</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华为S9306</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交换机业务板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华为48个千兆电口业务板</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单模模块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xml:space="preserve">华为10KM单模GE模块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多模模块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xml:space="preserve">华为 500米多模GE模块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接入交换机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华为3328</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蛙视WS-6UJX-14</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超视SSP-2003W-D16</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485共享器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16路编码器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海康DS-6316HF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矩阵输入前面卡</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CM9780-VCC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矩阵输入后面卡</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CM9780-DFC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CM9780-VPP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道路监控矩阵扩容子系统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派尔高CM9780-MXB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矩阵箱连接线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派尔高CM9700-CBL-10FT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组</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输入板前置</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派尔高CM978o-vcc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输入板后置</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派尔高CM9780-DFC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输出板前置</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派尔高CM9780-VMC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输出板后置</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派尔高CM9780-RPM</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BNC接线板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派尔高CM9780-RPC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数据扩展器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派尔高CM9700-SER-32</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数据扩展卡</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数字监控</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网络键盘</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海康威视DS-1600k</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多功能执法七期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2023.4.1</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S5700-24TP-SI-AC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交通诱导</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华为S3700-52P-SI-AC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信号控制系统六期</w:t>
            </w:r>
          </w:p>
        </w:tc>
        <w:tc>
          <w:tcPr>
            <w:tcW w:w="1095"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2024.10.1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 华为S3700</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18</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卡口式电子警察二期子系统</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华三 H3C S5024P </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19</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卡口式电子警察三期子系统</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华三 H3C S5024P </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分控中心</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LCD拼接屏</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海康威视DS-D2046NL-B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30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工业级监视器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海康威视DS-D5084FL</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LED显示条屏</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 定制</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拼接控制器</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海康威视DS-B1X</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硬盘录像机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海康威视DS-6316HF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高清解码器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海康威视DS-6410HD-T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VGA分配器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海康威视DS-C50V0102P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网络控制键盘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海康威视DS-1100K</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定焦半球型网络摄像机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海康威视DS-2CD2720F-IS</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个</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硬盘录像机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海康威视DS-8632N-ST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西部数据WD30PURX</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汇聚交换机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LS-5500-28F-EI-AC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接入交换机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LS-S3110-26TP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SFP-GE-LX-SM1310-A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7</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4路光端机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蛙视VNX-4V-2D-1E</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8路光端机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蛙视VNX-8V-2D-1E</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抓拍电脑</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DELL  3020MT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座席电脑</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DELL  3020MT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朗强</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键盘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PELCO  CM9760-KBD-AU</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空调</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格力KFRd-120LW</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10KVA UPS主机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科士达YDC9300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蓄电池</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九保</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电池箱</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建奥</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21</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存储扩容</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原有虚拟化存储扩容升级</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宏杉MS5500升级</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虚拟化平台存储设备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 MS5520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原有图片存储扩容</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宏杉MS5500升级</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执法记录仪云存储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 MS3300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光纤交换机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博科300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网络改造</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核心交换机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S10510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服务器汇聚交换机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6" w:hRule="atLeast"/>
          <w:jc w:val="center"/>
        </w:trPr>
        <w:tc>
          <w:tcPr>
            <w:tcW w:w="572"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SFP-GE-LX-SM1310-D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180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分机房汇聚交换机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SFP-GE-LX-SM1310-D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办公汇聚交换机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S5500-24P-SI</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接入交换机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S5110-52P</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刀片服务器（含刀箱）</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HPE BL660c刀片服务器，HP BLc7000刀箱</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外网防火墙</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深信服AF-1820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入侵防御系统</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深信服AF-1550-IPS</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08"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23</w:t>
            </w:r>
          </w:p>
        </w:tc>
        <w:tc>
          <w:tcPr>
            <w:tcW w:w="94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智能交通二期</w:t>
            </w:r>
          </w:p>
        </w:tc>
        <w:tc>
          <w:tcPr>
            <w:tcW w:w="1124"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高性能云数据库</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高性能云数据库</w:t>
            </w:r>
          </w:p>
        </w:tc>
        <w:tc>
          <w:tcPr>
            <w:tcW w:w="1548"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大华DH-CCS7100X-HS-50Y及其配套设施</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T</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300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781" w:hRule="atLeast"/>
          <w:jc w:val="center"/>
        </w:trPr>
        <w:tc>
          <w:tcPr>
            <w:tcW w:w="572"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云存储资源池</w:t>
            </w: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云存储资源池</w:t>
            </w:r>
          </w:p>
        </w:tc>
        <w:tc>
          <w:tcPr>
            <w:tcW w:w="154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DH-CSS7136S-ERD（配套设施大华DH-CSS9064X-800S，大华DH-CSS5000G-M，大华DH-S7606）</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PB</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数据计算应用资源</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空间数据库服务器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接入服务器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计算服务器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全景视频应用</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AR监控云图服务器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云图数据库服务器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大华DH-DB-ORC8000/100Y</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车辆大数据综合管控应用</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车型二次分析服务器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大华DH-IVS-T8000-300W</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流式计算服务器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以图搜图服务器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大华DH-IVS-T8000-S</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大数据检索服务器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大华DH-CCS7100X-HS </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车辆大数据专用数据库服务器</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大华DH-DB-ORC8000/100Y</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卡口平台对接网关服务器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人像分析检索应用</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动态人脸识别服务器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大华DH-IVS-F7500-P-G3</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人像数据库服务器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大华DH-DB-ORC8000/10Y</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交通事件智能分析</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交通事件管理服务器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 xml:space="preserve"> 交通事件检测服务器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用户权鉴系统</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用户统一鉴权服务器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NTP校时系统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大华定制</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交通大数据可视化决策支持系统</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 xml:space="preserve">交通大数据可视化决策服务器 </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无线演示模块</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一体化交互大屏终端</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大华DH-LU86-LT400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分控系统</w:t>
            </w: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分控系统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DHL550UDH-ES等配套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7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指挥中心大屏系统</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指挥中心大屏系统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大华DH-PHSIA1.4-EH等配套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31"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网络安全及备份系统</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网络安全及备份系统</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天行网安单向隔离光闸 TG7259-F等设施</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指挥中心UPS及控制键盘设备</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指挥中心UPS及控制键盘设备</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科士达 120KVA UPS YDC33120等配套设施</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w:t>
            </w:r>
          </w:p>
        </w:tc>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阳光大道</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HPE BL460C Gen10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中心存储设备</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11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视频交换系统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天行网安（Topwalk-MTP）UMS2059/TMS2059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88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数据交换系统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天行网安（Topwalk-DTP）UAS2029/TAS2029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网闸</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天行网安（Topwalk-GAP）TG6000-P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可信边界安全网关</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格尔格尔KOAL-TBSG-E-2020</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网络审计</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深信服AC-1000-D600-ZY</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用户行为审计</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深信服BA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日志分析系统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安恒DAS-LOG-3000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数据库审计</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安恒DAS-A1000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主机漏洞扫描</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安恒DAS-RAS-H3000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25</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机场路立交化改造</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惠普HP BL460C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数据库存储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宏杉MS5580G2</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540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48口万兆交换机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大数据检索服务器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大华DH-CCS7100X-HS-50Y</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2T硬盘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希捷ST2000NX0253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企业级480G固态硬盘</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Intel SSD E 7000S Series 480GB</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48</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大数据分析服务器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宝德PR2865P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26</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外单位移交（金华市金义东轨道交通有限公司）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国贸恢复</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w:t>
            </w:r>
            <w:r>
              <w:rPr>
                <w:rFonts w:hint="eastAsia" w:eastAsia="仿宋"/>
                <w:color w:val="000000"/>
                <w:kern w:val="0"/>
                <w:sz w:val="18"/>
                <w:szCs w:val="18"/>
                <w:lang w:val="en-US" w:eastAsia="zh-CN"/>
              </w:rPr>
              <w:t>2</w:t>
            </w:r>
            <w:r>
              <w:rPr>
                <w:rFonts w:eastAsia="仿宋"/>
                <w:color w:val="000000"/>
                <w:kern w:val="0"/>
                <w:sz w:val="18"/>
                <w:szCs w:val="18"/>
              </w:rPr>
              <w:t>.1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hint="eastAsia" w:eastAsia="仿宋"/>
                <w:color w:val="000000"/>
                <w:kern w:val="0"/>
                <w:sz w:val="18"/>
                <w:szCs w:val="18"/>
                <w:lang w:val="en-US" w:eastAsia="zh-CN"/>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27</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外单位移交（义乌市交通旅游产业发展集团有限公司）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稠义路</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2024.10.1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28</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外单位移交（义乌市国际陆港集团有限公司）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商城大道</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29</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外单位移交（义乌市交通置业有限公司）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火车站</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144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外单位移交（义乌市交通工程建设有限公司）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国贸二期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2024.8.1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外单位移交（佛堂镇人民政府）</w:t>
            </w:r>
          </w:p>
        </w:tc>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佛堂大道</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汇聚交换机交换机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S5110-52P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大华DH-EVS7024S-R</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图片服务器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HPE BL660c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7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视频分配放大器 16分32</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RD-1632</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restart"/>
            <w:tcBorders>
              <w:top w:val="nil"/>
              <w:left w:val="single" w:color="auto" w:sz="12" w:space="0"/>
              <w:bottom w:val="single" w:color="000000"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32</w:t>
            </w: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佛堂小城镇</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2023.3.1</w:t>
            </w:r>
            <w:r>
              <w:rPr>
                <w:rFonts w:eastAsia="仿宋"/>
                <w:color w:val="000000"/>
                <w:kern w:val="0"/>
                <w:sz w:val="18"/>
                <w:szCs w:val="18"/>
              </w:rPr>
              <w:t>　</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 ProLiant DL388 Gen9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34"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48口全千兆交换机（每台带4个万兆上联模块）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S5130-54S-HI</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车辆大数据管控平台一体机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大华DH-DSS-C8500-B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车辆二次分析一体机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大华DH-DSS-C8502-GPU/50W</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大华DH-DB-ORC8000/10Y</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34"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33</w:t>
            </w:r>
          </w:p>
        </w:tc>
        <w:tc>
          <w:tcPr>
            <w:tcW w:w="942"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外单位移交（上溪镇人民政府）</w:t>
            </w:r>
          </w:p>
        </w:tc>
        <w:tc>
          <w:tcPr>
            <w:tcW w:w="1124"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上溪小城镇</w:t>
            </w:r>
          </w:p>
        </w:tc>
        <w:tc>
          <w:tcPr>
            <w:tcW w:w="1095"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2023.3.1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 ProLiant DL388 Gen9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34</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外单位移交（义乌市城市投资建设集团有限公司）BRT项目</w:t>
            </w:r>
          </w:p>
        </w:tc>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BRT一号线</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海康威视DS-A81016S</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锐捷</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锐捷</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视频综合平台</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海康威视DS-B20-X10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输入编码板</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海康威视DS-6408HFH-B20V</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85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输出解码板</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海康威视DS-6532HD-B20D/DS-6532HD-B20V</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控制键盘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海康威视DS-1600K</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海康威视DS-VE2208C-BBC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大华DH-DSS-T8100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66" w:hRule="atLeast"/>
          <w:jc w:val="center"/>
        </w:trPr>
        <w:tc>
          <w:tcPr>
            <w:tcW w:w="13515" w:type="dxa"/>
            <w:gridSpan w:val="16"/>
            <w:tcBorders>
              <w:top w:val="single" w:color="auto" w:sz="4" w:space="0"/>
              <w:left w:val="single" w:color="auto" w:sz="12" w:space="0"/>
              <w:bottom w:val="single" w:color="auto" w:sz="4" w:space="0"/>
              <w:right w:val="single" w:color="auto" w:sz="12" w:space="0"/>
            </w:tcBorders>
            <w:noWrap w:val="0"/>
            <w:vAlign w:val="center"/>
          </w:tcPr>
          <w:p>
            <w:pPr>
              <w:widowControl/>
              <w:jc w:val="center"/>
              <w:rPr>
                <w:rFonts w:hint="default" w:eastAsia="仿宋"/>
                <w:color w:val="000000"/>
                <w:kern w:val="0"/>
                <w:sz w:val="18"/>
                <w:szCs w:val="18"/>
                <w:lang w:val="en-US" w:eastAsia="zh-CN"/>
              </w:rPr>
            </w:pPr>
            <w:r>
              <w:rPr>
                <w:rFonts w:hint="eastAsia" w:eastAsia="仿宋"/>
                <w:color w:val="000000"/>
                <w:kern w:val="0"/>
                <w:sz w:val="18"/>
                <w:szCs w:val="18"/>
                <w:lang w:val="en-US" w:eastAsia="zh-CN"/>
              </w:rPr>
              <w:t>合计：   万元</w:t>
            </w:r>
          </w:p>
        </w:tc>
      </w:tr>
    </w:tbl>
    <w:p>
      <w:pPr>
        <w:autoSpaceDE w:val="0"/>
        <w:autoSpaceDN w:val="0"/>
        <w:adjustRightInd w:val="0"/>
        <w:snapToGrid w:val="0"/>
        <w:spacing w:before="240" w:beforeLines="100" w:line="360" w:lineRule="auto"/>
        <w:ind w:firstLine="482" w:firstLineChars="200"/>
        <w:jc w:val="left"/>
        <w:rPr>
          <w:rFonts w:eastAsia="仿宋"/>
          <w:color w:val="000000"/>
          <w:sz w:val="28"/>
          <w:szCs w:val="28"/>
        </w:rPr>
      </w:pPr>
      <w:r>
        <w:rPr>
          <w:rFonts w:hint="eastAsia" w:ascii="宋体" w:hAnsi="宋体" w:cs="宋体"/>
          <w:b/>
          <w:bCs/>
          <w:color w:val="000000"/>
          <w:sz w:val="24"/>
        </w:rPr>
        <w:t xml:space="preserve">全权代表签字或盖章：                               日 期： </w:t>
      </w:r>
    </w:p>
    <w:p>
      <w:pPr>
        <w:autoSpaceDE w:val="0"/>
        <w:autoSpaceDN w:val="0"/>
        <w:adjustRightInd w:val="0"/>
        <w:snapToGrid w:val="0"/>
        <w:spacing w:before="240" w:beforeLines="100" w:line="360" w:lineRule="auto"/>
        <w:ind w:firstLine="560" w:firstLineChars="200"/>
        <w:jc w:val="left"/>
        <w:rPr>
          <w:rFonts w:eastAsia="仿宋"/>
          <w:color w:val="000000"/>
          <w:sz w:val="28"/>
          <w:szCs w:val="28"/>
        </w:rPr>
        <w:sectPr>
          <w:pgSz w:w="16838" w:h="11906" w:orient="landscape"/>
          <w:pgMar w:top="947" w:right="1440" w:bottom="1117" w:left="1440"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color w:val="000000"/>
          <w:sz w:val="28"/>
          <w:szCs w:val="28"/>
        </w:rPr>
      </w:pPr>
      <w:r>
        <w:rPr>
          <w:rFonts w:hint="eastAsia" w:eastAsia="仿宋"/>
          <w:color w:val="000000"/>
          <w:sz w:val="28"/>
          <w:szCs w:val="28"/>
        </w:rPr>
        <w:t>2</w:t>
      </w:r>
      <w:r>
        <w:rPr>
          <w:rFonts w:hint="eastAsia" w:eastAsia="仿宋"/>
          <w:color w:val="000000"/>
          <w:sz w:val="28"/>
          <w:szCs w:val="28"/>
          <w:lang w:val="en-US" w:eastAsia="zh-CN"/>
        </w:rPr>
        <w:t>.2</w:t>
      </w:r>
      <w:r>
        <w:rPr>
          <w:rFonts w:hint="eastAsia" w:eastAsia="仿宋"/>
          <w:color w:val="000000"/>
          <w:sz w:val="28"/>
          <w:szCs w:val="28"/>
        </w:rPr>
        <w:t>应用软件系统维护服务费</w:t>
      </w:r>
      <w:r>
        <w:rPr>
          <w:rFonts w:hint="eastAsia" w:eastAsia="仿宋"/>
          <w:color w:val="000000"/>
          <w:sz w:val="28"/>
          <w:szCs w:val="28"/>
          <w:lang w:val="en-US" w:eastAsia="zh-CN"/>
        </w:rPr>
        <w:t>报价明细表</w:t>
      </w:r>
    </w:p>
    <w:p>
      <w:pPr>
        <w:spacing w:line="336" w:lineRule="auto"/>
        <w:rPr>
          <w:rFonts w:hint="eastAsia"/>
          <w:color w:val="000000"/>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113" w:type="dxa"/>
        <w:tblLayout w:type="fixed"/>
        <w:tblCellMar>
          <w:top w:w="0" w:type="dxa"/>
          <w:left w:w="108" w:type="dxa"/>
          <w:bottom w:w="0" w:type="dxa"/>
          <w:right w:w="108" w:type="dxa"/>
        </w:tblCellMar>
      </w:tblPr>
      <w:tblGrid>
        <w:gridCol w:w="767"/>
        <w:gridCol w:w="1467"/>
        <w:gridCol w:w="2956"/>
        <w:gridCol w:w="1196"/>
        <w:gridCol w:w="1557"/>
        <w:gridCol w:w="723"/>
        <w:gridCol w:w="692"/>
        <w:gridCol w:w="819"/>
        <w:gridCol w:w="812"/>
        <w:gridCol w:w="715"/>
        <w:gridCol w:w="767"/>
        <w:gridCol w:w="1227"/>
      </w:tblGrid>
      <w:tr>
        <w:tblPrEx>
          <w:tblCellMar>
            <w:top w:w="0" w:type="dxa"/>
            <w:left w:w="108" w:type="dxa"/>
            <w:bottom w:w="0" w:type="dxa"/>
            <w:right w:w="108" w:type="dxa"/>
          </w:tblCellMar>
        </w:tblPrEx>
        <w:trPr>
          <w:trHeight w:val="301" w:hRule="atLeast"/>
        </w:trPr>
        <w:tc>
          <w:tcPr>
            <w:tcW w:w="767"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序号</w:t>
            </w:r>
          </w:p>
        </w:tc>
        <w:tc>
          <w:tcPr>
            <w:tcW w:w="1467"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项目</w:t>
            </w:r>
          </w:p>
        </w:tc>
        <w:tc>
          <w:tcPr>
            <w:tcW w:w="2956"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子项/子系统</w:t>
            </w:r>
          </w:p>
        </w:tc>
        <w:tc>
          <w:tcPr>
            <w:tcW w:w="1196"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维护开始时间</w:t>
            </w:r>
          </w:p>
        </w:tc>
        <w:tc>
          <w:tcPr>
            <w:tcW w:w="1557"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月运维费</w:t>
            </w:r>
            <w:r>
              <w:rPr>
                <w:rFonts w:hint="eastAsia" w:eastAsia="仿宋"/>
                <w:color w:val="000000"/>
                <w:kern w:val="0"/>
                <w:sz w:val="18"/>
                <w:szCs w:val="18"/>
                <w:lang w:val="en-US" w:eastAsia="zh-CN"/>
              </w:rPr>
              <w:t>用</w:t>
            </w:r>
            <w:r>
              <w:rPr>
                <w:rFonts w:eastAsia="仿宋"/>
                <w:color w:val="000000"/>
                <w:kern w:val="0"/>
                <w:sz w:val="18"/>
                <w:szCs w:val="18"/>
              </w:rPr>
              <w:t>（元）</w:t>
            </w:r>
          </w:p>
        </w:tc>
        <w:tc>
          <w:tcPr>
            <w:tcW w:w="5755" w:type="dxa"/>
            <w:gridSpan w:val="7"/>
            <w:tcBorders>
              <w:top w:val="single" w:color="auto" w:sz="12"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eastAsia="仿宋"/>
                <w:b/>
                <w:bCs/>
                <w:color w:val="000000"/>
                <w:kern w:val="0"/>
                <w:szCs w:val="21"/>
              </w:rPr>
              <w:t>明细（万元）</w:t>
            </w:r>
          </w:p>
        </w:tc>
      </w:tr>
      <w:tr>
        <w:tblPrEx>
          <w:tblCellMar>
            <w:top w:w="0" w:type="dxa"/>
            <w:left w:w="108" w:type="dxa"/>
            <w:bottom w:w="0" w:type="dxa"/>
            <w:right w:w="108" w:type="dxa"/>
          </w:tblCellMar>
        </w:tblPrEx>
        <w:trPr>
          <w:trHeight w:val="299" w:hRule="atLeast"/>
        </w:trPr>
        <w:tc>
          <w:tcPr>
            <w:tcW w:w="767" w:type="dxa"/>
            <w:vMerge w:val="continue"/>
            <w:tcBorders>
              <w:left w:val="single" w:color="auto" w:sz="12" w:space="0"/>
              <w:right w:val="single" w:color="auto" w:sz="4" w:space="0"/>
            </w:tcBorders>
            <w:noWrap w:val="0"/>
            <w:vAlign w:val="center"/>
          </w:tcPr>
          <w:p>
            <w:pPr>
              <w:widowControl/>
              <w:jc w:val="center"/>
              <w:rPr>
                <w:rFonts w:eastAsia="仿宋"/>
                <w:color w:val="000000"/>
                <w:kern w:val="0"/>
                <w:sz w:val="18"/>
                <w:szCs w:val="18"/>
              </w:rPr>
            </w:pPr>
          </w:p>
        </w:tc>
        <w:tc>
          <w:tcPr>
            <w:tcW w:w="1467"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2956"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96"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557"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415" w:type="dxa"/>
            <w:gridSpan w:val="2"/>
            <w:tcBorders>
              <w:top w:val="single" w:color="auto" w:sz="12"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2023年</w:t>
            </w:r>
          </w:p>
        </w:tc>
        <w:tc>
          <w:tcPr>
            <w:tcW w:w="1631" w:type="dxa"/>
            <w:gridSpan w:val="2"/>
            <w:tcBorders>
              <w:top w:val="single" w:color="auto" w:sz="12"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2024年</w:t>
            </w:r>
          </w:p>
        </w:tc>
        <w:tc>
          <w:tcPr>
            <w:tcW w:w="1482" w:type="dxa"/>
            <w:gridSpan w:val="2"/>
            <w:tcBorders>
              <w:top w:val="single" w:color="auto" w:sz="12"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2025年</w:t>
            </w:r>
          </w:p>
        </w:tc>
        <w:tc>
          <w:tcPr>
            <w:tcW w:w="1227" w:type="dxa"/>
            <w:vMerge w:val="restart"/>
            <w:tcBorders>
              <w:top w:val="single" w:color="auto" w:sz="12" w:space="0"/>
              <w:left w:val="nil"/>
              <w:right w:val="single" w:color="auto" w:sz="12" w:space="0"/>
            </w:tcBorders>
            <w:noWrap w:val="0"/>
            <w:vAlign w:val="center"/>
          </w:tcPr>
          <w:p>
            <w:pPr>
              <w:widowControl/>
              <w:tabs>
                <w:tab w:val="left" w:pos="379"/>
              </w:tabs>
              <w:ind w:firstLine="180" w:firstLineChars="100"/>
              <w:jc w:val="left"/>
              <w:rPr>
                <w:rFonts w:hint="eastAsia" w:eastAsia="仿宋"/>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三年合计</w:t>
            </w:r>
          </w:p>
        </w:tc>
      </w:tr>
      <w:tr>
        <w:tblPrEx>
          <w:tblCellMar>
            <w:top w:w="0" w:type="dxa"/>
            <w:left w:w="108" w:type="dxa"/>
            <w:bottom w:w="0" w:type="dxa"/>
            <w:right w:w="108" w:type="dxa"/>
          </w:tblCellMar>
        </w:tblPrEx>
        <w:trPr>
          <w:trHeight w:val="474" w:hRule="atLeast"/>
        </w:trPr>
        <w:tc>
          <w:tcPr>
            <w:tcW w:w="76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692" w:type="dxa"/>
            <w:tcBorders>
              <w:top w:val="nil"/>
              <w:left w:val="nil"/>
              <w:bottom w:val="single" w:color="auto" w:sz="4" w:space="0"/>
              <w:right w:val="single" w:color="auto" w:sz="4" w:space="0"/>
            </w:tcBorders>
            <w:noWrap w:val="0"/>
            <w:vAlign w:val="center"/>
          </w:tcPr>
          <w:p>
            <w:pPr>
              <w:widowControl/>
              <w:jc w:val="center"/>
              <w:rPr>
                <w:rFonts w:hint="default" w:eastAsia="仿宋"/>
                <w:color w:val="000000"/>
                <w:kern w:val="0"/>
                <w:sz w:val="18"/>
                <w:szCs w:val="18"/>
                <w:lang w:val="en-US"/>
              </w:rPr>
            </w:pPr>
            <w:r>
              <w:rPr>
                <w:rFonts w:hint="eastAsia" w:eastAsia="仿宋"/>
                <w:color w:val="000000"/>
                <w:kern w:val="0"/>
                <w:sz w:val="18"/>
                <w:szCs w:val="18"/>
                <w:lang w:val="en-US" w:eastAsia="zh-CN"/>
              </w:rPr>
              <w:t>年运维费</w:t>
            </w: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1227" w:type="dxa"/>
            <w:vMerge w:val="continue"/>
            <w:tcBorders>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14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智能交通一期</w:t>
            </w: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交通诱导</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快速路诱导</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存储扩容</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网络改造</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14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智能交通二期</w:t>
            </w: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交通态势监测预测系统</w:t>
            </w:r>
          </w:p>
        </w:tc>
        <w:tc>
          <w:tcPr>
            <w:tcW w:w="11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区域车辆大数据OD分析系统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停车信息管理系统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信控路口一体化管理系统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路口信号辅助配时系统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交通信号协调管理评估系统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交通勤务管家</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交通安全画像系统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精准布控拦截系统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交通地理信息系统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交通设施资产管理系统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大数据质量预警系统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交通设施运维系统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4"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18</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本地化数据建库及第三方平台对接</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19</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全景视频应用</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车辆大数据综合管控应用</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21</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人像分析检索应用</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交通事件智能分析</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23</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用户权鉴系统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交通大数据可视化决策支持系统</w:t>
            </w: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single" w:color="auto" w:sz="4"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single" w:color="auto" w:sz="4"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25</w:t>
            </w:r>
          </w:p>
        </w:tc>
        <w:tc>
          <w:tcPr>
            <w:tcW w:w="14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其他</w:t>
            </w: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BRT智能设施平台</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26</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一键报警</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27</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大队公安网站维护</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28</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义乌交警微信公众号维护</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4"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29</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非现场平台、集指平台、大货车闯禁平台等</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诱导屏发布平台</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可变车道控制系统</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9" w:hRule="atLeast"/>
        </w:trPr>
        <w:tc>
          <w:tcPr>
            <w:tcW w:w="13698" w:type="dxa"/>
            <w:gridSpan w:val="12"/>
            <w:tcBorders>
              <w:top w:val="single" w:color="auto" w:sz="4" w:space="0"/>
              <w:left w:val="single" w:color="auto" w:sz="12" w:space="0"/>
              <w:bottom w:val="single" w:color="auto" w:sz="4" w:space="0"/>
              <w:right w:val="single" w:color="auto" w:sz="12" w:space="0"/>
            </w:tcBorders>
            <w:noWrap w:val="0"/>
            <w:vAlign w:val="center"/>
          </w:tcPr>
          <w:p>
            <w:pPr>
              <w:widowControl/>
              <w:jc w:val="both"/>
              <w:rPr>
                <w:rFonts w:hint="default" w:eastAsia="仿宋"/>
                <w:color w:val="000000"/>
                <w:kern w:val="0"/>
                <w:sz w:val="18"/>
                <w:szCs w:val="18"/>
                <w:lang w:val="en-US" w:eastAsia="zh-CN"/>
              </w:rPr>
            </w:pPr>
            <w:r>
              <w:rPr>
                <w:rFonts w:hint="eastAsia" w:eastAsia="仿宋"/>
                <w:color w:val="000000"/>
                <w:kern w:val="0"/>
                <w:sz w:val="18"/>
                <w:szCs w:val="18"/>
                <w:lang w:val="en-US" w:eastAsia="zh-CN"/>
              </w:rPr>
              <w:t>合计：     万元</w:t>
            </w:r>
          </w:p>
        </w:tc>
      </w:tr>
    </w:tbl>
    <w:p>
      <w:pPr>
        <w:widowControl/>
        <w:jc w:val="left"/>
        <w:textAlignment w:val="center"/>
        <w:rPr>
          <w:rFonts w:hint="eastAsia" w:eastAsia="仿宋"/>
          <w:color w:val="000000"/>
          <w:kern w:val="0"/>
          <w:sz w:val="18"/>
          <w:szCs w:val="18"/>
          <w:lang w:bidi="ar"/>
        </w:rPr>
      </w:pPr>
    </w:p>
    <w:p>
      <w:pPr>
        <w:autoSpaceDE w:val="0"/>
        <w:autoSpaceDN w:val="0"/>
        <w:adjustRightInd w:val="0"/>
        <w:snapToGrid w:val="0"/>
        <w:spacing w:before="240" w:beforeLines="100" w:line="360" w:lineRule="auto"/>
        <w:jc w:val="left"/>
        <w:rPr>
          <w:rFonts w:eastAsia="仿宋"/>
          <w:color w:val="000000"/>
          <w:sz w:val="28"/>
          <w:szCs w:val="28"/>
        </w:rPr>
        <w:sectPr>
          <w:pgSz w:w="16838" w:h="11906" w:orient="landscape"/>
          <w:pgMar w:top="947" w:right="1440" w:bottom="947" w:left="1440" w:header="851" w:footer="992" w:gutter="0"/>
          <w:pgNumType w:fmt="decimal"/>
          <w:cols w:space="720" w:num="1"/>
          <w:docGrid w:linePitch="312" w:charSpace="0"/>
        </w:sectPr>
      </w:pPr>
      <w:r>
        <w:rPr>
          <w:rFonts w:hint="eastAsia" w:ascii="宋体" w:hAnsi="宋体" w:cs="宋体"/>
          <w:b/>
          <w:bCs/>
          <w:color w:val="000000"/>
          <w:sz w:val="24"/>
        </w:rPr>
        <w:t xml:space="preserve">全权代表签字或盖章：                               日 期： </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rPr>
      </w:pPr>
      <w:r>
        <w:rPr>
          <w:rFonts w:hint="eastAsia" w:eastAsia="仿宋"/>
          <w:color w:val="000000"/>
          <w:sz w:val="28"/>
          <w:szCs w:val="28"/>
          <w:lang w:val="en-US" w:eastAsia="zh-CN"/>
        </w:rPr>
        <w:t>2.3</w:t>
      </w:r>
      <w:r>
        <w:rPr>
          <w:rFonts w:hint="eastAsia" w:ascii="Times New Roman" w:hAnsi="Times New Roman" w:eastAsia="仿宋" w:cs="Times New Roman"/>
          <w:color w:val="000000"/>
          <w:sz w:val="28"/>
          <w:szCs w:val="28"/>
          <w:lang w:val="en-US" w:eastAsia="zh-CN"/>
        </w:rPr>
        <w:t>支撑系统维护服务费</w:t>
      </w:r>
      <w:r>
        <w:rPr>
          <w:rFonts w:hint="eastAsia" w:eastAsia="仿宋"/>
          <w:color w:val="000000"/>
          <w:sz w:val="28"/>
          <w:szCs w:val="28"/>
          <w:lang w:val="en-US" w:eastAsia="zh-CN"/>
        </w:rPr>
        <w:t>报价明细表</w:t>
      </w:r>
    </w:p>
    <w:p>
      <w:pPr>
        <w:spacing w:line="336" w:lineRule="auto"/>
        <w:rPr>
          <w:color w:val="000000"/>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0" w:type="dxa"/>
        <w:tblLayout w:type="fixed"/>
        <w:tblCellMar>
          <w:top w:w="0" w:type="dxa"/>
          <w:left w:w="108" w:type="dxa"/>
          <w:bottom w:w="0" w:type="dxa"/>
          <w:right w:w="108" w:type="dxa"/>
        </w:tblCellMar>
      </w:tblPr>
      <w:tblGrid>
        <w:gridCol w:w="624"/>
        <w:gridCol w:w="848"/>
        <w:gridCol w:w="1212"/>
        <w:gridCol w:w="1210"/>
        <w:gridCol w:w="809"/>
        <w:gridCol w:w="954"/>
        <w:gridCol w:w="954"/>
        <w:gridCol w:w="954"/>
        <w:gridCol w:w="1075"/>
        <w:gridCol w:w="1151"/>
      </w:tblGrid>
      <w:tr>
        <w:tblPrEx>
          <w:tblCellMar>
            <w:top w:w="0" w:type="dxa"/>
            <w:left w:w="108" w:type="dxa"/>
            <w:bottom w:w="0" w:type="dxa"/>
            <w:right w:w="108" w:type="dxa"/>
          </w:tblCellMar>
        </w:tblPrEx>
        <w:trPr>
          <w:trHeight w:val="1116" w:hRule="atLeast"/>
          <w:tblHeader/>
        </w:trPr>
        <w:tc>
          <w:tcPr>
            <w:tcW w:w="624" w:type="dxa"/>
            <w:tcBorders>
              <w:top w:val="single" w:color="auto" w:sz="12" w:space="0"/>
              <w:left w:val="single" w:color="auto" w:sz="12"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序号</w:t>
            </w:r>
          </w:p>
        </w:tc>
        <w:tc>
          <w:tcPr>
            <w:tcW w:w="848" w:type="dxa"/>
            <w:tcBorders>
              <w:top w:val="single" w:color="auto" w:sz="12" w:space="0"/>
              <w:left w:val="single" w:color="auto" w:sz="12" w:space="0"/>
              <w:bottom w:val="single" w:color="auto" w:sz="4" w:space="0"/>
              <w:right w:val="single" w:color="000000" w:sz="8" w:space="0"/>
            </w:tcBorders>
            <w:noWrap/>
            <w:vAlign w:val="center"/>
          </w:tcPr>
          <w:p>
            <w:pPr>
              <w:widowControl/>
              <w:jc w:val="center"/>
              <w:textAlignment w:val="center"/>
              <w:rPr>
                <w:rFonts w:eastAsia="仿宋"/>
                <w:b/>
                <w:bCs/>
                <w:color w:val="000000"/>
                <w:kern w:val="0"/>
                <w:szCs w:val="21"/>
                <w:lang w:bidi="ar"/>
              </w:rPr>
            </w:pPr>
            <w:r>
              <w:rPr>
                <w:rFonts w:hint="eastAsia" w:eastAsia="仿宋"/>
                <w:b/>
                <w:bCs/>
                <w:color w:val="000000"/>
                <w:kern w:val="0"/>
                <w:szCs w:val="21"/>
              </w:rPr>
              <w:t>类别</w:t>
            </w:r>
          </w:p>
        </w:tc>
        <w:tc>
          <w:tcPr>
            <w:tcW w:w="1212" w:type="dxa"/>
            <w:tcBorders>
              <w:top w:val="single" w:color="auto" w:sz="12"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rPr>
              <w:t>子项</w:t>
            </w:r>
          </w:p>
        </w:tc>
        <w:tc>
          <w:tcPr>
            <w:tcW w:w="1210" w:type="dxa"/>
            <w:tcBorders>
              <w:top w:val="single" w:color="auto" w:sz="12"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rPr>
              <w:t>模块</w:t>
            </w:r>
          </w:p>
        </w:tc>
        <w:tc>
          <w:tcPr>
            <w:tcW w:w="809"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数量</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eastAsia="仿宋"/>
                <w:b/>
                <w:bCs/>
                <w:color w:val="000000"/>
                <w:kern w:val="0"/>
                <w:szCs w:val="21"/>
                <w:lang w:bidi="ar"/>
              </w:rPr>
            </w:pPr>
            <w:r>
              <w:rPr>
                <w:rFonts w:hint="eastAsia" w:eastAsia="仿宋"/>
                <w:b/>
                <w:bCs/>
                <w:color w:val="000000"/>
                <w:kern w:val="0"/>
                <w:szCs w:val="21"/>
                <w:lang w:bidi="ar"/>
              </w:rPr>
              <w:t>单价</w:t>
            </w:r>
          </w:p>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(年度服务费)</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color w:val="000000"/>
              </w:rPr>
            </w:pPr>
            <w:r>
              <w:rPr>
                <w:rFonts w:hint="eastAsia"/>
                <w:color w:val="000000"/>
              </w:rPr>
              <w:t>2023年</w:t>
            </w:r>
          </w:p>
          <w:p>
            <w:pPr>
              <w:widowControl/>
              <w:jc w:val="center"/>
              <w:textAlignment w:val="center"/>
              <w:rPr>
                <w:rFonts w:hint="eastAsia"/>
                <w:color w:val="000000"/>
              </w:rPr>
            </w:pPr>
            <w:r>
              <w:rPr>
                <w:rFonts w:hint="eastAsia" w:eastAsia="仿宋"/>
                <w:b/>
                <w:bCs/>
                <w:color w:val="000000"/>
                <w:kern w:val="0"/>
                <w:szCs w:val="21"/>
                <w:lang w:val="en-US" w:eastAsia="zh-CN" w:bidi="ar"/>
              </w:rPr>
              <w:t>（万元）</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2024年</w:t>
            </w:r>
            <w:r>
              <w:rPr>
                <w:rFonts w:hint="eastAsia" w:eastAsia="仿宋"/>
                <w:b/>
                <w:bCs/>
                <w:color w:val="000000"/>
                <w:kern w:val="0"/>
                <w:szCs w:val="21"/>
                <w:lang w:val="en-US" w:eastAsia="zh-CN" w:bidi="ar"/>
              </w:rPr>
              <w:t>（万元）</w:t>
            </w:r>
          </w:p>
        </w:tc>
        <w:tc>
          <w:tcPr>
            <w:tcW w:w="1075"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2025年</w:t>
            </w:r>
            <w:r>
              <w:rPr>
                <w:rFonts w:hint="eastAsia" w:eastAsia="仿宋"/>
                <w:b/>
                <w:bCs/>
                <w:color w:val="000000"/>
                <w:kern w:val="0"/>
                <w:szCs w:val="21"/>
                <w:lang w:val="en-US" w:eastAsia="zh-CN" w:bidi="ar"/>
              </w:rPr>
              <w:t>（万元）</w:t>
            </w:r>
          </w:p>
        </w:tc>
        <w:tc>
          <w:tcPr>
            <w:tcW w:w="1151"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eastAsia="仿宋"/>
                <w:b/>
                <w:bCs/>
                <w:color w:val="000000"/>
                <w:kern w:val="0"/>
                <w:szCs w:val="21"/>
                <w:lang w:val="en-US" w:eastAsia="zh-CN" w:bidi="ar"/>
              </w:rPr>
            </w:pPr>
            <w:r>
              <w:rPr>
                <w:rFonts w:hint="eastAsia" w:ascii="Times New Roman" w:hAnsi="Times New Roman" w:eastAsia="仿宋" w:cs="Times New Roman"/>
                <w:b/>
                <w:bCs/>
                <w:color w:val="000000"/>
                <w:kern w:val="0"/>
                <w:szCs w:val="21"/>
                <w:lang w:val="en-US" w:eastAsia="zh-CN" w:bidi="ar"/>
              </w:rPr>
              <w:t>三年合计</w:t>
            </w:r>
            <w:r>
              <w:rPr>
                <w:rFonts w:hint="eastAsia" w:eastAsia="仿宋"/>
                <w:b/>
                <w:bCs/>
                <w:color w:val="000000"/>
                <w:kern w:val="0"/>
                <w:szCs w:val="21"/>
                <w:lang w:val="en-US" w:eastAsia="zh-CN" w:bidi="ar"/>
              </w:rPr>
              <w:t>（万元）</w:t>
            </w:r>
          </w:p>
        </w:tc>
      </w:tr>
      <w:tr>
        <w:tblPrEx>
          <w:tblCellMar>
            <w:top w:w="0" w:type="dxa"/>
            <w:left w:w="108" w:type="dxa"/>
            <w:bottom w:w="0" w:type="dxa"/>
            <w:right w:w="108" w:type="dxa"/>
          </w:tblCellMar>
        </w:tblPrEx>
        <w:trPr>
          <w:trHeight w:val="835" w:hRule="atLeast"/>
        </w:trPr>
        <w:tc>
          <w:tcPr>
            <w:tcW w:w="624" w:type="dxa"/>
            <w:tcBorders>
              <w:top w:val="single" w:color="auto" w:sz="4" w:space="0"/>
              <w:left w:val="single" w:color="auto" w:sz="12" w:space="0"/>
              <w:bottom w:val="single" w:color="000000" w:sz="8"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w:t>
            </w:r>
          </w:p>
        </w:tc>
        <w:tc>
          <w:tcPr>
            <w:tcW w:w="848" w:type="dxa"/>
            <w:tcBorders>
              <w:top w:val="single" w:color="auto" w:sz="4" w:space="0"/>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r>
              <w:rPr>
                <w:rFonts w:hint="eastAsia" w:eastAsia="仿宋"/>
                <w:color w:val="000000"/>
                <w:kern w:val="0"/>
                <w:szCs w:val="21"/>
                <w:lang w:bidi="ar"/>
              </w:rPr>
              <w:t>机房空间优化</w:t>
            </w:r>
          </w:p>
        </w:tc>
        <w:tc>
          <w:tcPr>
            <w:tcW w:w="1212"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新马路机房改造</w:t>
            </w:r>
          </w:p>
        </w:tc>
        <w:tc>
          <w:tcPr>
            <w:tcW w:w="121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restart"/>
            <w:tcBorders>
              <w:top w:val="nil"/>
              <w:left w:val="single" w:color="auto" w:sz="12"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w:t>
            </w:r>
          </w:p>
        </w:tc>
        <w:tc>
          <w:tcPr>
            <w:tcW w:w="848" w:type="dxa"/>
            <w:vMerge w:val="restart"/>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存储维护</w:t>
            </w:r>
          </w:p>
        </w:tc>
        <w:tc>
          <w:tcPr>
            <w:tcW w:w="1212"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异地双活链路优化</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链路优化</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原有存储维保</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存储主机维护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存储主机维护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97" w:hRule="atLeast"/>
        </w:trPr>
        <w:tc>
          <w:tcPr>
            <w:tcW w:w="624" w:type="dxa"/>
            <w:vMerge w:val="continue"/>
            <w:tcBorders>
              <w:left w:val="single" w:color="auto" w:sz="12" w:space="0"/>
              <w:bottom w:val="single" w:color="000000" w:sz="8"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原有存储优化和维护</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原有存储优化和维护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restart"/>
            <w:tcBorders>
              <w:top w:val="nil"/>
              <w:left w:val="single" w:color="auto" w:sz="12"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3</w:t>
            </w:r>
          </w:p>
        </w:tc>
        <w:tc>
          <w:tcPr>
            <w:tcW w:w="848" w:type="dxa"/>
            <w:vMerge w:val="restart"/>
            <w:tcBorders>
              <w:top w:val="nil"/>
              <w:left w:val="single" w:color="auto" w:sz="12" w:space="0"/>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地图</w:t>
            </w:r>
          </w:p>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w:t>
            </w:r>
          </w:p>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维护</w:t>
            </w:r>
          </w:p>
        </w:tc>
        <w:tc>
          <w:tcPr>
            <w:tcW w:w="1212" w:type="dxa"/>
            <w:vMerge w:val="restar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数据服务</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基础地图数据更新</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路况数据服务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46" w:hRule="atLeast"/>
        </w:trPr>
        <w:tc>
          <w:tcPr>
            <w:tcW w:w="624" w:type="dxa"/>
            <w:vMerge w:val="continue"/>
            <w:tcBorders>
              <w:left w:val="single" w:color="auto" w:sz="12"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高精度地图数据服务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系统运维</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系统运维服务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380" w:hRule="atLeast"/>
        </w:trPr>
        <w:tc>
          <w:tcPr>
            <w:tcW w:w="9791" w:type="dxa"/>
            <w:gridSpan w:val="10"/>
            <w:tcBorders>
              <w:top w:val="nil"/>
              <w:left w:val="single" w:color="auto" w:sz="12" w:space="0"/>
              <w:bottom w:val="single" w:color="auto" w:sz="12" w:space="0"/>
              <w:right w:val="single" w:color="000000" w:sz="8" w:space="0"/>
            </w:tcBorders>
            <w:noWrap w:val="0"/>
            <w:vAlign w:val="center"/>
          </w:tcPr>
          <w:p>
            <w:pPr>
              <w:widowControl/>
              <w:jc w:val="left"/>
              <w:textAlignment w:val="center"/>
              <w:rPr>
                <w:rFonts w:hint="eastAsia" w:eastAsia="仿宋"/>
                <w:color w:val="000000"/>
                <w:kern w:val="0"/>
                <w:sz w:val="18"/>
                <w:szCs w:val="18"/>
                <w:lang w:val="en-US" w:eastAsia="zh-CN"/>
              </w:rPr>
            </w:pPr>
            <w:r>
              <w:rPr>
                <w:rFonts w:hint="eastAsia" w:eastAsia="仿宋"/>
                <w:color w:val="000000"/>
                <w:kern w:val="0"/>
                <w:sz w:val="18"/>
                <w:szCs w:val="18"/>
                <w:lang w:val="en-US" w:eastAsia="zh-CN"/>
              </w:rPr>
              <w:t>合计：（万元）</w:t>
            </w:r>
          </w:p>
        </w:tc>
      </w:tr>
    </w:tbl>
    <w:p>
      <w:pPr>
        <w:keepNext/>
        <w:keepLines/>
        <w:tabs>
          <w:tab w:val="left" w:pos="426"/>
        </w:tabs>
        <w:adjustRightInd w:val="0"/>
        <w:snapToGrid w:val="0"/>
        <w:spacing w:before="260" w:after="260" w:line="360" w:lineRule="auto"/>
        <w:jc w:val="both"/>
        <w:outlineLvl w:val="2"/>
        <w:rPr>
          <w:rFonts w:hint="eastAsia" w:eastAsia="仿宋"/>
          <w:b/>
          <w:bCs/>
          <w:color w:val="000000"/>
          <w:sz w:val="28"/>
          <w:szCs w:val="28"/>
          <w:lang w:val="en-US" w:eastAsia="zh-CN"/>
        </w:rPr>
        <w:sectPr>
          <w:pgSz w:w="11906" w:h="16838"/>
          <w:pgMar w:top="1440" w:right="890"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bookmarkStart w:id="306" w:name="_Toc20136"/>
      <w:bookmarkStart w:id="307" w:name="_Toc22032"/>
      <w:bookmarkStart w:id="308" w:name="_Toc11163"/>
      <w:bookmarkStart w:id="309" w:name="_Toc10559"/>
      <w:bookmarkStart w:id="310" w:name="_Toc15946"/>
      <w:bookmarkStart w:id="311" w:name="_Toc25604"/>
      <w:r>
        <w:rPr>
          <w:rFonts w:hint="eastAsia" w:ascii="宋体" w:hAnsi="宋体" w:cs="宋体"/>
          <w:b/>
          <w:bCs/>
          <w:color w:val="000000"/>
          <w:sz w:val="24"/>
        </w:rPr>
        <w:t xml:space="preserve">全权代表签字或盖章：                               日 期：  </w:t>
      </w:r>
      <w:bookmarkEnd w:id="306"/>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adjustRightInd w:val="0"/>
        <w:snapToGrid w:val="0"/>
        <w:spacing w:line="400" w:lineRule="exact"/>
        <w:ind w:firstLine="2249" w:firstLineChars="800"/>
        <w:jc w:val="both"/>
        <w:textAlignment w:val="auto"/>
        <w:rPr>
          <w:rFonts w:hint="eastAsia" w:ascii="Times New Roman" w:hAnsi="Times New Roman" w:eastAsia="仿宋" w:cs="Times New Roman"/>
          <w:b/>
          <w:bCs/>
          <w:color w:val="000000"/>
          <w:sz w:val="28"/>
          <w:szCs w:val="28"/>
          <w:lang w:val="en-US" w:eastAsia="zh-CN"/>
        </w:rPr>
      </w:pPr>
      <w:bookmarkStart w:id="312" w:name="_Toc116368828"/>
      <w:bookmarkStart w:id="313" w:name="_Toc14065"/>
      <w:bookmarkStart w:id="314" w:name="_Toc114739404"/>
      <w:bookmarkStart w:id="315" w:name="_Toc26024"/>
      <w:bookmarkStart w:id="316" w:name="_Toc114663116"/>
      <w:bookmarkStart w:id="317" w:name="_Toc114419371"/>
      <w:bookmarkStart w:id="318" w:name="_Toc116728388"/>
      <w:bookmarkStart w:id="319" w:name="_Toc21459"/>
      <w:bookmarkStart w:id="320" w:name="_Toc28102"/>
      <w:bookmarkStart w:id="321" w:name="_Toc114597561"/>
      <w:bookmarkStart w:id="322" w:name="_Hlk116827781"/>
      <w:r>
        <w:rPr>
          <w:rFonts w:hint="eastAsia" w:eastAsia="仿宋"/>
          <w:b/>
          <w:bCs/>
          <w:color w:val="000000"/>
          <w:sz w:val="28"/>
          <w:szCs w:val="28"/>
          <w:lang w:val="en-US" w:eastAsia="zh-CN"/>
        </w:rPr>
        <w:t>3.</w:t>
      </w:r>
      <w:r>
        <w:rPr>
          <w:rFonts w:hint="eastAsia" w:eastAsia="仿宋"/>
          <w:b/>
          <w:bCs/>
          <w:color w:val="000000"/>
          <w:sz w:val="28"/>
          <w:szCs w:val="28"/>
        </w:rPr>
        <w:t>机房、光纤租赁及指挥中心维护</w:t>
      </w:r>
      <w:bookmarkEnd w:id="312"/>
      <w:bookmarkEnd w:id="313"/>
      <w:bookmarkEnd w:id="314"/>
      <w:bookmarkEnd w:id="315"/>
      <w:bookmarkEnd w:id="316"/>
      <w:bookmarkEnd w:id="317"/>
      <w:bookmarkEnd w:id="318"/>
      <w:bookmarkEnd w:id="319"/>
      <w:bookmarkEnd w:id="320"/>
      <w:bookmarkEnd w:id="321"/>
      <w:r>
        <w:rPr>
          <w:rFonts w:hint="eastAsia" w:eastAsia="仿宋"/>
          <w:b/>
          <w:bCs/>
          <w:color w:val="000000"/>
          <w:sz w:val="28"/>
          <w:szCs w:val="28"/>
        </w:rPr>
        <w:t>服务费</w:t>
      </w:r>
      <w:r>
        <w:rPr>
          <w:rFonts w:hint="eastAsia" w:eastAsia="仿宋"/>
          <w:b/>
          <w:bCs/>
          <w:color w:val="000000"/>
          <w:sz w:val="28"/>
          <w:szCs w:val="28"/>
          <w:lang w:val="en-US" w:eastAsia="zh-CN"/>
        </w:rPr>
        <w:t>报价</w:t>
      </w:r>
      <w:r>
        <w:rPr>
          <w:rFonts w:hint="eastAsia" w:ascii="Times New Roman" w:hAnsi="Times New Roman" w:eastAsia="仿宋" w:cs="Times New Roman"/>
          <w:b/>
          <w:bCs/>
          <w:color w:val="000000"/>
          <w:sz w:val="28"/>
          <w:szCs w:val="28"/>
          <w:lang w:val="en-US" w:eastAsia="zh-CN"/>
        </w:rPr>
        <w:t>明细表</w:t>
      </w:r>
    </w:p>
    <w:p>
      <w:pPr>
        <w:bidi w:val="0"/>
        <w:rPr>
          <w:rFonts w:hint="eastAsia"/>
          <w:color w:val="000000"/>
          <w:lang w:val="en-US" w:eastAsia="zh-CN"/>
        </w:rPr>
      </w:pPr>
    </w:p>
    <w:p>
      <w:pPr>
        <w:bidi w:val="0"/>
        <w:rPr>
          <w:rFonts w:hint="eastAsia"/>
          <w:color w:val="000000"/>
          <w:lang w:val="en-US" w:eastAsia="zh-CN"/>
        </w:rPr>
      </w:pPr>
    </w:p>
    <w:p>
      <w:pPr>
        <w:spacing w:line="336" w:lineRule="auto"/>
        <w:rPr>
          <w:rFonts w:hint="default"/>
          <w:color w:val="000000"/>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bookmarkEnd w:id="322"/>
    <w:p>
      <w:pPr>
        <w:adjustRightInd w:val="0"/>
        <w:snapToGrid w:val="0"/>
        <w:spacing w:line="360" w:lineRule="auto"/>
        <w:ind w:firstLine="480" w:firstLineChars="200"/>
        <w:rPr>
          <w:rFonts w:hint="default" w:ascii="宋体" w:hAnsi="宋体" w:eastAsia="宋体" w:cs="宋体"/>
          <w:color w:val="000000"/>
          <w:sz w:val="24"/>
          <w:szCs w:val="24"/>
          <w:lang w:val="en-US" w:eastAsia="zh-CN"/>
        </w:rPr>
      </w:pPr>
      <w:bookmarkStart w:id="323" w:name="_Hlk110345339"/>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机房能源费用</w:t>
      </w:r>
      <w:r>
        <w:rPr>
          <w:rFonts w:hint="eastAsia" w:ascii="宋体" w:hAnsi="宋体" w:eastAsia="宋体" w:cs="宋体"/>
          <w:color w:val="000000"/>
          <w:sz w:val="24"/>
          <w:szCs w:val="24"/>
          <w:lang w:val="en-US" w:eastAsia="zh-CN"/>
        </w:rPr>
        <w:t xml:space="preserve"> ：暂估价</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机房能源费用参考实际运行电费，2023-2025年共计48</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万元；前端设备电源从路灯接入，电源费用不计入</w:t>
      </w:r>
      <w:r>
        <w:rPr>
          <w:rFonts w:hint="eastAsia" w:ascii="宋体" w:hAnsi="宋体" w:eastAsia="宋体" w:cs="宋体"/>
          <w:color w:val="000000"/>
          <w:sz w:val="24"/>
          <w:szCs w:val="24"/>
          <w:lang w:eastAsia="zh-CN"/>
        </w:rPr>
        <w:t>。</w:t>
      </w:r>
    </w:p>
    <w:tbl>
      <w:tblPr>
        <w:tblStyle w:val="51"/>
        <w:tblpPr w:leftFromText="180" w:rightFromText="180" w:vertAnchor="text" w:horzAnchor="page" w:tblpX="1470" w:tblpY="196"/>
        <w:tblOverlap w:val="never"/>
        <w:tblW w:w="0" w:type="auto"/>
        <w:tblInd w:w="0" w:type="dxa"/>
        <w:tblLayout w:type="fixed"/>
        <w:tblCellMar>
          <w:top w:w="0" w:type="dxa"/>
          <w:left w:w="108" w:type="dxa"/>
          <w:bottom w:w="0" w:type="dxa"/>
          <w:right w:w="108" w:type="dxa"/>
        </w:tblCellMar>
      </w:tblPr>
      <w:tblGrid>
        <w:gridCol w:w="709"/>
        <w:gridCol w:w="1276"/>
        <w:gridCol w:w="709"/>
        <w:gridCol w:w="1063"/>
        <w:gridCol w:w="1134"/>
        <w:gridCol w:w="1134"/>
        <w:gridCol w:w="921"/>
        <w:gridCol w:w="1134"/>
      </w:tblGrid>
      <w:tr>
        <w:tblPrEx>
          <w:tblCellMar>
            <w:top w:w="0" w:type="dxa"/>
            <w:left w:w="108" w:type="dxa"/>
            <w:bottom w:w="0" w:type="dxa"/>
            <w:right w:w="108" w:type="dxa"/>
          </w:tblCellMar>
        </w:tblPrEx>
        <w:trPr>
          <w:trHeight w:val="276" w:hRule="atLeast"/>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76" w:type="dxa"/>
            <w:vMerge w:val="restart"/>
            <w:tcBorders>
              <w:top w:val="single" w:color="auto" w:sz="12"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3331"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运维服务能源费用</w:t>
            </w:r>
          </w:p>
        </w:tc>
        <w:tc>
          <w:tcPr>
            <w:tcW w:w="921"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1134"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1" w:hRule="atLeast"/>
        </w:trPr>
        <w:tc>
          <w:tcPr>
            <w:tcW w:w="709" w:type="dxa"/>
            <w:vMerge w:val="continue"/>
            <w:tcBorders>
              <w:left w:val="single" w:color="auto" w:sz="12"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p>
        </w:tc>
        <w:tc>
          <w:tcPr>
            <w:tcW w:w="127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709"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2024年</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2025年</w:t>
            </w:r>
          </w:p>
        </w:tc>
        <w:tc>
          <w:tcPr>
            <w:tcW w:w="921"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134"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327" w:hRule="atLeast"/>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9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1134"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403" w:hRule="atLeast"/>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陆港机房</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92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355.8</w:t>
            </w:r>
          </w:p>
        </w:tc>
        <w:tc>
          <w:tcPr>
            <w:tcW w:w="1134"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446" w:hRule="atLeast"/>
        </w:trPr>
        <w:tc>
          <w:tcPr>
            <w:tcW w:w="1985"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921" w:type="dxa"/>
            <w:tcBorders>
              <w:top w:val="nil"/>
              <w:left w:val="nil"/>
              <w:bottom w:val="single" w:color="auto" w:sz="12"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48</w:t>
            </w:r>
            <w:r>
              <w:rPr>
                <w:rFonts w:hint="eastAsia" w:ascii="宋体" w:hAnsi="宋体" w:eastAsia="宋体" w:cs="宋体"/>
                <w:color w:val="000000"/>
                <w:kern w:val="0"/>
                <w:szCs w:val="21"/>
                <w:lang w:val="en-US" w:eastAsia="zh-CN"/>
              </w:rPr>
              <w:t>1.8</w:t>
            </w:r>
          </w:p>
        </w:tc>
        <w:tc>
          <w:tcPr>
            <w:tcW w:w="1134"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bidi w:val="0"/>
        <w:rPr>
          <w:rFonts w:hint="eastAsia" w:ascii="宋体" w:hAnsi="宋体" w:eastAsia="宋体" w:cs="宋体"/>
          <w:color w:val="000000"/>
          <w:lang w:val="en-US" w:eastAsia="zh-CN"/>
        </w:rPr>
      </w:pPr>
    </w:p>
    <w:bookmarkEnd w:id="323"/>
    <w:p>
      <w:pPr>
        <w:adjustRightInd w:val="0"/>
        <w:snapToGrid w:val="0"/>
        <w:spacing w:line="360" w:lineRule="auto"/>
        <w:ind w:firstLine="480" w:firstLineChars="200"/>
        <w:rPr>
          <w:rFonts w:hint="eastAsia" w:ascii="宋体" w:hAnsi="宋体" w:eastAsia="宋体" w:cs="宋体"/>
          <w:color w:val="000000"/>
          <w:sz w:val="24"/>
          <w:szCs w:val="24"/>
        </w:rPr>
      </w:pPr>
      <w:bookmarkStart w:id="324" w:name="_Toc2400"/>
      <w:bookmarkStart w:id="325" w:name="_Toc116728389"/>
      <w:bookmarkStart w:id="326" w:name="_Toc9509"/>
      <w:bookmarkStart w:id="327" w:name="_Toc22917"/>
      <w:bookmarkStart w:id="328" w:name="_Toc114663117"/>
      <w:bookmarkStart w:id="329" w:name="_Toc114739405"/>
      <w:bookmarkStart w:id="330" w:name="_Toc110204711"/>
      <w:bookmarkStart w:id="331" w:name="_Toc114419372"/>
      <w:bookmarkStart w:id="332" w:name="_Toc110205525"/>
      <w:bookmarkStart w:id="333" w:name="_Toc114597562"/>
      <w:bookmarkStart w:id="334" w:name="_Toc110229226"/>
      <w:bookmarkStart w:id="335" w:name="_Toc109667314"/>
      <w:bookmarkStart w:id="336" w:name="_Toc116368829"/>
      <w:bookmarkStart w:id="337" w:name="_Toc6067"/>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20" w:firstLineChars="200"/>
        <w:rPr>
          <w:rFonts w:hint="eastAsia" w:ascii="宋体" w:hAnsi="宋体" w:eastAsia="宋体" w:cs="宋体"/>
          <w:color w:val="000000"/>
          <w:sz w:val="24"/>
          <w:szCs w:val="24"/>
        </w:rPr>
      </w:pPr>
      <w:r>
        <w:rPr>
          <w:rFonts w:hint="eastAsia"/>
          <w:color w:val="000000"/>
          <w:lang w:val="en-US" w:eastAsia="zh-CN"/>
        </w:rPr>
        <w:t>备注：</w:t>
      </w:r>
      <w:r>
        <w:rPr>
          <w:rFonts w:hint="eastAsia"/>
          <w:color w:val="000000"/>
        </w:rPr>
        <w:t>机房能源费按实结算</w:t>
      </w:r>
      <w:r>
        <w:rPr>
          <w:rFonts w:hint="eastAsia"/>
          <w:color w:val="000000"/>
          <w:lang w:eastAsia="zh-CN"/>
        </w:rPr>
        <w:t>，</w:t>
      </w:r>
      <w:r>
        <w:rPr>
          <w:rFonts w:hint="eastAsia"/>
          <w:color w:val="000000"/>
          <w:lang w:val="en-US" w:eastAsia="zh-CN"/>
        </w:rPr>
        <w:t>实际用电量以结算周期内机房的单独电表计数为准，电费单价以电力公司出具的电费发票单价或相关合同约定的单价为准。</w:t>
      </w: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机房租赁与维护服务费</w:t>
      </w:r>
      <w:bookmarkEnd w:id="324"/>
      <w:bookmarkEnd w:id="325"/>
      <w:bookmarkEnd w:id="326"/>
      <w:bookmarkEnd w:id="327"/>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包干</w:t>
      </w:r>
    </w:p>
    <w:p>
      <w:pPr>
        <w:adjustRightInd w:val="0"/>
        <w:snapToGrid w:val="0"/>
        <w:spacing w:line="360" w:lineRule="auto"/>
        <w:ind w:firstLine="480" w:firstLineChars="200"/>
        <w:rPr>
          <w:rFonts w:hint="eastAsia" w:ascii="宋体" w:hAnsi="宋体" w:eastAsia="宋体" w:cs="宋体"/>
          <w:color w:val="000000"/>
          <w:sz w:val="24"/>
          <w:szCs w:val="24"/>
          <w:lang w:eastAsia="zh-CN"/>
        </w:rPr>
      </w:pPr>
      <w:bookmarkStart w:id="338" w:name="_Toc116728390"/>
      <w:bookmarkStart w:id="339" w:name="_Toc114419374"/>
      <w:bookmarkStart w:id="340" w:name="_Toc109667316"/>
      <w:bookmarkStart w:id="341" w:name="_Toc110229228"/>
      <w:bookmarkStart w:id="342" w:name="_Toc19101"/>
      <w:bookmarkStart w:id="343" w:name="_Toc30443"/>
      <w:bookmarkStart w:id="344" w:name="_Toc15096"/>
      <w:bookmarkStart w:id="345" w:name="_Toc116368831"/>
      <w:bookmarkStart w:id="346" w:name="_Toc110205527"/>
      <w:bookmarkStart w:id="347" w:name="_Toc114663119"/>
      <w:bookmarkStart w:id="348" w:name="_Toc114597564"/>
      <w:bookmarkStart w:id="349" w:name="_Toc114739407"/>
      <w:bookmarkStart w:id="350" w:name="_Toc29199"/>
      <w:bookmarkStart w:id="351" w:name="_Toc110204713"/>
      <w:r>
        <w:rPr>
          <w:rFonts w:hint="eastAsia" w:ascii="宋体" w:hAnsi="宋体" w:eastAsia="宋体" w:cs="宋体"/>
          <w:color w:val="000000"/>
          <w:sz w:val="24"/>
          <w:szCs w:val="24"/>
        </w:rPr>
        <w:t>机房租赁与维护服务费：机房租赁费包括新马路IDC机房租赁费和陆港IDC机房租赁费；维护费为交警指挥中心</w:t>
      </w:r>
      <w:r>
        <w:rPr>
          <w:rFonts w:hint="eastAsia" w:ascii="宋体" w:hAnsi="宋体" w:eastAsia="宋体" w:cs="宋体"/>
          <w:color w:val="000000"/>
          <w:sz w:val="24"/>
          <w:szCs w:val="24"/>
          <w:lang w:eastAsia="zh-CN"/>
        </w:rPr>
        <w:t>及交警自建机房</w:t>
      </w:r>
      <w:r>
        <w:rPr>
          <w:rFonts w:hint="eastAsia" w:ascii="宋体" w:hAnsi="宋体" w:eastAsia="宋体" w:cs="宋体"/>
          <w:color w:val="000000"/>
          <w:sz w:val="24"/>
          <w:szCs w:val="24"/>
        </w:rPr>
        <w:t>维护费，按20万元/年包干</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2023-2025年机房租赁与维护服务费共计378万元</w:t>
      </w:r>
      <w:r>
        <w:rPr>
          <w:rFonts w:hint="eastAsia" w:ascii="宋体" w:hAnsi="宋体" w:eastAsia="宋体" w:cs="宋体"/>
          <w:color w:val="000000"/>
          <w:sz w:val="24"/>
          <w:szCs w:val="24"/>
          <w:lang w:eastAsia="zh-CN"/>
        </w:rPr>
        <w:t>。</w:t>
      </w:r>
    </w:p>
    <w:tbl>
      <w:tblPr>
        <w:tblStyle w:val="51"/>
        <w:tblW w:w="0" w:type="auto"/>
        <w:jc w:val="center"/>
        <w:tblLayout w:type="fixed"/>
        <w:tblCellMar>
          <w:top w:w="0" w:type="dxa"/>
          <w:left w:w="108" w:type="dxa"/>
          <w:bottom w:w="0" w:type="dxa"/>
          <w:right w:w="108" w:type="dxa"/>
        </w:tblCellMar>
      </w:tblPr>
      <w:tblGrid>
        <w:gridCol w:w="709"/>
        <w:gridCol w:w="1292"/>
        <w:gridCol w:w="709"/>
        <w:gridCol w:w="910"/>
        <w:gridCol w:w="992"/>
        <w:gridCol w:w="992"/>
        <w:gridCol w:w="697"/>
        <w:gridCol w:w="2268"/>
      </w:tblGrid>
      <w:tr>
        <w:tblPrEx>
          <w:tblCellMar>
            <w:top w:w="0" w:type="dxa"/>
            <w:left w:w="108" w:type="dxa"/>
            <w:bottom w:w="0" w:type="dxa"/>
            <w:right w:w="108" w:type="dxa"/>
          </w:tblCellMar>
        </w:tblPrEx>
        <w:trPr>
          <w:trHeight w:val="276" w:hRule="atLeast"/>
          <w:jc w:val="center"/>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92" w:type="dxa"/>
            <w:vMerge w:val="restart"/>
            <w:tcBorders>
              <w:top w:val="single" w:color="auto" w:sz="12" w:space="0"/>
              <w:left w:val="nil"/>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2894"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机房租赁与维护服务费</w:t>
            </w:r>
          </w:p>
        </w:tc>
        <w:tc>
          <w:tcPr>
            <w:tcW w:w="697"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2268"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1" w:hRule="atLeast"/>
          <w:jc w:val="center"/>
        </w:trPr>
        <w:tc>
          <w:tcPr>
            <w:tcW w:w="709" w:type="dxa"/>
            <w:vMerge w:val="continue"/>
            <w:tcBorders>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292"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2023年</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2024年</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2025年</w:t>
            </w:r>
          </w:p>
        </w:tc>
        <w:tc>
          <w:tcPr>
            <w:tcW w:w="697"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268"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261"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机房租赁费（新马路）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2268" w:type="dxa"/>
            <w:tcBorders>
              <w:top w:val="nil"/>
              <w:left w:val="nil"/>
              <w:bottom w:val="single" w:color="auto" w:sz="4" w:space="0"/>
              <w:right w:val="single" w:color="auto" w:sz="12"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新马路机房，包干费用</w:t>
            </w:r>
          </w:p>
        </w:tc>
      </w:tr>
      <w:tr>
        <w:tblPrEx>
          <w:tblCellMar>
            <w:top w:w="0" w:type="dxa"/>
            <w:left w:w="108" w:type="dxa"/>
            <w:bottom w:w="0" w:type="dxa"/>
            <w:right w:w="108" w:type="dxa"/>
          </w:tblCellMar>
        </w:tblPrEx>
        <w:trPr>
          <w:trHeight w:val="265"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机房租赁费（陆港）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228</w:t>
            </w:r>
          </w:p>
        </w:tc>
        <w:tc>
          <w:tcPr>
            <w:tcW w:w="2268"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陆港，包干费用</w:t>
            </w: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维护费</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2"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2268"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包干费用</w:t>
            </w:r>
          </w:p>
        </w:tc>
      </w:tr>
      <w:tr>
        <w:tblPrEx>
          <w:tblCellMar>
            <w:top w:w="0" w:type="dxa"/>
            <w:left w:w="108" w:type="dxa"/>
            <w:bottom w:w="0" w:type="dxa"/>
            <w:right w:w="108" w:type="dxa"/>
          </w:tblCellMar>
        </w:tblPrEx>
        <w:trPr>
          <w:trHeight w:val="277" w:hRule="atLeast"/>
          <w:jc w:val="center"/>
        </w:trPr>
        <w:tc>
          <w:tcPr>
            <w:tcW w:w="2001"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2"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2"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697"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378</w:t>
            </w:r>
          </w:p>
        </w:tc>
        <w:tc>
          <w:tcPr>
            <w:tcW w:w="2268"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adjustRightInd w:val="0"/>
        <w:snapToGrid w:val="0"/>
        <w:spacing w:line="360" w:lineRule="auto"/>
        <w:ind w:firstLine="480" w:firstLineChars="200"/>
        <w:rPr>
          <w:rFonts w:hint="eastAsia" w:ascii="Times New Roman" w:hAnsi="Times New Roman" w:eastAsia="仿宋" w:cs="Times New Roman"/>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光纤租赁服务费</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22"/>
        <w:gridCol w:w="871"/>
        <w:gridCol w:w="846"/>
        <w:gridCol w:w="842"/>
        <w:gridCol w:w="1013"/>
        <w:gridCol w:w="1163"/>
        <w:gridCol w:w="1136"/>
        <w:gridCol w:w="1142"/>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1"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62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名称</w:t>
            </w:r>
          </w:p>
        </w:tc>
        <w:tc>
          <w:tcPr>
            <w:tcW w:w="871"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类型</w:t>
            </w:r>
          </w:p>
        </w:tc>
        <w:tc>
          <w:tcPr>
            <w:tcW w:w="846"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（条）</w:t>
            </w:r>
          </w:p>
        </w:tc>
        <w:tc>
          <w:tcPr>
            <w:tcW w:w="842" w:type="dxa"/>
            <w:vMerge w:val="restar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单价（元/年）</w:t>
            </w:r>
          </w:p>
        </w:tc>
        <w:tc>
          <w:tcPr>
            <w:tcW w:w="3312" w:type="dxa"/>
            <w:gridSpan w:val="3"/>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光纤租赁服务费</w:t>
            </w:r>
          </w:p>
        </w:tc>
        <w:tc>
          <w:tcPr>
            <w:tcW w:w="114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三年合计（万元）</w:t>
            </w:r>
          </w:p>
        </w:tc>
        <w:tc>
          <w:tcPr>
            <w:tcW w:w="1210"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1" w:type="dxa"/>
            <w:vMerge w:val="continue"/>
            <w:noWrap w:val="0"/>
            <w:vAlign w:val="center"/>
          </w:tcPr>
          <w:p>
            <w:pPr>
              <w:widowControl/>
              <w:jc w:val="center"/>
              <w:rPr>
                <w:rFonts w:hint="eastAsia" w:ascii="宋体" w:hAnsi="宋体" w:eastAsia="宋体" w:cs="宋体"/>
                <w:color w:val="000000"/>
                <w:kern w:val="0"/>
                <w:szCs w:val="21"/>
              </w:rPr>
            </w:pP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vMerge w:val="continue"/>
            <w:noWrap w:val="0"/>
            <w:vAlign w:val="center"/>
          </w:tcPr>
          <w:p>
            <w:pPr>
              <w:widowControl/>
              <w:jc w:val="center"/>
              <w:rPr>
                <w:rFonts w:hint="eastAsia" w:ascii="宋体" w:hAnsi="宋体" w:eastAsia="宋体" w:cs="宋体"/>
                <w:color w:val="000000"/>
                <w:kern w:val="0"/>
                <w:szCs w:val="21"/>
              </w:rPr>
            </w:pPr>
          </w:p>
        </w:tc>
        <w:tc>
          <w:tcPr>
            <w:tcW w:w="846" w:type="dxa"/>
            <w:vMerge w:val="continue"/>
            <w:noWrap w:val="0"/>
            <w:vAlign w:val="center"/>
          </w:tcPr>
          <w:p>
            <w:pPr>
              <w:widowControl/>
              <w:jc w:val="center"/>
              <w:rPr>
                <w:rFonts w:hint="eastAsia" w:ascii="宋体" w:hAnsi="宋体" w:eastAsia="宋体" w:cs="宋体"/>
                <w:color w:val="000000"/>
                <w:kern w:val="0"/>
                <w:szCs w:val="21"/>
              </w:rPr>
            </w:pPr>
          </w:p>
        </w:tc>
        <w:tc>
          <w:tcPr>
            <w:tcW w:w="842" w:type="dxa"/>
            <w:vMerge w:val="continue"/>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63"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2024年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3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2025年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42" w:type="dxa"/>
            <w:vMerge w:val="continue"/>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62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一期</w:t>
            </w: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1365</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2023年216条，其它由智能交通系统一期“以租代建”结算，按实结算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大队至中队互联电路</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2023年由智能交通系统一期“以租代建”结算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大队100兆上网光纤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大队50兆上网光纤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中队上网宽带</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物联网卡</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120</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短信平台</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二期</w:t>
            </w: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817</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default" w:ascii="宋体" w:hAnsi="宋体" w:eastAsia="宋体" w:cs="宋体"/>
                <w:color w:val="000000"/>
                <w:kern w:val="0"/>
                <w:szCs w:val="21"/>
                <w:lang w:val="en-US" w:eastAsia="zh-CN"/>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3.1</w:t>
            </w:r>
          </w:p>
        </w:tc>
        <w:tc>
          <w:tcPr>
            <w:tcW w:w="6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外单位移交</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w:t>
            </w: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846"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13</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76" w:type="dxa"/>
            <w:gridSpan w:val="10"/>
            <w:noWrap w:val="0"/>
            <w:vAlign w:val="center"/>
          </w:tcPr>
          <w:p>
            <w:pPr>
              <w:widowControl/>
              <w:jc w:val="both"/>
              <w:rPr>
                <w:rFonts w:hint="eastAsia" w:ascii="宋体" w:hAnsi="宋体" w:eastAsia="宋体" w:cs="宋体"/>
                <w:color w:val="000000"/>
                <w:kern w:val="0"/>
                <w:szCs w:val="21"/>
              </w:rPr>
            </w:pPr>
            <w:bookmarkStart w:id="352" w:name="_Toc1178"/>
            <w:bookmarkStart w:id="353" w:name="_Toc24270"/>
            <w:bookmarkStart w:id="354" w:name="_Toc116728391"/>
            <w:bookmarkStart w:id="355" w:name="_Toc28530"/>
            <w:r>
              <w:rPr>
                <w:rFonts w:hint="eastAsia" w:ascii="宋体" w:hAnsi="宋体" w:eastAsia="宋体" w:cs="宋体"/>
                <w:color w:val="000000"/>
                <w:kern w:val="0"/>
                <w:szCs w:val="21"/>
              </w:rPr>
              <w:t>合计</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万元</w:t>
            </w:r>
          </w:p>
        </w:tc>
      </w:tr>
    </w:tbl>
    <w:p>
      <w:pPr>
        <w:keepNext/>
        <w:keepLines/>
        <w:tabs>
          <w:tab w:val="left" w:pos="426"/>
        </w:tabs>
        <w:adjustRightInd w:val="0"/>
        <w:snapToGrid w:val="0"/>
        <w:spacing w:before="260" w:after="260" w:line="360" w:lineRule="auto"/>
        <w:jc w:val="both"/>
        <w:outlineLvl w:val="2"/>
        <w:rPr>
          <w:rFonts w:hint="eastAsia" w:ascii="宋体" w:hAnsi="宋体" w:cs="宋体"/>
          <w:b/>
          <w:bCs/>
          <w:color w:val="000000"/>
          <w:sz w:val="24"/>
        </w:rPr>
      </w:pPr>
      <w:bookmarkStart w:id="356" w:name="_Toc25746"/>
      <w:bookmarkStart w:id="357" w:name="_Toc22337"/>
      <w:bookmarkStart w:id="358" w:name="_Toc31749"/>
      <w:bookmarkStart w:id="359" w:name="_Toc10465"/>
      <w:bookmarkStart w:id="360" w:name="_Toc31837"/>
      <w:bookmarkStart w:id="361" w:name="_Toc17242"/>
      <w:r>
        <w:rPr>
          <w:rFonts w:hint="eastAsia" w:ascii="宋体" w:hAnsi="宋体" w:cs="宋体"/>
          <w:b/>
          <w:bCs/>
          <w:color w:val="000000"/>
          <w:sz w:val="24"/>
        </w:rPr>
        <w:t>全权代表签字或盖章：                               日 期：</w:t>
      </w:r>
      <w:bookmarkEnd w:id="356"/>
      <w:r>
        <w:rPr>
          <w:rFonts w:hint="eastAsia" w:ascii="宋体" w:hAnsi="宋体" w:cs="宋体"/>
          <w:b/>
          <w:bCs/>
          <w:color w:val="000000"/>
          <w:sz w:val="24"/>
        </w:rPr>
        <w:t xml:space="preserve">   </w:t>
      </w:r>
      <w:bookmarkEnd w:id="357"/>
      <w:bookmarkEnd w:id="358"/>
      <w:bookmarkEnd w:id="359"/>
      <w:bookmarkEnd w:id="360"/>
      <w:bookmarkEnd w:id="361"/>
    </w:p>
    <w:p>
      <w:pPr>
        <w:pStyle w:val="27"/>
        <w:spacing w:line="460" w:lineRule="exact"/>
        <w:ind w:left="0" w:leftChars="0" w:firstLine="0" w:firstLineChars="0"/>
        <w:rPr>
          <w:rFonts w:hint="eastAsia" w:ascii="宋体" w:hAnsi="宋体" w:eastAsia="宋体" w:cs="宋体"/>
          <w:bCs w:val="0"/>
          <w:color w:val="000000"/>
          <w:sz w:val="24"/>
          <w:szCs w:val="24"/>
          <w:lang w:val="en-US" w:eastAsia="zh-CN"/>
        </w:rPr>
      </w:pPr>
      <w:r>
        <w:rPr>
          <w:rFonts w:hint="eastAsia" w:eastAsia="宋体" w:cs="宋体"/>
          <w:color w:val="000000"/>
          <w:sz w:val="24"/>
          <w:szCs w:val="24"/>
          <w:lang w:val="en-US" w:eastAsia="zh-CN"/>
        </w:rPr>
        <w:t>备注：</w:t>
      </w:r>
      <w:r>
        <w:rPr>
          <w:rFonts w:hint="eastAsia" w:ascii="宋体" w:hAnsi="宋体" w:eastAsia="宋体" w:cs="宋体"/>
          <w:color w:val="000000"/>
          <w:sz w:val="24"/>
          <w:szCs w:val="24"/>
          <w:lang w:val="en-US" w:eastAsia="zh-CN"/>
        </w:rPr>
        <w:t>1.</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投标单位需按上述价格进行报价，不得去更改；如果投标单位的</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未按上述价格进行报价的，报价评审时由评审小组按招标文件中规定的价格进行修正后，再进行评审。</w:t>
      </w:r>
    </w:p>
    <w:p>
      <w:pPr>
        <w:pStyle w:val="27"/>
        <w:spacing w:line="460" w:lineRule="exact"/>
        <w:ind w:left="239" w:leftChars="114" w:firstLine="240" w:firstLineChars="100"/>
        <w:rPr>
          <w:rFonts w:hint="eastAsia"/>
          <w:color w:val="000000"/>
          <w:lang w:val="en-US" w:eastAsia="zh-CN"/>
        </w:rPr>
      </w:pPr>
      <w:r>
        <w:rPr>
          <w:rFonts w:hint="eastAsia" w:ascii="宋体" w:hAnsi="宋体" w:eastAsia="宋体" w:cs="宋体"/>
          <w:bCs w:val="0"/>
          <w:color w:val="000000"/>
          <w:sz w:val="24"/>
          <w:szCs w:val="24"/>
          <w:lang w:val="en-US" w:eastAsia="zh-CN"/>
        </w:rPr>
        <w:t xml:space="preserve"> 2.中标后</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val="en-US" w:eastAsia="zh-CN"/>
        </w:rPr>
        <w:t>按实结算，</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为包干费用。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仿宋"/>
          <w:color w:val="000000"/>
          <w:sz w:val="28"/>
          <w:szCs w:val="28"/>
          <w:lang w:val="en-US" w:eastAsia="zh-CN"/>
        </w:rPr>
      </w:pPr>
      <w:r>
        <w:rPr>
          <w:rFonts w:hint="eastAsia" w:eastAsia="仿宋"/>
          <w:b/>
          <w:bCs/>
          <w:color w:val="000000"/>
          <w:sz w:val="28"/>
          <w:szCs w:val="28"/>
          <w:lang w:val="en-US" w:eastAsia="zh-CN"/>
        </w:rPr>
        <w:t>4.</w:t>
      </w:r>
      <w:r>
        <w:rPr>
          <w:rFonts w:eastAsia="仿宋"/>
          <w:b/>
          <w:bCs/>
          <w:color w:val="000000"/>
          <w:sz w:val="28"/>
          <w:szCs w:val="28"/>
        </w:rPr>
        <w:t>智能交通指挥中心</w:t>
      </w:r>
      <w:r>
        <w:rPr>
          <w:rFonts w:hint="eastAsia" w:eastAsia="仿宋"/>
          <w:b/>
          <w:bCs/>
          <w:color w:val="000000"/>
          <w:sz w:val="28"/>
          <w:szCs w:val="28"/>
          <w:lang w:val="en-US" w:eastAsia="zh-CN"/>
        </w:rPr>
        <w:t>车辆</w:t>
      </w:r>
      <w:r>
        <w:rPr>
          <w:rFonts w:hint="eastAsia" w:eastAsia="仿宋"/>
          <w:b/>
          <w:bCs/>
          <w:color w:val="000000"/>
          <w:sz w:val="28"/>
          <w:szCs w:val="28"/>
        </w:rPr>
        <w:t>分析</w:t>
      </w:r>
      <w:r>
        <w:rPr>
          <w:rFonts w:hint="eastAsia" w:eastAsia="仿宋"/>
          <w:b/>
          <w:bCs/>
          <w:color w:val="000000"/>
          <w:sz w:val="28"/>
          <w:szCs w:val="28"/>
          <w:lang w:val="en-US" w:eastAsia="zh-CN"/>
        </w:rPr>
        <w:t>应用</w:t>
      </w:r>
      <w:r>
        <w:rPr>
          <w:rFonts w:hint="eastAsia" w:eastAsia="仿宋"/>
          <w:b/>
          <w:bCs/>
          <w:color w:val="000000"/>
          <w:sz w:val="28"/>
          <w:szCs w:val="28"/>
        </w:rPr>
        <w:t>、信号配时与交通组织服务</w:t>
      </w:r>
      <w:r>
        <w:rPr>
          <w:rFonts w:eastAsia="仿宋"/>
          <w:b/>
          <w:bCs/>
          <w:color w:val="000000"/>
          <w:sz w:val="28"/>
          <w:szCs w:val="28"/>
        </w:rPr>
        <w:t>费</w:t>
      </w:r>
      <w:bookmarkEnd w:id="328"/>
      <w:bookmarkEnd w:id="329"/>
      <w:bookmarkEnd w:id="330"/>
      <w:bookmarkEnd w:id="331"/>
      <w:bookmarkEnd w:id="332"/>
      <w:bookmarkEnd w:id="333"/>
      <w:bookmarkEnd w:id="334"/>
      <w:bookmarkEnd w:id="335"/>
      <w:bookmarkEnd w:id="336"/>
      <w:bookmarkEnd w:id="337"/>
      <w:bookmarkEnd w:id="352"/>
      <w:bookmarkEnd w:id="353"/>
      <w:bookmarkEnd w:id="354"/>
      <w:bookmarkEnd w:id="355"/>
      <w:r>
        <w:rPr>
          <w:rFonts w:hint="eastAsia" w:ascii="Times New Roman" w:hAnsi="Times New Roman" w:eastAsia="仿宋" w:cs="Times New Roman"/>
          <w:b/>
          <w:bCs/>
          <w:color w:val="000000"/>
          <w:sz w:val="28"/>
          <w:szCs w:val="28"/>
          <w:lang w:val="en-US" w:eastAsia="zh-CN"/>
        </w:rPr>
        <w:t>报价明细表</w:t>
      </w:r>
    </w:p>
    <w:p>
      <w:pPr>
        <w:keepNext/>
        <w:keepLines/>
        <w:tabs>
          <w:tab w:val="left" w:pos="426"/>
        </w:tabs>
        <w:adjustRightInd w:val="0"/>
        <w:snapToGrid w:val="0"/>
        <w:spacing w:before="260" w:after="260" w:line="360" w:lineRule="auto"/>
        <w:jc w:val="center"/>
        <w:outlineLvl w:val="2"/>
        <w:rPr>
          <w:rFonts w:hint="eastAsia" w:eastAsia="仿宋"/>
          <w:b/>
          <w:bCs/>
          <w:color w:val="000000"/>
          <w:sz w:val="28"/>
          <w:szCs w:val="28"/>
          <w:lang w:val="en-US" w:eastAsia="zh-CN"/>
        </w:rPr>
      </w:pPr>
    </w:p>
    <w:p>
      <w:pPr>
        <w:spacing w:line="336" w:lineRule="auto"/>
        <w:rPr>
          <w:rFonts w:hint="default" w:eastAsia="仿宋"/>
          <w:b/>
          <w:bCs/>
          <w:color w:val="000000"/>
          <w:sz w:val="28"/>
          <w:szCs w:val="28"/>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51"/>
        <w:tblW w:w="0" w:type="auto"/>
        <w:jc w:val="center"/>
        <w:tblLayout w:type="fixed"/>
        <w:tblCellMar>
          <w:top w:w="0" w:type="dxa"/>
          <w:left w:w="108" w:type="dxa"/>
          <w:bottom w:w="0" w:type="dxa"/>
          <w:right w:w="108" w:type="dxa"/>
        </w:tblCellMar>
      </w:tblPr>
      <w:tblGrid>
        <w:gridCol w:w="637"/>
        <w:gridCol w:w="2629"/>
        <w:gridCol w:w="1232"/>
        <w:gridCol w:w="1232"/>
        <w:gridCol w:w="1232"/>
        <w:gridCol w:w="1232"/>
        <w:gridCol w:w="1235"/>
      </w:tblGrid>
      <w:tr>
        <w:tblPrEx>
          <w:tblCellMar>
            <w:top w:w="0" w:type="dxa"/>
            <w:left w:w="108" w:type="dxa"/>
            <w:bottom w:w="0" w:type="dxa"/>
            <w:right w:w="108" w:type="dxa"/>
          </w:tblCellMar>
        </w:tblPrEx>
        <w:trPr>
          <w:trHeight w:val="919" w:hRule="atLeast"/>
          <w:tblHeader/>
          <w:jc w:val="center"/>
        </w:trPr>
        <w:tc>
          <w:tcPr>
            <w:tcW w:w="637"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bookmarkStart w:id="362" w:name="_Toc110204712"/>
            <w:bookmarkStart w:id="363" w:name="_Toc109667315"/>
            <w:bookmarkStart w:id="364" w:name="_Toc114739406"/>
            <w:bookmarkStart w:id="365" w:name="_Toc110229227"/>
            <w:bookmarkStart w:id="366" w:name="_Toc110205526"/>
            <w:bookmarkStart w:id="367" w:name="_Toc114419373"/>
            <w:bookmarkStart w:id="368" w:name="_Toc114663118"/>
            <w:bookmarkStart w:id="369" w:name="_Hlk109655482"/>
            <w:bookmarkStart w:id="370" w:name="_Toc114597563"/>
            <w:r>
              <w:rPr>
                <w:rFonts w:hint="eastAsia" w:ascii="宋体" w:hAnsi="宋体" w:eastAsia="宋体" w:cs="宋体"/>
                <w:b/>
                <w:color w:val="000000"/>
                <w:kern w:val="0"/>
                <w:sz w:val="24"/>
                <w:szCs w:val="24"/>
              </w:rPr>
              <w:t>序号</w:t>
            </w:r>
          </w:p>
        </w:tc>
        <w:tc>
          <w:tcPr>
            <w:tcW w:w="2629"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w:t>
            </w:r>
          </w:p>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分类</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用工人数（人）</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2023年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2024年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2025年</w:t>
            </w:r>
          </w:p>
        </w:tc>
        <w:tc>
          <w:tcPr>
            <w:tcW w:w="1235"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小计</w:t>
            </w:r>
          </w:p>
          <w:p>
            <w:pPr>
              <w:widowControl/>
              <w:jc w:val="center"/>
              <w:rPr>
                <w:rFonts w:hint="eastAsia" w:ascii="宋体" w:hAnsi="宋体" w:eastAsia="宋体" w:cs="宋体"/>
                <w:b/>
                <w:color w:val="000000"/>
                <w:kern w:val="0"/>
                <w:sz w:val="24"/>
                <w:szCs w:val="24"/>
              </w:rPr>
            </w:pPr>
            <w:r>
              <w:rPr>
                <w:rFonts w:hint="eastAsia" w:ascii="宋体" w:hAnsi="宋体" w:eastAsia="宋体" w:cs="宋体"/>
                <w:b w:val="0"/>
                <w:bCs w:val="0"/>
                <w:color w:val="000000"/>
                <w:kern w:val="0"/>
                <w:sz w:val="24"/>
                <w:szCs w:val="24"/>
              </w:rPr>
              <w:t>（万元）</w:t>
            </w: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车辆</w:t>
            </w:r>
            <w:r>
              <w:rPr>
                <w:rFonts w:hint="eastAsia" w:ascii="宋体" w:hAnsi="宋体" w:eastAsia="宋体" w:cs="宋体"/>
                <w:color w:val="000000"/>
                <w:kern w:val="0"/>
                <w:sz w:val="24"/>
                <w:szCs w:val="24"/>
              </w:rPr>
              <w:t>分析应用</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地理信息系统</w:t>
            </w:r>
            <w:r>
              <w:rPr>
                <w:rFonts w:hint="eastAsia" w:ascii="宋体" w:hAnsi="宋体" w:eastAsia="宋体" w:cs="宋体"/>
                <w:color w:val="000000"/>
                <w:kern w:val="0"/>
                <w:sz w:val="24"/>
                <w:szCs w:val="24"/>
              </w:rPr>
              <w:t>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39"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网络安全管理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普通</w:t>
            </w:r>
            <w:r>
              <w:rPr>
                <w:rFonts w:hint="eastAsia" w:ascii="宋体" w:hAnsi="宋体" w:eastAsia="宋体" w:cs="宋体"/>
                <w:color w:val="000000"/>
                <w:kern w:val="0"/>
                <w:sz w:val="24"/>
                <w:szCs w:val="24"/>
              </w:rPr>
              <w:t>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9429" w:type="dxa"/>
            <w:gridSpan w:val="7"/>
            <w:tcBorders>
              <w:top w:val="single" w:color="auto" w:sz="4" w:space="0"/>
              <w:left w:val="single" w:color="auto" w:sz="12"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合计： 万元</w:t>
            </w:r>
          </w:p>
        </w:tc>
      </w:tr>
      <w:bookmarkEnd w:id="362"/>
      <w:bookmarkEnd w:id="363"/>
      <w:bookmarkEnd w:id="364"/>
      <w:bookmarkEnd w:id="365"/>
      <w:bookmarkEnd w:id="366"/>
      <w:bookmarkEnd w:id="367"/>
      <w:bookmarkEnd w:id="368"/>
      <w:bookmarkEnd w:id="369"/>
      <w:bookmarkEnd w:id="370"/>
    </w:tbl>
    <w:p>
      <w:pPr>
        <w:rPr>
          <w:rFonts w:hint="eastAsia" w:ascii="宋体" w:hAnsi="宋体" w:cs="宋体"/>
          <w:b/>
          <w:bCs/>
          <w:color w:val="000000"/>
          <w:sz w:val="24"/>
        </w:rPr>
      </w:pPr>
    </w:p>
    <w:p>
      <w:pPr>
        <w:rPr>
          <w:rFonts w:hint="eastAsia" w:ascii="宋体" w:hAnsi="宋体" w:cs="宋体"/>
          <w:b/>
          <w:bCs/>
          <w:color w:val="000000"/>
          <w:sz w:val="24"/>
        </w:rPr>
      </w:pPr>
      <w:r>
        <w:rPr>
          <w:rFonts w:hint="eastAsia" w:ascii="宋体" w:hAnsi="宋体" w:cs="宋体"/>
          <w:b/>
          <w:bCs/>
          <w:color w:val="000000"/>
          <w:sz w:val="24"/>
        </w:rPr>
        <w:t xml:space="preserve">全权代表签字或盖章：                               日 期：   </w:t>
      </w:r>
    </w:p>
    <w:p>
      <w:pPr>
        <w:pStyle w:val="2"/>
        <w:rPr>
          <w:rFonts w:hint="eastAsia" w:ascii="宋体" w:hAnsi="宋体" w:cs="宋体"/>
          <w:b/>
          <w:bCs/>
          <w:color w:val="000000"/>
          <w:sz w:val="24"/>
        </w:rPr>
      </w:pPr>
    </w:p>
    <w:p>
      <w:pPr>
        <w:pStyle w:val="4"/>
        <w:rPr>
          <w:rFonts w:hint="eastAsia" w:ascii="宋体" w:hAnsi="宋体" w:cs="宋体"/>
          <w:b/>
          <w:bCs/>
          <w:color w:val="000000"/>
          <w:sz w:val="24"/>
        </w:rPr>
        <w:sectPr>
          <w:pgSz w:w="11906" w:h="16838"/>
          <w:pgMar w:top="1440" w:right="947"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jc w:val="center"/>
        <w:rPr>
          <w:rFonts w:hint="eastAsia" w:ascii="Times New Roman" w:hAnsi="Times New Roman" w:eastAsia="仿宋" w:cs="Times New Roman"/>
          <w:color w:val="000000"/>
          <w:sz w:val="28"/>
          <w:szCs w:val="28"/>
          <w:lang w:val="en-US" w:eastAsia="zh-CN"/>
        </w:rPr>
      </w:pPr>
    </w:p>
    <w:p>
      <w:pPr>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val="en-US" w:eastAsia="zh-CN"/>
        </w:rPr>
        <w:t>1.</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rPr>
        <w:t>成本构成明细表</w:t>
      </w:r>
    </w:p>
    <w:p>
      <w:pPr>
        <w:pStyle w:val="2"/>
        <w:rPr>
          <w:rFonts w:hint="eastAsia"/>
          <w:color w:val="000000"/>
          <w:lang w:val="en-US" w:eastAsia="zh-CN"/>
        </w:rPr>
      </w:pPr>
    </w:p>
    <w:p>
      <w:pPr>
        <w:pStyle w:val="2"/>
        <w:jc w:val="both"/>
        <w:rPr>
          <w:color w:val="000000"/>
        </w:rPr>
      </w:pPr>
      <w:r>
        <w:rPr>
          <w:rFonts w:hint="eastAsia" w:ascii="宋体" w:hAnsi="宋体" w:eastAsia="宋体" w:cs="宋体"/>
          <w:b w:val="0"/>
          <w:bCs w:val="0"/>
          <w:color w:val="000000"/>
          <w:kern w:val="2"/>
          <w:sz w:val="24"/>
          <w:szCs w:val="20"/>
          <w:lang w:val="en-US" w:eastAsia="zh-CN" w:bidi="ar-SA"/>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tblInd w:w="0" w:type="dxa"/>
        <w:tblLayout w:type="fixed"/>
        <w:tblCellMar>
          <w:top w:w="0" w:type="dxa"/>
          <w:left w:w="108" w:type="dxa"/>
          <w:bottom w:w="0" w:type="dxa"/>
          <w:right w:w="108" w:type="dxa"/>
        </w:tblCellMar>
      </w:tblPr>
      <w:tblGrid>
        <w:gridCol w:w="636"/>
        <w:gridCol w:w="1739"/>
        <w:gridCol w:w="1126"/>
        <w:gridCol w:w="1141"/>
        <w:gridCol w:w="1342"/>
        <w:gridCol w:w="1343"/>
        <w:gridCol w:w="1343"/>
        <w:gridCol w:w="1574"/>
      </w:tblGrid>
      <w:tr>
        <w:tblPrEx>
          <w:tblCellMar>
            <w:top w:w="0" w:type="dxa"/>
            <w:left w:w="108" w:type="dxa"/>
            <w:bottom w:w="0" w:type="dxa"/>
            <w:right w:w="108" w:type="dxa"/>
          </w:tblCellMar>
        </w:tblPrEx>
        <w:trPr>
          <w:trHeight w:val="141" w:hRule="atLeast"/>
        </w:trPr>
        <w:tc>
          <w:tcPr>
            <w:tcW w:w="636"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序号</w:t>
            </w:r>
          </w:p>
        </w:tc>
        <w:tc>
          <w:tcPr>
            <w:tcW w:w="1739"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类型</w:t>
            </w:r>
          </w:p>
        </w:tc>
        <w:tc>
          <w:tcPr>
            <w:tcW w:w="1126"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使用期</w:t>
            </w:r>
          </w:p>
        </w:tc>
        <w:tc>
          <w:tcPr>
            <w:tcW w:w="1141"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通道数量</w:t>
            </w:r>
          </w:p>
        </w:tc>
        <w:tc>
          <w:tcPr>
            <w:tcW w:w="5602" w:type="dxa"/>
            <w:gridSpan w:val="4"/>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126" w:hRule="atLeast"/>
        </w:trPr>
        <w:tc>
          <w:tcPr>
            <w:tcW w:w="636"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342"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2023年</w:t>
            </w:r>
          </w:p>
        </w:tc>
        <w:tc>
          <w:tcPr>
            <w:tcW w:w="1343"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2024年</w:t>
            </w:r>
          </w:p>
        </w:tc>
        <w:tc>
          <w:tcPr>
            <w:tcW w:w="1343"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2025年</w:t>
            </w:r>
          </w:p>
        </w:tc>
        <w:tc>
          <w:tcPr>
            <w:tcW w:w="1574" w:type="dxa"/>
            <w:tcBorders>
              <w:top w:val="nil"/>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三年合计</w:t>
            </w: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电子警察</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1661</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2596</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模拟球机</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272</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数字球机</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1187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多功能执法</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常规卡口</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847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251</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雷达卡口</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173</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7</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6平方交通诱导</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22</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12平方交通诱导</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加油站卡口</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行人闯红灯</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96</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测速仪</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信号机</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505</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信号灯</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15647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　</w:t>
            </w:r>
          </w:p>
        </w:tc>
        <w:tc>
          <w:tcPr>
            <w:tcW w:w="134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63" w:hRule="atLeast"/>
        </w:trPr>
        <w:tc>
          <w:tcPr>
            <w:tcW w:w="10244" w:type="dxa"/>
            <w:gridSpan w:val="8"/>
            <w:tcBorders>
              <w:top w:val="nil"/>
              <w:left w:val="single" w:color="auto" w:sz="12" w:space="0"/>
              <w:bottom w:val="single" w:color="auto" w:sz="12"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　</w:t>
            </w:r>
          </w:p>
          <w:p>
            <w:pPr>
              <w:widowControl/>
              <w:jc w:val="both"/>
              <w:rPr>
                <w:rFonts w:eastAsia="仿宋"/>
                <w:b/>
                <w:bCs/>
                <w:color w:val="000000"/>
                <w:kern w:val="0"/>
                <w:szCs w:val="21"/>
              </w:rPr>
            </w:pPr>
            <w:r>
              <w:rPr>
                <w:rFonts w:hint="eastAsia" w:eastAsia="仿宋"/>
                <w:b/>
                <w:bCs/>
                <w:color w:val="000000"/>
                <w:kern w:val="0"/>
                <w:szCs w:val="21"/>
                <w:lang w:val="en-US" w:eastAsia="zh-CN"/>
              </w:rPr>
              <w:t>合</w:t>
            </w:r>
            <w:r>
              <w:rPr>
                <w:rFonts w:eastAsia="仿宋"/>
                <w:b/>
                <w:bCs/>
                <w:color w:val="000000"/>
                <w:kern w:val="0"/>
                <w:szCs w:val="21"/>
              </w:rPr>
              <w:t>计</w:t>
            </w:r>
            <w:r>
              <w:rPr>
                <w:rFonts w:hint="eastAsia" w:eastAsia="仿宋"/>
                <w:b/>
                <w:bCs/>
                <w:color w:val="000000"/>
                <w:kern w:val="0"/>
                <w:szCs w:val="21"/>
                <w:lang w:eastAsia="zh-CN"/>
              </w:rPr>
              <w:t>：</w:t>
            </w:r>
            <w:r>
              <w:rPr>
                <w:rFonts w:eastAsia="仿宋"/>
                <w:b/>
                <w:bCs/>
                <w:color w:val="000000"/>
                <w:kern w:val="0"/>
                <w:szCs w:val="21"/>
              </w:rPr>
              <w:t>（万元）</w:t>
            </w:r>
          </w:p>
          <w:p>
            <w:pPr>
              <w:widowControl/>
              <w:jc w:val="center"/>
              <w:rPr>
                <w:rFonts w:eastAsia="仿宋"/>
                <w:b/>
                <w:bCs/>
                <w:color w:val="000000"/>
                <w:kern w:val="0"/>
                <w:szCs w:val="21"/>
              </w:rPr>
            </w:pPr>
            <w:r>
              <w:rPr>
                <w:rFonts w:eastAsia="仿宋"/>
                <w:b/>
                <w:bCs/>
                <w:color w:val="000000"/>
                <w:kern w:val="0"/>
                <w:szCs w:val="21"/>
              </w:rPr>
              <w:t>　</w:t>
            </w:r>
          </w:p>
        </w:tc>
      </w:tr>
    </w:tbl>
    <w:p>
      <w:pPr>
        <w:adjustRightInd w:val="0"/>
        <w:snapToGrid w:val="0"/>
        <w:spacing w:line="360" w:lineRule="auto"/>
        <w:ind w:firstLine="482" w:firstLineChars="200"/>
        <w:rPr>
          <w:rFonts w:eastAsia="仿宋"/>
          <w:b/>
          <w:color w:val="000000"/>
          <w:sz w:val="30"/>
          <w:szCs w:val="30"/>
        </w:rPr>
        <w:sectPr>
          <w:pgSz w:w="11906" w:h="16838"/>
          <w:pgMar w:top="1440" w:right="947" w:bottom="1440" w:left="947" w:header="851" w:footer="992" w:gutter="0"/>
          <w:paperSrc/>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
          <w:bCs/>
          <w:color w:val="000000"/>
          <w:sz w:val="24"/>
        </w:rPr>
        <w:t>全权代表签字或盖章：                               日 期：</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仿宋"/>
          <w:color w:val="000000"/>
          <w:sz w:val="28"/>
          <w:szCs w:val="28"/>
          <w:lang w:val="en-US" w:eastAsia="zh-CN"/>
        </w:rPr>
      </w:pPr>
      <w:r>
        <w:rPr>
          <w:rFonts w:hint="eastAsia" w:eastAsia="仿宋"/>
          <w:color w:val="000000"/>
          <w:sz w:val="28"/>
          <w:szCs w:val="28"/>
          <w:lang w:val="en-US" w:eastAsia="zh-CN"/>
        </w:rPr>
        <w:t>2.</w:t>
      </w:r>
      <w:r>
        <w:rPr>
          <w:rFonts w:hint="eastAsia" w:eastAsia="仿宋"/>
          <w:color w:val="000000"/>
          <w:sz w:val="28"/>
          <w:szCs w:val="28"/>
        </w:rPr>
        <w:t>中心系统的应用系统与支撑系统运维服务费</w:t>
      </w:r>
      <w:r>
        <w:rPr>
          <w:rFonts w:hint="eastAsia" w:ascii="Times New Roman" w:hAnsi="Times New Roman" w:eastAsia="仿宋" w:cs="Times New Roman"/>
          <w:color w:val="000000"/>
          <w:sz w:val="28"/>
          <w:szCs w:val="28"/>
        </w:rPr>
        <w:t>成本构成明细表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仿宋"/>
          <w:color w:val="000000"/>
          <w:sz w:val="28"/>
          <w:szCs w:val="28"/>
        </w:rPr>
      </w:pPr>
      <w:r>
        <w:rPr>
          <w:rFonts w:hint="eastAsia" w:eastAsia="仿宋"/>
          <w:color w:val="000000"/>
          <w:sz w:val="28"/>
          <w:szCs w:val="28"/>
          <w:lang w:val="en-US" w:eastAsia="zh-CN"/>
        </w:rPr>
        <w:t>2.1</w:t>
      </w:r>
      <w:r>
        <w:rPr>
          <w:rFonts w:hint="eastAsia" w:eastAsia="仿宋"/>
          <w:color w:val="000000"/>
          <w:sz w:val="28"/>
          <w:szCs w:val="28"/>
        </w:rPr>
        <w:t>应用系统硬件维护</w:t>
      </w:r>
      <w:r>
        <w:rPr>
          <w:rFonts w:eastAsia="仿宋"/>
          <w:color w:val="000000"/>
          <w:sz w:val="28"/>
          <w:szCs w:val="28"/>
        </w:rPr>
        <w:t>服务费</w:t>
      </w:r>
      <w:r>
        <w:rPr>
          <w:rFonts w:hint="eastAsia" w:ascii="Times New Roman" w:hAnsi="Times New Roman" w:eastAsia="仿宋" w:cs="Times New Roman"/>
          <w:color w:val="000000"/>
          <w:sz w:val="28"/>
          <w:szCs w:val="28"/>
        </w:rPr>
        <w:t>成本构成明细表</w:t>
      </w:r>
    </w:p>
    <w:p>
      <w:pPr>
        <w:pStyle w:val="2"/>
        <w:jc w:val="both"/>
        <w:rPr>
          <w:rFonts w:eastAsia="仿宋"/>
          <w:color w:val="000000"/>
          <w:sz w:val="28"/>
          <w:szCs w:val="28"/>
        </w:rPr>
      </w:pPr>
      <w:r>
        <w:rPr>
          <w:rFonts w:hint="eastAsia" w:ascii="宋体" w:hAnsi="宋体" w:eastAsia="宋体" w:cs="宋体"/>
          <w:b w:val="0"/>
          <w:bCs w:val="0"/>
          <w:color w:val="000000"/>
          <w:kern w:val="2"/>
          <w:sz w:val="24"/>
          <w:szCs w:val="20"/>
          <w:lang w:val="en-US" w:eastAsia="zh-CN" w:bidi="ar-SA"/>
        </w:rPr>
        <w:t xml:space="preserve">投标人（公章）： </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jc w:val="center"/>
        <w:tblLayout w:type="fixed"/>
        <w:tblCellMar>
          <w:top w:w="0" w:type="dxa"/>
          <w:left w:w="108" w:type="dxa"/>
          <w:bottom w:w="0" w:type="dxa"/>
          <w:right w:w="108" w:type="dxa"/>
        </w:tblCellMar>
      </w:tblPr>
      <w:tblGrid>
        <w:gridCol w:w="577"/>
        <w:gridCol w:w="948"/>
        <w:gridCol w:w="1131"/>
        <w:gridCol w:w="1102"/>
        <w:gridCol w:w="1238"/>
        <w:gridCol w:w="1556"/>
        <w:gridCol w:w="620"/>
        <w:gridCol w:w="568"/>
        <w:gridCol w:w="836"/>
        <w:gridCol w:w="464"/>
        <w:gridCol w:w="734"/>
        <w:gridCol w:w="511"/>
        <w:gridCol w:w="776"/>
        <w:gridCol w:w="464"/>
        <w:gridCol w:w="774"/>
        <w:gridCol w:w="1295"/>
      </w:tblGrid>
      <w:tr>
        <w:tblPrEx>
          <w:tblCellMar>
            <w:top w:w="0" w:type="dxa"/>
            <w:left w:w="108" w:type="dxa"/>
            <w:bottom w:w="0" w:type="dxa"/>
            <w:right w:w="108" w:type="dxa"/>
          </w:tblCellMar>
        </w:tblPrEx>
        <w:trPr>
          <w:trHeight w:val="302" w:hRule="atLeast"/>
          <w:jc w:val="center"/>
        </w:trPr>
        <w:tc>
          <w:tcPr>
            <w:tcW w:w="577"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序号</w:t>
            </w:r>
          </w:p>
        </w:tc>
        <w:tc>
          <w:tcPr>
            <w:tcW w:w="948"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项目</w:t>
            </w:r>
          </w:p>
        </w:tc>
        <w:tc>
          <w:tcPr>
            <w:tcW w:w="1131"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子项（子系统）</w:t>
            </w:r>
          </w:p>
        </w:tc>
        <w:tc>
          <w:tcPr>
            <w:tcW w:w="1102"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维护开始时间</w:t>
            </w:r>
          </w:p>
        </w:tc>
        <w:tc>
          <w:tcPr>
            <w:tcW w:w="1238"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设备名称</w:t>
            </w:r>
          </w:p>
        </w:tc>
        <w:tc>
          <w:tcPr>
            <w:tcW w:w="1556"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品牌型号</w:t>
            </w:r>
          </w:p>
        </w:tc>
        <w:tc>
          <w:tcPr>
            <w:tcW w:w="620"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单位</w:t>
            </w:r>
          </w:p>
        </w:tc>
        <w:tc>
          <w:tcPr>
            <w:tcW w:w="568"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数量</w:t>
            </w:r>
          </w:p>
        </w:tc>
        <w:tc>
          <w:tcPr>
            <w:tcW w:w="836"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月运维费</w:t>
            </w:r>
            <w:r>
              <w:rPr>
                <w:rFonts w:hint="eastAsia" w:eastAsia="仿宋"/>
                <w:color w:val="000000"/>
                <w:kern w:val="0"/>
                <w:sz w:val="18"/>
                <w:szCs w:val="18"/>
                <w:lang w:val="en-US" w:eastAsia="zh-CN"/>
              </w:rPr>
              <w:t>用</w:t>
            </w:r>
            <w:r>
              <w:rPr>
                <w:rFonts w:eastAsia="仿宋"/>
                <w:color w:val="000000"/>
                <w:kern w:val="0"/>
                <w:sz w:val="18"/>
                <w:szCs w:val="18"/>
              </w:rPr>
              <w:t>（元）</w:t>
            </w:r>
          </w:p>
        </w:tc>
        <w:tc>
          <w:tcPr>
            <w:tcW w:w="5018" w:type="dxa"/>
            <w:gridSpan w:val="7"/>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243" w:hRule="atLeast"/>
          <w:jc w:val="center"/>
        </w:trPr>
        <w:tc>
          <w:tcPr>
            <w:tcW w:w="577" w:type="dxa"/>
            <w:vMerge w:val="continue"/>
            <w:tcBorders>
              <w:left w:val="single" w:color="auto" w:sz="12" w:space="0"/>
              <w:right w:val="single" w:color="auto" w:sz="4" w:space="0"/>
            </w:tcBorders>
            <w:noWrap/>
            <w:vAlign w:val="center"/>
          </w:tcPr>
          <w:p>
            <w:pPr>
              <w:widowControl/>
              <w:jc w:val="center"/>
              <w:rPr>
                <w:rFonts w:eastAsia="仿宋"/>
                <w:color w:val="000000"/>
                <w:kern w:val="0"/>
                <w:sz w:val="18"/>
                <w:szCs w:val="18"/>
              </w:rPr>
            </w:pPr>
          </w:p>
        </w:tc>
        <w:tc>
          <w:tcPr>
            <w:tcW w:w="948"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1131"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02"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238"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556"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620"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568"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836"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98"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2023年</w:t>
            </w:r>
          </w:p>
        </w:tc>
        <w:tc>
          <w:tcPr>
            <w:tcW w:w="128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2024年</w:t>
            </w:r>
          </w:p>
        </w:tc>
        <w:tc>
          <w:tcPr>
            <w:tcW w:w="1238" w:type="dxa"/>
            <w:gridSpan w:val="2"/>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r>
              <w:rPr>
                <w:rFonts w:eastAsia="仿宋"/>
                <w:color w:val="000000"/>
                <w:kern w:val="0"/>
                <w:sz w:val="18"/>
                <w:szCs w:val="18"/>
              </w:rPr>
              <w:t>2025年</w:t>
            </w:r>
          </w:p>
        </w:tc>
        <w:tc>
          <w:tcPr>
            <w:tcW w:w="1295" w:type="dxa"/>
            <w:vMerge w:val="restart"/>
            <w:tcBorders>
              <w:top w:val="single" w:color="auto" w:sz="4" w:space="0"/>
              <w:left w:val="nil"/>
              <w:right w:val="single" w:color="auto" w:sz="12" w:space="0"/>
            </w:tcBorders>
            <w:noWrap/>
            <w:vAlign w:val="center"/>
          </w:tcPr>
          <w:p>
            <w:pPr>
              <w:widowControl/>
              <w:jc w:val="center"/>
              <w:rPr>
                <w:rFonts w:eastAsia="仿宋"/>
                <w:color w:val="000000"/>
                <w:kern w:val="0"/>
                <w:sz w:val="18"/>
                <w:szCs w:val="18"/>
              </w:rPr>
            </w:pPr>
            <w:r>
              <w:rPr>
                <w:rFonts w:hint="eastAsia" w:ascii="Times New Roman" w:hAnsi="Times New Roman" w:eastAsia="仿宋" w:cs="Times New Roman"/>
                <w:color w:val="000000"/>
                <w:kern w:val="0"/>
                <w:sz w:val="18"/>
                <w:szCs w:val="18"/>
                <w:lang w:val="en-US" w:eastAsia="zh-CN"/>
              </w:rPr>
              <w:t>三年合计</w:t>
            </w:r>
          </w:p>
        </w:tc>
      </w:tr>
      <w:tr>
        <w:tblPrEx>
          <w:tblCellMar>
            <w:top w:w="0" w:type="dxa"/>
            <w:left w:w="108" w:type="dxa"/>
            <w:bottom w:w="0" w:type="dxa"/>
            <w:right w:w="108" w:type="dxa"/>
          </w:tblCellMar>
        </w:tblPrEx>
        <w:trPr>
          <w:trHeight w:val="942"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34" w:type="dxa"/>
            <w:tcBorders>
              <w:top w:val="nil"/>
              <w:left w:val="nil"/>
              <w:bottom w:val="single" w:color="auto" w:sz="4" w:space="0"/>
              <w:right w:val="single" w:color="auto" w:sz="4" w:space="0"/>
            </w:tcBorders>
            <w:noWrap/>
            <w:vAlign w:val="center"/>
          </w:tcPr>
          <w:p>
            <w:pPr>
              <w:widowControl/>
              <w:jc w:val="center"/>
              <w:rPr>
                <w:rFonts w:hint="default" w:eastAsia="仿宋"/>
                <w:color w:val="000000"/>
                <w:kern w:val="0"/>
                <w:sz w:val="18"/>
                <w:szCs w:val="18"/>
                <w:lang w:val="en-US" w:eastAsia="zh-CN"/>
              </w:rPr>
            </w:pPr>
            <w:r>
              <w:rPr>
                <w:rFonts w:hint="eastAsia" w:eastAsia="仿宋"/>
                <w:color w:val="000000"/>
                <w:kern w:val="0"/>
                <w:sz w:val="18"/>
                <w:szCs w:val="18"/>
                <w:lang w:val="en-US" w:eastAsia="zh-CN"/>
              </w:rPr>
              <w:t>年运维费</w:t>
            </w: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1295" w:type="dxa"/>
            <w:vMerge w:val="continue"/>
            <w:tcBorders>
              <w:left w:val="nil"/>
              <w:bottom w:val="single" w:color="auto" w:sz="4" w:space="0"/>
              <w:right w:val="single" w:color="auto" w:sz="12" w:space="0"/>
            </w:tcBorders>
            <w:noWrap/>
            <w:vAlign w:val="center"/>
          </w:tcPr>
          <w:p>
            <w:pPr>
              <w:widowControl/>
              <w:jc w:val="center"/>
              <w:rPr>
                <w:rFonts w:hint="eastAsia" w:eastAsia="仿宋"/>
                <w:color w:val="000000"/>
                <w:kern w:val="0"/>
                <w:sz w:val="18"/>
                <w:szCs w:val="18"/>
                <w:lang w:val="en-US" w:eastAsia="zh-CN"/>
              </w:rPr>
            </w:pPr>
          </w:p>
        </w:tc>
      </w:tr>
      <w:tr>
        <w:tblPrEx>
          <w:tblCellMar>
            <w:top w:w="0" w:type="dxa"/>
            <w:left w:w="108" w:type="dxa"/>
            <w:bottom w:w="0" w:type="dxa"/>
            <w:right w:w="108" w:type="dxa"/>
          </w:tblCellMar>
        </w:tblPrEx>
        <w:trPr>
          <w:trHeight w:val="476" w:hRule="atLeast"/>
          <w:jc w:val="center"/>
        </w:trPr>
        <w:tc>
          <w:tcPr>
            <w:tcW w:w="577" w:type="dxa"/>
            <w:vMerge w:val="restart"/>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94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智能交通一期</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指挥调度平台硬件子系统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ind w:left="-73" w:leftChars="-35" w:firstLine="82" w:firstLineChars="46"/>
              <w:jc w:val="left"/>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GIS数据服务器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X3850X5</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SAN交换机</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SAN24B</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消息服务器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通信服务器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预处理服务器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数据库服务器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X3850X5</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WEB服务器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5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智能交通数据中心暨实战应用平台</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2023.10.1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NameNode</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SecondaryNameNode</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BackupNameNode</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865"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管理配置节点</w:t>
            </w:r>
          </w:p>
        </w:tc>
        <w:tc>
          <w:tcPr>
            <w:tcW w:w="155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X3650M4Inter E5-2640V2  2.0GHz  8核CPU；48G内存；4*1TB 7.2K SAS 2.5" SFF Slim-HS HDD HS；四个1GbE以太网电口；RAID 5 Upgrade</w:t>
            </w:r>
          </w:p>
        </w:tc>
        <w:tc>
          <w:tcPr>
            <w:tcW w:w="620"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DataNode</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X3530M4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X3530M4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CISCO WS-C3560X-24T-S</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KVM</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1754A2X</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原有存储扩容升级</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MS2500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虚拟化平台存储</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MS5520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卡口、电警图片存储</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MS5520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3039"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HBA卡升级</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原有IBM X3650M3 服务器包括1台消息服务器、2台通信服务器、2台WEB服务器和2台应用服务器均不带双口8GB HBA卡，每台服务器均增加IBM双口8GB HBA卡1块；</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89"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内存升级</w:t>
            </w:r>
          </w:p>
        </w:tc>
        <w:tc>
          <w:tcPr>
            <w:tcW w:w="155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原有IBM X3850X5服务器包括2台GIS数据服务器和2台数据库服务器全部从32GB内存升级为128GB内存；原有8台IBM X3650M3服务器全部从16GB内存升级为64GB内存；</w:t>
            </w:r>
          </w:p>
        </w:tc>
        <w:tc>
          <w:tcPr>
            <w:tcW w:w="620"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642"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SAN交换机端口全部激活</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SAN交换机经本次激活16端口后，其24端口获全部激活，并配置相同数量的光纤连接线。</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道路监控一期</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模拟矩阵</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CM9780-352X128-X</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串行通讯卡</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CM9700-SER</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串行通讯扩展卡</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CM9700-SER32</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数据管理器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CM9760-DMR-X</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控制键盘</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KBD300A</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16路光端机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蛙视VNX-16V-4D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码分配器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超视SSP-D0116</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道路监控二期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eSFP-GE-SX-MM850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道路监控三期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道路监控四期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道路监控五期</w:t>
            </w:r>
          </w:p>
        </w:tc>
        <w:tc>
          <w:tcPr>
            <w:tcW w:w="1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道路监控六期</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道路监控七期</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道路监控八期</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道路监控九期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2023.8.1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蛙视VNX-1V-2D-E</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S3700-52P-SI-AC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华为1310nm，10km,LC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矩阵中央处理单元</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PELCOCM9780-CC1</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高空监控一期子系统</w:t>
            </w:r>
          </w:p>
        </w:tc>
        <w:tc>
          <w:tcPr>
            <w:tcW w:w="1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核心交换机</w:t>
            </w:r>
          </w:p>
        </w:tc>
        <w:tc>
          <w:tcPr>
            <w:tcW w:w="1556"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华为S9306</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交换机业务板</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华为48个千兆电口业务板</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单模模块</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xml:space="preserve">华为10KM单模GE模块 </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多模模块</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xml:space="preserve">华为 500米多模GE模块  </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接入交换机</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华为3328</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蛙视WS-6UJX-14</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超视SSP-2003W-D16</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485共享器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宇飞YF-516A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16路编码器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海康DS-6316HF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矩阵输入前面卡</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CM9780-VCC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矩阵输入后面卡</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CM9780-DFC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矩阵输入板</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CM9780-VPP</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道路监控矩阵扩容子系统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派尔高CM9780-MXB</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矩阵箱连接线</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派尔高CM9700-CBL-10FT</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组</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输入板前置</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派尔高CM978o-vcc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输入板后置</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派尔高CM9780-DFC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输出板前置</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派尔高CM9780-VMC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输出板后置</w:t>
            </w:r>
          </w:p>
        </w:tc>
        <w:tc>
          <w:tcPr>
            <w:tcW w:w="1556"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派尔高CM9780-RPM</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BNC接线板</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派尔高CM9780-RPC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数据扩展器</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派尔高CM9700-SER-32</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数据扩展卡</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数字监控</w:t>
            </w:r>
          </w:p>
        </w:tc>
        <w:tc>
          <w:tcPr>
            <w:tcW w:w="110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网络键盘</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海康威视DS-1600k</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多功能执法七期</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2023.4.1</w:t>
            </w:r>
          </w:p>
        </w:tc>
        <w:tc>
          <w:tcPr>
            <w:tcW w:w="1238"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S5700-24TP-SI-AC</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交通诱导</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华为S3700-52P-SI-AC</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IBM X3650M4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信号控制系统六期</w:t>
            </w:r>
          </w:p>
        </w:tc>
        <w:tc>
          <w:tcPr>
            <w:tcW w:w="1102"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2024.10.1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 华为S3700</w:t>
            </w:r>
          </w:p>
        </w:tc>
        <w:tc>
          <w:tcPr>
            <w:tcW w:w="1556"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18</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卡口式电子警察二期子系统</w:t>
            </w:r>
          </w:p>
        </w:tc>
        <w:tc>
          <w:tcPr>
            <w:tcW w:w="110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华三 H3C S5024P </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19</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卡口式电子警察三期子系统</w:t>
            </w:r>
          </w:p>
        </w:tc>
        <w:tc>
          <w:tcPr>
            <w:tcW w:w="110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华三 H3C S5024P </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分控中心</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LCD拼接屏</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海康威视DS-D2046NL-B</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30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工业级监视器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海康威视DS-D5084FL</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LED显示条屏</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 定制</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拼接控制器</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海康威视DS-B1X</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硬盘录像机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海康威视DS-6316HF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高清解码器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海康威视DS-6410HD-T</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VGA分配器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海康威视DS-C50V0102P</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网络控制键盘</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海康威视DS-1100K</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定焦半球型网络摄像机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海康威视DS-2CD2720F-IS</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个</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硬盘录像机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海康威视DS-8632N-ST</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西部数据WD30PURX</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汇聚交换机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LS-5500-28F-EI-AC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接入交换机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LS-S3110-26TP</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光模块</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SFP-GE-LX-SM1310-A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7</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4路光端机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蛙视VNX-4V-2D-1E</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8路光端机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蛙视VNX-8V-2D-1E</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抓拍电脑</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DELL  3020MT</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座席电脑</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DELL  3020MT</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朗强</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键盘</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PELCO  CM9760-KBD-AU</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空调</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格力KFRd-120LW</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10KVA UPS主机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科士达YDC9300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蓄电池</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九保</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电池箱</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建奥</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21</w:t>
            </w: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存储扩容</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原有虚拟化存储扩容升级</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宏杉MS5500升级</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虚拟化平台存储设备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 MS5520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原有图片存储扩容</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宏杉MS5500升级</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执法记录仪云存储</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 MS3300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光纤交换机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博科300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网络改造</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23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核心交换机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S10510</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SFP-XG-LX-SM1310-D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服务器汇聚交换机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汇聚交换机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SFP-GE-LX-SM1310-D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180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分机房汇聚交换机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SFP-GE-LX-SM1310-D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SFP-XG-LX-SM1310-D</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办公汇聚交换机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S5500-24P-SI</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接入交换机</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S5110-52P</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刀片服务器（含刀箱）</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HPE BL660c刀片服务器，HP BLc7000刀箱</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外网防火墙</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深信服AF-1820</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入侵防御系统</w:t>
            </w:r>
          </w:p>
        </w:tc>
        <w:tc>
          <w:tcPr>
            <w:tcW w:w="15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深信服AF-1550-IPS</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16" w:hRule="atLeast"/>
          <w:jc w:val="center"/>
        </w:trPr>
        <w:tc>
          <w:tcPr>
            <w:tcW w:w="577"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23</w:t>
            </w:r>
          </w:p>
        </w:tc>
        <w:tc>
          <w:tcPr>
            <w:tcW w:w="94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智能交通二期</w:t>
            </w:r>
          </w:p>
        </w:tc>
        <w:tc>
          <w:tcPr>
            <w:tcW w:w="11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高性能云数据库</w:t>
            </w:r>
          </w:p>
        </w:tc>
        <w:tc>
          <w:tcPr>
            <w:tcW w:w="110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高性能云数据库</w:t>
            </w:r>
          </w:p>
        </w:tc>
        <w:tc>
          <w:tcPr>
            <w:tcW w:w="1556"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大华DH-CCS7100X-HS-50Y及其配套设施</w:t>
            </w:r>
          </w:p>
        </w:tc>
        <w:tc>
          <w:tcPr>
            <w:tcW w:w="62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T</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300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795" w:hRule="atLeast"/>
          <w:jc w:val="center"/>
        </w:trPr>
        <w:tc>
          <w:tcPr>
            <w:tcW w:w="577"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云存储资源池</w:t>
            </w: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云存储资源池</w:t>
            </w:r>
          </w:p>
        </w:tc>
        <w:tc>
          <w:tcPr>
            <w:tcW w:w="155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DH-CSS7136S-ERD（配套设施大华DH-CSS9064X-800S，大华DH-CSS5000G-M，大华DH-S7606）</w:t>
            </w:r>
          </w:p>
        </w:tc>
        <w:tc>
          <w:tcPr>
            <w:tcW w:w="6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PB</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数据计算应用资源</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空间数据库服务器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接入服务器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计算服务器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全景视频应用</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AR监控云图服务器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云图数据库服务器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大华DH-DB-ORC8000/100Y</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车辆大数据综合管控应用</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车型二次分析服务器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大华DH-IVS-T8000-300W</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流式计算服务器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以图搜图服务器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大华DH-IVS-T8000-S</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大数据检索服务器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大华DH-CCS7100X-HS </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车辆大数据专用数据库服务器</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大华DH-DB-ORC8000/100Y</w:t>
            </w:r>
          </w:p>
        </w:tc>
        <w:tc>
          <w:tcPr>
            <w:tcW w:w="620"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卡口平台对接网关服务器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人像分析检索应用</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动态人脸识别服务器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大华DH-IVS-F7500-P-G3</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人像数据库服务器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大华DH-DB-ORC8000/10Y</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交通事件智能分析</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交通事件管理服务器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 xml:space="preserve"> 交通事件检测服务器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用户权鉴系统</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用户统一鉴权服务器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NTP校时系统</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大华定制</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42"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交通大数据可视化决策支持系统</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 xml:space="preserve">交通大数据可视化决策服务器 </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无线演示模块</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一体化交互大屏终端</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大华DH-LU86-LT400</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分控系统</w:t>
            </w:r>
          </w:p>
        </w:tc>
        <w:tc>
          <w:tcPr>
            <w:tcW w:w="11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分控系统</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DHL550UDH-ES等配套</w:t>
            </w:r>
          </w:p>
        </w:tc>
        <w:tc>
          <w:tcPr>
            <w:tcW w:w="62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82"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指挥中心大屏系统</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指挥中心大屏系统</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大华DH-PHSIA1.4-EH等配套</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42"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网络安全及备份系统</w:t>
            </w: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网络安全及备份系统</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天行网安单向隔离光闸 TG7259-F等设施</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42"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指挥中心UPS及控制键盘设备</w:t>
            </w: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指挥中心UPS及控制键盘设备</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科士达 120KVA UPS YDC33120等配套设施</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w:t>
            </w:r>
          </w:p>
        </w:tc>
        <w:tc>
          <w:tcPr>
            <w:tcW w:w="113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阳光大道</w:t>
            </w:r>
          </w:p>
        </w:tc>
        <w:tc>
          <w:tcPr>
            <w:tcW w:w="1102"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HPE BL460C Gen10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中心存储设备</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122"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视频交换系统</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天行网安（Topwalk-MTP）UMS2059/TMS2059</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122"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数据交换系统</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天行网安（Topwalk-DTP）UAS2029/TAS2029</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网闸</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天行网安（Topwalk-GAP）TG6000-P</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可信边界安全网关</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格尔格尔KOAL-TBSG-E-2020</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网络审计</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深信服AC-1000-D600-ZY</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用户行为审计</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深信服BA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日志分析系统</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安恒DAS-LOG-3000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数据库审计</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安恒DAS-A1000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主机漏洞扫描</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安恒DAS-RAS-H3000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25</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机场路立交化改造</w:t>
            </w:r>
          </w:p>
        </w:tc>
        <w:tc>
          <w:tcPr>
            <w:tcW w:w="1102"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惠普HP BL460C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数据库存储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宏杉MS5580G2</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6T企业级专用硬盘</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希捷ST6000NM021A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540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48口万兆交换机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大华DH-S5500-48GT4XF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大数据检索服务器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大华DH-CCS7100X-HS-50Y</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2T硬盘</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希捷ST2000NX0253</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企业级480G固态硬盘</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Intel SSD E 7000S Series 480GB</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48</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大数据分析服务器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宝德PR2865P</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26</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外单位移交（金华市金义东轨道交通有限公司）</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国贸恢复</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w:t>
            </w:r>
            <w:r>
              <w:rPr>
                <w:rFonts w:hint="eastAsia" w:eastAsia="仿宋"/>
                <w:color w:val="000000"/>
                <w:kern w:val="0"/>
                <w:sz w:val="18"/>
                <w:szCs w:val="18"/>
                <w:lang w:val="en-US" w:eastAsia="zh-CN"/>
              </w:rPr>
              <w:t>2</w:t>
            </w:r>
            <w:r>
              <w:rPr>
                <w:rFonts w:eastAsia="仿宋"/>
                <w:color w:val="000000"/>
                <w:kern w:val="0"/>
                <w:sz w:val="18"/>
                <w:szCs w:val="18"/>
              </w:rPr>
              <w:t>.1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hint="eastAsia" w:eastAsia="仿宋"/>
                <w:color w:val="000000"/>
                <w:kern w:val="0"/>
                <w:sz w:val="18"/>
                <w:szCs w:val="18"/>
              </w:rPr>
            </w:pPr>
            <w:r>
              <w:rPr>
                <w:rFonts w:hint="eastAsia" w:eastAsia="仿宋"/>
                <w:color w:val="000000"/>
                <w:kern w:val="0"/>
                <w:sz w:val="18"/>
                <w:szCs w:val="18"/>
                <w:lang w:eastAsia="zh-CN"/>
              </w:rPr>
              <w:t>1</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1</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1</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1</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1</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27</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外单位移交（义乌市交通旅游产业发展集团有限公司）</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稠义路</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2024.10.1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28</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外单位移交（义乌市国际陆港集团有限公司）</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商城大道</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5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29</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外单位移交（义乌市交通置业有限公司）</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火车站</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2024.11.1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144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40</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外单位移交（义乌市交通工程建设有限公司）</w:t>
            </w:r>
          </w:p>
        </w:tc>
        <w:tc>
          <w:tcPr>
            <w:tcW w:w="113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国贸二期</w:t>
            </w:r>
          </w:p>
        </w:tc>
        <w:tc>
          <w:tcPr>
            <w:tcW w:w="11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2024.8.1</w:t>
            </w: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5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外单位移交（佛堂镇人民政府）</w:t>
            </w:r>
          </w:p>
        </w:tc>
        <w:tc>
          <w:tcPr>
            <w:tcW w:w="113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佛堂大道</w:t>
            </w:r>
          </w:p>
        </w:tc>
        <w:tc>
          <w:tcPr>
            <w:tcW w:w="1102"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汇聚交换机交换机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S5110-52P</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网络存储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大华DH-EVS7024S-R</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图片服务器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HPE BL660c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82"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视频分配放大器 16分32</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RD-1632</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3" w:hRule="atLeast"/>
          <w:jc w:val="center"/>
        </w:trPr>
        <w:tc>
          <w:tcPr>
            <w:tcW w:w="577" w:type="dxa"/>
            <w:vMerge w:val="restart"/>
            <w:tcBorders>
              <w:top w:val="nil"/>
              <w:left w:val="single" w:color="auto" w:sz="12" w:space="0"/>
              <w:bottom w:val="single" w:color="000000"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32</w:t>
            </w: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佛堂小城镇</w:t>
            </w:r>
          </w:p>
        </w:tc>
        <w:tc>
          <w:tcPr>
            <w:tcW w:w="1102"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2023.3.1</w:t>
            </w:r>
            <w:r>
              <w:rPr>
                <w:rFonts w:eastAsia="仿宋"/>
                <w:color w:val="000000"/>
                <w:kern w:val="0"/>
                <w:sz w:val="18"/>
                <w:szCs w:val="18"/>
              </w:rPr>
              <w:t>　</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 ProLiant DL388 Gen9</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42" w:hRule="atLeast"/>
          <w:jc w:val="center"/>
        </w:trPr>
        <w:tc>
          <w:tcPr>
            <w:tcW w:w="577"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48口全千兆交换机（每台带4个万兆上联模块）</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S5130-54S-HI</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9" w:hRule="atLeast"/>
          <w:jc w:val="center"/>
        </w:trPr>
        <w:tc>
          <w:tcPr>
            <w:tcW w:w="577"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车辆大数据管控平台一体机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大华DH-DSS-C8500-B</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车辆二次分析一体机</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大华DH-DSS-C8502-GPU/50W</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大华DH-DB-ORC8000/10Y</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42" w:hRule="atLeast"/>
          <w:jc w:val="center"/>
        </w:trPr>
        <w:tc>
          <w:tcPr>
            <w:tcW w:w="577"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33</w:t>
            </w:r>
          </w:p>
        </w:tc>
        <w:tc>
          <w:tcPr>
            <w:tcW w:w="9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外单位移交（上溪镇人民政府）</w:t>
            </w:r>
          </w:p>
        </w:tc>
        <w:tc>
          <w:tcPr>
            <w:tcW w:w="11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上溪小城镇</w:t>
            </w:r>
          </w:p>
        </w:tc>
        <w:tc>
          <w:tcPr>
            <w:tcW w:w="11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2023.3.1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 ProLiant DL388 Gen9</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34</w:t>
            </w:r>
          </w:p>
        </w:tc>
        <w:tc>
          <w:tcPr>
            <w:tcW w:w="9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外单位移交（义乌市城市投资建设集团有限公司）BRT项目</w:t>
            </w:r>
          </w:p>
        </w:tc>
        <w:tc>
          <w:tcPr>
            <w:tcW w:w="1131"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BRT一号线</w:t>
            </w:r>
          </w:p>
        </w:tc>
        <w:tc>
          <w:tcPr>
            <w:tcW w:w="1102"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海康威视DS-A81016S</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56"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锐捷</w:t>
            </w:r>
          </w:p>
        </w:tc>
        <w:tc>
          <w:tcPr>
            <w:tcW w:w="6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千兆光模块</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锐捷</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视频综合平台</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海康威视DS-B20-X10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输入编码板</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海康威视DS-6408HFH-B20V</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863"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输出解码板</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海康威视DS-6532HD-B20D/DS-6532HD-B20V</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控制键盘</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海康威视DS-1600K</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个</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海康威视DS-VE2208C-BBC</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86" w:hRule="atLeast"/>
          <w:jc w:val="center"/>
        </w:trPr>
        <w:tc>
          <w:tcPr>
            <w:tcW w:w="577"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3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56"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大华DH-DSS-T8100</w:t>
            </w:r>
          </w:p>
        </w:tc>
        <w:tc>
          <w:tcPr>
            <w:tcW w:w="6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6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3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464"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7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295"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86" w:hRule="atLeast"/>
          <w:jc w:val="center"/>
        </w:trPr>
        <w:tc>
          <w:tcPr>
            <w:tcW w:w="13594" w:type="dxa"/>
            <w:gridSpan w:val="16"/>
            <w:tcBorders>
              <w:top w:val="single" w:color="auto" w:sz="4" w:space="0"/>
              <w:left w:val="single" w:color="auto" w:sz="12" w:space="0"/>
              <w:bottom w:val="single" w:color="auto" w:sz="4" w:space="0"/>
              <w:right w:val="single" w:color="auto" w:sz="12" w:space="0"/>
            </w:tcBorders>
            <w:noWrap w:val="0"/>
            <w:vAlign w:val="center"/>
          </w:tcPr>
          <w:p>
            <w:pPr>
              <w:widowControl/>
              <w:jc w:val="both"/>
              <w:rPr>
                <w:rFonts w:hint="default" w:eastAsia="仿宋"/>
                <w:color w:val="000000"/>
                <w:kern w:val="0"/>
                <w:sz w:val="18"/>
                <w:szCs w:val="18"/>
                <w:lang w:val="en-US" w:eastAsia="zh-CN"/>
              </w:rPr>
            </w:pPr>
            <w:r>
              <w:rPr>
                <w:rFonts w:hint="eastAsia" w:eastAsia="仿宋"/>
                <w:color w:val="000000"/>
                <w:kern w:val="0"/>
                <w:sz w:val="18"/>
                <w:szCs w:val="18"/>
                <w:lang w:val="en-US" w:eastAsia="zh-CN"/>
              </w:rPr>
              <w:t>合计：   万元</w:t>
            </w:r>
          </w:p>
        </w:tc>
      </w:tr>
    </w:tbl>
    <w:p>
      <w:pPr>
        <w:autoSpaceDE w:val="0"/>
        <w:autoSpaceDN w:val="0"/>
        <w:adjustRightInd w:val="0"/>
        <w:snapToGrid w:val="0"/>
        <w:spacing w:before="240" w:beforeLines="100" w:line="360" w:lineRule="auto"/>
        <w:ind w:firstLine="482" w:firstLineChars="200"/>
        <w:jc w:val="left"/>
        <w:rPr>
          <w:rFonts w:eastAsia="仿宋"/>
          <w:color w:val="000000"/>
          <w:sz w:val="28"/>
          <w:szCs w:val="28"/>
        </w:rPr>
      </w:pPr>
      <w:r>
        <w:rPr>
          <w:rFonts w:hint="eastAsia" w:ascii="宋体" w:hAnsi="宋体" w:cs="宋体"/>
          <w:b/>
          <w:bCs/>
          <w:color w:val="000000"/>
          <w:sz w:val="24"/>
        </w:rPr>
        <w:t xml:space="preserve">全权代表签字或盖章：                               日 期： </w:t>
      </w:r>
    </w:p>
    <w:p>
      <w:pPr>
        <w:pStyle w:val="2"/>
        <w:rPr>
          <w:color w:val="000000"/>
        </w:rPr>
        <w:sectPr>
          <w:pgSz w:w="16838" w:h="11906" w:orient="landscape"/>
          <w:pgMar w:top="947" w:right="1440" w:bottom="1117" w:left="1440" w:header="851" w:footer="992" w:gutter="0"/>
          <w:pgNumType w:fmt="decimal"/>
          <w:cols w:space="720" w:num="1"/>
          <w:docGrid w:linePitch="312" w:charSpace="0"/>
        </w:sectPr>
      </w:pPr>
    </w:p>
    <w:p>
      <w:pPr>
        <w:pageBreakBefore w:val="0"/>
        <w:widowControl w:val="0"/>
        <w:kinsoku/>
        <w:wordWrap/>
        <w:overflowPunct/>
        <w:topLinePunct w:val="0"/>
        <w:autoSpaceDE/>
        <w:autoSpaceDN/>
        <w:bidi w:val="0"/>
        <w:spacing w:line="360" w:lineRule="exact"/>
        <w:jc w:val="center"/>
        <w:textAlignment w:val="auto"/>
        <w:rPr>
          <w:rFonts w:hint="eastAsia" w:eastAsia="仿宋"/>
          <w:color w:val="000000"/>
          <w:sz w:val="28"/>
          <w:szCs w:val="28"/>
        </w:rPr>
      </w:pPr>
      <w:r>
        <w:rPr>
          <w:rFonts w:hint="eastAsia" w:eastAsia="仿宋"/>
          <w:color w:val="000000"/>
          <w:sz w:val="28"/>
          <w:szCs w:val="28"/>
        </w:rPr>
        <w:t>2</w:t>
      </w:r>
      <w:r>
        <w:rPr>
          <w:rFonts w:hint="eastAsia" w:eastAsia="仿宋"/>
          <w:color w:val="000000"/>
          <w:sz w:val="28"/>
          <w:szCs w:val="28"/>
          <w:lang w:val="en-US" w:eastAsia="zh-CN"/>
        </w:rPr>
        <w:t>.2</w:t>
      </w:r>
      <w:r>
        <w:rPr>
          <w:rFonts w:hint="eastAsia" w:eastAsia="仿宋"/>
          <w:color w:val="000000"/>
          <w:sz w:val="28"/>
          <w:szCs w:val="28"/>
        </w:rPr>
        <w:t>应用软件系统维护服务费</w:t>
      </w:r>
      <w:r>
        <w:rPr>
          <w:rFonts w:hint="eastAsia" w:ascii="Times New Roman" w:hAnsi="Times New Roman" w:eastAsia="仿宋" w:cs="Times New Roman"/>
          <w:color w:val="000000"/>
          <w:sz w:val="28"/>
          <w:szCs w:val="28"/>
        </w:rPr>
        <w:t>成本构成明细表</w:t>
      </w:r>
    </w:p>
    <w:p>
      <w:pPr>
        <w:spacing w:line="336" w:lineRule="auto"/>
        <w:rPr>
          <w:rFonts w:eastAsia="仿宋"/>
          <w:color w:val="000000"/>
          <w:sz w:val="28"/>
          <w:szCs w:val="28"/>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113" w:type="dxa"/>
        <w:tblLayout w:type="fixed"/>
        <w:tblCellMar>
          <w:top w:w="0" w:type="dxa"/>
          <w:left w:w="108" w:type="dxa"/>
          <w:bottom w:w="0" w:type="dxa"/>
          <w:right w:w="108" w:type="dxa"/>
        </w:tblCellMar>
      </w:tblPr>
      <w:tblGrid>
        <w:gridCol w:w="752"/>
        <w:gridCol w:w="1439"/>
        <w:gridCol w:w="2900"/>
        <w:gridCol w:w="1173"/>
        <w:gridCol w:w="1527"/>
        <w:gridCol w:w="597"/>
        <w:gridCol w:w="791"/>
        <w:gridCol w:w="803"/>
        <w:gridCol w:w="797"/>
        <w:gridCol w:w="597"/>
        <w:gridCol w:w="731"/>
        <w:gridCol w:w="1330"/>
      </w:tblGrid>
      <w:tr>
        <w:tblPrEx>
          <w:tblCellMar>
            <w:top w:w="0" w:type="dxa"/>
            <w:left w:w="108" w:type="dxa"/>
            <w:bottom w:w="0" w:type="dxa"/>
            <w:right w:w="108" w:type="dxa"/>
          </w:tblCellMar>
        </w:tblPrEx>
        <w:trPr>
          <w:trHeight w:val="298" w:hRule="atLeast"/>
        </w:trPr>
        <w:tc>
          <w:tcPr>
            <w:tcW w:w="752"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序号</w:t>
            </w:r>
          </w:p>
        </w:tc>
        <w:tc>
          <w:tcPr>
            <w:tcW w:w="1439"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项目</w:t>
            </w:r>
          </w:p>
        </w:tc>
        <w:tc>
          <w:tcPr>
            <w:tcW w:w="2900"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子项/子系统</w:t>
            </w:r>
          </w:p>
        </w:tc>
        <w:tc>
          <w:tcPr>
            <w:tcW w:w="1173"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维护开始时间</w:t>
            </w:r>
          </w:p>
        </w:tc>
        <w:tc>
          <w:tcPr>
            <w:tcW w:w="1527"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月运维费</w:t>
            </w:r>
            <w:r>
              <w:rPr>
                <w:rFonts w:hint="eastAsia" w:eastAsia="仿宋"/>
                <w:color w:val="000000"/>
                <w:kern w:val="0"/>
                <w:sz w:val="18"/>
                <w:szCs w:val="18"/>
                <w:lang w:val="en-US" w:eastAsia="zh-CN"/>
              </w:rPr>
              <w:t>用</w:t>
            </w:r>
            <w:r>
              <w:rPr>
                <w:rFonts w:eastAsia="仿宋"/>
                <w:color w:val="000000"/>
                <w:kern w:val="0"/>
                <w:sz w:val="18"/>
                <w:szCs w:val="18"/>
              </w:rPr>
              <w:t>（元）</w:t>
            </w:r>
          </w:p>
        </w:tc>
        <w:tc>
          <w:tcPr>
            <w:tcW w:w="5646" w:type="dxa"/>
            <w:gridSpan w:val="7"/>
            <w:tcBorders>
              <w:top w:val="single" w:color="auto" w:sz="12"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eastAsia="仿宋"/>
                <w:b/>
                <w:bCs/>
                <w:color w:val="000000"/>
                <w:kern w:val="0"/>
                <w:szCs w:val="21"/>
              </w:rPr>
              <w:t>明细（万元）</w:t>
            </w:r>
          </w:p>
        </w:tc>
      </w:tr>
      <w:tr>
        <w:tblPrEx>
          <w:tblCellMar>
            <w:top w:w="0" w:type="dxa"/>
            <w:left w:w="108" w:type="dxa"/>
            <w:bottom w:w="0" w:type="dxa"/>
            <w:right w:w="108" w:type="dxa"/>
          </w:tblCellMar>
        </w:tblPrEx>
        <w:trPr>
          <w:trHeight w:val="296" w:hRule="atLeast"/>
        </w:trPr>
        <w:tc>
          <w:tcPr>
            <w:tcW w:w="752" w:type="dxa"/>
            <w:vMerge w:val="continue"/>
            <w:tcBorders>
              <w:left w:val="single" w:color="auto" w:sz="12" w:space="0"/>
              <w:right w:val="single" w:color="auto" w:sz="4" w:space="0"/>
            </w:tcBorders>
            <w:noWrap w:val="0"/>
            <w:vAlign w:val="center"/>
          </w:tcPr>
          <w:p>
            <w:pPr>
              <w:widowControl/>
              <w:jc w:val="center"/>
              <w:rPr>
                <w:rFonts w:eastAsia="仿宋"/>
                <w:color w:val="000000"/>
                <w:kern w:val="0"/>
                <w:sz w:val="18"/>
                <w:szCs w:val="18"/>
              </w:rPr>
            </w:pPr>
          </w:p>
        </w:tc>
        <w:tc>
          <w:tcPr>
            <w:tcW w:w="1439"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2900"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73"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527"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388" w:type="dxa"/>
            <w:gridSpan w:val="2"/>
            <w:tcBorders>
              <w:top w:val="single" w:color="auto" w:sz="12"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2023年</w:t>
            </w:r>
          </w:p>
        </w:tc>
        <w:tc>
          <w:tcPr>
            <w:tcW w:w="1600" w:type="dxa"/>
            <w:gridSpan w:val="2"/>
            <w:tcBorders>
              <w:top w:val="single" w:color="auto" w:sz="12"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2024年</w:t>
            </w:r>
          </w:p>
        </w:tc>
        <w:tc>
          <w:tcPr>
            <w:tcW w:w="1328" w:type="dxa"/>
            <w:gridSpan w:val="2"/>
            <w:tcBorders>
              <w:top w:val="single" w:color="auto" w:sz="12"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2025年</w:t>
            </w:r>
          </w:p>
        </w:tc>
        <w:tc>
          <w:tcPr>
            <w:tcW w:w="1330" w:type="dxa"/>
            <w:vMerge w:val="restart"/>
            <w:tcBorders>
              <w:top w:val="single" w:color="auto" w:sz="12" w:space="0"/>
              <w:left w:val="nil"/>
              <w:right w:val="single" w:color="auto" w:sz="12" w:space="0"/>
            </w:tcBorders>
            <w:noWrap w:val="0"/>
            <w:vAlign w:val="center"/>
          </w:tcPr>
          <w:p>
            <w:pPr>
              <w:widowControl/>
              <w:tabs>
                <w:tab w:val="left" w:pos="379"/>
              </w:tabs>
              <w:ind w:firstLine="180" w:firstLineChars="100"/>
              <w:jc w:val="left"/>
              <w:rPr>
                <w:rFonts w:hint="eastAsia" w:eastAsia="仿宋"/>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三年合计</w:t>
            </w:r>
          </w:p>
        </w:tc>
      </w:tr>
      <w:tr>
        <w:tblPrEx>
          <w:tblCellMar>
            <w:top w:w="0" w:type="dxa"/>
            <w:left w:w="108" w:type="dxa"/>
            <w:bottom w:w="0" w:type="dxa"/>
            <w:right w:w="108" w:type="dxa"/>
          </w:tblCellMar>
        </w:tblPrEx>
        <w:trPr>
          <w:trHeight w:val="928" w:hRule="atLeast"/>
        </w:trPr>
        <w:tc>
          <w:tcPr>
            <w:tcW w:w="75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91" w:type="dxa"/>
            <w:tcBorders>
              <w:top w:val="nil"/>
              <w:left w:val="nil"/>
              <w:bottom w:val="single" w:color="auto" w:sz="4" w:space="0"/>
              <w:right w:val="single" w:color="auto" w:sz="4" w:space="0"/>
            </w:tcBorders>
            <w:noWrap w:val="0"/>
            <w:vAlign w:val="center"/>
          </w:tcPr>
          <w:p>
            <w:pPr>
              <w:widowControl/>
              <w:jc w:val="center"/>
              <w:rPr>
                <w:rFonts w:hint="default" w:eastAsia="仿宋"/>
                <w:color w:val="000000"/>
                <w:kern w:val="0"/>
                <w:sz w:val="18"/>
                <w:szCs w:val="18"/>
                <w:lang w:val="en-US"/>
              </w:rPr>
            </w:pPr>
            <w:r>
              <w:rPr>
                <w:rFonts w:hint="eastAsia" w:eastAsia="仿宋"/>
                <w:color w:val="000000"/>
                <w:kern w:val="0"/>
                <w:sz w:val="18"/>
                <w:szCs w:val="18"/>
                <w:lang w:val="en-US" w:eastAsia="zh-CN"/>
              </w:rPr>
              <w:t>年运维费</w:t>
            </w: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1330" w:type="dxa"/>
            <w:vMerge w:val="continue"/>
            <w:tcBorders>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143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智能交通一期</w:t>
            </w: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交通诱导</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快速路诱导</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存储扩容</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网络改造</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143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智能交通二期</w:t>
            </w: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交通态势监测预测系统</w:t>
            </w:r>
          </w:p>
        </w:tc>
        <w:tc>
          <w:tcPr>
            <w:tcW w:w="11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区域车辆大数据OD分析系统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停车信息管理系统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信控路口一体化管理系统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路口信号辅助配时系统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交通信号协调管理评估系统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交通勤务管家</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交通安全画像系统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精准布控拦截系统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交通地理信息系统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交通设施资产管理系统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大数据质量预警系统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交通设施运维系统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69"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18</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本地化数据建库及第三方平台对接</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19</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全景视频应用</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车辆大数据综合管控应用</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21</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人像分析检索应用</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交通事件智能分析</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23</w:t>
            </w:r>
          </w:p>
        </w:tc>
        <w:tc>
          <w:tcPr>
            <w:tcW w:w="14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用户权鉴系统</w:t>
            </w:r>
          </w:p>
        </w:tc>
        <w:tc>
          <w:tcPr>
            <w:tcW w:w="11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69" w:hRule="atLeast"/>
        </w:trPr>
        <w:tc>
          <w:tcPr>
            <w:tcW w:w="752"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1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交通大数据可视化决策支持系统</w:t>
            </w: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27"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single" w:color="auto" w:sz="4"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single" w:color="auto" w:sz="4"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25</w:t>
            </w:r>
          </w:p>
        </w:tc>
        <w:tc>
          <w:tcPr>
            <w:tcW w:w="143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其他</w:t>
            </w: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BRT智能设施平台</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26</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一键报警</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27</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大队公安网站维护</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28</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义乌交警微信公众号维护</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69"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29</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非现场平台、集指平台、大货车闯禁平台等</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诱导屏发布平台</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6" w:hRule="atLeast"/>
        </w:trPr>
        <w:tc>
          <w:tcPr>
            <w:tcW w:w="752"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1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00"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可变车道控制系统</w:t>
            </w:r>
          </w:p>
        </w:tc>
        <w:tc>
          <w:tcPr>
            <w:tcW w:w="117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2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0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59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31"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330"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6" w:hRule="atLeast"/>
        </w:trPr>
        <w:tc>
          <w:tcPr>
            <w:tcW w:w="13437" w:type="dxa"/>
            <w:gridSpan w:val="12"/>
            <w:tcBorders>
              <w:top w:val="single" w:color="auto" w:sz="4" w:space="0"/>
              <w:left w:val="single" w:color="auto" w:sz="12" w:space="0"/>
              <w:bottom w:val="single" w:color="auto" w:sz="4" w:space="0"/>
              <w:right w:val="single" w:color="auto" w:sz="12" w:space="0"/>
            </w:tcBorders>
            <w:noWrap w:val="0"/>
            <w:vAlign w:val="center"/>
          </w:tcPr>
          <w:p>
            <w:pPr>
              <w:widowControl/>
              <w:tabs>
                <w:tab w:val="left" w:pos="1233"/>
              </w:tabs>
              <w:jc w:val="left"/>
              <w:rPr>
                <w:rFonts w:hint="default" w:eastAsia="仿宋"/>
                <w:color w:val="000000"/>
                <w:kern w:val="0"/>
                <w:sz w:val="18"/>
                <w:szCs w:val="18"/>
                <w:lang w:val="en-US" w:eastAsia="zh-CN"/>
              </w:rPr>
            </w:pPr>
            <w:r>
              <w:rPr>
                <w:rFonts w:hint="eastAsia" w:eastAsia="仿宋"/>
                <w:color w:val="000000"/>
                <w:kern w:val="0"/>
                <w:sz w:val="18"/>
                <w:szCs w:val="18"/>
                <w:lang w:val="en-US" w:eastAsia="zh-CN"/>
              </w:rPr>
              <w:t>合计：          万元</w:t>
            </w:r>
          </w:p>
        </w:tc>
      </w:tr>
    </w:tbl>
    <w:p>
      <w:pPr>
        <w:widowControl/>
        <w:jc w:val="left"/>
        <w:textAlignment w:val="center"/>
        <w:rPr>
          <w:rFonts w:hint="eastAsia" w:eastAsia="仿宋"/>
          <w:color w:val="000000"/>
          <w:kern w:val="0"/>
          <w:sz w:val="18"/>
          <w:szCs w:val="18"/>
          <w:lang w:bidi="ar"/>
        </w:rPr>
      </w:pPr>
    </w:p>
    <w:p>
      <w:pPr>
        <w:pStyle w:val="2"/>
        <w:rPr>
          <w:color w:val="000000"/>
        </w:rPr>
        <w:sectPr>
          <w:pgSz w:w="16838" w:h="11906" w:orient="landscape"/>
          <w:pgMar w:top="947" w:right="1440" w:bottom="947" w:left="1440" w:header="851" w:footer="992" w:gutter="0"/>
          <w:pgNumType w:fmt="decimal"/>
          <w:cols w:space="720" w:num="1"/>
          <w:docGrid w:linePitch="312" w:charSpace="0"/>
        </w:sectPr>
      </w:pPr>
      <w:r>
        <w:rPr>
          <w:rFonts w:hint="eastAsia" w:ascii="宋体" w:hAnsi="宋体" w:cs="宋体"/>
          <w:b/>
          <w:bCs/>
          <w:color w:val="000000"/>
          <w:sz w:val="24"/>
        </w:rPr>
        <w:t xml:space="preserve">全权代表签字或盖章：                               日 期： </w:t>
      </w:r>
    </w:p>
    <w:p>
      <w:pPr>
        <w:autoSpaceDE w:val="0"/>
        <w:autoSpaceDN w:val="0"/>
        <w:adjustRightInd w:val="0"/>
        <w:snapToGrid w:val="0"/>
        <w:spacing w:before="240" w:beforeLines="100" w:line="360" w:lineRule="auto"/>
        <w:ind w:firstLine="560" w:firstLineChars="200"/>
        <w:jc w:val="center"/>
        <w:rPr>
          <w:rFonts w:hint="eastAsia" w:eastAsia="仿宋"/>
          <w:b/>
          <w:bCs/>
          <w:color w:val="000000"/>
          <w:sz w:val="28"/>
          <w:szCs w:val="28"/>
        </w:rPr>
      </w:pPr>
      <w:r>
        <w:rPr>
          <w:rFonts w:hint="eastAsia" w:eastAsia="仿宋"/>
          <w:color w:val="000000"/>
          <w:sz w:val="28"/>
          <w:szCs w:val="28"/>
          <w:lang w:val="en-US" w:eastAsia="zh-CN"/>
        </w:rPr>
        <w:t>2.3</w:t>
      </w:r>
      <w:r>
        <w:rPr>
          <w:rFonts w:hint="eastAsia" w:ascii="Times New Roman" w:hAnsi="Times New Roman" w:eastAsia="仿宋" w:cs="Times New Roman"/>
          <w:color w:val="000000"/>
          <w:sz w:val="28"/>
          <w:szCs w:val="28"/>
        </w:rPr>
        <w:t>支撑系统维护服务费成本构成明细表</w:t>
      </w:r>
    </w:p>
    <w:p>
      <w:pPr>
        <w:spacing w:line="336" w:lineRule="auto"/>
        <w:rPr>
          <w:color w:val="000000"/>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0" w:type="dxa"/>
        <w:tblLayout w:type="fixed"/>
        <w:tblCellMar>
          <w:top w:w="0" w:type="dxa"/>
          <w:left w:w="108" w:type="dxa"/>
          <w:bottom w:w="0" w:type="dxa"/>
          <w:right w:w="108" w:type="dxa"/>
        </w:tblCellMar>
      </w:tblPr>
      <w:tblGrid>
        <w:gridCol w:w="624"/>
        <w:gridCol w:w="848"/>
        <w:gridCol w:w="1212"/>
        <w:gridCol w:w="1210"/>
        <w:gridCol w:w="809"/>
        <w:gridCol w:w="954"/>
        <w:gridCol w:w="954"/>
        <w:gridCol w:w="954"/>
        <w:gridCol w:w="1075"/>
        <w:gridCol w:w="1151"/>
      </w:tblGrid>
      <w:tr>
        <w:tblPrEx>
          <w:tblCellMar>
            <w:top w:w="0" w:type="dxa"/>
            <w:left w:w="108" w:type="dxa"/>
            <w:bottom w:w="0" w:type="dxa"/>
            <w:right w:w="108" w:type="dxa"/>
          </w:tblCellMar>
        </w:tblPrEx>
        <w:trPr>
          <w:trHeight w:val="1116" w:hRule="atLeast"/>
          <w:tblHeader/>
        </w:trPr>
        <w:tc>
          <w:tcPr>
            <w:tcW w:w="624" w:type="dxa"/>
            <w:tcBorders>
              <w:top w:val="single" w:color="auto" w:sz="12" w:space="0"/>
              <w:left w:val="single" w:color="auto" w:sz="12"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序号</w:t>
            </w:r>
          </w:p>
        </w:tc>
        <w:tc>
          <w:tcPr>
            <w:tcW w:w="848" w:type="dxa"/>
            <w:tcBorders>
              <w:top w:val="single" w:color="auto" w:sz="12" w:space="0"/>
              <w:left w:val="single" w:color="auto" w:sz="12" w:space="0"/>
              <w:bottom w:val="single" w:color="auto" w:sz="4" w:space="0"/>
              <w:right w:val="single" w:color="000000" w:sz="8" w:space="0"/>
            </w:tcBorders>
            <w:noWrap/>
            <w:vAlign w:val="center"/>
          </w:tcPr>
          <w:p>
            <w:pPr>
              <w:widowControl/>
              <w:jc w:val="center"/>
              <w:textAlignment w:val="center"/>
              <w:rPr>
                <w:rFonts w:eastAsia="仿宋"/>
                <w:b/>
                <w:bCs/>
                <w:color w:val="000000"/>
                <w:kern w:val="0"/>
                <w:szCs w:val="21"/>
                <w:lang w:bidi="ar"/>
              </w:rPr>
            </w:pPr>
            <w:r>
              <w:rPr>
                <w:rFonts w:hint="eastAsia" w:eastAsia="仿宋"/>
                <w:b/>
                <w:bCs/>
                <w:color w:val="000000"/>
                <w:kern w:val="0"/>
                <w:szCs w:val="21"/>
              </w:rPr>
              <w:t>类别</w:t>
            </w:r>
          </w:p>
        </w:tc>
        <w:tc>
          <w:tcPr>
            <w:tcW w:w="1212" w:type="dxa"/>
            <w:tcBorders>
              <w:top w:val="single" w:color="auto" w:sz="12"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rPr>
              <w:t>子项</w:t>
            </w:r>
          </w:p>
        </w:tc>
        <w:tc>
          <w:tcPr>
            <w:tcW w:w="1210" w:type="dxa"/>
            <w:tcBorders>
              <w:top w:val="single" w:color="auto" w:sz="12"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rPr>
              <w:t>模块</w:t>
            </w:r>
          </w:p>
        </w:tc>
        <w:tc>
          <w:tcPr>
            <w:tcW w:w="809"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数量</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eastAsia="仿宋"/>
                <w:b/>
                <w:bCs/>
                <w:color w:val="000000"/>
                <w:kern w:val="0"/>
                <w:szCs w:val="21"/>
                <w:lang w:bidi="ar"/>
              </w:rPr>
            </w:pPr>
            <w:r>
              <w:rPr>
                <w:rFonts w:hint="eastAsia" w:eastAsia="仿宋"/>
                <w:b/>
                <w:bCs/>
                <w:color w:val="000000"/>
                <w:kern w:val="0"/>
                <w:szCs w:val="21"/>
                <w:lang w:bidi="ar"/>
              </w:rPr>
              <w:t>单价</w:t>
            </w:r>
          </w:p>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(年度服务费)</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color w:val="000000"/>
              </w:rPr>
            </w:pPr>
            <w:r>
              <w:rPr>
                <w:rFonts w:hint="eastAsia"/>
                <w:color w:val="000000"/>
              </w:rPr>
              <w:t>2023年</w:t>
            </w:r>
          </w:p>
          <w:p>
            <w:pPr>
              <w:widowControl/>
              <w:jc w:val="center"/>
              <w:textAlignment w:val="center"/>
              <w:rPr>
                <w:rFonts w:hint="eastAsia"/>
                <w:color w:val="000000"/>
              </w:rPr>
            </w:pPr>
            <w:r>
              <w:rPr>
                <w:rFonts w:hint="eastAsia" w:eastAsia="仿宋"/>
                <w:b/>
                <w:bCs/>
                <w:color w:val="000000"/>
                <w:kern w:val="0"/>
                <w:szCs w:val="21"/>
                <w:lang w:val="en-US" w:eastAsia="zh-CN" w:bidi="ar"/>
              </w:rPr>
              <w:t>（万元）</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2024年</w:t>
            </w:r>
            <w:r>
              <w:rPr>
                <w:rFonts w:hint="eastAsia" w:eastAsia="仿宋"/>
                <w:b/>
                <w:bCs/>
                <w:color w:val="000000"/>
                <w:kern w:val="0"/>
                <w:szCs w:val="21"/>
                <w:lang w:val="en-US" w:eastAsia="zh-CN" w:bidi="ar"/>
              </w:rPr>
              <w:t>（万元）</w:t>
            </w:r>
          </w:p>
        </w:tc>
        <w:tc>
          <w:tcPr>
            <w:tcW w:w="1075"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2025年</w:t>
            </w:r>
            <w:r>
              <w:rPr>
                <w:rFonts w:hint="eastAsia" w:eastAsia="仿宋"/>
                <w:b/>
                <w:bCs/>
                <w:color w:val="000000"/>
                <w:kern w:val="0"/>
                <w:szCs w:val="21"/>
                <w:lang w:val="en-US" w:eastAsia="zh-CN" w:bidi="ar"/>
              </w:rPr>
              <w:t>（万元）</w:t>
            </w:r>
          </w:p>
        </w:tc>
        <w:tc>
          <w:tcPr>
            <w:tcW w:w="1151"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eastAsia="仿宋"/>
                <w:b/>
                <w:bCs/>
                <w:color w:val="000000"/>
                <w:kern w:val="0"/>
                <w:szCs w:val="21"/>
                <w:lang w:val="en-US" w:eastAsia="zh-CN" w:bidi="ar"/>
              </w:rPr>
            </w:pPr>
            <w:r>
              <w:rPr>
                <w:rFonts w:hint="eastAsia" w:ascii="Times New Roman" w:hAnsi="Times New Roman" w:eastAsia="仿宋" w:cs="Times New Roman"/>
                <w:b/>
                <w:bCs/>
                <w:color w:val="000000"/>
                <w:kern w:val="0"/>
                <w:szCs w:val="21"/>
                <w:lang w:val="en-US" w:eastAsia="zh-CN" w:bidi="ar"/>
              </w:rPr>
              <w:t>三年合计</w:t>
            </w:r>
            <w:r>
              <w:rPr>
                <w:rFonts w:hint="eastAsia" w:eastAsia="仿宋"/>
                <w:b/>
                <w:bCs/>
                <w:color w:val="000000"/>
                <w:kern w:val="0"/>
                <w:szCs w:val="21"/>
                <w:lang w:val="en-US" w:eastAsia="zh-CN" w:bidi="ar"/>
              </w:rPr>
              <w:t>（万元）</w:t>
            </w:r>
          </w:p>
        </w:tc>
      </w:tr>
      <w:tr>
        <w:tblPrEx>
          <w:tblCellMar>
            <w:top w:w="0" w:type="dxa"/>
            <w:left w:w="108" w:type="dxa"/>
            <w:bottom w:w="0" w:type="dxa"/>
            <w:right w:w="108" w:type="dxa"/>
          </w:tblCellMar>
        </w:tblPrEx>
        <w:trPr>
          <w:trHeight w:val="835" w:hRule="atLeast"/>
        </w:trPr>
        <w:tc>
          <w:tcPr>
            <w:tcW w:w="624" w:type="dxa"/>
            <w:tcBorders>
              <w:top w:val="single" w:color="auto" w:sz="4" w:space="0"/>
              <w:left w:val="single" w:color="auto" w:sz="12" w:space="0"/>
              <w:bottom w:val="single" w:color="000000" w:sz="8"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w:t>
            </w:r>
          </w:p>
        </w:tc>
        <w:tc>
          <w:tcPr>
            <w:tcW w:w="848" w:type="dxa"/>
            <w:tcBorders>
              <w:top w:val="single" w:color="auto" w:sz="4" w:space="0"/>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r>
              <w:rPr>
                <w:rFonts w:hint="eastAsia" w:eastAsia="仿宋"/>
                <w:color w:val="000000"/>
                <w:kern w:val="0"/>
                <w:szCs w:val="21"/>
                <w:lang w:bidi="ar"/>
              </w:rPr>
              <w:t>机房空间优化</w:t>
            </w:r>
          </w:p>
        </w:tc>
        <w:tc>
          <w:tcPr>
            <w:tcW w:w="1212"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新马路机房改造</w:t>
            </w:r>
          </w:p>
        </w:tc>
        <w:tc>
          <w:tcPr>
            <w:tcW w:w="121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restart"/>
            <w:tcBorders>
              <w:top w:val="nil"/>
              <w:left w:val="single" w:color="auto" w:sz="12"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w:t>
            </w:r>
          </w:p>
        </w:tc>
        <w:tc>
          <w:tcPr>
            <w:tcW w:w="848" w:type="dxa"/>
            <w:vMerge w:val="restart"/>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存储维护</w:t>
            </w:r>
          </w:p>
        </w:tc>
        <w:tc>
          <w:tcPr>
            <w:tcW w:w="1212"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异地双活链路优化</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链路优化</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原有存储维保</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存储主机维护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存储主机维护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97" w:hRule="atLeast"/>
        </w:trPr>
        <w:tc>
          <w:tcPr>
            <w:tcW w:w="624" w:type="dxa"/>
            <w:vMerge w:val="continue"/>
            <w:tcBorders>
              <w:left w:val="single" w:color="auto" w:sz="12" w:space="0"/>
              <w:bottom w:val="single" w:color="000000" w:sz="8"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原有存储优化和维护</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原有存储优化和维护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restart"/>
            <w:tcBorders>
              <w:top w:val="nil"/>
              <w:left w:val="single" w:color="auto" w:sz="12"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3</w:t>
            </w:r>
          </w:p>
        </w:tc>
        <w:tc>
          <w:tcPr>
            <w:tcW w:w="848" w:type="dxa"/>
            <w:vMerge w:val="restart"/>
            <w:tcBorders>
              <w:top w:val="nil"/>
              <w:left w:val="single" w:color="auto" w:sz="12" w:space="0"/>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地图</w:t>
            </w:r>
          </w:p>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w:t>
            </w:r>
          </w:p>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维护</w:t>
            </w:r>
          </w:p>
        </w:tc>
        <w:tc>
          <w:tcPr>
            <w:tcW w:w="1212" w:type="dxa"/>
            <w:vMerge w:val="restar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数据服务</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基础地图数据更新</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路况数据服务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46" w:hRule="atLeast"/>
        </w:trPr>
        <w:tc>
          <w:tcPr>
            <w:tcW w:w="624" w:type="dxa"/>
            <w:vMerge w:val="continue"/>
            <w:tcBorders>
              <w:left w:val="single" w:color="auto" w:sz="12"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高精度地图数据服务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系统运维</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系统运维服务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380" w:hRule="atLeast"/>
        </w:trPr>
        <w:tc>
          <w:tcPr>
            <w:tcW w:w="9791" w:type="dxa"/>
            <w:gridSpan w:val="10"/>
            <w:tcBorders>
              <w:top w:val="nil"/>
              <w:left w:val="single" w:color="auto" w:sz="12" w:space="0"/>
              <w:bottom w:val="single" w:color="auto" w:sz="12" w:space="0"/>
              <w:right w:val="single" w:color="000000" w:sz="8" w:space="0"/>
            </w:tcBorders>
            <w:noWrap w:val="0"/>
            <w:vAlign w:val="center"/>
          </w:tcPr>
          <w:p>
            <w:pPr>
              <w:widowControl/>
              <w:jc w:val="left"/>
              <w:textAlignment w:val="center"/>
              <w:rPr>
                <w:rFonts w:hint="eastAsia" w:eastAsia="仿宋"/>
                <w:color w:val="000000"/>
                <w:kern w:val="0"/>
                <w:sz w:val="18"/>
                <w:szCs w:val="18"/>
                <w:lang w:val="en-US" w:eastAsia="zh-CN"/>
              </w:rPr>
            </w:pPr>
            <w:r>
              <w:rPr>
                <w:rFonts w:hint="eastAsia" w:eastAsia="仿宋"/>
                <w:color w:val="000000"/>
                <w:kern w:val="0"/>
                <w:sz w:val="18"/>
                <w:szCs w:val="18"/>
                <w:lang w:val="en-US" w:eastAsia="zh-CN"/>
              </w:rPr>
              <w:t>合计：（万元）</w:t>
            </w:r>
          </w:p>
        </w:tc>
      </w:tr>
    </w:tbl>
    <w:p>
      <w:pPr>
        <w:keepNext/>
        <w:keepLines/>
        <w:tabs>
          <w:tab w:val="left" w:pos="426"/>
        </w:tabs>
        <w:adjustRightInd w:val="0"/>
        <w:snapToGrid w:val="0"/>
        <w:spacing w:before="260" w:after="260" w:line="360" w:lineRule="auto"/>
        <w:jc w:val="both"/>
        <w:outlineLvl w:val="2"/>
        <w:rPr>
          <w:rFonts w:hint="eastAsia" w:eastAsia="仿宋"/>
          <w:b/>
          <w:bCs/>
          <w:color w:val="000000"/>
          <w:sz w:val="28"/>
          <w:szCs w:val="28"/>
          <w:lang w:val="en-US" w:eastAsia="zh-CN"/>
        </w:rPr>
        <w:sectPr>
          <w:pgSz w:w="11906" w:h="16838"/>
          <w:pgMar w:top="1440" w:right="890"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bookmarkStart w:id="371" w:name="_Toc29197"/>
      <w:bookmarkStart w:id="372" w:name="_Toc32612"/>
      <w:bookmarkStart w:id="373" w:name="_Toc15808"/>
      <w:bookmarkStart w:id="374" w:name="_Toc3089"/>
      <w:r>
        <w:rPr>
          <w:rFonts w:hint="eastAsia" w:ascii="宋体" w:hAnsi="宋体" w:cs="宋体"/>
          <w:b/>
          <w:bCs/>
          <w:color w:val="000000"/>
          <w:sz w:val="24"/>
        </w:rPr>
        <w:t xml:space="preserve">全权代表签字或盖章：                               日 期：   </w:t>
      </w:r>
      <w:bookmarkEnd w:id="371"/>
      <w:bookmarkEnd w:id="372"/>
      <w:bookmarkEnd w:id="373"/>
      <w:bookmarkEnd w:id="374"/>
    </w:p>
    <w:p>
      <w:pPr>
        <w:keepNext/>
        <w:keepLines/>
        <w:tabs>
          <w:tab w:val="left" w:pos="426"/>
        </w:tabs>
        <w:adjustRightInd w:val="0"/>
        <w:snapToGrid w:val="0"/>
        <w:spacing w:before="260" w:after="260" w:line="360" w:lineRule="auto"/>
        <w:jc w:val="center"/>
        <w:outlineLvl w:val="2"/>
        <w:rPr>
          <w:rFonts w:hint="eastAsia" w:eastAsia="仿宋"/>
          <w:b/>
          <w:bCs/>
          <w:color w:val="000000"/>
          <w:sz w:val="28"/>
          <w:szCs w:val="28"/>
          <w:lang w:val="en-US" w:eastAsia="zh-CN"/>
        </w:rPr>
      </w:pPr>
      <w:bookmarkStart w:id="375" w:name="_Toc11398"/>
      <w:bookmarkStart w:id="376" w:name="_Toc30357"/>
      <w:bookmarkStart w:id="377" w:name="_Toc8272"/>
      <w:bookmarkStart w:id="378" w:name="_Toc24175"/>
      <w:bookmarkStart w:id="379" w:name="_Toc29783"/>
      <w:bookmarkStart w:id="380" w:name="_Toc1867"/>
      <w:r>
        <w:rPr>
          <w:rFonts w:hint="eastAsia" w:eastAsia="仿宋"/>
          <w:b/>
          <w:bCs/>
          <w:color w:val="000000"/>
          <w:sz w:val="28"/>
          <w:szCs w:val="28"/>
          <w:lang w:val="en-US" w:eastAsia="zh-CN"/>
        </w:rPr>
        <w:t>3.</w:t>
      </w:r>
      <w:r>
        <w:rPr>
          <w:rFonts w:hint="eastAsia" w:eastAsia="仿宋"/>
          <w:b/>
          <w:bCs/>
          <w:color w:val="000000"/>
          <w:sz w:val="28"/>
          <w:szCs w:val="28"/>
        </w:rPr>
        <w:t>机房、光纤租赁及指挥中心维护服务费</w:t>
      </w:r>
      <w:r>
        <w:rPr>
          <w:rFonts w:hint="eastAsia" w:ascii="Times New Roman" w:hAnsi="Times New Roman" w:eastAsia="仿宋" w:cs="Times New Roman"/>
          <w:b/>
          <w:bCs/>
          <w:color w:val="000000"/>
          <w:sz w:val="28"/>
          <w:szCs w:val="28"/>
        </w:rPr>
        <w:t>成本构成明细表</w:t>
      </w:r>
      <w:bookmarkEnd w:id="375"/>
      <w:bookmarkEnd w:id="376"/>
      <w:bookmarkEnd w:id="377"/>
      <w:bookmarkEnd w:id="378"/>
      <w:bookmarkEnd w:id="379"/>
      <w:bookmarkEnd w:id="380"/>
    </w:p>
    <w:p>
      <w:pPr>
        <w:spacing w:line="336" w:lineRule="auto"/>
        <w:rPr>
          <w:rFonts w:hint="default"/>
          <w:color w:val="000000"/>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机房能源费用</w:t>
      </w:r>
      <w:r>
        <w:rPr>
          <w:rFonts w:hint="eastAsia" w:ascii="宋体" w:hAnsi="宋体" w:eastAsia="宋体" w:cs="宋体"/>
          <w:color w:val="000000"/>
          <w:sz w:val="24"/>
          <w:szCs w:val="24"/>
          <w:lang w:val="en-US" w:eastAsia="zh-CN"/>
        </w:rPr>
        <w:t xml:space="preserve"> ：暂估价</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机房能源费用参考实际运行电费，2023-2025年共计4</w:t>
      </w:r>
      <w:r>
        <w:rPr>
          <w:rFonts w:hint="eastAsia" w:ascii="宋体" w:hAnsi="宋体" w:eastAsia="宋体" w:cs="宋体"/>
          <w:color w:val="000000"/>
          <w:sz w:val="24"/>
          <w:szCs w:val="24"/>
          <w:lang w:val="en-US" w:eastAsia="zh-CN"/>
        </w:rPr>
        <w:t>81.8</w:t>
      </w:r>
      <w:r>
        <w:rPr>
          <w:rFonts w:hint="eastAsia" w:ascii="宋体" w:hAnsi="宋体" w:eastAsia="宋体" w:cs="宋体"/>
          <w:color w:val="000000"/>
          <w:sz w:val="24"/>
          <w:szCs w:val="24"/>
        </w:rPr>
        <w:t>万元；前端设备电源从路灯接入，电源费用不计入</w:t>
      </w:r>
      <w:r>
        <w:rPr>
          <w:rFonts w:hint="eastAsia" w:ascii="宋体" w:hAnsi="宋体" w:eastAsia="宋体" w:cs="宋体"/>
          <w:color w:val="000000"/>
          <w:sz w:val="24"/>
          <w:szCs w:val="24"/>
          <w:lang w:eastAsia="zh-CN"/>
        </w:rPr>
        <w:t>。</w:t>
      </w:r>
    </w:p>
    <w:tbl>
      <w:tblPr>
        <w:tblStyle w:val="51"/>
        <w:tblpPr w:leftFromText="180" w:rightFromText="180" w:vertAnchor="text" w:horzAnchor="page" w:tblpX="1470" w:tblpY="196"/>
        <w:tblOverlap w:val="never"/>
        <w:tblW w:w="0" w:type="auto"/>
        <w:tblInd w:w="0" w:type="dxa"/>
        <w:tblLayout w:type="fixed"/>
        <w:tblCellMar>
          <w:top w:w="0" w:type="dxa"/>
          <w:left w:w="108" w:type="dxa"/>
          <w:bottom w:w="0" w:type="dxa"/>
          <w:right w:w="108" w:type="dxa"/>
        </w:tblCellMar>
      </w:tblPr>
      <w:tblGrid>
        <w:gridCol w:w="709"/>
        <w:gridCol w:w="1276"/>
        <w:gridCol w:w="709"/>
        <w:gridCol w:w="1063"/>
        <w:gridCol w:w="1134"/>
        <w:gridCol w:w="1134"/>
        <w:gridCol w:w="921"/>
        <w:gridCol w:w="1134"/>
      </w:tblGrid>
      <w:tr>
        <w:tblPrEx>
          <w:tblCellMar>
            <w:top w:w="0" w:type="dxa"/>
            <w:left w:w="108" w:type="dxa"/>
            <w:bottom w:w="0" w:type="dxa"/>
            <w:right w:w="108" w:type="dxa"/>
          </w:tblCellMar>
        </w:tblPrEx>
        <w:trPr>
          <w:trHeight w:val="276" w:hRule="atLeast"/>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76" w:type="dxa"/>
            <w:vMerge w:val="restart"/>
            <w:tcBorders>
              <w:top w:val="single" w:color="auto" w:sz="12"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3331"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运维服务能源费用</w:t>
            </w:r>
          </w:p>
        </w:tc>
        <w:tc>
          <w:tcPr>
            <w:tcW w:w="921"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1134"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1" w:hRule="atLeast"/>
        </w:trPr>
        <w:tc>
          <w:tcPr>
            <w:tcW w:w="709" w:type="dxa"/>
            <w:vMerge w:val="continue"/>
            <w:tcBorders>
              <w:left w:val="single" w:color="auto" w:sz="12"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p>
        </w:tc>
        <w:tc>
          <w:tcPr>
            <w:tcW w:w="127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709"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2024年</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2025年</w:t>
            </w:r>
          </w:p>
        </w:tc>
        <w:tc>
          <w:tcPr>
            <w:tcW w:w="921"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134"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327" w:hRule="atLeast"/>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9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1134"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403" w:hRule="atLeast"/>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陆港机房</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9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355.8</w:t>
            </w:r>
          </w:p>
        </w:tc>
        <w:tc>
          <w:tcPr>
            <w:tcW w:w="1134"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446" w:hRule="atLeast"/>
        </w:trPr>
        <w:tc>
          <w:tcPr>
            <w:tcW w:w="1985"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921"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48</w:t>
            </w:r>
            <w:r>
              <w:rPr>
                <w:rFonts w:hint="eastAsia" w:ascii="宋体" w:hAnsi="宋体" w:eastAsia="宋体" w:cs="宋体"/>
                <w:color w:val="000000"/>
                <w:kern w:val="0"/>
                <w:szCs w:val="21"/>
                <w:lang w:val="en-US" w:eastAsia="zh-CN"/>
              </w:rPr>
              <w:t>1.8</w:t>
            </w:r>
          </w:p>
        </w:tc>
        <w:tc>
          <w:tcPr>
            <w:tcW w:w="1134"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bidi w:val="0"/>
        <w:rPr>
          <w:rFonts w:hint="eastAsia" w:ascii="宋体" w:hAnsi="宋体" w:eastAsia="宋体" w:cs="宋体"/>
          <w:color w:val="000000"/>
          <w:lang w:val="en-US" w:eastAsia="zh-CN"/>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lang w:val="en-US" w:eastAsia="zh-CN"/>
        </w:rPr>
        <w:t>备注：</w:t>
      </w:r>
      <w:r>
        <w:rPr>
          <w:rFonts w:hint="eastAsia" w:ascii="宋体" w:hAnsi="宋体" w:eastAsia="宋体" w:cs="宋体"/>
          <w:color w:val="000000"/>
          <w:sz w:val="24"/>
        </w:rPr>
        <w:t>机房能源费按实结算</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实际用电量以结算周期内机房的单独电表计数为准，电费单价以电力公司出具的电费发票单价或相关合同约定的单价为准。</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机房租赁与维护服务费</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机房租赁与维护服务费：机房租赁费包括新马路IDC机房租赁费和陆港IDC机房租赁费；维护费为交警指挥中心</w:t>
      </w:r>
      <w:r>
        <w:rPr>
          <w:rFonts w:hint="eastAsia" w:ascii="宋体" w:hAnsi="宋体" w:eastAsia="宋体" w:cs="宋体"/>
          <w:color w:val="000000"/>
          <w:sz w:val="24"/>
          <w:szCs w:val="24"/>
          <w:lang w:eastAsia="zh-CN"/>
        </w:rPr>
        <w:t>及交警自建机房</w:t>
      </w:r>
      <w:r>
        <w:rPr>
          <w:rFonts w:hint="eastAsia" w:ascii="宋体" w:hAnsi="宋体" w:eastAsia="宋体" w:cs="宋体"/>
          <w:color w:val="000000"/>
          <w:sz w:val="24"/>
          <w:szCs w:val="24"/>
        </w:rPr>
        <w:t>维护费，按20万元/年包干</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2023-2025年机房租赁与维护服务费共计378万元</w:t>
      </w:r>
      <w:r>
        <w:rPr>
          <w:rFonts w:hint="eastAsia" w:ascii="宋体" w:hAnsi="宋体" w:eastAsia="宋体" w:cs="宋体"/>
          <w:color w:val="000000"/>
          <w:sz w:val="24"/>
          <w:szCs w:val="24"/>
          <w:lang w:eastAsia="zh-CN"/>
        </w:rPr>
        <w:t>。</w:t>
      </w:r>
    </w:p>
    <w:tbl>
      <w:tblPr>
        <w:tblStyle w:val="51"/>
        <w:tblW w:w="0" w:type="auto"/>
        <w:jc w:val="center"/>
        <w:tblLayout w:type="fixed"/>
        <w:tblCellMar>
          <w:top w:w="0" w:type="dxa"/>
          <w:left w:w="108" w:type="dxa"/>
          <w:bottom w:w="0" w:type="dxa"/>
          <w:right w:w="108" w:type="dxa"/>
        </w:tblCellMar>
      </w:tblPr>
      <w:tblGrid>
        <w:gridCol w:w="709"/>
        <w:gridCol w:w="1292"/>
        <w:gridCol w:w="709"/>
        <w:gridCol w:w="910"/>
        <w:gridCol w:w="992"/>
        <w:gridCol w:w="992"/>
        <w:gridCol w:w="697"/>
        <w:gridCol w:w="2268"/>
      </w:tblGrid>
      <w:tr>
        <w:tblPrEx>
          <w:tblCellMar>
            <w:top w:w="0" w:type="dxa"/>
            <w:left w:w="108" w:type="dxa"/>
            <w:bottom w:w="0" w:type="dxa"/>
            <w:right w:w="108" w:type="dxa"/>
          </w:tblCellMar>
        </w:tblPrEx>
        <w:trPr>
          <w:trHeight w:val="276" w:hRule="atLeast"/>
          <w:jc w:val="center"/>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92" w:type="dxa"/>
            <w:vMerge w:val="restart"/>
            <w:tcBorders>
              <w:top w:val="single" w:color="auto" w:sz="12" w:space="0"/>
              <w:left w:val="nil"/>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2894"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机房租赁与维护服务费</w:t>
            </w:r>
          </w:p>
        </w:tc>
        <w:tc>
          <w:tcPr>
            <w:tcW w:w="697"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2268"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1" w:hRule="atLeast"/>
          <w:jc w:val="center"/>
        </w:trPr>
        <w:tc>
          <w:tcPr>
            <w:tcW w:w="709" w:type="dxa"/>
            <w:vMerge w:val="continue"/>
            <w:tcBorders>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292"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2023年</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2024年</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2025年</w:t>
            </w:r>
          </w:p>
        </w:tc>
        <w:tc>
          <w:tcPr>
            <w:tcW w:w="697"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268"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261"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9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机房</w:t>
            </w:r>
            <w:r>
              <w:rPr>
                <w:rFonts w:hint="eastAsia" w:ascii="宋体" w:hAnsi="宋体" w:eastAsia="宋体" w:cs="宋体"/>
                <w:color w:val="000000"/>
                <w:kern w:val="0"/>
                <w:szCs w:val="21"/>
                <w:lang w:eastAsia="zh-CN"/>
              </w:rPr>
              <w:t>租赁费</w:t>
            </w:r>
            <w:r>
              <w:rPr>
                <w:rFonts w:hint="eastAsia" w:ascii="宋体" w:hAnsi="宋体" w:eastAsia="宋体" w:cs="宋体"/>
                <w:color w:val="000000"/>
                <w:kern w:val="0"/>
                <w:szCs w:val="21"/>
                <w:lang w:val="en-US" w:eastAsia="zh-CN"/>
              </w:rPr>
              <w:t>（新马路）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2268" w:type="dxa"/>
            <w:tcBorders>
              <w:top w:val="nil"/>
              <w:left w:val="nil"/>
              <w:bottom w:val="single" w:color="auto" w:sz="4" w:space="0"/>
              <w:right w:val="single" w:color="auto" w:sz="12"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新马路机房，包干费用</w:t>
            </w:r>
          </w:p>
        </w:tc>
      </w:tr>
      <w:tr>
        <w:tblPrEx>
          <w:tblCellMar>
            <w:top w:w="0" w:type="dxa"/>
            <w:left w:w="108" w:type="dxa"/>
            <w:bottom w:w="0" w:type="dxa"/>
            <w:right w:w="108" w:type="dxa"/>
          </w:tblCellMar>
        </w:tblPrEx>
        <w:trPr>
          <w:trHeight w:val="265"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机房</w:t>
            </w:r>
            <w:r>
              <w:rPr>
                <w:rFonts w:hint="eastAsia" w:ascii="宋体" w:hAnsi="宋体" w:eastAsia="宋体" w:cs="宋体"/>
                <w:color w:val="000000"/>
                <w:kern w:val="0"/>
                <w:szCs w:val="21"/>
                <w:lang w:eastAsia="zh-CN"/>
              </w:rPr>
              <w:t>租赁费</w:t>
            </w:r>
            <w:r>
              <w:rPr>
                <w:rFonts w:hint="eastAsia" w:ascii="宋体" w:hAnsi="宋体" w:eastAsia="宋体" w:cs="宋体"/>
                <w:color w:val="000000"/>
                <w:kern w:val="0"/>
                <w:szCs w:val="21"/>
                <w:lang w:val="en-US" w:eastAsia="zh-CN"/>
              </w:rPr>
              <w:t>（陆港）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228</w:t>
            </w:r>
          </w:p>
        </w:tc>
        <w:tc>
          <w:tcPr>
            <w:tcW w:w="2268"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陆港</w:t>
            </w:r>
            <w:r>
              <w:rPr>
                <w:rFonts w:hint="eastAsia" w:ascii="宋体" w:hAnsi="宋体" w:eastAsia="宋体" w:cs="宋体"/>
                <w:color w:val="000000"/>
                <w:kern w:val="0"/>
                <w:szCs w:val="21"/>
                <w:lang w:eastAsia="zh-CN"/>
              </w:rPr>
              <w:t>机房</w:t>
            </w:r>
            <w:r>
              <w:rPr>
                <w:rFonts w:hint="eastAsia" w:ascii="宋体" w:hAnsi="宋体" w:eastAsia="宋体" w:cs="宋体"/>
                <w:color w:val="000000"/>
                <w:kern w:val="0"/>
                <w:szCs w:val="21"/>
              </w:rPr>
              <w:t>，包干费用</w:t>
            </w: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维护费</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2"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2268"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包干费用</w:t>
            </w:r>
          </w:p>
        </w:tc>
      </w:tr>
      <w:tr>
        <w:tblPrEx>
          <w:tblCellMar>
            <w:top w:w="0" w:type="dxa"/>
            <w:left w:w="108" w:type="dxa"/>
            <w:bottom w:w="0" w:type="dxa"/>
            <w:right w:w="108" w:type="dxa"/>
          </w:tblCellMar>
        </w:tblPrEx>
        <w:trPr>
          <w:trHeight w:val="277" w:hRule="atLeast"/>
          <w:jc w:val="center"/>
        </w:trPr>
        <w:tc>
          <w:tcPr>
            <w:tcW w:w="2001"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2"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2"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697"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378</w:t>
            </w:r>
          </w:p>
        </w:tc>
        <w:tc>
          <w:tcPr>
            <w:tcW w:w="2268"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adjustRightInd w:val="0"/>
        <w:snapToGrid w:val="0"/>
        <w:spacing w:line="360" w:lineRule="auto"/>
        <w:ind w:firstLine="480" w:firstLineChars="200"/>
        <w:rPr>
          <w:rFonts w:hint="eastAsia" w:ascii="Times New Roman" w:hAnsi="Times New Roman" w:eastAsia="仿宋" w:cs="Times New Roman"/>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光纤租赁服务费</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38"/>
        <w:gridCol w:w="881"/>
        <w:gridCol w:w="821"/>
        <w:gridCol w:w="851"/>
        <w:gridCol w:w="1022"/>
        <w:gridCol w:w="1178"/>
        <w:gridCol w:w="1142"/>
        <w:gridCol w:w="1151"/>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9" w:type="dxa"/>
            <w:vMerge w:val="restart"/>
            <w:noWrap w:val="0"/>
            <w:vAlign w:val="center"/>
          </w:tcPr>
          <w:p>
            <w:pPr>
              <w:rPr>
                <w:color w:val="000000"/>
                <w:sz w:val="18"/>
                <w:szCs w:val="18"/>
              </w:rPr>
            </w:pPr>
            <w:r>
              <w:rPr>
                <w:color w:val="000000"/>
                <w:sz w:val="18"/>
                <w:szCs w:val="18"/>
              </w:rPr>
              <w:t>序号</w:t>
            </w:r>
          </w:p>
        </w:tc>
        <w:tc>
          <w:tcPr>
            <w:tcW w:w="638" w:type="dxa"/>
            <w:vMerge w:val="restart"/>
            <w:noWrap w:val="0"/>
            <w:vAlign w:val="center"/>
          </w:tcPr>
          <w:p>
            <w:pPr>
              <w:rPr>
                <w:color w:val="000000"/>
                <w:sz w:val="18"/>
                <w:szCs w:val="18"/>
              </w:rPr>
            </w:pPr>
            <w:r>
              <w:rPr>
                <w:color w:val="000000"/>
                <w:sz w:val="18"/>
                <w:szCs w:val="18"/>
              </w:rPr>
              <w:t>名称</w:t>
            </w:r>
          </w:p>
        </w:tc>
        <w:tc>
          <w:tcPr>
            <w:tcW w:w="881" w:type="dxa"/>
            <w:vMerge w:val="restart"/>
            <w:noWrap w:val="0"/>
            <w:vAlign w:val="center"/>
          </w:tcPr>
          <w:p>
            <w:pPr>
              <w:rPr>
                <w:color w:val="000000"/>
                <w:sz w:val="18"/>
                <w:szCs w:val="18"/>
              </w:rPr>
            </w:pPr>
            <w:r>
              <w:rPr>
                <w:color w:val="000000"/>
                <w:sz w:val="18"/>
                <w:szCs w:val="18"/>
              </w:rPr>
              <w:t>类型</w:t>
            </w:r>
          </w:p>
        </w:tc>
        <w:tc>
          <w:tcPr>
            <w:tcW w:w="821" w:type="dxa"/>
            <w:vMerge w:val="restart"/>
            <w:noWrap w:val="0"/>
            <w:vAlign w:val="center"/>
          </w:tcPr>
          <w:p>
            <w:pPr>
              <w:rPr>
                <w:color w:val="000000"/>
                <w:sz w:val="18"/>
                <w:szCs w:val="18"/>
              </w:rPr>
            </w:pPr>
            <w:r>
              <w:rPr>
                <w:color w:val="000000"/>
                <w:sz w:val="18"/>
                <w:szCs w:val="18"/>
              </w:rPr>
              <w:t>数量</w:t>
            </w:r>
          </w:p>
          <w:p>
            <w:pPr>
              <w:rPr>
                <w:color w:val="000000"/>
                <w:sz w:val="18"/>
                <w:szCs w:val="18"/>
              </w:rPr>
            </w:pPr>
            <w:r>
              <w:rPr>
                <w:color w:val="000000"/>
                <w:sz w:val="18"/>
                <w:szCs w:val="18"/>
              </w:rPr>
              <w:t>（条）</w:t>
            </w:r>
          </w:p>
        </w:tc>
        <w:tc>
          <w:tcPr>
            <w:tcW w:w="851" w:type="dxa"/>
            <w:vMerge w:val="restart"/>
            <w:noWrap w:val="0"/>
            <w:vAlign w:val="center"/>
          </w:tcPr>
          <w:p>
            <w:pPr>
              <w:rPr>
                <w:rFonts w:hint="default" w:eastAsia="宋体"/>
                <w:color w:val="000000"/>
                <w:sz w:val="18"/>
                <w:szCs w:val="18"/>
                <w:lang w:val="en-US" w:eastAsia="zh-CN"/>
              </w:rPr>
            </w:pPr>
            <w:r>
              <w:rPr>
                <w:rFonts w:hint="eastAsia"/>
                <w:color w:val="000000"/>
                <w:sz w:val="18"/>
                <w:szCs w:val="18"/>
                <w:lang w:val="en-US" w:eastAsia="zh-CN"/>
              </w:rPr>
              <w:t>单价（元/年）</w:t>
            </w:r>
          </w:p>
        </w:tc>
        <w:tc>
          <w:tcPr>
            <w:tcW w:w="3342" w:type="dxa"/>
            <w:gridSpan w:val="3"/>
            <w:noWrap w:val="0"/>
            <w:vAlign w:val="center"/>
          </w:tcPr>
          <w:p>
            <w:pPr>
              <w:jc w:val="center"/>
              <w:rPr>
                <w:color w:val="000000"/>
                <w:sz w:val="18"/>
                <w:szCs w:val="18"/>
              </w:rPr>
            </w:pPr>
            <w:r>
              <w:rPr>
                <w:rFonts w:hint="eastAsia"/>
                <w:color w:val="000000"/>
                <w:sz w:val="18"/>
                <w:szCs w:val="18"/>
              </w:rPr>
              <w:t>光纤租赁服务费</w:t>
            </w:r>
          </w:p>
        </w:tc>
        <w:tc>
          <w:tcPr>
            <w:tcW w:w="1151" w:type="dxa"/>
            <w:vMerge w:val="restart"/>
            <w:noWrap w:val="0"/>
            <w:vAlign w:val="center"/>
          </w:tcPr>
          <w:p>
            <w:pPr>
              <w:widowControl/>
              <w:jc w:val="center"/>
              <w:rPr>
                <w:rFonts w:eastAsia="仿宋"/>
                <w:b/>
                <w:bCs/>
                <w:color w:val="000000"/>
                <w:kern w:val="0"/>
                <w:sz w:val="18"/>
                <w:szCs w:val="18"/>
              </w:rPr>
            </w:pPr>
            <w:r>
              <w:rPr>
                <w:rFonts w:hint="eastAsia" w:ascii="Times New Roman" w:hAnsi="Times New Roman" w:eastAsia="宋体" w:cs="Times New Roman"/>
                <w:color w:val="000000"/>
                <w:sz w:val="18"/>
                <w:szCs w:val="18"/>
                <w:lang w:val="en-US" w:eastAsia="zh-CN"/>
              </w:rPr>
              <w:t>三年合计（万元）</w:t>
            </w:r>
          </w:p>
        </w:tc>
        <w:tc>
          <w:tcPr>
            <w:tcW w:w="1203" w:type="dxa"/>
            <w:vMerge w:val="restart"/>
            <w:noWrap w:val="0"/>
            <w:vAlign w:val="center"/>
          </w:tcPr>
          <w:p>
            <w:pPr>
              <w:widowControl/>
              <w:jc w:val="center"/>
              <w:rPr>
                <w:rFonts w:eastAsia="仿宋"/>
                <w:b/>
                <w:bCs/>
                <w:color w:val="000000"/>
                <w:kern w:val="0"/>
                <w:sz w:val="18"/>
                <w:szCs w:val="18"/>
              </w:rPr>
            </w:pPr>
            <w:r>
              <w:rPr>
                <w:rFonts w:eastAsia="仿宋"/>
                <w:b/>
                <w:bCs/>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9" w:type="dxa"/>
            <w:vMerge w:val="continue"/>
            <w:noWrap w:val="0"/>
            <w:vAlign w:val="center"/>
          </w:tcPr>
          <w:p>
            <w:pPr>
              <w:rPr>
                <w:color w:val="000000"/>
                <w:sz w:val="18"/>
                <w:szCs w:val="18"/>
              </w:rPr>
            </w:pPr>
          </w:p>
        </w:tc>
        <w:tc>
          <w:tcPr>
            <w:tcW w:w="638" w:type="dxa"/>
            <w:vMerge w:val="continue"/>
            <w:noWrap w:val="0"/>
            <w:vAlign w:val="center"/>
          </w:tcPr>
          <w:p>
            <w:pPr>
              <w:rPr>
                <w:color w:val="000000"/>
                <w:sz w:val="18"/>
                <w:szCs w:val="18"/>
              </w:rPr>
            </w:pPr>
          </w:p>
        </w:tc>
        <w:tc>
          <w:tcPr>
            <w:tcW w:w="881" w:type="dxa"/>
            <w:vMerge w:val="continue"/>
            <w:noWrap w:val="0"/>
            <w:vAlign w:val="center"/>
          </w:tcPr>
          <w:p>
            <w:pPr>
              <w:rPr>
                <w:color w:val="000000"/>
                <w:sz w:val="18"/>
                <w:szCs w:val="18"/>
              </w:rPr>
            </w:pPr>
          </w:p>
        </w:tc>
        <w:tc>
          <w:tcPr>
            <w:tcW w:w="821" w:type="dxa"/>
            <w:vMerge w:val="continue"/>
            <w:noWrap w:val="0"/>
            <w:vAlign w:val="center"/>
          </w:tcPr>
          <w:p>
            <w:pPr>
              <w:rPr>
                <w:color w:val="000000"/>
                <w:sz w:val="18"/>
                <w:szCs w:val="18"/>
              </w:rPr>
            </w:pPr>
          </w:p>
        </w:tc>
        <w:tc>
          <w:tcPr>
            <w:tcW w:w="851" w:type="dxa"/>
            <w:vMerge w:val="continue"/>
            <w:noWrap w:val="0"/>
            <w:vAlign w:val="center"/>
          </w:tcPr>
          <w:p>
            <w:pPr>
              <w:rPr>
                <w:color w:val="000000"/>
                <w:sz w:val="18"/>
                <w:szCs w:val="18"/>
              </w:rPr>
            </w:pPr>
          </w:p>
        </w:tc>
        <w:tc>
          <w:tcPr>
            <w:tcW w:w="1022" w:type="dxa"/>
            <w:noWrap w:val="0"/>
            <w:vAlign w:val="center"/>
          </w:tcPr>
          <w:p>
            <w:pPr>
              <w:jc w:val="center"/>
              <w:rPr>
                <w:color w:val="000000"/>
                <w:sz w:val="18"/>
                <w:szCs w:val="18"/>
              </w:rPr>
            </w:pPr>
            <w:r>
              <w:rPr>
                <w:color w:val="000000"/>
                <w:sz w:val="18"/>
                <w:szCs w:val="18"/>
              </w:rPr>
              <w:t>2023年</w:t>
            </w:r>
          </w:p>
          <w:p>
            <w:pPr>
              <w:jc w:val="center"/>
              <w:rPr>
                <w:color w:val="000000"/>
                <w:sz w:val="18"/>
                <w:szCs w:val="18"/>
              </w:rPr>
            </w:pPr>
            <w:r>
              <w:rPr>
                <w:color w:val="000000"/>
                <w:sz w:val="18"/>
                <w:szCs w:val="18"/>
              </w:rPr>
              <w:t>（万元）</w:t>
            </w:r>
          </w:p>
        </w:tc>
        <w:tc>
          <w:tcPr>
            <w:tcW w:w="1178" w:type="dxa"/>
            <w:noWrap w:val="0"/>
            <w:vAlign w:val="center"/>
          </w:tcPr>
          <w:p>
            <w:pPr>
              <w:jc w:val="center"/>
              <w:rPr>
                <w:color w:val="000000"/>
                <w:sz w:val="18"/>
                <w:szCs w:val="18"/>
              </w:rPr>
            </w:pPr>
            <w:r>
              <w:rPr>
                <w:color w:val="000000"/>
                <w:sz w:val="18"/>
                <w:szCs w:val="18"/>
              </w:rPr>
              <w:t>2024年</w:t>
            </w:r>
          </w:p>
          <w:p>
            <w:pPr>
              <w:jc w:val="center"/>
              <w:rPr>
                <w:color w:val="000000"/>
                <w:sz w:val="18"/>
                <w:szCs w:val="18"/>
              </w:rPr>
            </w:pPr>
            <w:r>
              <w:rPr>
                <w:rFonts w:hint="eastAsia"/>
                <w:color w:val="000000"/>
                <w:sz w:val="18"/>
                <w:szCs w:val="18"/>
              </w:rPr>
              <w:t>（</w:t>
            </w:r>
            <w:r>
              <w:rPr>
                <w:color w:val="000000"/>
                <w:sz w:val="18"/>
                <w:szCs w:val="18"/>
              </w:rPr>
              <w:t>万元）</w:t>
            </w:r>
          </w:p>
        </w:tc>
        <w:tc>
          <w:tcPr>
            <w:tcW w:w="1142" w:type="dxa"/>
            <w:noWrap w:val="0"/>
            <w:vAlign w:val="center"/>
          </w:tcPr>
          <w:p>
            <w:pPr>
              <w:jc w:val="center"/>
              <w:rPr>
                <w:color w:val="000000"/>
                <w:sz w:val="18"/>
                <w:szCs w:val="18"/>
              </w:rPr>
            </w:pPr>
            <w:r>
              <w:rPr>
                <w:color w:val="000000"/>
                <w:sz w:val="18"/>
                <w:szCs w:val="18"/>
              </w:rPr>
              <w:t>2025年</w:t>
            </w:r>
          </w:p>
          <w:p>
            <w:pPr>
              <w:jc w:val="center"/>
              <w:rPr>
                <w:color w:val="000000"/>
                <w:sz w:val="18"/>
                <w:szCs w:val="18"/>
              </w:rPr>
            </w:pPr>
            <w:r>
              <w:rPr>
                <w:color w:val="000000"/>
                <w:sz w:val="18"/>
                <w:szCs w:val="18"/>
              </w:rPr>
              <w:t>（万元）</w:t>
            </w:r>
          </w:p>
        </w:tc>
        <w:tc>
          <w:tcPr>
            <w:tcW w:w="1151" w:type="dxa"/>
            <w:vMerge w:val="continue"/>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638" w:type="dxa"/>
            <w:vMerge w:val="restart"/>
            <w:noWrap w:val="0"/>
            <w:vAlign w:val="center"/>
          </w:tcPr>
          <w:p>
            <w:pPr>
              <w:widowControl/>
              <w:jc w:val="center"/>
              <w:rPr>
                <w:rFonts w:eastAsia="仿宋"/>
                <w:color w:val="000000"/>
                <w:kern w:val="0"/>
                <w:sz w:val="18"/>
                <w:szCs w:val="18"/>
              </w:rPr>
            </w:pPr>
            <w:r>
              <w:rPr>
                <w:rFonts w:eastAsia="仿宋"/>
                <w:color w:val="000000"/>
                <w:kern w:val="0"/>
                <w:sz w:val="18"/>
                <w:szCs w:val="18"/>
              </w:rPr>
              <w:t>智能</w:t>
            </w:r>
          </w:p>
          <w:p>
            <w:pPr>
              <w:widowControl/>
              <w:jc w:val="center"/>
              <w:rPr>
                <w:rFonts w:eastAsia="仿宋"/>
                <w:color w:val="000000"/>
                <w:kern w:val="0"/>
                <w:sz w:val="18"/>
                <w:szCs w:val="18"/>
              </w:rPr>
            </w:pPr>
            <w:r>
              <w:rPr>
                <w:rFonts w:eastAsia="仿宋"/>
                <w:color w:val="000000"/>
                <w:kern w:val="0"/>
                <w:sz w:val="18"/>
                <w:szCs w:val="18"/>
              </w:rPr>
              <w:t>交通</w:t>
            </w:r>
          </w:p>
          <w:p>
            <w:pPr>
              <w:widowControl/>
              <w:jc w:val="center"/>
              <w:rPr>
                <w:rFonts w:eastAsia="仿宋"/>
                <w:color w:val="000000"/>
                <w:kern w:val="0"/>
                <w:sz w:val="18"/>
                <w:szCs w:val="18"/>
              </w:rPr>
            </w:pPr>
            <w:r>
              <w:rPr>
                <w:rFonts w:eastAsia="仿宋"/>
                <w:color w:val="000000"/>
                <w:kern w:val="0"/>
                <w:sz w:val="18"/>
                <w:szCs w:val="18"/>
              </w:rPr>
              <w:t>一期</w:t>
            </w:r>
          </w:p>
        </w:tc>
        <w:tc>
          <w:tcPr>
            <w:tcW w:w="881" w:type="dxa"/>
            <w:noWrap w:val="0"/>
            <w:vAlign w:val="center"/>
          </w:tcPr>
          <w:p>
            <w:pPr>
              <w:widowControl/>
              <w:textAlignment w:val="center"/>
              <w:rPr>
                <w:rFonts w:eastAsia="仿宋"/>
                <w:color w:val="000000"/>
                <w:kern w:val="0"/>
                <w:sz w:val="18"/>
                <w:szCs w:val="18"/>
                <w:lang w:bidi="ar"/>
              </w:rPr>
            </w:pPr>
            <w:r>
              <w:rPr>
                <w:rFonts w:hint="eastAsia" w:eastAsia="仿宋"/>
                <w:color w:val="000000"/>
                <w:kern w:val="0"/>
                <w:sz w:val="18"/>
                <w:szCs w:val="18"/>
                <w:lang w:bidi="ar"/>
              </w:rPr>
              <w:t>前端</w:t>
            </w:r>
            <w:r>
              <w:rPr>
                <w:rFonts w:eastAsia="仿宋"/>
                <w:color w:val="000000"/>
                <w:kern w:val="0"/>
                <w:sz w:val="18"/>
                <w:szCs w:val="18"/>
                <w:lang w:bidi="ar"/>
              </w:rPr>
              <w:t>点位光纤</w:t>
            </w:r>
          </w:p>
        </w:tc>
        <w:tc>
          <w:tcPr>
            <w:tcW w:w="821" w:type="dxa"/>
            <w:noWrap w:val="0"/>
            <w:vAlign w:val="center"/>
          </w:tcPr>
          <w:p>
            <w:pPr>
              <w:widowControl/>
              <w:jc w:val="center"/>
              <w:rPr>
                <w:rFonts w:eastAsia="仿宋"/>
                <w:color w:val="000000"/>
                <w:kern w:val="0"/>
                <w:sz w:val="18"/>
                <w:szCs w:val="18"/>
              </w:rPr>
            </w:pPr>
            <w:r>
              <w:rPr>
                <w:rFonts w:hint="eastAsia" w:eastAsia="仿宋"/>
                <w:color w:val="000000"/>
                <w:kern w:val="0"/>
                <w:sz w:val="18"/>
                <w:szCs w:val="18"/>
              </w:rPr>
              <w:t>1365</w:t>
            </w:r>
          </w:p>
        </w:tc>
        <w:tc>
          <w:tcPr>
            <w:tcW w:w="851" w:type="dxa"/>
            <w:noWrap w:val="0"/>
            <w:vAlign w:val="center"/>
          </w:tcPr>
          <w:p>
            <w:pPr>
              <w:widowControl/>
              <w:jc w:val="center"/>
              <w:rPr>
                <w:rFonts w:hint="eastAsia"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rPr>
                <w:rFonts w:eastAsia="仿宋"/>
                <w:color w:val="000000"/>
                <w:kern w:val="0"/>
                <w:sz w:val="18"/>
                <w:szCs w:val="18"/>
              </w:rPr>
            </w:pPr>
          </w:p>
        </w:tc>
        <w:tc>
          <w:tcPr>
            <w:tcW w:w="1142" w:type="dxa"/>
            <w:noWrap w:val="0"/>
            <w:vAlign w:val="center"/>
          </w:tcPr>
          <w:p>
            <w:pPr>
              <w:widowControl/>
              <w:jc w:val="center"/>
              <w:rPr>
                <w:rFonts w:eastAsia="仿宋"/>
                <w:color w:val="000000"/>
                <w:kern w:val="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noWrap w:val="0"/>
            <w:vAlign w:val="center"/>
          </w:tcPr>
          <w:p>
            <w:pPr>
              <w:widowControl/>
              <w:jc w:val="center"/>
              <w:rPr>
                <w:rFonts w:eastAsia="仿宋"/>
                <w:color w:val="000000"/>
                <w:kern w:val="0"/>
                <w:sz w:val="18"/>
                <w:szCs w:val="18"/>
              </w:rPr>
            </w:pPr>
            <w:r>
              <w:rPr>
                <w:rFonts w:eastAsia="仿宋"/>
                <w:color w:val="000000"/>
                <w:kern w:val="0"/>
                <w:sz w:val="18"/>
                <w:szCs w:val="18"/>
              </w:rPr>
              <w:t>2023年216条</w:t>
            </w:r>
            <w:r>
              <w:rPr>
                <w:rFonts w:hint="eastAsia" w:eastAsia="仿宋"/>
                <w:color w:val="000000"/>
                <w:kern w:val="0"/>
                <w:sz w:val="18"/>
                <w:szCs w:val="18"/>
              </w:rPr>
              <w:t>，其它由</w:t>
            </w:r>
            <w:r>
              <w:rPr>
                <w:rFonts w:eastAsia="仿宋"/>
                <w:color w:val="000000"/>
                <w:sz w:val="18"/>
                <w:szCs w:val="18"/>
              </w:rPr>
              <w:t>智能交通系统一期“以租代建”结算</w:t>
            </w:r>
            <w:r>
              <w:rPr>
                <w:rFonts w:hint="eastAsia" w:eastAsia="仿宋"/>
                <w:color w:val="000000"/>
                <w:sz w:val="18"/>
                <w:szCs w:val="18"/>
              </w:rPr>
              <w:t>，</w:t>
            </w:r>
            <w:r>
              <w:rPr>
                <w:rFonts w:hint="eastAsia" w:eastAsia="仿宋"/>
                <w:color w:val="000000"/>
                <w:kern w:val="0"/>
                <w:sz w:val="18"/>
                <w:szCs w:val="18"/>
              </w:rPr>
              <w:t>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38" w:type="dxa"/>
            <w:vMerge w:val="continue"/>
            <w:noWrap w:val="0"/>
            <w:vAlign w:val="center"/>
          </w:tcPr>
          <w:p>
            <w:pPr>
              <w:widowControl/>
              <w:jc w:val="center"/>
              <w:rPr>
                <w:rFonts w:eastAsia="仿宋"/>
                <w:color w:val="000000"/>
                <w:kern w:val="0"/>
                <w:sz w:val="18"/>
                <w:szCs w:val="18"/>
              </w:rPr>
            </w:pPr>
          </w:p>
        </w:tc>
        <w:tc>
          <w:tcPr>
            <w:tcW w:w="881" w:type="dxa"/>
            <w:noWrap w:val="0"/>
            <w:vAlign w:val="center"/>
          </w:tcPr>
          <w:p>
            <w:pPr>
              <w:widowControl/>
              <w:textAlignment w:val="center"/>
              <w:rPr>
                <w:rFonts w:eastAsia="仿宋"/>
                <w:color w:val="000000"/>
                <w:kern w:val="0"/>
                <w:sz w:val="18"/>
                <w:szCs w:val="18"/>
                <w:lang w:bidi="ar"/>
              </w:rPr>
            </w:pPr>
            <w:r>
              <w:rPr>
                <w:rFonts w:hint="eastAsia" w:eastAsia="仿宋"/>
                <w:color w:val="000000"/>
                <w:kern w:val="0"/>
                <w:sz w:val="18"/>
                <w:szCs w:val="18"/>
                <w:lang w:bidi="ar"/>
              </w:rPr>
              <w:t>大队至中队</w:t>
            </w:r>
            <w:r>
              <w:rPr>
                <w:rFonts w:eastAsia="仿宋"/>
                <w:color w:val="000000"/>
                <w:kern w:val="0"/>
                <w:sz w:val="18"/>
                <w:szCs w:val="18"/>
                <w:lang w:bidi="ar"/>
              </w:rPr>
              <w:t>互联电路</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textAlignment w:val="center"/>
              <w:rPr>
                <w:rFonts w:eastAsia="仿宋"/>
                <w:color w:val="000000"/>
                <w:sz w:val="18"/>
                <w:szCs w:val="18"/>
              </w:rPr>
            </w:pPr>
          </w:p>
        </w:tc>
        <w:tc>
          <w:tcPr>
            <w:tcW w:w="1142" w:type="dxa"/>
            <w:noWrap w:val="0"/>
            <w:vAlign w:val="center"/>
          </w:tcPr>
          <w:p>
            <w:pPr>
              <w:widowControl/>
              <w:jc w:val="center"/>
              <w:textAlignment w:val="center"/>
              <w:rPr>
                <w:rFonts w:eastAsia="仿宋"/>
                <w:color w:val="00000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vMerge w:val="restart"/>
            <w:noWrap w:val="0"/>
            <w:vAlign w:val="center"/>
          </w:tcPr>
          <w:p>
            <w:pPr>
              <w:widowControl/>
              <w:jc w:val="left"/>
              <w:rPr>
                <w:rFonts w:eastAsia="仿宋"/>
                <w:color w:val="000000"/>
                <w:kern w:val="0"/>
                <w:sz w:val="18"/>
                <w:szCs w:val="18"/>
              </w:rPr>
            </w:pPr>
            <w:r>
              <w:rPr>
                <w:rFonts w:eastAsia="仿宋"/>
                <w:color w:val="000000"/>
                <w:sz w:val="18"/>
                <w:szCs w:val="18"/>
              </w:rPr>
              <w:t>2023年由智能交通系统一期“以租代建”结算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638" w:type="dxa"/>
            <w:vMerge w:val="continue"/>
            <w:noWrap w:val="0"/>
            <w:vAlign w:val="center"/>
          </w:tcPr>
          <w:p>
            <w:pPr>
              <w:widowControl/>
              <w:jc w:val="center"/>
              <w:rPr>
                <w:rFonts w:eastAsia="仿宋"/>
                <w:color w:val="000000"/>
                <w:kern w:val="0"/>
                <w:sz w:val="18"/>
                <w:szCs w:val="18"/>
              </w:rPr>
            </w:pPr>
          </w:p>
        </w:tc>
        <w:tc>
          <w:tcPr>
            <w:tcW w:w="881" w:type="dxa"/>
            <w:noWrap w:val="0"/>
            <w:vAlign w:val="center"/>
          </w:tcPr>
          <w:p>
            <w:pPr>
              <w:widowControl/>
              <w:rPr>
                <w:rFonts w:eastAsia="仿宋"/>
                <w:color w:val="000000"/>
                <w:kern w:val="0"/>
                <w:sz w:val="18"/>
                <w:szCs w:val="18"/>
              </w:rPr>
            </w:pPr>
            <w:r>
              <w:rPr>
                <w:rFonts w:hint="eastAsia" w:eastAsia="仿宋"/>
                <w:color w:val="000000"/>
                <w:kern w:val="0"/>
                <w:sz w:val="18"/>
                <w:szCs w:val="18"/>
                <w:lang w:bidi="ar"/>
              </w:rPr>
              <w:t>大队</w:t>
            </w:r>
            <w:r>
              <w:rPr>
                <w:rFonts w:eastAsia="仿宋"/>
                <w:color w:val="000000"/>
                <w:kern w:val="0"/>
                <w:sz w:val="18"/>
                <w:szCs w:val="18"/>
              </w:rPr>
              <w:t>100</w:t>
            </w:r>
            <w:r>
              <w:rPr>
                <w:rFonts w:hint="eastAsia" w:eastAsia="仿宋"/>
                <w:color w:val="000000"/>
                <w:kern w:val="0"/>
                <w:sz w:val="18"/>
                <w:szCs w:val="18"/>
              </w:rPr>
              <w:t>兆</w:t>
            </w:r>
            <w:r>
              <w:rPr>
                <w:rFonts w:eastAsia="仿宋"/>
                <w:color w:val="000000"/>
                <w:kern w:val="0"/>
                <w:sz w:val="18"/>
                <w:szCs w:val="18"/>
              </w:rPr>
              <w:t>上网光纤</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rPr>
                <w:rFonts w:eastAsia="仿宋"/>
                <w:color w:val="000000"/>
                <w:kern w:val="0"/>
                <w:sz w:val="18"/>
                <w:szCs w:val="18"/>
              </w:rPr>
            </w:pPr>
          </w:p>
        </w:tc>
        <w:tc>
          <w:tcPr>
            <w:tcW w:w="1142" w:type="dxa"/>
            <w:noWrap w:val="0"/>
            <w:vAlign w:val="center"/>
          </w:tcPr>
          <w:p>
            <w:pPr>
              <w:widowControl/>
              <w:jc w:val="center"/>
              <w:rPr>
                <w:rFonts w:eastAsia="仿宋"/>
                <w:color w:val="000000"/>
                <w:kern w:val="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638" w:type="dxa"/>
            <w:vMerge w:val="continue"/>
            <w:noWrap w:val="0"/>
            <w:vAlign w:val="center"/>
          </w:tcPr>
          <w:p>
            <w:pPr>
              <w:widowControl/>
              <w:jc w:val="center"/>
              <w:rPr>
                <w:rFonts w:eastAsia="仿宋"/>
                <w:color w:val="000000"/>
                <w:kern w:val="0"/>
                <w:sz w:val="18"/>
                <w:szCs w:val="18"/>
              </w:rPr>
            </w:pPr>
          </w:p>
        </w:tc>
        <w:tc>
          <w:tcPr>
            <w:tcW w:w="881" w:type="dxa"/>
            <w:noWrap w:val="0"/>
            <w:vAlign w:val="center"/>
          </w:tcPr>
          <w:p>
            <w:pPr>
              <w:widowControl/>
              <w:textAlignment w:val="center"/>
              <w:rPr>
                <w:rFonts w:eastAsia="仿宋"/>
                <w:color w:val="000000"/>
                <w:kern w:val="0"/>
                <w:sz w:val="18"/>
                <w:szCs w:val="18"/>
                <w:lang w:bidi="ar"/>
              </w:rPr>
            </w:pPr>
            <w:r>
              <w:rPr>
                <w:rFonts w:hint="eastAsia" w:eastAsia="仿宋"/>
                <w:color w:val="000000"/>
                <w:kern w:val="0"/>
                <w:sz w:val="18"/>
                <w:szCs w:val="18"/>
                <w:lang w:bidi="ar"/>
              </w:rPr>
              <w:t>大队</w:t>
            </w:r>
            <w:r>
              <w:rPr>
                <w:rFonts w:hint="eastAsia" w:eastAsia="仿宋"/>
                <w:color w:val="000000"/>
                <w:kern w:val="0"/>
                <w:sz w:val="18"/>
                <w:szCs w:val="18"/>
              </w:rPr>
              <w:t>5</w:t>
            </w:r>
            <w:r>
              <w:rPr>
                <w:rFonts w:eastAsia="仿宋"/>
                <w:color w:val="000000"/>
                <w:kern w:val="0"/>
                <w:sz w:val="18"/>
                <w:szCs w:val="18"/>
              </w:rPr>
              <w:t>0</w:t>
            </w:r>
            <w:r>
              <w:rPr>
                <w:rFonts w:hint="eastAsia" w:eastAsia="仿宋"/>
                <w:color w:val="000000"/>
                <w:kern w:val="0"/>
                <w:sz w:val="18"/>
                <w:szCs w:val="18"/>
              </w:rPr>
              <w:t>兆</w:t>
            </w:r>
            <w:r>
              <w:rPr>
                <w:rFonts w:eastAsia="仿宋"/>
                <w:color w:val="000000"/>
                <w:kern w:val="0"/>
                <w:sz w:val="18"/>
                <w:szCs w:val="18"/>
                <w:lang w:bidi="ar"/>
              </w:rPr>
              <w:t>上网光纤</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textAlignment w:val="center"/>
              <w:rPr>
                <w:rFonts w:eastAsia="仿宋"/>
                <w:color w:val="000000"/>
                <w:sz w:val="18"/>
                <w:szCs w:val="18"/>
              </w:rPr>
            </w:pPr>
          </w:p>
        </w:tc>
        <w:tc>
          <w:tcPr>
            <w:tcW w:w="1142" w:type="dxa"/>
            <w:noWrap w:val="0"/>
            <w:vAlign w:val="center"/>
          </w:tcPr>
          <w:p>
            <w:pPr>
              <w:widowControl/>
              <w:jc w:val="center"/>
              <w:textAlignment w:val="center"/>
              <w:rPr>
                <w:rFonts w:eastAsia="仿宋"/>
                <w:color w:val="00000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638" w:type="dxa"/>
            <w:vMerge w:val="continue"/>
            <w:noWrap w:val="0"/>
            <w:vAlign w:val="center"/>
          </w:tcPr>
          <w:p>
            <w:pPr>
              <w:widowControl/>
              <w:jc w:val="center"/>
              <w:rPr>
                <w:rFonts w:eastAsia="仿宋"/>
                <w:color w:val="000000"/>
                <w:kern w:val="0"/>
                <w:sz w:val="18"/>
                <w:szCs w:val="18"/>
              </w:rPr>
            </w:pPr>
          </w:p>
        </w:tc>
        <w:tc>
          <w:tcPr>
            <w:tcW w:w="881" w:type="dxa"/>
            <w:noWrap w:val="0"/>
            <w:vAlign w:val="center"/>
          </w:tcPr>
          <w:p>
            <w:pPr>
              <w:widowControl/>
              <w:jc w:val="center"/>
              <w:textAlignment w:val="center"/>
              <w:rPr>
                <w:rFonts w:eastAsia="仿宋"/>
                <w:color w:val="000000"/>
                <w:kern w:val="0"/>
                <w:sz w:val="18"/>
                <w:szCs w:val="18"/>
                <w:lang w:bidi="ar"/>
              </w:rPr>
            </w:pPr>
            <w:r>
              <w:rPr>
                <w:rFonts w:hint="eastAsia" w:eastAsia="仿宋"/>
                <w:color w:val="000000"/>
                <w:kern w:val="0"/>
                <w:sz w:val="18"/>
                <w:szCs w:val="18"/>
              </w:rPr>
              <w:t>中队</w:t>
            </w:r>
            <w:r>
              <w:rPr>
                <w:rFonts w:hint="eastAsia" w:eastAsia="仿宋"/>
                <w:color w:val="000000"/>
                <w:kern w:val="0"/>
                <w:sz w:val="18"/>
                <w:szCs w:val="18"/>
                <w:lang w:bidi="ar"/>
              </w:rPr>
              <w:t>上网</w:t>
            </w:r>
            <w:r>
              <w:rPr>
                <w:rFonts w:eastAsia="仿宋"/>
                <w:color w:val="000000"/>
                <w:kern w:val="0"/>
                <w:sz w:val="18"/>
                <w:szCs w:val="18"/>
                <w:lang w:bidi="ar"/>
              </w:rPr>
              <w:t>宽带</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textAlignment w:val="center"/>
              <w:rPr>
                <w:rFonts w:eastAsia="仿宋"/>
                <w:color w:val="000000"/>
                <w:sz w:val="18"/>
                <w:szCs w:val="18"/>
              </w:rPr>
            </w:pPr>
          </w:p>
        </w:tc>
        <w:tc>
          <w:tcPr>
            <w:tcW w:w="1142" w:type="dxa"/>
            <w:noWrap w:val="0"/>
            <w:vAlign w:val="center"/>
          </w:tcPr>
          <w:p>
            <w:pPr>
              <w:widowControl/>
              <w:jc w:val="center"/>
              <w:textAlignment w:val="center"/>
              <w:rPr>
                <w:rFonts w:eastAsia="仿宋"/>
                <w:color w:val="00000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638" w:type="dxa"/>
            <w:vMerge w:val="continue"/>
            <w:noWrap w:val="0"/>
            <w:vAlign w:val="center"/>
          </w:tcPr>
          <w:p>
            <w:pPr>
              <w:widowControl/>
              <w:jc w:val="center"/>
              <w:rPr>
                <w:rFonts w:eastAsia="仿宋"/>
                <w:color w:val="000000"/>
                <w:kern w:val="0"/>
                <w:sz w:val="18"/>
                <w:szCs w:val="18"/>
              </w:rPr>
            </w:pPr>
          </w:p>
        </w:tc>
        <w:tc>
          <w:tcPr>
            <w:tcW w:w="881" w:type="dxa"/>
            <w:noWrap w:val="0"/>
            <w:vAlign w:val="center"/>
          </w:tcPr>
          <w:p>
            <w:pPr>
              <w:widowControl/>
              <w:textAlignment w:val="center"/>
              <w:rPr>
                <w:rFonts w:eastAsia="仿宋"/>
                <w:color w:val="000000"/>
                <w:kern w:val="0"/>
                <w:sz w:val="18"/>
                <w:szCs w:val="18"/>
                <w:lang w:bidi="ar"/>
              </w:rPr>
            </w:pPr>
            <w:r>
              <w:rPr>
                <w:rFonts w:eastAsia="仿宋"/>
                <w:color w:val="000000"/>
                <w:kern w:val="0"/>
                <w:sz w:val="18"/>
                <w:szCs w:val="18"/>
                <w:lang w:bidi="ar"/>
              </w:rPr>
              <w:t>物联网卡</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120</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textAlignment w:val="center"/>
              <w:rPr>
                <w:rFonts w:eastAsia="仿宋"/>
                <w:color w:val="000000"/>
                <w:sz w:val="18"/>
                <w:szCs w:val="18"/>
              </w:rPr>
            </w:pPr>
          </w:p>
        </w:tc>
        <w:tc>
          <w:tcPr>
            <w:tcW w:w="1142" w:type="dxa"/>
            <w:noWrap w:val="0"/>
            <w:vAlign w:val="center"/>
          </w:tcPr>
          <w:p>
            <w:pPr>
              <w:widowControl/>
              <w:jc w:val="center"/>
              <w:textAlignment w:val="center"/>
              <w:rPr>
                <w:rFonts w:eastAsia="仿宋"/>
                <w:color w:val="00000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638" w:type="dxa"/>
            <w:vMerge w:val="continue"/>
            <w:noWrap w:val="0"/>
            <w:vAlign w:val="center"/>
          </w:tcPr>
          <w:p>
            <w:pPr>
              <w:widowControl/>
              <w:jc w:val="center"/>
              <w:rPr>
                <w:rFonts w:eastAsia="仿宋"/>
                <w:color w:val="000000"/>
                <w:kern w:val="0"/>
                <w:sz w:val="18"/>
                <w:szCs w:val="18"/>
              </w:rPr>
            </w:pPr>
          </w:p>
        </w:tc>
        <w:tc>
          <w:tcPr>
            <w:tcW w:w="881" w:type="dxa"/>
            <w:noWrap w:val="0"/>
            <w:vAlign w:val="center"/>
          </w:tcPr>
          <w:p>
            <w:pPr>
              <w:widowControl/>
              <w:textAlignment w:val="center"/>
              <w:rPr>
                <w:rFonts w:eastAsia="仿宋"/>
                <w:color w:val="000000"/>
                <w:kern w:val="0"/>
                <w:sz w:val="18"/>
                <w:szCs w:val="18"/>
                <w:lang w:bidi="ar"/>
              </w:rPr>
            </w:pPr>
            <w:r>
              <w:rPr>
                <w:rFonts w:eastAsia="仿宋"/>
                <w:color w:val="000000"/>
                <w:kern w:val="0"/>
                <w:sz w:val="18"/>
                <w:szCs w:val="18"/>
                <w:lang w:bidi="ar"/>
              </w:rPr>
              <w:t>短信平台</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textAlignment w:val="center"/>
              <w:rPr>
                <w:rFonts w:eastAsia="仿宋"/>
                <w:color w:val="000000"/>
                <w:sz w:val="18"/>
                <w:szCs w:val="18"/>
              </w:rPr>
            </w:pPr>
          </w:p>
        </w:tc>
        <w:tc>
          <w:tcPr>
            <w:tcW w:w="1142" w:type="dxa"/>
            <w:noWrap w:val="0"/>
            <w:vAlign w:val="center"/>
          </w:tcPr>
          <w:p>
            <w:pPr>
              <w:widowControl/>
              <w:jc w:val="center"/>
              <w:textAlignment w:val="center"/>
              <w:rPr>
                <w:rFonts w:eastAsia="仿宋"/>
                <w:color w:val="00000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38" w:type="dxa"/>
            <w:noWrap w:val="0"/>
            <w:vAlign w:val="center"/>
          </w:tcPr>
          <w:p>
            <w:pPr>
              <w:widowControl/>
              <w:jc w:val="center"/>
              <w:rPr>
                <w:rFonts w:eastAsia="仿宋"/>
                <w:color w:val="000000"/>
                <w:kern w:val="0"/>
                <w:sz w:val="18"/>
                <w:szCs w:val="18"/>
              </w:rPr>
            </w:pPr>
            <w:r>
              <w:rPr>
                <w:rFonts w:eastAsia="仿宋"/>
                <w:color w:val="000000"/>
                <w:kern w:val="0"/>
                <w:sz w:val="18"/>
                <w:szCs w:val="18"/>
              </w:rPr>
              <w:t>智能</w:t>
            </w:r>
          </w:p>
          <w:p>
            <w:pPr>
              <w:widowControl/>
              <w:jc w:val="center"/>
              <w:rPr>
                <w:rFonts w:eastAsia="仿宋"/>
                <w:color w:val="000000"/>
                <w:kern w:val="0"/>
                <w:sz w:val="18"/>
                <w:szCs w:val="18"/>
              </w:rPr>
            </w:pPr>
            <w:r>
              <w:rPr>
                <w:rFonts w:eastAsia="仿宋"/>
                <w:color w:val="000000"/>
                <w:kern w:val="0"/>
                <w:sz w:val="18"/>
                <w:szCs w:val="18"/>
              </w:rPr>
              <w:t>交通</w:t>
            </w:r>
          </w:p>
          <w:p>
            <w:pPr>
              <w:widowControl/>
              <w:jc w:val="center"/>
              <w:rPr>
                <w:rFonts w:eastAsia="仿宋"/>
                <w:color w:val="000000"/>
                <w:kern w:val="0"/>
                <w:sz w:val="18"/>
                <w:szCs w:val="18"/>
              </w:rPr>
            </w:pPr>
            <w:r>
              <w:rPr>
                <w:rFonts w:eastAsia="仿宋"/>
                <w:color w:val="000000"/>
                <w:kern w:val="0"/>
                <w:sz w:val="18"/>
                <w:szCs w:val="18"/>
              </w:rPr>
              <w:t>二期</w:t>
            </w:r>
          </w:p>
        </w:tc>
        <w:tc>
          <w:tcPr>
            <w:tcW w:w="881" w:type="dxa"/>
            <w:noWrap w:val="0"/>
            <w:vAlign w:val="center"/>
          </w:tcPr>
          <w:p>
            <w:pPr>
              <w:widowControl/>
              <w:jc w:val="center"/>
              <w:textAlignment w:val="center"/>
              <w:rPr>
                <w:rFonts w:eastAsia="仿宋"/>
                <w:color w:val="000000"/>
                <w:sz w:val="18"/>
                <w:szCs w:val="18"/>
              </w:rPr>
            </w:pPr>
            <w:r>
              <w:rPr>
                <w:rFonts w:hint="eastAsia" w:eastAsia="仿宋"/>
                <w:color w:val="000000"/>
                <w:kern w:val="0"/>
                <w:sz w:val="18"/>
                <w:szCs w:val="18"/>
              </w:rPr>
              <w:t>前端点位</w:t>
            </w:r>
            <w:r>
              <w:rPr>
                <w:rFonts w:eastAsia="仿宋"/>
                <w:color w:val="000000"/>
                <w:kern w:val="0"/>
                <w:sz w:val="18"/>
                <w:szCs w:val="18"/>
                <w:lang w:bidi="ar"/>
              </w:rPr>
              <w:t>光纤</w:t>
            </w:r>
          </w:p>
        </w:tc>
        <w:tc>
          <w:tcPr>
            <w:tcW w:w="821" w:type="dxa"/>
            <w:noWrap w:val="0"/>
            <w:vAlign w:val="center"/>
          </w:tcPr>
          <w:p>
            <w:pPr>
              <w:widowControl/>
              <w:jc w:val="center"/>
              <w:rPr>
                <w:rFonts w:eastAsia="仿宋"/>
                <w:color w:val="000000"/>
                <w:kern w:val="0"/>
                <w:sz w:val="18"/>
                <w:szCs w:val="18"/>
              </w:rPr>
            </w:pPr>
            <w:r>
              <w:rPr>
                <w:rFonts w:eastAsia="仿宋"/>
                <w:color w:val="000000"/>
                <w:kern w:val="0"/>
                <w:sz w:val="18"/>
                <w:szCs w:val="18"/>
              </w:rPr>
              <w:t>817</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rPr>
                <w:rFonts w:eastAsia="仿宋"/>
                <w:color w:val="000000"/>
                <w:kern w:val="0"/>
                <w:sz w:val="18"/>
                <w:szCs w:val="18"/>
              </w:rPr>
            </w:pPr>
          </w:p>
        </w:tc>
        <w:tc>
          <w:tcPr>
            <w:tcW w:w="1142" w:type="dxa"/>
            <w:noWrap w:val="0"/>
            <w:vAlign w:val="center"/>
          </w:tcPr>
          <w:p>
            <w:pPr>
              <w:widowControl/>
              <w:jc w:val="center"/>
              <w:rPr>
                <w:rFonts w:eastAsia="仿宋"/>
                <w:color w:val="000000"/>
                <w:kern w:val="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noWrap w:val="0"/>
            <w:vAlign w:val="center"/>
          </w:tcPr>
          <w:p>
            <w:pPr>
              <w:widowControl/>
              <w:jc w:val="center"/>
              <w:rPr>
                <w:rFonts w:eastAsia="仿宋"/>
                <w:color w:val="000000"/>
                <w:kern w:val="0"/>
                <w:sz w:val="18"/>
                <w:szCs w:val="18"/>
              </w:rPr>
            </w:pPr>
            <w:r>
              <w:rPr>
                <w:rFonts w:hint="eastAsia" w:eastAsia="仿宋"/>
                <w:color w:val="000000"/>
                <w:kern w:val="0"/>
                <w:sz w:val="18"/>
                <w:szCs w:val="18"/>
              </w:rPr>
              <w:t>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89" w:type="dxa"/>
            <w:noWrap w:val="0"/>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638" w:type="dxa"/>
            <w:noWrap w:val="0"/>
            <w:vAlign w:val="center"/>
          </w:tcPr>
          <w:p>
            <w:pPr>
              <w:widowControl/>
              <w:jc w:val="center"/>
              <w:rPr>
                <w:rFonts w:hint="eastAsia" w:eastAsia="仿宋"/>
                <w:color w:val="000000"/>
                <w:kern w:val="0"/>
                <w:sz w:val="18"/>
                <w:szCs w:val="18"/>
              </w:rPr>
            </w:pPr>
            <w:r>
              <w:rPr>
                <w:rFonts w:hint="eastAsia" w:eastAsia="仿宋"/>
                <w:color w:val="000000"/>
                <w:kern w:val="0"/>
                <w:sz w:val="18"/>
                <w:szCs w:val="18"/>
              </w:rPr>
              <w:t>外单位</w:t>
            </w:r>
            <w:r>
              <w:rPr>
                <w:rFonts w:eastAsia="仿宋"/>
                <w:color w:val="000000"/>
                <w:kern w:val="0"/>
                <w:sz w:val="18"/>
                <w:szCs w:val="18"/>
              </w:rPr>
              <w:t>移交</w:t>
            </w:r>
          </w:p>
          <w:p>
            <w:pPr>
              <w:widowControl/>
              <w:jc w:val="center"/>
              <w:rPr>
                <w:rFonts w:eastAsia="仿宋"/>
                <w:color w:val="000000"/>
                <w:kern w:val="0"/>
                <w:sz w:val="18"/>
                <w:szCs w:val="18"/>
              </w:rPr>
            </w:pPr>
            <w:r>
              <w:rPr>
                <w:rFonts w:eastAsia="仿宋"/>
                <w:color w:val="000000"/>
                <w:kern w:val="0"/>
                <w:sz w:val="18"/>
                <w:szCs w:val="18"/>
              </w:rPr>
              <w:t>项目</w:t>
            </w:r>
          </w:p>
        </w:tc>
        <w:tc>
          <w:tcPr>
            <w:tcW w:w="881" w:type="dxa"/>
            <w:noWrap w:val="0"/>
            <w:vAlign w:val="center"/>
          </w:tcPr>
          <w:p>
            <w:pPr>
              <w:widowControl/>
              <w:textAlignment w:val="center"/>
              <w:rPr>
                <w:rFonts w:hint="eastAsia" w:eastAsia="仿宋"/>
                <w:color w:val="000000"/>
                <w:kern w:val="0"/>
                <w:sz w:val="18"/>
                <w:szCs w:val="18"/>
                <w:lang w:bidi="ar"/>
              </w:rPr>
            </w:pPr>
            <w:r>
              <w:rPr>
                <w:rFonts w:hint="eastAsia" w:eastAsia="仿宋"/>
                <w:color w:val="000000"/>
                <w:kern w:val="0"/>
                <w:sz w:val="18"/>
                <w:szCs w:val="18"/>
                <w:lang w:bidi="ar"/>
              </w:rPr>
              <w:t>前端</w:t>
            </w:r>
            <w:r>
              <w:rPr>
                <w:rFonts w:hint="eastAsia" w:eastAsia="仿宋"/>
                <w:color w:val="000000"/>
                <w:kern w:val="0"/>
                <w:sz w:val="18"/>
                <w:szCs w:val="18"/>
              </w:rPr>
              <w:t>点位</w:t>
            </w:r>
            <w:r>
              <w:rPr>
                <w:rFonts w:eastAsia="仿宋"/>
                <w:color w:val="000000"/>
                <w:kern w:val="0"/>
                <w:sz w:val="18"/>
                <w:szCs w:val="18"/>
                <w:lang w:bidi="ar"/>
              </w:rPr>
              <w:t>光纤</w:t>
            </w:r>
          </w:p>
        </w:tc>
        <w:tc>
          <w:tcPr>
            <w:tcW w:w="821" w:type="dxa"/>
            <w:noWrap w:val="0"/>
            <w:vAlign w:val="center"/>
          </w:tcPr>
          <w:p>
            <w:pPr>
              <w:widowControl/>
              <w:jc w:val="center"/>
              <w:rPr>
                <w:rFonts w:hint="default" w:eastAsia="仿宋"/>
                <w:color w:val="000000"/>
                <w:kern w:val="0"/>
                <w:sz w:val="18"/>
                <w:szCs w:val="18"/>
                <w:lang w:val="en-US" w:eastAsia="zh-CN"/>
              </w:rPr>
            </w:pPr>
            <w:r>
              <w:rPr>
                <w:rFonts w:eastAsia="仿宋"/>
                <w:color w:val="000000"/>
                <w:kern w:val="0"/>
                <w:sz w:val="18"/>
                <w:szCs w:val="18"/>
              </w:rPr>
              <w:t>2</w:t>
            </w:r>
            <w:r>
              <w:rPr>
                <w:rFonts w:hint="eastAsia" w:eastAsia="仿宋"/>
                <w:color w:val="000000"/>
                <w:kern w:val="0"/>
                <w:sz w:val="18"/>
                <w:szCs w:val="18"/>
                <w:lang w:val="en-US" w:eastAsia="zh-CN"/>
              </w:rPr>
              <w:t>13</w:t>
            </w:r>
          </w:p>
        </w:tc>
        <w:tc>
          <w:tcPr>
            <w:tcW w:w="851" w:type="dxa"/>
            <w:noWrap w:val="0"/>
            <w:vAlign w:val="center"/>
          </w:tcPr>
          <w:p>
            <w:pPr>
              <w:widowControl/>
              <w:jc w:val="center"/>
              <w:rPr>
                <w:rFonts w:eastAsia="仿宋"/>
                <w:color w:val="000000"/>
                <w:kern w:val="0"/>
                <w:sz w:val="18"/>
                <w:szCs w:val="18"/>
              </w:rPr>
            </w:pP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rPr>
                <w:rFonts w:eastAsia="仿宋"/>
                <w:color w:val="000000"/>
                <w:kern w:val="0"/>
                <w:sz w:val="18"/>
                <w:szCs w:val="18"/>
              </w:rPr>
            </w:pPr>
          </w:p>
        </w:tc>
        <w:tc>
          <w:tcPr>
            <w:tcW w:w="1142" w:type="dxa"/>
            <w:noWrap w:val="0"/>
            <w:vAlign w:val="center"/>
          </w:tcPr>
          <w:p>
            <w:pPr>
              <w:widowControl/>
              <w:jc w:val="center"/>
              <w:rPr>
                <w:rFonts w:eastAsia="仿宋"/>
                <w:color w:val="000000"/>
                <w:kern w:val="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noWrap w:val="0"/>
            <w:vAlign w:val="center"/>
          </w:tcPr>
          <w:p>
            <w:pPr>
              <w:rPr>
                <w:rFonts w:hint="eastAsia" w:eastAsia="仿宋"/>
                <w:color w:val="000000"/>
                <w:kern w:val="0"/>
                <w:sz w:val="18"/>
                <w:szCs w:val="18"/>
              </w:rPr>
            </w:pPr>
            <w:r>
              <w:rPr>
                <w:rFonts w:eastAsia="仿宋"/>
                <w:color w:val="000000"/>
                <w:kern w:val="0"/>
                <w:sz w:val="18"/>
                <w:szCs w:val="18"/>
              </w:rPr>
              <w:t>按实</w:t>
            </w:r>
            <w:r>
              <w:rPr>
                <w:rFonts w:hint="eastAsia" w:eastAsia="仿宋"/>
                <w:color w:val="000000"/>
                <w:kern w:val="0"/>
                <w:sz w:val="18"/>
                <w:szCs w:val="18"/>
              </w:rPr>
              <w:t>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76" w:type="dxa"/>
            <w:gridSpan w:val="10"/>
            <w:noWrap w:val="0"/>
            <w:vAlign w:val="center"/>
          </w:tcPr>
          <w:p>
            <w:pPr>
              <w:widowControl/>
              <w:jc w:val="left"/>
              <w:rPr>
                <w:rFonts w:eastAsia="仿宋"/>
                <w:b/>
                <w:color w:val="000000"/>
                <w:kern w:val="0"/>
                <w:szCs w:val="21"/>
              </w:rPr>
            </w:pPr>
            <w:r>
              <w:rPr>
                <w:rFonts w:eastAsia="仿宋"/>
                <w:b/>
                <w:color w:val="000000"/>
                <w:kern w:val="0"/>
                <w:szCs w:val="21"/>
              </w:rPr>
              <w:t>合计</w:t>
            </w:r>
            <w:r>
              <w:rPr>
                <w:rFonts w:hint="eastAsia" w:eastAsia="仿宋"/>
                <w:b/>
                <w:color w:val="000000"/>
                <w:kern w:val="0"/>
                <w:szCs w:val="21"/>
                <w:lang w:eastAsia="zh-CN"/>
              </w:rPr>
              <w:t>：</w:t>
            </w:r>
            <w:r>
              <w:rPr>
                <w:rFonts w:hint="eastAsia" w:eastAsia="仿宋"/>
                <w:b/>
                <w:color w:val="000000"/>
                <w:kern w:val="0"/>
                <w:szCs w:val="21"/>
                <w:lang w:val="en-US" w:eastAsia="zh-CN"/>
              </w:rPr>
              <w:t xml:space="preserve">   </w:t>
            </w:r>
            <w:r>
              <w:rPr>
                <w:rFonts w:eastAsia="仿宋"/>
                <w:color w:val="000000"/>
                <w:kern w:val="0"/>
                <w:szCs w:val="21"/>
              </w:rPr>
              <w:t>万元</w:t>
            </w:r>
          </w:p>
        </w:tc>
      </w:tr>
    </w:tbl>
    <w:p>
      <w:pPr>
        <w:keepNext/>
        <w:keepLines/>
        <w:tabs>
          <w:tab w:val="left" w:pos="426"/>
        </w:tabs>
        <w:adjustRightInd w:val="0"/>
        <w:snapToGrid w:val="0"/>
        <w:spacing w:before="260" w:after="260" w:line="360" w:lineRule="auto"/>
        <w:jc w:val="both"/>
        <w:outlineLvl w:val="2"/>
        <w:rPr>
          <w:rFonts w:hint="eastAsia" w:ascii="宋体" w:hAnsi="宋体" w:cs="宋体"/>
          <w:b/>
          <w:bCs/>
          <w:color w:val="000000"/>
          <w:sz w:val="24"/>
        </w:rPr>
      </w:pPr>
      <w:bookmarkStart w:id="381" w:name="_Toc17102"/>
      <w:bookmarkStart w:id="382" w:name="_Toc474"/>
      <w:bookmarkStart w:id="383" w:name="_Toc7145"/>
      <w:bookmarkStart w:id="384" w:name="_Toc366"/>
      <w:r>
        <w:rPr>
          <w:rFonts w:hint="eastAsia" w:ascii="宋体" w:hAnsi="宋体" w:cs="宋体"/>
          <w:b/>
          <w:bCs/>
          <w:color w:val="000000"/>
          <w:sz w:val="24"/>
        </w:rPr>
        <w:t>全权代表签字或盖章：                               日 期：</w:t>
      </w:r>
      <w:bookmarkEnd w:id="381"/>
      <w:r>
        <w:rPr>
          <w:rFonts w:hint="eastAsia" w:ascii="宋体" w:hAnsi="宋体" w:cs="宋体"/>
          <w:b/>
          <w:bCs/>
          <w:color w:val="000000"/>
          <w:sz w:val="24"/>
        </w:rPr>
        <w:t xml:space="preserve">  </w:t>
      </w:r>
    </w:p>
    <w:p>
      <w:pPr>
        <w:pStyle w:val="27"/>
        <w:spacing w:line="460" w:lineRule="exact"/>
        <w:ind w:left="239" w:leftChars="114" w:firstLine="241" w:firstLineChars="100"/>
        <w:rPr>
          <w:rFonts w:hint="eastAsia" w:ascii="宋体" w:hAnsi="宋体" w:eastAsia="宋体" w:cs="宋体"/>
          <w:bCs w:val="0"/>
          <w:color w:val="000000"/>
          <w:sz w:val="24"/>
          <w:szCs w:val="24"/>
          <w:lang w:val="en-US" w:eastAsia="zh-CN"/>
        </w:rPr>
      </w:pPr>
      <w:r>
        <w:rPr>
          <w:rFonts w:hint="eastAsia" w:ascii="宋体" w:hAnsi="宋体" w:cs="宋体"/>
          <w:b/>
          <w:bCs/>
          <w:color w:val="000000"/>
          <w:sz w:val="24"/>
          <w:lang w:val="en-US" w:eastAsia="zh-CN"/>
        </w:rPr>
        <w:t>备注：</w:t>
      </w:r>
      <w:r>
        <w:rPr>
          <w:rFonts w:hint="eastAsia" w:ascii="宋体" w:hAnsi="宋体" w:eastAsia="宋体" w:cs="宋体"/>
          <w:color w:val="000000"/>
          <w:sz w:val="24"/>
          <w:szCs w:val="24"/>
          <w:lang w:val="en-US" w:eastAsia="zh-CN"/>
        </w:rPr>
        <w:t>1.</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投标单位需按上述价格进行报价，不得去更改；如果投标单位的</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未按上述价格进行报价的，报价评审时由评审小组按招标文件中规定的价格进行修正后，再进行评审。</w:t>
      </w: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r>
        <w:rPr>
          <w:rFonts w:hint="eastAsia" w:ascii="宋体" w:hAnsi="宋体" w:eastAsia="宋体" w:cs="宋体"/>
          <w:bCs w:val="0"/>
          <w:color w:val="000000"/>
          <w:sz w:val="24"/>
          <w:szCs w:val="24"/>
          <w:lang w:val="en-US" w:eastAsia="zh-CN"/>
        </w:rPr>
        <w:t xml:space="preserve"> 2.中标后</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val="en-US" w:eastAsia="zh-CN"/>
        </w:rPr>
        <w:t>按实结算，</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为包干费用。</w:t>
      </w:r>
    </w:p>
    <w:p>
      <w:pPr>
        <w:keepNext/>
        <w:keepLines/>
        <w:tabs>
          <w:tab w:val="left" w:pos="426"/>
        </w:tabs>
        <w:adjustRightInd w:val="0"/>
        <w:snapToGrid w:val="0"/>
        <w:spacing w:before="260" w:after="260" w:line="360" w:lineRule="auto"/>
        <w:ind w:firstLine="241" w:firstLineChars="100"/>
        <w:jc w:val="both"/>
        <w:outlineLvl w:val="2"/>
        <w:rPr>
          <w:rFonts w:hint="eastAsia" w:eastAsia="仿宋"/>
          <w:b/>
          <w:bCs/>
          <w:color w:val="000000"/>
          <w:sz w:val="28"/>
          <w:szCs w:val="28"/>
          <w:lang w:val="en-US" w:eastAsia="zh-CN"/>
        </w:rPr>
        <w:sectPr>
          <w:pgSz w:w="11906" w:h="16838"/>
          <w:pgMar w:top="1440" w:right="890"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
          <w:bCs/>
          <w:color w:val="000000"/>
          <w:sz w:val="24"/>
        </w:rPr>
        <w:t xml:space="preserve"> </w:t>
      </w:r>
      <w:bookmarkEnd w:id="382"/>
      <w:bookmarkEnd w:id="383"/>
      <w:bookmarkEnd w:id="384"/>
    </w:p>
    <w:p>
      <w:pPr>
        <w:keepNext/>
        <w:keepLines/>
        <w:tabs>
          <w:tab w:val="left" w:pos="426"/>
        </w:tabs>
        <w:adjustRightInd w:val="0"/>
        <w:snapToGrid w:val="0"/>
        <w:spacing w:before="260" w:after="260" w:line="360" w:lineRule="auto"/>
        <w:jc w:val="both"/>
        <w:outlineLvl w:val="2"/>
        <w:rPr>
          <w:rFonts w:hint="eastAsia" w:eastAsia="仿宋"/>
          <w:b/>
          <w:bCs/>
          <w:color w:val="000000"/>
          <w:sz w:val="28"/>
          <w:szCs w:val="28"/>
          <w:lang w:val="en-US" w:eastAsia="zh-CN"/>
        </w:rPr>
      </w:pPr>
    </w:p>
    <w:p>
      <w:pPr>
        <w:keepNext/>
        <w:keepLines/>
        <w:tabs>
          <w:tab w:val="left" w:pos="426"/>
        </w:tabs>
        <w:adjustRightInd w:val="0"/>
        <w:snapToGrid w:val="0"/>
        <w:spacing w:before="260" w:after="260" w:line="360" w:lineRule="auto"/>
        <w:jc w:val="center"/>
        <w:outlineLvl w:val="2"/>
        <w:rPr>
          <w:rFonts w:hint="eastAsia" w:eastAsia="仿宋"/>
          <w:b/>
          <w:bCs/>
          <w:color w:val="000000"/>
          <w:sz w:val="28"/>
          <w:szCs w:val="28"/>
          <w:lang w:val="en-US" w:eastAsia="zh-CN"/>
        </w:rPr>
      </w:pPr>
      <w:bookmarkStart w:id="385" w:name="_Toc22966"/>
      <w:bookmarkStart w:id="386" w:name="_Toc24700"/>
      <w:bookmarkStart w:id="387" w:name="_Toc8430"/>
      <w:bookmarkStart w:id="388" w:name="_Toc25243"/>
      <w:bookmarkStart w:id="389" w:name="_Toc31774"/>
      <w:bookmarkStart w:id="390" w:name="_Toc29482"/>
      <w:r>
        <w:rPr>
          <w:rFonts w:hint="eastAsia" w:eastAsia="仿宋"/>
          <w:b/>
          <w:bCs/>
          <w:color w:val="000000"/>
          <w:sz w:val="28"/>
          <w:szCs w:val="28"/>
          <w:lang w:val="en-US" w:eastAsia="zh-CN"/>
        </w:rPr>
        <w:t>4.</w:t>
      </w:r>
      <w:r>
        <w:rPr>
          <w:rFonts w:eastAsia="仿宋"/>
          <w:b/>
          <w:bCs/>
          <w:color w:val="000000"/>
          <w:sz w:val="28"/>
          <w:szCs w:val="28"/>
        </w:rPr>
        <w:t>智能交通指挥中心</w:t>
      </w:r>
      <w:r>
        <w:rPr>
          <w:rFonts w:hint="eastAsia" w:eastAsia="仿宋"/>
          <w:b/>
          <w:bCs/>
          <w:color w:val="000000"/>
          <w:sz w:val="28"/>
          <w:szCs w:val="28"/>
          <w:lang w:val="en-US" w:eastAsia="zh-CN"/>
        </w:rPr>
        <w:t>车辆</w:t>
      </w:r>
      <w:r>
        <w:rPr>
          <w:rFonts w:hint="eastAsia" w:eastAsia="仿宋"/>
          <w:b/>
          <w:bCs/>
          <w:color w:val="000000"/>
          <w:sz w:val="28"/>
          <w:szCs w:val="28"/>
        </w:rPr>
        <w:t>分析</w:t>
      </w:r>
      <w:r>
        <w:rPr>
          <w:rFonts w:hint="eastAsia" w:eastAsia="仿宋"/>
          <w:b/>
          <w:bCs/>
          <w:color w:val="000000"/>
          <w:sz w:val="28"/>
          <w:szCs w:val="28"/>
          <w:lang w:val="en-US" w:eastAsia="zh-CN"/>
        </w:rPr>
        <w:t>应用</w:t>
      </w:r>
      <w:r>
        <w:rPr>
          <w:rFonts w:hint="eastAsia" w:eastAsia="仿宋"/>
          <w:b/>
          <w:bCs/>
          <w:color w:val="000000"/>
          <w:sz w:val="28"/>
          <w:szCs w:val="28"/>
        </w:rPr>
        <w:t>、信号配时与交通组织服务</w:t>
      </w:r>
      <w:r>
        <w:rPr>
          <w:rFonts w:eastAsia="仿宋"/>
          <w:b/>
          <w:bCs/>
          <w:color w:val="000000"/>
          <w:sz w:val="28"/>
          <w:szCs w:val="28"/>
        </w:rPr>
        <w:t>费</w:t>
      </w:r>
      <w:r>
        <w:rPr>
          <w:rFonts w:hint="eastAsia" w:ascii="Times New Roman" w:hAnsi="Times New Roman" w:eastAsia="仿宋" w:cs="Times New Roman"/>
          <w:b/>
          <w:bCs/>
          <w:color w:val="000000"/>
          <w:sz w:val="28"/>
          <w:szCs w:val="28"/>
          <w:lang w:val="en-US" w:eastAsia="zh-CN"/>
        </w:rPr>
        <w:t>成本构成明细表</w:t>
      </w:r>
      <w:bookmarkEnd w:id="385"/>
      <w:bookmarkEnd w:id="386"/>
      <w:bookmarkEnd w:id="387"/>
      <w:bookmarkEnd w:id="388"/>
      <w:bookmarkEnd w:id="389"/>
      <w:bookmarkEnd w:id="390"/>
    </w:p>
    <w:p>
      <w:pPr>
        <w:spacing w:line="336" w:lineRule="auto"/>
        <w:rPr>
          <w:rFonts w:hint="default" w:eastAsia="仿宋"/>
          <w:b/>
          <w:bCs/>
          <w:color w:val="000000"/>
          <w:sz w:val="28"/>
          <w:szCs w:val="28"/>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51"/>
        <w:tblW w:w="0" w:type="auto"/>
        <w:jc w:val="center"/>
        <w:tblLayout w:type="fixed"/>
        <w:tblCellMar>
          <w:top w:w="0" w:type="dxa"/>
          <w:left w:w="108" w:type="dxa"/>
          <w:bottom w:w="0" w:type="dxa"/>
          <w:right w:w="108" w:type="dxa"/>
        </w:tblCellMar>
      </w:tblPr>
      <w:tblGrid>
        <w:gridCol w:w="637"/>
        <w:gridCol w:w="2629"/>
        <w:gridCol w:w="1232"/>
        <w:gridCol w:w="1232"/>
        <w:gridCol w:w="1232"/>
        <w:gridCol w:w="1232"/>
        <w:gridCol w:w="1235"/>
      </w:tblGrid>
      <w:tr>
        <w:tblPrEx>
          <w:tblCellMar>
            <w:top w:w="0" w:type="dxa"/>
            <w:left w:w="108" w:type="dxa"/>
            <w:bottom w:w="0" w:type="dxa"/>
            <w:right w:w="108" w:type="dxa"/>
          </w:tblCellMar>
        </w:tblPrEx>
        <w:trPr>
          <w:trHeight w:val="919" w:hRule="atLeast"/>
          <w:tblHeader/>
          <w:jc w:val="center"/>
        </w:trPr>
        <w:tc>
          <w:tcPr>
            <w:tcW w:w="637"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629"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w:t>
            </w:r>
          </w:p>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分类</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用工人数（人）</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2023年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2024年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2025年</w:t>
            </w:r>
          </w:p>
        </w:tc>
        <w:tc>
          <w:tcPr>
            <w:tcW w:w="1235"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小计</w:t>
            </w:r>
          </w:p>
          <w:p>
            <w:pPr>
              <w:widowControl/>
              <w:jc w:val="center"/>
              <w:rPr>
                <w:rFonts w:hint="eastAsia" w:ascii="宋体" w:hAnsi="宋体" w:eastAsia="宋体" w:cs="宋体"/>
                <w:b/>
                <w:color w:val="000000"/>
                <w:kern w:val="0"/>
                <w:sz w:val="24"/>
                <w:szCs w:val="24"/>
              </w:rPr>
            </w:pPr>
            <w:r>
              <w:rPr>
                <w:rFonts w:hint="eastAsia" w:ascii="宋体" w:hAnsi="宋体" w:eastAsia="宋体" w:cs="宋体"/>
                <w:b w:val="0"/>
                <w:bCs w:val="0"/>
                <w:color w:val="000000"/>
                <w:kern w:val="0"/>
                <w:sz w:val="24"/>
                <w:szCs w:val="24"/>
              </w:rPr>
              <w:t>（万元）</w:t>
            </w: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车辆</w:t>
            </w:r>
            <w:r>
              <w:rPr>
                <w:rFonts w:hint="eastAsia" w:ascii="宋体" w:hAnsi="宋体" w:eastAsia="宋体" w:cs="宋体"/>
                <w:color w:val="000000"/>
                <w:kern w:val="0"/>
                <w:sz w:val="24"/>
                <w:szCs w:val="24"/>
              </w:rPr>
              <w:t>分析应用</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地理信息系统</w:t>
            </w:r>
            <w:r>
              <w:rPr>
                <w:rFonts w:hint="eastAsia" w:ascii="宋体" w:hAnsi="宋体" w:eastAsia="宋体" w:cs="宋体"/>
                <w:color w:val="000000"/>
                <w:kern w:val="0"/>
                <w:sz w:val="24"/>
                <w:szCs w:val="24"/>
              </w:rPr>
              <w:t>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39"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网络安全管理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普通</w:t>
            </w:r>
            <w:r>
              <w:rPr>
                <w:rFonts w:hint="eastAsia" w:ascii="宋体" w:hAnsi="宋体" w:eastAsia="宋体" w:cs="宋体"/>
                <w:color w:val="000000"/>
                <w:kern w:val="0"/>
                <w:sz w:val="24"/>
                <w:szCs w:val="24"/>
              </w:rPr>
              <w:t>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9429" w:type="dxa"/>
            <w:gridSpan w:val="7"/>
            <w:tcBorders>
              <w:top w:val="single" w:color="auto" w:sz="4" w:space="0"/>
              <w:left w:val="single" w:color="auto" w:sz="12"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合计： 万元</w:t>
            </w:r>
          </w:p>
        </w:tc>
      </w:tr>
    </w:tbl>
    <w:p>
      <w:pPr>
        <w:rPr>
          <w:rFonts w:hint="eastAsia" w:ascii="宋体" w:hAnsi="宋体" w:cs="宋体"/>
          <w:b/>
          <w:bCs/>
          <w:color w:val="000000"/>
          <w:sz w:val="24"/>
        </w:rPr>
      </w:pPr>
    </w:p>
    <w:p>
      <w:pPr>
        <w:pStyle w:val="27"/>
        <w:spacing w:line="420" w:lineRule="exact"/>
        <w:rPr>
          <w:rFonts w:hint="eastAsia" w:hAnsi="宋体" w:cs="宋体"/>
          <w:color w:val="000000"/>
          <w:sz w:val="24"/>
        </w:rPr>
      </w:pPr>
      <w:r>
        <w:rPr>
          <w:rFonts w:hint="eastAsia" w:ascii="宋体" w:hAnsi="宋体" w:cs="宋体"/>
          <w:b/>
          <w:bCs/>
          <w:color w:val="000000"/>
          <w:sz w:val="24"/>
        </w:rPr>
        <w:t>全权代表签字或盖章：                               日 期：</w:t>
      </w: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r>
        <w:rPr>
          <w:rFonts w:hint="eastAsia" w:hAnsi="宋体" w:cs="宋体"/>
          <w:color w:val="000000"/>
          <w:sz w:val="24"/>
        </w:rPr>
        <w:t>注：</w:t>
      </w:r>
    </w:p>
    <w:p>
      <w:pPr>
        <w:widowControl/>
        <w:spacing w:line="360" w:lineRule="auto"/>
        <w:jc w:val="left"/>
        <w:rPr>
          <w:b/>
          <w:color w:val="000000"/>
          <w:kern w:val="0"/>
          <w:sz w:val="24"/>
        </w:rPr>
      </w:pPr>
      <w:r>
        <w:rPr>
          <w:rFonts w:hint="eastAsia"/>
          <w:b/>
          <w:color w:val="000000"/>
          <w:kern w:val="0"/>
          <w:sz w:val="24"/>
        </w:rPr>
        <w:t>说明：</w:t>
      </w:r>
    </w:p>
    <w:p>
      <w:pPr>
        <w:pStyle w:val="27"/>
        <w:spacing w:line="460" w:lineRule="exact"/>
        <w:ind w:left="247" w:leftChars="114" w:firstLine="247"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hAnsi="宋体" w:eastAsia="宋体" w:cs="宋体"/>
          <w:color w:val="000000"/>
          <w:sz w:val="24"/>
          <w:szCs w:val="24"/>
          <w:lang w:val="en-US" w:eastAsia="zh-CN"/>
        </w:rPr>
        <w:t>以上所有</w:t>
      </w:r>
      <w:r>
        <w:rPr>
          <w:rFonts w:hint="eastAsia" w:ascii="宋体" w:hAnsi="宋体" w:eastAsia="宋体" w:cs="宋体"/>
          <w:color w:val="000000"/>
          <w:sz w:val="24"/>
          <w:szCs w:val="24"/>
        </w:rPr>
        <w:t>成本构成明细表用于评标时评标专家对投标人的投标报价是否低于成本价的判断，因此成本构成明细表必须填写，否则按</w:t>
      </w:r>
      <w:r>
        <w:rPr>
          <w:rFonts w:hint="eastAsia" w:ascii="宋体" w:hAnsi="宋体" w:eastAsia="宋体" w:cs="宋体"/>
          <w:color w:val="000000"/>
          <w:sz w:val="24"/>
          <w:szCs w:val="24"/>
          <w:lang w:eastAsia="zh-CN"/>
        </w:rPr>
        <w:t>无效</w:t>
      </w:r>
      <w:r>
        <w:rPr>
          <w:rFonts w:hint="eastAsia" w:ascii="宋体" w:hAnsi="宋体" w:eastAsia="宋体" w:cs="宋体"/>
          <w:color w:val="000000"/>
          <w:sz w:val="24"/>
          <w:szCs w:val="24"/>
        </w:rPr>
        <w:t>标处理。</w:t>
      </w:r>
    </w:p>
    <w:p>
      <w:pPr>
        <w:pStyle w:val="27"/>
        <w:spacing w:line="460" w:lineRule="exact"/>
        <w:ind w:left="247" w:leftChars="114" w:firstLine="247" w:firstLineChars="100"/>
        <w:rPr>
          <w:rFonts w:hint="eastAsia" w:hAnsi="宋体" w:cs="宋体"/>
          <w:color w:val="000000"/>
          <w:sz w:val="24"/>
          <w:szCs w:val="24"/>
        </w:rPr>
      </w:pPr>
      <w:r>
        <w:rPr>
          <w:rFonts w:hint="eastAsia" w:hAnsi="宋体" w:cs="宋体"/>
          <w:color w:val="000000"/>
          <w:sz w:val="24"/>
        </w:rPr>
        <w:t>2.</w:t>
      </w:r>
      <w:r>
        <w:rPr>
          <w:rFonts w:hint="eastAsia" w:hAnsi="宋体" w:cs="宋体"/>
          <w:color w:val="000000"/>
          <w:sz w:val="24"/>
          <w:szCs w:val="24"/>
        </w:rPr>
        <w:t>此表在不改变表式内容的情况下，可自行制作。</w:t>
      </w:r>
    </w:p>
    <w:p>
      <w:pPr>
        <w:bidi w:val="0"/>
        <w:rPr>
          <w:rFonts w:hint="eastAsia"/>
          <w:color w:val="000000"/>
          <w:lang w:eastAsia="zh-CN"/>
        </w:rPr>
      </w:pPr>
    </w:p>
    <w:p>
      <w:pPr>
        <w:pStyle w:val="2"/>
        <w:rPr>
          <w:rFonts w:hint="eastAsia"/>
          <w:color w:val="000000"/>
          <w:lang w:eastAsia="zh-CN"/>
        </w:rPr>
      </w:pPr>
    </w:p>
    <w:p>
      <w:pPr>
        <w:pStyle w:val="3"/>
        <w:rPr>
          <w:rFonts w:hint="eastAsia"/>
          <w:color w:val="000000"/>
          <w:lang w:eastAsia="zh-CN"/>
        </w:rPr>
      </w:pPr>
    </w:p>
    <w:p>
      <w:pPr>
        <w:pStyle w:val="4"/>
        <w:rPr>
          <w:rFonts w:hint="eastAsia"/>
          <w:color w:val="000000"/>
          <w:lang w:eastAsia="zh-CN"/>
        </w:rPr>
      </w:pPr>
    </w:p>
    <w:p>
      <w:pPr>
        <w:jc w:val="center"/>
        <w:rPr>
          <w:rFonts w:hint="eastAsia" w:ascii="宋体" w:cs="宋体"/>
          <w:b/>
          <w:bCs/>
          <w:color w:val="000000"/>
          <w:spacing w:val="0"/>
          <w:w w:val="100"/>
          <w:position w:val="0"/>
          <w:sz w:val="36"/>
          <w:szCs w:val="36"/>
        </w:rPr>
      </w:pPr>
      <w:r>
        <w:rPr>
          <w:rFonts w:hint="eastAsia" w:ascii="宋体" w:cs="宋体"/>
          <w:b/>
          <w:bCs/>
          <w:color w:val="000000"/>
          <w:spacing w:val="0"/>
          <w:w w:val="100"/>
          <w:position w:val="0"/>
          <w:sz w:val="36"/>
          <w:szCs w:val="36"/>
        </w:rPr>
        <w:t>中小企业声明函（服务）</w:t>
      </w:r>
    </w:p>
    <w:p>
      <w:pPr>
        <w:jc w:val="center"/>
        <w:rPr>
          <w:rFonts w:hint="eastAsia" w:ascii="宋体" w:cs="宋体"/>
          <w:b/>
          <w:bCs/>
          <w:color w:val="000000"/>
          <w:spacing w:val="0"/>
          <w:w w:val="100"/>
          <w:position w:val="0"/>
          <w:sz w:val="36"/>
          <w:szCs w:val="36"/>
        </w:rPr>
      </w:pPr>
    </w:p>
    <w:p>
      <w:pPr>
        <w:pStyle w:val="77"/>
        <w:keepNext w:val="0"/>
        <w:keepLines w:val="0"/>
        <w:widowControl w:val="0"/>
        <w:shd w:val="clear" w:color="auto" w:fill="auto"/>
        <w:bidi w:val="0"/>
        <w:spacing w:before="0" w:after="0" w:line="500" w:lineRule="exact"/>
        <w:ind w:left="0" w:right="0" w:firstLine="600"/>
        <w:jc w:val="both"/>
        <w:rPr>
          <w:color w:val="000000"/>
          <w:sz w:val="24"/>
          <w:szCs w:val="24"/>
        </w:rPr>
      </w:pPr>
      <w:r>
        <w:rPr>
          <w:color w:val="000000"/>
          <w:spacing w:val="0"/>
          <w:w w:val="100"/>
          <w:position w:val="0"/>
          <w:sz w:val="24"/>
          <w:szCs w:val="24"/>
        </w:rPr>
        <w:t>本公司郑重声明，根据《政府采购促进中小企业发展管理办法》（财库（2020）46号）的规定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参加</w:t>
      </w:r>
      <w:r>
        <w:rPr>
          <w:rFonts w:hint="eastAsia"/>
          <w:b w:val="0"/>
          <w:bCs w:val="0"/>
          <w:i/>
          <w:iCs/>
          <w:smallCaps w:val="0"/>
          <w:strike w:val="0"/>
          <w:color w:val="000000"/>
          <w:spacing w:val="0"/>
          <w:w w:val="100"/>
          <w:position w:val="0"/>
          <w:sz w:val="24"/>
          <w:szCs w:val="24"/>
          <w:u w:val="single"/>
          <w:lang w:val="en-US" w:eastAsia="zh-CN" w:bidi="en-US"/>
        </w:rPr>
        <w:t>（采购单位名称）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购活动，服务全部由符合政策要求的中小企业承接</w:t>
      </w:r>
      <w:r>
        <w:rPr>
          <w:rFonts w:hint="eastAsia"/>
          <w:color w:val="000000"/>
          <w:spacing w:val="0"/>
          <w:w w:val="100"/>
          <w:position w:val="0"/>
          <w:sz w:val="24"/>
          <w:szCs w:val="24"/>
          <w:lang w:eastAsia="zh-CN"/>
        </w:rPr>
        <w:t>，本</w:t>
      </w:r>
      <w:r>
        <w:rPr>
          <w:color w:val="000000"/>
          <w:spacing w:val="0"/>
          <w:w w:val="100"/>
          <w:position w:val="0"/>
          <w:sz w:val="24"/>
          <w:szCs w:val="24"/>
        </w:rPr>
        <w:t>企业的具体情况如下:</w:t>
      </w:r>
    </w:p>
    <w:p>
      <w:pPr>
        <w:pStyle w:val="77"/>
        <w:keepNext w:val="0"/>
        <w:keepLines w:val="0"/>
        <w:widowControl w:val="0"/>
        <w:numPr>
          <w:ilvl w:val="0"/>
          <w:numId w:val="0"/>
        </w:numPr>
        <w:shd w:val="clear" w:color="auto" w:fill="auto"/>
        <w:tabs>
          <w:tab w:val="left" w:pos="6686"/>
        </w:tabs>
        <w:bidi w:val="0"/>
        <w:spacing w:before="0" w:after="140" w:line="490" w:lineRule="exact"/>
        <w:ind w:leftChars="200"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w:t>
      </w:r>
    </w:p>
    <w:p>
      <w:pPr>
        <w:pStyle w:val="77"/>
        <w:keepNext w:val="0"/>
        <w:keepLines w:val="0"/>
        <w:widowControl w:val="0"/>
        <w:numPr>
          <w:ilvl w:val="0"/>
          <w:numId w:val="0"/>
        </w:numPr>
        <w:shd w:val="clear" w:color="auto" w:fill="auto"/>
        <w:tabs>
          <w:tab w:val="left" w:pos="6686"/>
        </w:tabs>
        <w:bidi w:val="0"/>
        <w:spacing w:before="0" w:after="140" w:line="490" w:lineRule="exact"/>
        <w:ind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（承接）企业为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万元，属于（中型企业、小型企业、微型企业）；</w:t>
      </w:r>
    </w:p>
    <w:p>
      <w:pPr>
        <w:pStyle w:val="77"/>
        <w:keepNext w:val="0"/>
        <w:keepLines w:val="0"/>
        <w:widowControl w:val="0"/>
        <w:shd w:val="clear" w:color="auto" w:fill="auto"/>
        <w:bidi w:val="0"/>
        <w:spacing w:before="0" w:after="0" w:line="499" w:lineRule="exact"/>
        <w:ind w:left="0" w:right="0" w:firstLine="600"/>
        <w:jc w:val="both"/>
        <w:rPr>
          <w:color w:val="000000"/>
          <w:sz w:val="24"/>
          <w:szCs w:val="24"/>
        </w:rPr>
      </w:pPr>
      <w:r>
        <w:rPr>
          <w:rFonts w:hint="eastAsia"/>
          <w:color w:val="000000"/>
          <w:spacing w:val="0"/>
          <w:w w:val="100"/>
          <w:position w:val="0"/>
          <w:sz w:val="24"/>
          <w:szCs w:val="24"/>
          <w:lang w:eastAsia="zh-CN"/>
        </w:rPr>
        <w:t>本</w:t>
      </w:r>
      <w:r>
        <w:rPr>
          <w:color w:val="000000"/>
          <w:spacing w:val="0"/>
          <w:w w:val="100"/>
          <w:position w:val="0"/>
          <w:sz w:val="24"/>
          <w:szCs w:val="24"/>
        </w:rPr>
        <w:t>企业不属于大企业的分支机构，不存在控股股东为大企业的情形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77"/>
        <w:keepNext w:val="0"/>
        <w:keepLines w:val="0"/>
        <w:widowControl w:val="0"/>
        <w:shd w:val="clear" w:color="auto" w:fill="auto"/>
        <w:bidi w:val="0"/>
        <w:spacing w:before="0" w:after="0" w:line="499" w:lineRule="exact"/>
        <w:ind w:left="0" w:right="0" w:firstLine="600"/>
        <w:jc w:val="both"/>
        <w:rPr>
          <w:rFonts w:hint="eastAsia" w:eastAsia="宋体"/>
          <w:color w:val="000000"/>
          <w:sz w:val="24"/>
          <w:szCs w:val="24"/>
          <w:lang w:eastAsia="zh-CN"/>
        </w:rPr>
      </w:pPr>
      <w:r>
        <w:rPr>
          <w:color w:val="000000"/>
          <w:spacing w:val="0"/>
          <w:w w:val="100"/>
          <w:position w:val="0"/>
          <w:sz w:val="24"/>
          <w:szCs w:val="24"/>
        </w:rPr>
        <w:t>本企业对上述声明内容的</w:t>
      </w:r>
      <w:r>
        <w:rPr>
          <w:rFonts w:hint="eastAsia"/>
          <w:color w:val="000000"/>
          <w:spacing w:val="0"/>
          <w:w w:val="100"/>
          <w:position w:val="0"/>
          <w:sz w:val="24"/>
          <w:szCs w:val="24"/>
          <w:lang w:eastAsia="zh-CN"/>
        </w:rPr>
        <w:t>真</w:t>
      </w:r>
      <w:r>
        <w:rPr>
          <w:color w:val="000000"/>
          <w:spacing w:val="0"/>
          <w:w w:val="100"/>
          <w:position w:val="0"/>
          <w:sz w:val="24"/>
          <w:szCs w:val="24"/>
        </w:rPr>
        <w:t>实性负责</w:t>
      </w:r>
      <w:r>
        <w:rPr>
          <w:rFonts w:hint="eastAsia"/>
          <w:color w:val="000000"/>
          <w:spacing w:val="0"/>
          <w:w w:val="100"/>
          <w:position w:val="0"/>
          <w:sz w:val="24"/>
          <w:szCs w:val="24"/>
          <w:lang w:eastAsia="zh-CN"/>
        </w:rPr>
        <w:t>。</w:t>
      </w:r>
      <w:r>
        <w:rPr>
          <w:color w:val="000000"/>
          <w:spacing w:val="0"/>
          <w:w w:val="100"/>
          <w:position w:val="0"/>
          <w:sz w:val="24"/>
          <w:szCs w:val="24"/>
        </w:rPr>
        <w:t>如有虚假</w:t>
      </w:r>
      <w:r>
        <w:rPr>
          <w:color w:val="000000"/>
          <w:spacing w:val="0"/>
          <w:w w:val="100"/>
          <w:position w:val="0"/>
          <w:sz w:val="24"/>
          <w:szCs w:val="24"/>
          <w:lang w:val="en-US" w:eastAsia="en-US" w:bidi="en-US"/>
        </w:rPr>
        <w:t>，</w:t>
      </w:r>
      <w:r>
        <w:rPr>
          <w:color w:val="000000"/>
          <w:spacing w:val="0"/>
          <w:w w:val="100"/>
          <w:position w:val="0"/>
          <w:sz w:val="24"/>
          <w:szCs w:val="24"/>
        </w:rPr>
        <w:t>将依法承担相应责任</w:t>
      </w:r>
      <w:r>
        <w:rPr>
          <w:rFonts w:hint="eastAsia"/>
          <w:color w:val="000000"/>
          <w:spacing w:val="0"/>
          <w:w w:val="100"/>
          <w:position w:val="0"/>
          <w:sz w:val="24"/>
          <w:szCs w:val="24"/>
          <w:lang w:val="en-US" w:eastAsia="zh-CN" w:bidi="en-US"/>
        </w:rPr>
        <w:t>。</w:t>
      </w:r>
    </w:p>
    <w:p>
      <w:pPr>
        <w:pStyle w:val="77"/>
        <w:keepNext w:val="0"/>
        <w:keepLines w:val="0"/>
        <w:widowControl w:val="0"/>
        <w:shd w:val="clear" w:color="auto" w:fill="auto"/>
        <w:bidi w:val="0"/>
        <w:spacing w:before="0" w:after="0" w:line="499" w:lineRule="exact"/>
        <w:ind w:left="3640" w:right="0" w:firstLine="0"/>
        <w:jc w:val="left"/>
        <w:rPr>
          <w:color w:val="000000"/>
          <w:spacing w:val="0"/>
          <w:w w:val="100"/>
          <w:position w:val="0"/>
        </w:rPr>
      </w:pPr>
    </w:p>
    <w:p>
      <w:pPr>
        <w:pStyle w:val="77"/>
        <w:keepNext w:val="0"/>
        <w:keepLines w:val="0"/>
        <w:widowControl w:val="0"/>
        <w:shd w:val="clear" w:color="auto" w:fill="auto"/>
        <w:bidi w:val="0"/>
        <w:spacing w:before="0" w:after="0" w:line="499" w:lineRule="exact"/>
        <w:ind w:left="0" w:right="0" w:firstLine="0"/>
        <w:jc w:val="left"/>
        <w:rPr>
          <w:color w:val="000000"/>
          <w:spacing w:val="0"/>
          <w:w w:val="100"/>
          <w:position w:val="0"/>
          <w:sz w:val="24"/>
          <w:szCs w:val="24"/>
        </w:rPr>
      </w:pPr>
    </w:p>
    <w:p>
      <w:pPr>
        <w:pStyle w:val="77"/>
        <w:keepNext w:val="0"/>
        <w:keepLines w:val="0"/>
        <w:widowControl w:val="0"/>
        <w:shd w:val="clear" w:color="auto" w:fill="auto"/>
        <w:bidi w:val="0"/>
        <w:spacing w:before="0" w:after="0" w:line="499" w:lineRule="exact"/>
        <w:ind w:left="0" w:right="0" w:firstLine="0"/>
        <w:jc w:val="center"/>
        <w:rPr>
          <w:rFonts w:hint="eastAsia" w:ascii="宋体" w:hAnsi="宋体" w:cs="宋体"/>
          <w:color w:val="000000"/>
          <w:sz w:val="24"/>
        </w:rPr>
      </w:pPr>
      <w:r>
        <w:rPr>
          <w:rFonts w:hint="eastAsia" w:ascii="宋体" w:hAnsi="宋体" w:cs="宋体"/>
          <w:color w:val="000000"/>
          <w:sz w:val="24"/>
        </w:rPr>
        <w:t>投标人名称（盖章）：</w:t>
      </w:r>
    </w:p>
    <w:p>
      <w:pPr>
        <w:pStyle w:val="77"/>
        <w:keepNext w:val="0"/>
        <w:keepLines w:val="0"/>
        <w:widowControl w:val="0"/>
        <w:shd w:val="clear" w:color="auto" w:fill="auto"/>
        <w:bidi w:val="0"/>
        <w:spacing w:before="0" w:after="0" w:line="499" w:lineRule="exact"/>
        <w:ind w:left="0" w:right="0" w:firstLine="0"/>
        <w:jc w:val="center"/>
        <w:rPr>
          <w:color w:val="000000"/>
          <w:spacing w:val="0"/>
          <w:w w:val="100"/>
          <w:position w:val="0"/>
          <w:sz w:val="24"/>
          <w:szCs w:val="24"/>
        </w:rPr>
      </w:pPr>
      <w:r>
        <w:rPr>
          <w:color w:val="000000"/>
          <w:spacing w:val="0"/>
          <w:w w:val="100"/>
          <w:position w:val="0"/>
          <w:sz w:val="24"/>
          <w:szCs w:val="24"/>
        </w:rPr>
        <w:t>日期:</w:t>
      </w:r>
    </w:p>
    <w:p>
      <w:pPr>
        <w:pStyle w:val="77"/>
        <w:keepNext w:val="0"/>
        <w:keepLines w:val="0"/>
        <w:widowControl w:val="0"/>
        <w:shd w:val="clear" w:color="auto" w:fill="auto"/>
        <w:bidi w:val="0"/>
        <w:spacing w:before="0" w:after="0" w:line="499" w:lineRule="exact"/>
        <w:ind w:left="0" w:right="0" w:firstLine="0"/>
        <w:jc w:val="both"/>
        <w:rPr>
          <w:color w:val="000000"/>
          <w:spacing w:val="0"/>
          <w:w w:val="100"/>
          <w:position w:val="0"/>
          <w:sz w:val="24"/>
          <w:szCs w:val="24"/>
        </w:rPr>
      </w:pPr>
    </w:p>
    <w:p>
      <w:pPr>
        <w:pStyle w:val="82"/>
        <w:keepNext w:val="0"/>
        <w:keepLines w:val="0"/>
        <w:widowControl w:val="0"/>
        <w:shd w:val="clear" w:color="auto" w:fill="auto"/>
        <w:tabs>
          <w:tab w:val="left" w:pos="750"/>
        </w:tabs>
        <w:bidi w:val="0"/>
        <w:spacing w:before="0" w:after="0" w:line="240" w:lineRule="auto"/>
        <w:ind w:left="0" w:right="0"/>
        <w:jc w:val="left"/>
        <w:rPr>
          <w:color w:val="000000"/>
        </w:rPr>
      </w:pPr>
    </w:p>
    <w:p>
      <w:pPr>
        <w:pStyle w:val="98"/>
        <w:keepNext w:val="0"/>
        <w:keepLines w:val="0"/>
        <w:widowControl w:val="0"/>
        <w:shd w:val="clear" w:color="auto" w:fill="auto"/>
        <w:bidi w:val="0"/>
        <w:spacing w:before="0" w:line="240" w:lineRule="auto"/>
        <w:ind w:left="0" w:right="0" w:firstLine="0"/>
        <w:jc w:val="both"/>
        <w:rPr>
          <w:rFonts w:hint="eastAsia" w:eastAsia="宋体"/>
          <w:color w:val="000000"/>
          <w:sz w:val="21"/>
          <w:szCs w:val="21"/>
          <w:lang w:eastAsia="zh-CN"/>
        </w:rPr>
      </w:pPr>
      <w:r>
        <w:rPr>
          <w:rFonts w:hint="eastAsia"/>
          <w:color w:val="000000"/>
          <w:spacing w:val="0"/>
          <w:w w:val="100"/>
          <w:position w:val="0"/>
          <w:sz w:val="21"/>
          <w:szCs w:val="21"/>
          <w:lang w:val="en-US" w:eastAsia="zh-CN"/>
        </w:rPr>
        <w:t>从</w:t>
      </w:r>
      <w:r>
        <w:rPr>
          <w:color w:val="000000"/>
          <w:spacing w:val="0"/>
          <w:w w:val="100"/>
          <w:position w:val="0"/>
          <w:sz w:val="21"/>
          <w:szCs w:val="21"/>
        </w:rPr>
        <w:t>业人</w:t>
      </w:r>
      <w:r>
        <w:rPr>
          <w:color w:val="000000"/>
          <w:spacing w:val="0"/>
          <w:w w:val="100"/>
          <w:position w:val="0"/>
          <w:sz w:val="21"/>
          <w:szCs w:val="21"/>
          <w:lang w:val="zh-CN" w:eastAsia="zh-CN" w:bidi="zh-CN"/>
        </w:rPr>
        <w:t>员</w:t>
      </w:r>
      <w:r>
        <w:rPr>
          <w:rFonts w:hint="eastAsia"/>
          <w:color w:val="000000"/>
          <w:spacing w:val="0"/>
          <w:w w:val="100"/>
          <w:position w:val="0"/>
          <w:sz w:val="21"/>
          <w:szCs w:val="21"/>
          <w:lang w:val="zh-CN" w:eastAsia="zh-CN" w:bidi="zh-CN"/>
        </w:rPr>
        <w:t>、</w:t>
      </w:r>
      <w:r>
        <w:rPr>
          <w:color w:val="000000"/>
          <w:spacing w:val="0"/>
          <w:w w:val="100"/>
          <w:position w:val="0"/>
          <w:sz w:val="21"/>
          <w:szCs w:val="21"/>
        </w:rPr>
        <w:t>营业收入</w:t>
      </w:r>
      <w:r>
        <w:rPr>
          <w:rFonts w:hint="eastAsia"/>
          <w:color w:val="000000"/>
          <w:spacing w:val="0"/>
          <w:w w:val="100"/>
          <w:position w:val="0"/>
          <w:sz w:val="21"/>
          <w:szCs w:val="21"/>
          <w:lang w:eastAsia="zh-CN"/>
        </w:rPr>
        <w:t>、</w:t>
      </w:r>
      <w:r>
        <w:rPr>
          <w:color w:val="000000"/>
          <w:spacing w:val="0"/>
          <w:w w:val="100"/>
          <w:position w:val="0"/>
          <w:sz w:val="21"/>
          <w:szCs w:val="21"/>
        </w:rPr>
        <w:t>资</w:t>
      </w:r>
      <w:r>
        <w:rPr>
          <w:rFonts w:hint="eastAsia"/>
          <w:color w:val="000000"/>
          <w:spacing w:val="0"/>
          <w:w w:val="100"/>
          <w:position w:val="0"/>
          <w:sz w:val="21"/>
          <w:szCs w:val="21"/>
          <w:lang w:val="en-US" w:eastAsia="zh-CN" w:bidi="en-US"/>
        </w:rPr>
        <w:t>产</w:t>
      </w:r>
      <w:r>
        <w:rPr>
          <w:color w:val="000000"/>
          <w:spacing w:val="0"/>
          <w:w w:val="100"/>
          <w:position w:val="0"/>
          <w:sz w:val="21"/>
          <w:szCs w:val="21"/>
        </w:rPr>
        <w:t>总</w:t>
      </w:r>
      <w:r>
        <w:rPr>
          <w:rFonts w:hint="eastAsia"/>
          <w:color w:val="000000"/>
          <w:spacing w:val="0"/>
          <w:w w:val="100"/>
          <w:position w:val="0"/>
          <w:sz w:val="21"/>
          <w:szCs w:val="21"/>
          <w:lang w:val="en-US" w:eastAsia="zh-CN"/>
        </w:rPr>
        <w:t>额填</w:t>
      </w:r>
      <w:r>
        <w:rPr>
          <w:color w:val="000000"/>
          <w:spacing w:val="0"/>
          <w:w w:val="100"/>
          <w:position w:val="0"/>
          <w:sz w:val="21"/>
          <w:szCs w:val="21"/>
        </w:rPr>
        <w:t>报上</w:t>
      </w:r>
      <w:r>
        <w:rPr>
          <w:rFonts w:hint="eastAsia"/>
          <w:color w:val="000000"/>
          <w:spacing w:val="0"/>
          <w:w w:val="100"/>
          <w:position w:val="0"/>
          <w:sz w:val="21"/>
          <w:szCs w:val="21"/>
          <w:lang w:val="en-US" w:eastAsia="zh-CN"/>
        </w:rPr>
        <w:t>一年</w:t>
      </w:r>
      <w:r>
        <w:rPr>
          <w:color w:val="000000"/>
          <w:spacing w:val="0"/>
          <w:w w:val="100"/>
          <w:position w:val="0"/>
          <w:sz w:val="21"/>
          <w:szCs w:val="21"/>
        </w:rPr>
        <w:t>度數据</w:t>
      </w:r>
      <w:r>
        <w:rPr>
          <w:rFonts w:hint="eastAsia"/>
          <w:color w:val="000000"/>
          <w:spacing w:val="0"/>
          <w:w w:val="100"/>
          <w:position w:val="0"/>
          <w:sz w:val="21"/>
          <w:szCs w:val="21"/>
          <w:lang w:eastAsia="zh-CN"/>
        </w:rPr>
        <w:t>，</w:t>
      </w:r>
      <w:r>
        <w:rPr>
          <w:color w:val="000000"/>
          <w:spacing w:val="0"/>
          <w:w w:val="100"/>
          <w:position w:val="0"/>
          <w:sz w:val="21"/>
          <w:szCs w:val="21"/>
        </w:rPr>
        <w:t>无上</w:t>
      </w:r>
      <w:r>
        <w:rPr>
          <w:rFonts w:hint="eastAsia"/>
          <w:color w:val="000000"/>
          <w:spacing w:val="0"/>
          <w:w w:val="100"/>
          <w:position w:val="0"/>
          <w:sz w:val="21"/>
          <w:szCs w:val="21"/>
          <w:lang w:val="en-US" w:eastAsia="zh-CN"/>
        </w:rPr>
        <w:t>一</w:t>
      </w:r>
      <w:r>
        <w:rPr>
          <w:color w:val="000000"/>
          <w:spacing w:val="0"/>
          <w:w w:val="100"/>
          <w:position w:val="0"/>
          <w:sz w:val="21"/>
          <w:szCs w:val="21"/>
        </w:rPr>
        <w:t>年度</w:t>
      </w:r>
      <w:r>
        <w:rPr>
          <w:rFonts w:hint="eastAsia"/>
          <w:color w:val="000000"/>
          <w:spacing w:val="0"/>
          <w:w w:val="100"/>
          <w:position w:val="0"/>
          <w:sz w:val="21"/>
          <w:szCs w:val="21"/>
          <w:lang w:val="en-US" w:eastAsia="zh-CN"/>
        </w:rPr>
        <w:t>数据</w:t>
      </w:r>
      <w:r>
        <w:rPr>
          <w:color w:val="000000"/>
          <w:spacing w:val="0"/>
          <w:w w:val="100"/>
          <w:position w:val="0"/>
          <w:sz w:val="21"/>
          <w:szCs w:val="21"/>
        </w:rPr>
        <w:t>的新成立企业</w:t>
      </w:r>
      <w:r>
        <w:rPr>
          <w:color w:val="000000"/>
          <w:spacing w:val="0"/>
          <w:w w:val="100"/>
          <w:position w:val="0"/>
          <w:sz w:val="21"/>
          <w:szCs w:val="21"/>
          <w:lang w:val="zh-CN" w:eastAsia="zh-CN" w:bidi="zh-CN"/>
        </w:rPr>
        <w:t>可不</w:t>
      </w:r>
      <w:r>
        <w:rPr>
          <w:color w:val="000000"/>
          <w:spacing w:val="0"/>
          <w:w w:val="100"/>
          <w:position w:val="0"/>
          <w:sz w:val="21"/>
          <w:szCs w:val="21"/>
        </w:rPr>
        <w:t>推报</w:t>
      </w:r>
      <w:r>
        <w:rPr>
          <w:rFonts w:hint="eastAsia"/>
          <w:color w:val="000000"/>
          <w:spacing w:val="0"/>
          <w:w w:val="100"/>
          <w:position w:val="0"/>
          <w:sz w:val="21"/>
          <w:szCs w:val="21"/>
          <w:lang w:eastAsia="zh-CN"/>
        </w:rPr>
        <w:t>。</w:t>
      </w:r>
    </w:p>
    <w:p>
      <w:pPr>
        <w:spacing w:line="360" w:lineRule="auto"/>
        <w:ind w:firstLine="494" w:firstLineChars="200"/>
        <w:rPr>
          <w:rFonts w:hint="eastAsia" w:cs="宋体"/>
          <w:color w:val="000000"/>
          <w:sz w:val="24"/>
        </w:rPr>
      </w:pPr>
      <w:r>
        <w:rPr>
          <w:rFonts w:ascii="宋体" w:hAnsi="宋体" w:cs="宋体"/>
          <w:b/>
          <w:bCs/>
          <w:color w:val="000000"/>
          <w:sz w:val="24"/>
        </w:rPr>
        <w:t xml:space="preserve"> </w:t>
      </w:r>
      <w:r>
        <w:rPr>
          <w:rFonts w:hint="eastAsia" w:ascii="宋体" w:hAnsi="宋体" w:cs="宋体"/>
          <w:b/>
          <w:bCs/>
          <w:color w:val="000000"/>
          <w:sz w:val="24"/>
        </w:rPr>
        <w:t>说明：根据财库〔</w:t>
      </w:r>
      <w:r>
        <w:rPr>
          <w:rFonts w:ascii="宋体" w:hAnsi="宋体" w:cs="宋体"/>
          <w:b/>
          <w:bCs/>
          <w:color w:val="000000"/>
          <w:sz w:val="24"/>
        </w:rPr>
        <w:t>20</w:t>
      </w:r>
      <w:r>
        <w:rPr>
          <w:rFonts w:hint="eastAsia" w:ascii="宋体" w:hAnsi="宋体" w:cs="宋体"/>
          <w:b/>
          <w:bCs/>
          <w:color w:val="000000"/>
          <w:sz w:val="24"/>
          <w:lang w:val="en-US" w:eastAsia="zh-CN"/>
        </w:rPr>
        <w:t>20</w:t>
      </w:r>
      <w:r>
        <w:rPr>
          <w:rFonts w:hint="eastAsia" w:ascii="宋体" w:hAnsi="宋体" w:cs="宋体"/>
          <w:b/>
          <w:bCs/>
          <w:color w:val="000000"/>
          <w:sz w:val="24"/>
        </w:rPr>
        <w:t>〕</w:t>
      </w:r>
      <w:r>
        <w:rPr>
          <w:rFonts w:hint="eastAsia" w:ascii="宋体" w:hAnsi="宋体" w:cs="宋体"/>
          <w:b/>
          <w:bCs/>
          <w:color w:val="000000"/>
          <w:sz w:val="24"/>
          <w:lang w:val="en-US" w:eastAsia="zh-CN"/>
        </w:rPr>
        <w:t>46</w:t>
      </w:r>
      <w:r>
        <w:rPr>
          <w:rFonts w:hint="eastAsia" w:ascii="宋体" w:hAnsi="宋体" w:cs="宋体"/>
          <w:b/>
          <w:bCs/>
          <w:color w:val="000000"/>
          <w:sz w:val="24"/>
        </w:rPr>
        <w:t>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w:t>
      </w:r>
      <w:r>
        <w:rPr>
          <w:rFonts w:ascii="宋体" w:hAnsi="宋体" w:cs="宋体"/>
          <w:b/>
          <w:bCs/>
          <w:color w:val="000000"/>
          <w:sz w:val="24"/>
        </w:rPr>
        <w:t>(</w:t>
      </w:r>
      <w:r>
        <w:rPr>
          <w:rFonts w:hint="eastAsia" w:ascii="宋体" w:hAnsi="宋体" w:cs="宋体"/>
          <w:b/>
          <w:bCs/>
          <w:color w:val="000000"/>
          <w:sz w:val="24"/>
        </w:rPr>
        <w:t>注：未提供以上材料的，均不给予价格扣除）</w:t>
      </w:r>
      <w:r>
        <w:rPr>
          <w:rFonts w:ascii="宋体" w:hAnsi="宋体" w:cs="宋体"/>
          <w:b/>
          <w:bCs/>
          <w:color w:val="000000"/>
          <w:sz w:val="24"/>
        </w:rPr>
        <w:t xml:space="preserve"> </w:t>
      </w:r>
      <w:r>
        <w:rPr>
          <w:rFonts w:hint="eastAsia" w:cs="宋体"/>
          <w:color w:val="000000"/>
          <w:sz w:val="24"/>
        </w:rPr>
        <w:t>）。</w:t>
      </w:r>
    </w:p>
    <w:p>
      <w:pPr>
        <w:spacing w:line="360" w:lineRule="auto"/>
        <w:ind w:firstLine="734" w:firstLineChars="200"/>
        <w:rPr>
          <w:rFonts w:ascii="宋体"/>
          <w:b/>
          <w:bCs/>
          <w:color w:val="000000"/>
          <w:sz w:val="36"/>
          <w:szCs w:val="36"/>
        </w:rPr>
      </w:pPr>
    </w:p>
    <w:p>
      <w:pPr>
        <w:pStyle w:val="50"/>
        <w:ind w:left="0" w:leftChars="0" w:firstLine="0" w:firstLineChars="0"/>
        <w:rPr>
          <w:rFonts w:ascii="宋体"/>
          <w:color w:val="000000"/>
          <w:sz w:val="36"/>
          <w:szCs w:val="36"/>
        </w:rPr>
      </w:pPr>
    </w:p>
    <w:p>
      <w:pPr>
        <w:jc w:val="both"/>
        <w:rPr>
          <w:rFonts w:hint="eastAsia" w:ascii="宋体" w:hAnsi="宋体" w:cs="宋体"/>
          <w:b/>
          <w:bCs/>
          <w:color w:val="000000"/>
          <w:sz w:val="36"/>
          <w:szCs w:val="36"/>
        </w:rPr>
      </w:pPr>
    </w:p>
    <w:p>
      <w:pPr>
        <w:pStyle w:val="2"/>
        <w:rPr>
          <w:rFonts w:hint="eastAsia"/>
          <w:color w:val="000000"/>
        </w:rPr>
      </w:pPr>
    </w:p>
    <w:p>
      <w:pPr>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残疾人福利性单位声明函 </w:t>
      </w:r>
    </w:p>
    <w:p>
      <w:pPr>
        <w:adjustRightInd w:val="0"/>
        <w:snapToGrid w:val="0"/>
        <w:spacing w:line="300" w:lineRule="auto"/>
        <w:jc w:val="center"/>
        <w:outlineLvl w:val="1"/>
        <w:rPr>
          <w:rFonts w:hint="eastAsia" w:ascii="宋体" w:cs="宋体"/>
          <w:b/>
          <w:color w:val="000000"/>
          <w:sz w:val="24"/>
        </w:rPr>
      </w:pPr>
      <w:bookmarkStart w:id="391" w:name="_Toc14757"/>
      <w:bookmarkStart w:id="392" w:name="_Toc20366"/>
      <w:bookmarkStart w:id="393" w:name="_Toc27616"/>
      <w:bookmarkStart w:id="394" w:name="_Toc19731"/>
      <w:bookmarkStart w:id="395" w:name="_Toc11863"/>
      <w:bookmarkStart w:id="396" w:name="_Toc12083"/>
      <w:bookmarkStart w:id="397" w:name="_Toc6566"/>
      <w:bookmarkStart w:id="398" w:name="_Toc8632"/>
      <w:bookmarkStart w:id="399" w:name="_Toc6771"/>
      <w:bookmarkStart w:id="400" w:name="_Toc5447"/>
      <w:bookmarkStart w:id="401" w:name="_Toc9632"/>
      <w:bookmarkStart w:id="402" w:name="_Toc21279"/>
      <w:r>
        <w:rPr>
          <w:rFonts w:hint="eastAsia" w:ascii="宋体" w:cs="宋体"/>
          <w:b/>
          <w:color w:val="000000"/>
          <w:sz w:val="24"/>
        </w:rPr>
        <w:t>【</w:t>
      </w:r>
      <w:r>
        <w:rPr>
          <w:rFonts w:hint="eastAsia" w:ascii="宋体" w:cs="宋体"/>
          <w:b/>
          <w:bCs/>
          <w:color w:val="000000"/>
          <w:sz w:val="24"/>
        </w:rPr>
        <w:t>非残疾人福利性单位不用提供</w:t>
      </w:r>
      <w:r>
        <w:rPr>
          <w:rFonts w:hint="eastAsia" w:ascii="宋体" w:cs="宋体"/>
          <w:b/>
          <w:color w:val="000000"/>
          <w:sz w:val="24"/>
        </w:rPr>
        <w:t>】</w:t>
      </w:r>
      <w:bookmarkEnd w:id="391"/>
      <w:bookmarkEnd w:id="392"/>
      <w:bookmarkEnd w:id="393"/>
      <w:bookmarkEnd w:id="394"/>
      <w:bookmarkEnd w:id="395"/>
      <w:bookmarkEnd w:id="396"/>
      <w:bookmarkEnd w:id="397"/>
      <w:bookmarkEnd w:id="398"/>
      <w:bookmarkEnd w:id="399"/>
      <w:bookmarkEnd w:id="400"/>
      <w:bookmarkEnd w:id="401"/>
      <w:bookmarkEnd w:id="402"/>
    </w:p>
    <w:p>
      <w:pPr>
        <w:spacing w:line="360" w:lineRule="auto"/>
        <w:ind w:firstLine="494" w:firstLineChars="200"/>
        <w:rPr>
          <w:rFonts w:hint="eastAsia" w:ascii="宋体" w:hAnsi="宋体" w:cs="宋体"/>
          <w:color w:val="000000"/>
          <w:sz w:val="24"/>
        </w:rPr>
      </w:pPr>
    </w:p>
    <w:p>
      <w:pPr>
        <w:spacing w:line="360" w:lineRule="auto"/>
        <w:ind w:firstLine="494"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sz w:val="24"/>
        </w:rPr>
      </w:pPr>
    </w:p>
    <w:p>
      <w:pPr>
        <w:spacing w:line="360" w:lineRule="auto"/>
        <w:ind w:left="5442" w:leftChars="2508"/>
        <w:rPr>
          <w:rFonts w:hint="eastAsia" w:ascii="宋体" w:hAnsi="宋体" w:cs="宋体"/>
          <w:color w:val="000000"/>
          <w:sz w:val="24"/>
        </w:rPr>
      </w:pPr>
      <w:r>
        <w:rPr>
          <w:rFonts w:hint="eastAsia" w:ascii="宋体" w:hAnsi="宋体" w:cs="宋体"/>
          <w:color w:val="000000"/>
          <w:sz w:val="24"/>
        </w:rPr>
        <w:t xml:space="preserve">  </w:t>
      </w:r>
    </w:p>
    <w:p>
      <w:pPr>
        <w:pStyle w:val="6"/>
        <w:rPr>
          <w:rFonts w:hint="eastAsia" w:ascii="宋体" w:hAnsi="宋体" w:eastAsia="宋体" w:cs="宋体"/>
          <w:color w:val="000000"/>
        </w:rPr>
      </w:pPr>
    </w:p>
    <w:p>
      <w:pPr>
        <w:rPr>
          <w:rFonts w:hint="eastAsia" w:ascii="宋体" w:hAnsi="宋体" w:cs="宋体"/>
          <w:color w:val="000000"/>
          <w:sz w:val="24"/>
        </w:rPr>
      </w:pPr>
    </w:p>
    <w:p>
      <w:pPr>
        <w:widowControl/>
        <w:spacing w:line="360" w:lineRule="auto"/>
        <w:ind w:left="5813" w:leftChars="2679"/>
        <w:jc w:val="left"/>
        <w:rPr>
          <w:rFonts w:hint="eastAsia" w:ascii="宋体" w:hAnsi="宋体" w:cs="宋体"/>
          <w:color w:val="000000"/>
          <w:sz w:val="24"/>
        </w:rPr>
      </w:pPr>
      <w:r>
        <w:rPr>
          <w:rFonts w:hint="eastAsia" w:ascii="宋体" w:hAnsi="宋体" w:cs="宋体"/>
          <w:color w:val="000000"/>
          <w:sz w:val="24"/>
        </w:rPr>
        <w:t xml:space="preserve">                            </w:t>
      </w:r>
    </w:p>
    <w:p>
      <w:pPr>
        <w:widowControl/>
        <w:spacing w:line="360" w:lineRule="auto"/>
        <w:ind w:left="5813" w:leftChars="2679"/>
        <w:jc w:val="left"/>
        <w:rPr>
          <w:rFonts w:hint="eastAsia" w:ascii="宋体" w:hAnsi="宋体" w:cs="宋体"/>
          <w:color w:val="000000"/>
          <w:kern w:val="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rPr>
          <w:rFonts w:hint="eastAsia" w:ascii="宋体" w:hAnsi="宋体" w:cs="宋体"/>
          <w:color w:val="000000"/>
        </w:rPr>
      </w:pPr>
    </w:p>
    <w:p>
      <w:pPr>
        <w:pStyle w:val="4"/>
        <w:ind w:firstLine="495"/>
        <w:rPr>
          <w:rFonts w:hint="eastAsia"/>
          <w:color w:val="000000"/>
          <w:sz w:val="24"/>
        </w:rPr>
      </w:pPr>
    </w:p>
    <w:p>
      <w:pPr>
        <w:pStyle w:val="4"/>
        <w:ind w:firstLine="495"/>
        <w:rPr>
          <w:rFonts w:hint="eastAsia"/>
          <w:color w:val="000000"/>
          <w:sz w:val="24"/>
        </w:rPr>
      </w:pPr>
    </w:p>
    <w:p>
      <w:pPr>
        <w:pStyle w:val="4"/>
        <w:ind w:firstLine="495"/>
        <w:rPr>
          <w:rFonts w:hint="eastAsia" w:ascii="宋体" w:hAnsi="宋体" w:cs="宋体"/>
          <w:b/>
          <w:bCs/>
          <w:color w:val="000000"/>
          <w:sz w:val="36"/>
          <w:szCs w:val="36"/>
        </w:rPr>
      </w:pPr>
      <w:r>
        <w:rPr>
          <w:color w:val="000000"/>
          <w:sz w:val="24"/>
        </w:rPr>
        <w:t>注：未提供以上材料的，均不</w:t>
      </w:r>
      <w:r>
        <w:rPr>
          <w:rFonts w:hint="eastAsia"/>
          <w:color w:val="000000"/>
          <w:sz w:val="24"/>
        </w:rPr>
        <w:t>得参加本项目的投标</w:t>
      </w:r>
    </w:p>
    <w:p>
      <w:pPr>
        <w:pStyle w:val="4"/>
        <w:ind w:firstLine="738"/>
        <w:rPr>
          <w:rFonts w:hint="eastAsia" w:ascii="宋体" w:hAnsi="宋体" w:cs="宋体"/>
          <w:b/>
          <w:bCs/>
          <w:color w:val="000000"/>
          <w:sz w:val="36"/>
          <w:szCs w:val="36"/>
        </w:rPr>
      </w:pPr>
    </w:p>
    <w:p>
      <w:pPr>
        <w:pStyle w:val="4"/>
        <w:ind w:firstLine="738"/>
        <w:rPr>
          <w:rFonts w:hint="eastAsia" w:ascii="宋体" w:hAnsi="宋体" w:cs="宋体"/>
          <w:b/>
          <w:bCs/>
          <w:color w:val="000000"/>
          <w:sz w:val="36"/>
          <w:szCs w:val="36"/>
        </w:rPr>
      </w:pPr>
    </w:p>
    <w:p>
      <w:pPr>
        <w:pStyle w:val="4"/>
        <w:ind w:firstLine="0" w:firstLineChars="0"/>
        <w:rPr>
          <w:rFonts w:hint="eastAsia" w:ascii="宋体" w:hAnsi="宋体" w:cs="宋体"/>
          <w:b/>
          <w:bCs/>
          <w:color w:val="000000"/>
          <w:sz w:val="36"/>
          <w:szCs w:val="36"/>
        </w:rPr>
      </w:pPr>
    </w:p>
    <w:p>
      <w:pPr>
        <w:jc w:val="center"/>
        <w:rPr>
          <w:rFonts w:hint="eastAsia" w:ascii="宋体" w:hAnsi="宋体" w:cs="宋体"/>
          <w:b/>
          <w:bCs/>
          <w:color w:val="000000"/>
          <w:sz w:val="36"/>
        </w:rPr>
      </w:pPr>
      <w:r>
        <w:rPr>
          <w:rFonts w:hint="eastAsia" w:ascii="宋体" w:hAnsi="宋体" w:cs="宋体"/>
          <w:b/>
          <w:bCs/>
          <w:color w:val="000000"/>
          <w:sz w:val="36"/>
        </w:rPr>
        <w:t>监狱企业声明函</w:t>
      </w:r>
    </w:p>
    <w:p>
      <w:pPr>
        <w:adjustRightInd w:val="0"/>
        <w:snapToGrid w:val="0"/>
        <w:spacing w:line="300" w:lineRule="auto"/>
        <w:jc w:val="center"/>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bCs/>
          <w:color w:val="000000"/>
          <w:sz w:val="24"/>
        </w:rPr>
        <w:t>非监狱企业不用提供</w:t>
      </w:r>
      <w:r>
        <w:rPr>
          <w:rFonts w:hint="eastAsia" w:ascii="宋体" w:hAnsi="宋体" w:cs="宋体"/>
          <w:b/>
          <w:color w:val="000000"/>
          <w:sz w:val="24"/>
        </w:rPr>
        <w:t>】</w:t>
      </w:r>
    </w:p>
    <w:p>
      <w:pPr>
        <w:spacing w:line="360" w:lineRule="auto"/>
        <w:ind w:firstLine="494" w:firstLineChars="200"/>
        <w:rPr>
          <w:rFonts w:hint="eastAsia" w:ascii="宋体" w:hAnsi="宋体" w:cs="宋体"/>
          <w:color w:val="000000"/>
          <w:sz w:val="24"/>
        </w:rPr>
      </w:pPr>
    </w:p>
    <w:p>
      <w:pPr>
        <w:spacing w:line="360" w:lineRule="auto"/>
        <w:ind w:firstLine="494" w:firstLineChars="200"/>
        <w:rPr>
          <w:rFonts w:hint="eastAsia" w:ascii="宋体" w:hAnsi="宋体" w:cs="宋体"/>
          <w:color w:val="000000"/>
          <w:sz w:val="24"/>
        </w:rPr>
      </w:pPr>
      <w:r>
        <w:rPr>
          <w:rFonts w:hint="eastAsia" w:ascii="宋体" w:hAnsi="宋体" w:cs="宋体"/>
          <w:color w:val="000000"/>
          <w:sz w:val="24"/>
        </w:rPr>
        <w:t>本单位郑重声明，根据《财政部、司法部关于政府采购支持监狱企业发展有关问题的通知》（财库〔2014〕68号）的规定，本单位为符合条件的监狱企业，且本单位参加单位的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项目采购活动提供本单位制造的货物（由本单位承担工程/提供服务），或者提供其他监狱企业制造的货物。 </w:t>
      </w:r>
    </w:p>
    <w:p>
      <w:pPr>
        <w:spacing w:line="360" w:lineRule="auto"/>
        <w:ind w:firstLine="494" w:firstLineChars="200"/>
        <w:rPr>
          <w:rFonts w:hint="eastAsia" w:ascii="宋体" w:hAnsi="宋体" w:cs="宋体"/>
          <w:b/>
          <w:bCs/>
          <w:color w:val="000000"/>
          <w:sz w:val="24"/>
        </w:rPr>
      </w:pPr>
      <w:r>
        <w:rPr>
          <w:rFonts w:hint="eastAsia" w:ascii="宋体" w:hAnsi="宋体" w:cs="宋体"/>
          <w:b/>
          <w:bCs/>
          <w:color w:val="000000"/>
          <w:sz w:val="24"/>
        </w:rPr>
        <w:t>本单位对上述声明的真实性负责。如有虚假，将依法承担相应责任。</w:t>
      </w:r>
    </w:p>
    <w:p>
      <w:pPr>
        <w:spacing w:line="360" w:lineRule="auto"/>
        <w:ind w:firstLine="494" w:firstLineChars="200"/>
        <w:rPr>
          <w:rFonts w:hint="eastAsia" w:ascii="宋体" w:hAnsi="宋体" w:cs="宋体"/>
          <w:b/>
          <w:color w:val="000000"/>
          <w:sz w:val="24"/>
        </w:rPr>
      </w:pPr>
    </w:p>
    <w:p>
      <w:pPr>
        <w:pStyle w:val="6"/>
        <w:rPr>
          <w:rFonts w:hint="eastAsia" w:ascii="宋体" w:hAnsi="宋体" w:eastAsia="宋体" w:cs="宋体"/>
          <w:color w:val="000000"/>
        </w:rPr>
      </w:pPr>
    </w:p>
    <w:p>
      <w:pPr>
        <w:rPr>
          <w:rFonts w:hint="eastAsia" w:ascii="宋体" w:hAnsi="宋体" w:cs="宋体"/>
          <w:color w:val="000000"/>
          <w:sz w:val="24"/>
        </w:rPr>
      </w:pPr>
    </w:p>
    <w:p>
      <w:pPr>
        <w:spacing w:line="360" w:lineRule="auto"/>
        <w:ind w:firstLine="494" w:firstLineChars="200"/>
        <w:rPr>
          <w:rFonts w:hint="eastAsia" w:ascii="宋体" w:hAnsi="宋体" w:cs="宋体"/>
          <w:color w:val="000000"/>
          <w:sz w:val="24"/>
        </w:rPr>
      </w:pPr>
    </w:p>
    <w:p>
      <w:pPr>
        <w:widowControl/>
        <w:spacing w:line="360" w:lineRule="auto"/>
        <w:ind w:left="5813" w:leftChars="2679"/>
        <w:jc w:val="left"/>
        <w:rPr>
          <w:rFonts w:hint="eastAsia" w:ascii="宋体" w:hAnsi="宋体" w:cs="宋体"/>
          <w:color w:val="00000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p>
    <w:p>
      <w:pPr>
        <w:widowControl/>
        <w:spacing w:line="360" w:lineRule="auto"/>
        <w:ind w:left="5813" w:leftChars="2679"/>
        <w:jc w:val="left"/>
        <w:rPr>
          <w:rFonts w:hint="eastAsia" w:ascii="宋体" w:hAnsi="宋体" w:cs="宋体"/>
          <w:color w:val="000000"/>
          <w:kern w:val="0"/>
          <w:sz w:val="24"/>
          <w:u w:val="single"/>
        </w:rPr>
      </w:pP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spacing w:line="360" w:lineRule="auto"/>
        <w:ind w:firstLine="4693" w:firstLineChars="1900"/>
        <w:rPr>
          <w:rFonts w:hint="eastAsia" w:ascii="宋体" w:hAnsi="宋体" w:cs="宋体"/>
          <w:color w:val="000000"/>
          <w:sz w:val="24"/>
        </w:rPr>
      </w:pPr>
      <w:r>
        <w:rPr>
          <w:rFonts w:hint="eastAsia" w:ascii="宋体" w:hAnsi="宋体" w:cs="宋体"/>
          <w:color w:val="000000"/>
          <w:sz w:val="24"/>
        </w:rPr>
        <w:t xml:space="preserve"> </w:t>
      </w:r>
    </w:p>
    <w:p>
      <w:pPr>
        <w:rPr>
          <w:rFonts w:hint="eastAsia" w:ascii="宋体" w:hAnsi="宋体" w:cs="宋体"/>
          <w:color w:val="000000"/>
        </w:rPr>
      </w:pPr>
    </w:p>
    <w:p>
      <w:pPr>
        <w:spacing w:line="360" w:lineRule="auto"/>
        <w:ind w:firstLine="494" w:firstLineChars="200"/>
        <w:rPr>
          <w:color w:val="000000"/>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应当提供由省级以上监狱管理局、戒毒管理局</w:t>
      </w:r>
      <w:r>
        <w:rPr>
          <w:rFonts w:ascii="宋体" w:hAnsi="宋体" w:cs="宋体"/>
          <w:b/>
          <w:bCs/>
          <w:color w:val="000000"/>
          <w:sz w:val="24"/>
        </w:rPr>
        <w:t>(</w:t>
      </w:r>
      <w:r>
        <w:rPr>
          <w:rFonts w:hint="eastAsia" w:ascii="宋体" w:hAnsi="宋体" w:cs="宋体"/>
          <w:b/>
          <w:bCs/>
          <w:color w:val="000000"/>
          <w:sz w:val="24"/>
        </w:rPr>
        <w:t>含新疆生产建设兵团</w:t>
      </w:r>
      <w:r>
        <w:rPr>
          <w:rFonts w:ascii="宋体" w:hAnsi="宋体" w:cs="宋体"/>
          <w:b/>
          <w:bCs/>
          <w:color w:val="000000"/>
          <w:sz w:val="24"/>
        </w:rPr>
        <w:t>)</w:t>
      </w:r>
      <w:r>
        <w:rPr>
          <w:rFonts w:hint="eastAsia" w:ascii="宋体" w:hAnsi="宋体" w:cs="宋体"/>
          <w:b/>
          <w:bCs/>
          <w:color w:val="000000"/>
          <w:sz w:val="24"/>
        </w:rPr>
        <w:t>出具的属于监狱企业的说明文件。</w:t>
      </w:r>
    </w:p>
    <w:p>
      <w:pPr>
        <w:pStyle w:val="4"/>
        <w:ind w:firstLine="575"/>
        <w:rPr>
          <w:rFonts w:hint="eastAsia" w:ascii="宋体" w:hAnsi="宋体" w:cs="宋体"/>
          <w:color w:val="000000"/>
          <w:szCs w:val="36"/>
        </w:rPr>
      </w:pPr>
      <w:r>
        <w:rPr>
          <w:rFonts w:hint="eastAsia" w:ascii="宋体" w:hAnsi="宋体" w:cs="宋体"/>
          <w:color w:val="000000"/>
          <w:szCs w:val="36"/>
        </w:rPr>
        <w:t>2.</w:t>
      </w:r>
      <w:r>
        <w:rPr>
          <w:color w:val="000000"/>
          <w:sz w:val="24"/>
        </w:rPr>
        <w:t xml:space="preserve"> 未提供以上材料的，均不</w:t>
      </w:r>
      <w:r>
        <w:rPr>
          <w:rFonts w:hint="eastAsia"/>
          <w:color w:val="000000"/>
          <w:sz w:val="24"/>
        </w:rPr>
        <w:t>得参加本项目的投标。</w:t>
      </w:r>
    </w:p>
    <w:p>
      <w:pPr>
        <w:jc w:val="center"/>
        <w:rPr>
          <w:rFonts w:hint="eastAsia" w:ascii="宋体" w:hAnsi="宋体" w:cs="宋体"/>
          <w:b/>
          <w:bCs/>
          <w:color w:val="000000"/>
          <w:sz w:val="36"/>
        </w:rPr>
      </w:pPr>
    </w:p>
    <w:p>
      <w:pPr>
        <w:jc w:val="center"/>
        <w:rPr>
          <w:rFonts w:hint="eastAsia" w:ascii="宋体" w:hAnsi="宋体" w:cs="宋体"/>
          <w:b/>
          <w:bCs/>
          <w:color w:val="000000"/>
          <w:sz w:val="36"/>
        </w:rPr>
      </w:pPr>
    </w:p>
    <w:p>
      <w:pPr>
        <w:pStyle w:val="4"/>
        <w:ind w:firstLine="738"/>
        <w:rPr>
          <w:rFonts w:hint="eastAsia" w:ascii="宋体" w:hAnsi="宋体" w:cs="宋体"/>
          <w:b/>
          <w:bCs/>
          <w:color w:val="000000"/>
          <w:sz w:val="36"/>
        </w:rPr>
      </w:pPr>
    </w:p>
    <w:p>
      <w:pPr>
        <w:pStyle w:val="4"/>
        <w:ind w:firstLine="738"/>
        <w:rPr>
          <w:rFonts w:hint="eastAsia" w:ascii="宋体" w:hAnsi="宋体" w:cs="宋体"/>
          <w:b/>
          <w:bCs/>
          <w:color w:val="000000"/>
          <w:sz w:val="36"/>
        </w:rPr>
      </w:pPr>
    </w:p>
    <w:p>
      <w:pPr>
        <w:rPr>
          <w:rFonts w:hint="eastAsia" w:ascii="宋体" w:hAnsi="宋体" w:cs="宋体"/>
          <w:b/>
          <w:bCs/>
          <w:color w:val="000000"/>
          <w:sz w:val="36"/>
        </w:rPr>
      </w:pPr>
    </w:p>
    <w:p>
      <w:pPr>
        <w:bidi w:val="0"/>
        <w:rPr>
          <w:rFonts w:hint="eastAsia"/>
          <w:color w:val="000000"/>
          <w:lang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sectPr>
      <w:headerReference r:id="rId9" w:type="first"/>
      <w:headerReference r:id="rId8" w:type="default"/>
      <w:footerReference r:id="rId10" w:type="default"/>
      <w:pgSz w:w="11906" w:h="16838"/>
      <w:pgMar w:top="1020" w:right="1077" w:bottom="907" w:left="1191" w:header="850" w:footer="850" w:gutter="0"/>
      <w:pgNumType w:fmt="decimal"/>
      <w:cols w:space="720" w:num="1"/>
      <w:docGrid w:type="linesAndChars" w:linePitch="334" w:charSpace="15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0000000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-145415</wp:posOffset>
              </wp:positionV>
              <wp:extent cx="5303520" cy="0"/>
              <wp:effectExtent l="0" t="0" r="0" b="0"/>
              <wp:wrapNone/>
              <wp:docPr id="4" name="自选图形 4"/>
              <wp:cNvGraphicFramePr/>
              <a:graphic xmlns:a="http://schemas.openxmlformats.org/drawingml/2006/main">
                <a:graphicData uri="http://schemas.microsoft.com/office/word/2010/wordprocessingShape">
                  <wps:wsp>
                    <wps:cNvCnPr/>
                    <wps:spPr>
                      <a:xfrm>
                        <a:off x="0" y="0"/>
                        <a:ext cx="5303520" cy="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4" o:spid="_x0000_s1026" o:spt="32" type="#_x0000_t32" style="position:absolute;left:0pt;margin-left:7.95pt;margin-top:-11.45pt;height:0pt;width:417.6pt;z-index:251662336;mso-width-relative:page;mso-height-relative:page;" filled="f" stroked="f" coordsize="21600,21600" o:gfxdata="UEsDBAoAAAAAAIdO4kAAAAAAAAAAAAAAAAAEAAAAZHJzL1BLAwQUAAAACACHTuJAwAA7ItYAAAAK AQAADwAAAGRycy9kb3ducmV2LnhtbE2PwWrDMBBE74X+g9hAb4lsQ2rHsRxooRQKOTTNB8jW1jaR VsZS7PTvu4VCe9vZHWbfVIebs2LGKQyeFKSbBARS681AnYLzx8u6ABGiJqOtJ1TwhQEO9f1dpUvj F3rH+RQ7wSEUSq2gj3EspQxtj06HjR+R+PbpJ6cjy6mTZtILhzsrsyR5lE4PxB96PeJzj+3ldHUK Xoun/Hz0dicX8mPzdsmPc5Mr9bBKkz2IiLf4Z4YffEaHmpkafyUThGW93bFTwTrLeGBDsU1TEM3v RtaV/F+h/gZQSwMEFAAAAAgAh07iQLxIBVLsAQAAtAMAAA4AAABkcnMvZTJvRG9jLnhtbK1TzY7T MBC+I/EOlu80SbtdsVHTPbRdLggqLYiz6ziJJf9p7DbtjRviGbhx5B3Yt1kJ3oKx05ZqueyBHJz5 sb+Z7xt7drvXiuwEeGlNRYtRTokw3NbStBX9+OHu1WtKfGCmZsoaUdGD8PR2/vLFrHelGNvOqloA QRDjy95VtAvBlVnmeSc08yPrhMFkY0GzgC60WQ2sR3StsnGeX2e9hdqB5cJ7jC6HJD0iwnMAbdNI LpaWb7UwYUAFoVhASr6TztN56rZpBA/vm8aLQFRFkWlIKxZBexPXbD5jZQvMdZIfW2DPaeEJJ82k waJnqCULjGxB/gOlJQfrbRNG3OpsIJIUQRZF/kSb+445kbig1N6dRff/D5a/262ByLqiV5QYpnHg v778+P356+O3h8ef38lVVKh3vsSNC7OGo+fdGiLdfQM6/pEI2SdVD2dVxT4QjsHpJJ9Mxyg4P+Wy vwcd+PBGWE2iUVEfgMm2CwtrDM7OQpFUZbu3PmBpPHg6EKsqE1dj76RSQ3aIiDR4PJJa2wYB913d k1rGEpPpzbig6OAtGF/fxI8Splp8DDwAJWDDJxm6pH3kEjE8tJuFArJjeI1Wq9ViVURdsB17Qk/e ReEsijbIFK2NrQ9JvRTHYab9x4sXb8ulj/blY5v/A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MAA OyLWAAAACgEAAA8AAAAAAAAAAQAgAAAAIgAAAGRycy9kb3ducmV2LnhtbFBLAQIUABQAAAAIAIdO 4kC8SAVS7AEAALQDAAAOAAAAAAAAAAEAIAAAACUBAABkcnMvZTJvRG9jLnhtbFBLBQYAAAAABgAG AFkBAACDBQ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3" name="自选图形 3"/>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3" o:spid="_x0000_s1026" o:spt="32" type="#_x0000_t32" style="position:absolute;left:0pt;flip:y;margin-left:2.55pt;margin-top:-11.45pt;height:0.6pt;width:418.2pt;z-index:251661312;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AMwy1O9gEAAMEDAAAOAAAAZHJzL2Uyb0RvYy54bWytU72O EzEQ7pF4B8s92WzCBW6VzRVJjgZBpOOndrz2riX/aexkk44O8Qx0lLwDvM1J8BaMvSGKjuYKtrA8 MzvfzPfNeH5zMJrsBQTlbE3L0ZgSYblrlG1r+v7d7bOXlITIbMO0s6KmRxHozeLpk3nvKzFxndON AIIgNlS9r2kXo6+KIvBOGBZGzguLQenAsIgmtEUDrEd0o4vJeDwregeNB8dFCOhdDUF6QoTHADop FRcrx3dG2DiggtAsIqXQKR/oIncrpeDxrZRBRKJrikxjPrEI3rfpLBZzVrXAfKf4qQX2mBYecDJM WSx6hlqxyMgO1D9QRnFwwck44s4UA5GsCLIoxw+0ueuYF5kLSh38WfTw/2D5m/0GiGpqOqXEMoMD //X5++9PX+6//rz/8Y1Mk0K9DxX+uLQbOFnBbyDRPUgwRGrlP+AqZQGQEjlkfY9nfcUhEo7Oq2lZ ls9Reo6xF7NJlr8YUBKahxBfCWdIutQ0RGCq7eLSWYuDdDBUYPvXIWIfmPg3ISVrm07rbpXWQ3Tw iLwFmJLCbhcF3HVNTxqVSkyvriclRQNXYjK7Th8lTLf4MngESsDFjyp2eRCJTsII0G6XGsie4U6t 1+vlukwiYTtn9GxdFC6SgoNm6bZ1zTFLmf042fz/aQvT6lzaeL98eYs/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46WI89cAAAAJAQAADwAAAAAAAAABACAAAAAiAAAAZHJzL2Rvd25yZXYueG1sUEsB AhQAFAAAAAgAh07iQAzDLU72AQAAwQMAAA4AAAAAAAAAAQAgAAAAJgEAAGRycy9lMm9Eb2MueG1s UEsFBgAAAAAGAAYAWQEAAI4FA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2" name="自选图形 2"/>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2" o:spid="_x0000_s1026" o:spt="32" type="#_x0000_t32" style="position:absolute;left:0pt;flip:y;margin-left:2.55pt;margin-top:-11.45pt;height:0.6pt;width:418.2pt;z-index:251660288;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A6EiE+9wEAAMEDAAAOAAAAZHJzL2Uyb0RvYy54bWytU72O EzEQ7pF4B8s92eweF7gomyuSHA2CSMdB7XjtXUv+09jJJh0d4hnoKHkHeJuTuLdg7A1RdDRXsIXl mdn5Zr5vxrPrvdFkJyAoZ2tajsaUCMtdo2xb07sPNy9eUxIisw3TzoqaHkSg1/Pnz2a9n4rKdU43 AgiC2DDtfU27GP20KALvhGFh5LywGJQODItoQls0wHpEN7qoxuNJ0TtoPDguQkDvcgjSIyI8BdBJ qbhYOr41wsYBFYRmESmFTvlA57lbKQWP76UMIhJdU2Qa84lF8L5JZzGfsWkLzHeKH1tgT2nhESfD lMWiJ6gli4xsQf0DZRQHF5yMI+5MMRDJiiCLcvxIm9uOeZG5oNTBn0QP/w+Wv9utgaimphUllhkc +O8vPx4+f73/9uv+53dSJYV6H6b448Ku4WgFv4ZEdy/BEKmV/4irlAVASmSf9T2c9BX7SDg6Ly/K snyJ0nOMvZpUWf5iQEloHkJ8I5wh6VLTEIGptosLZy0O0sFQge3ehoh9YOLfhJSsbTqtu1FaD9HB I/IWYEoKu20UcNs1PWlUKnFxeVWVFA1ciWpylT5KmG7xZfAIlICLn1Ts8iASnYQRoN0sNJAdw51a rVaLVZlEwnZO6Nk6K1wkBQfN0m3jmkOWMvtxsvn/4xam1Tm38X7+8uZ/AF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GcEAABbQ29udGVudF9UeXBl c10ueG1sUEsBAhQACgAAAAAAh07iQAAAAAAAAAAAAAAAAAYAAAAAAAAAAAAQAAAASQMAAF9yZWxz L1BLAQIUABQAAAAIAIdO4kCKFGY80QAAAJQBAAALAAAAAAAAAAEAIAAAAG0DAABfcmVscy8ucmVs c1BLAQIUAAoAAAAAAIdO4kAAAAAAAAAAAAAAAAAEAAAAAAAAAAAAEAAAAAAAAABkcnMvUEsBAhQA FAAAAAgAh07iQOOliPPXAAAACQEAAA8AAAAAAAAAAQAgAAAAIgAAAGRycy9kb3ducmV2LnhtbFBL AQIUABQAAAAIAIdO4kA6EiE+9wEAAMEDAAAOAAAAAAAAAAEAIAAAACYBAABkcnMvZTJvRG9jLnht bFBLBQYAAAAABgAGAFkBAACPBQAAAAA= ">
              <v:fill on="f" focussize="0,0"/>
              <v:stroke on="f"/>
              <v:imagedata o:title=""/>
              <o:lock v:ext="edit" aspectratio="f"/>
              <v:shadow on="t" color="#EEECE1" offset="2pt,2pt" origin="0f,0f" matrix="65536f,0f,0f,65536f"/>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Times New Roman" w:hAnsi="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46</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VoWGN0BAAC+AwAADgAAAGRycy9lMm9Eb2MueG1srVPBjtMwEL0j8Q+W 7zTZHqBETVdAtQgJAdLCB7iO01iyPdbYbVI+AP6AExfufFe/Y8dO0oXlsgcuyXhm/Gbem/H6erCG HRUGDa7mV4uSM+UkNNrta/7l882zFWchCtcIA07V/KQCv948fbLufaWW0IFpFDICcaHqfc27GH1V FEF2yoqwAK8cBVtAKyIdcV80KHpCt6ZYluXzogdsPIJUIZB3Owb5hIiPAYS21VJtQR6scnFERWVE JEqh0z7wTe62bZWMH9s2qMhMzYlpzF8qQvYufYvNWlR7FL7TcmpBPKaFB5ys0I6KXqC2Igp2QP0P lNUSIUAbFxJsMRLJihCLq/KBNred8CpzIamDv4ge/h+s/HD8hEw3NX/JmROWBn7+8f388/f51zf2 IsnT+1BR1q2nvDi8hoGWZvYHcibWQ4s2/YkPoziJe7qIq4bIZLq0Wq5WJYUkxeYD4Rf31z2G+FaB ZcmoOdL0sqji+D7EMXVOSdUc3Ghj8gSN+8tBmMlTpN7HHpMVh90wEdpBcyI+9AyoTgf4lbOelqDm jnaeM/POkcZpX2YDZ2M3G8JJuljzyNlovonjXh086n2XNy01FfyrQ6ROM4HUxlh76o7GmiWYVjDt zZ/nnHX/7DZ3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NVaFhjdAQAAvgMAAA4AAAAAAAAA AQAgAAAAHgEAAGRycy9lMm9Eb2MueG1sUEsFBgAAAAAGAAYAWQEAAG0FAAAAAA== ">
              <v:fill on="f" focussize="0,0"/>
              <v:stroke on="f"/>
              <v:imagedata o:title=""/>
              <o:lock v:ext="edit" aspectratio="f"/>
              <v:textbox inset="0mm,0mm,0mm,0mm" style="mso-fit-shape-to-text:t;">
                <w:txbxContent>
                  <w:p>
                    <w:pPr>
                      <w:pStyle w:val="33"/>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46</w:t>
                    </w:r>
                    <w:r>
                      <w:rPr>
                        <w:rFonts w:ascii="Times New Roman" w:hAnsi="Times New Roman"/>
                      </w:rPr>
                      <w:fldChar w:fldCharType="end"/>
                    </w:r>
                  </w:p>
                </w:txbxContent>
              </v:textbox>
            </v:shap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-145415</wp:posOffset>
              </wp:positionV>
              <wp:extent cx="5303520" cy="0"/>
              <wp:effectExtent l="0" t="0" r="0" b="0"/>
              <wp:wrapNone/>
              <wp:docPr id="7" name="自选图形 4"/>
              <wp:cNvGraphicFramePr/>
              <a:graphic xmlns:a="http://schemas.openxmlformats.org/drawingml/2006/main">
                <a:graphicData uri="http://schemas.microsoft.com/office/word/2010/wordprocessingShape">
                  <wps:wsp>
                    <wps:cNvCnPr/>
                    <wps:spPr>
                      <a:xfrm>
                        <a:off x="0" y="0"/>
                        <a:ext cx="5303520" cy="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4" o:spid="_x0000_s1026" o:spt="32" type="#_x0000_t32" style="position:absolute;left:0pt;margin-left:7.95pt;margin-top:-11.45pt;height:0pt;width:417.6pt;z-index:251665408;mso-width-relative:page;mso-height-relative:page;" filled="f" stroked="f" coordsize="21600,21600" o:gfxdata="UEsDBAoAAAAAAIdO4kAAAAAAAAAAAAAAAAAEAAAAZHJzL1BLAwQUAAAACACHTuJAwAA7ItYAAAAK AQAADwAAAGRycy9kb3ducmV2LnhtbE2PwWrDMBBE74X+g9hAb4lsQ2rHsRxooRQKOTTNB8jW1jaR VsZS7PTvu4VCe9vZHWbfVIebs2LGKQyeFKSbBARS681AnYLzx8u6ABGiJqOtJ1TwhQEO9f1dpUvj F3rH+RQ7wSEUSq2gj3EspQxtj06HjR+R+PbpJ6cjy6mTZtILhzsrsyR5lE4PxB96PeJzj+3ldHUK Xoun/Hz0dicX8mPzdsmPc5Mr9bBKkz2IiLf4Z4YffEaHmpkafyUThGW93bFTwTrLeGBDsU1TEM3v RtaV/F+h/gZQSwMEFAAAAAgAh07iQHyYpPbsAQAAtAMAAA4AAABkcnMvZTJvRG9jLnhtbK1TzY7T MBC+I/EOlu80TUoXNmq6h7bLBUGlBXF2HSex5D+N3aa9cUM8AzeOvMPyNivBWzB22lItlz2QgzM/ 9jfzfWPPbvZakZ0AL62paD4aUyIMt7U0bUU/frh98ZoSH5ipmbJGVPQgPL2ZP382610pCttZVQsg CGJ82buKdiG4Mss874RmfmSdMJhsLGgW0IU2q4H1iK5VVozHV1lvoXZgufAeo8shSY+I8BRA2zSS i6XlWy1MGFBBKBaQku+k83Seum0awcP7pvEiEFVRZBrSikXQ3sQ1m89Y2QJzneTHFthTWnjESTNp sOgZaskCI1uQ/0BpycF624QRtzobiCRFkEU+fqTNXcecSFxQau/Oovv/B8vf7dZAZF3RV5QYpnHg v778+P3568O3nw/338nLqFDvfIkbF2YNR8+7NUS6+wZ0/CMRsk+qHs6qin0gHIPTyXgyLVBwfspl fw868OGNsJpEo6I+AJNtFxbWGJydhTypynZvfcDSePB0IFZVJq7G3kqlhuwQEWnweCS1tg0C7rq6 J7WMJSbT6yKn6OAtKK6u40cJUy0+Bh6AErDhkwxd0j5yiRge2s1CAdkxvEar1WqxyqMu2I49oSfv onAWRRtkitbG1oekXorjMNP+48WLt+XSR/vysc3/AF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MAA OyLWAAAACgEAAA8AAAAAAAAAAQAgAAAAIgAAAGRycy9kb3ducmV2LnhtbFBLAQIUABQAAAAIAIdO 4kB8mKT27AEAALQDAAAOAAAAAAAAAAEAIAAAACUBAABkcnMvZTJvRG9jLnhtbFBLBQYAAAAABgAG AFkBAACDBQ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6" name="自选图形 3"/>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3" o:spid="_x0000_s1026" o:spt="32" type="#_x0000_t32" style="position:absolute;left:0pt;flip:y;margin-left:2.55pt;margin-top:-11.45pt;height:0.6pt;width:418.2pt;z-index:251664384;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DYF3Hm9gEAAMEDAAAOAAAAZHJzL2Uyb0RvYy54bWytU72O EzEQ7pF4B8s92WzCBW6VzRVJjgZBpOOndrz2riX/aexkk44O8Qx0lLwDvM1J8BaMvSGKjuYKtrA8 MzvfzPfNeH5zMJrsBQTlbE3L0ZgSYblrlG1r+v7d7bOXlITIbMO0s6KmRxHozeLpk3nvKzFxndON AIIgNlS9r2kXo6+KIvBOGBZGzguLQenAsIgmtEUDrEd0o4vJeDwregeNB8dFCOhdDUF6QoTHADop FRcrx3dG2DiggtAsIqXQKR/oIncrpeDxrZRBRKJrikxjPrEI3rfpLBZzVrXAfKf4qQX2mBYecDJM WSx6hlqxyMgO1D9QRnFwwck44s4UA5GsCLIoxw+0ueuYF5kLSh38WfTw/2D5m/0GiGpqOqPEMoMD //X5++9PX+6//rz/8Y1Mk0K9DxX+uLQbOFnBbyDRPUgwRGrlP+AqZQGQEjlkfY9nfcUhEo7Oq2lZ ls9Reo6xF7NJlr8YUBKahxBfCWdIutQ0RGCq7eLSWYuDdDBUYPvXIWIfmPg3ISVrm07rbpXWQ3Tw iLwFmJLCbhcF3HVNTxqVSkyvriclRQNXYjK7Th8lTLf4MngESsDFjyp2eRCJTsII0G6XGsie4U6t 1+vlukwiYTtn9GxdFC6SgoNm6bZ1zTFLmf042fz/aQvT6lzaeL98eYs/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46WI89cAAAAJAQAADwAAAAAAAAABACAAAAAiAAAAZHJzL2Rvd25yZXYueG1sUEsB AhQAFAAAAAgAh07iQNgXceb2AQAAwQMAAA4AAAAAAAAAAQAgAAAAJgEAAGRycy9lMm9Eb2MueG1s UEsFBgAAAAAGAAYAWQEAAI4FA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5" name="自选图形 2"/>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2" o:spid="_x0000_s1026" o:spt="32" type="#_x0000_t32" style="position:absolute;left:0pt;flip:y;margin-left:2.55pt;margin-top:-11.45pt;height:0.6pt;width:418.2pt;z-index:251663360;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BzT7++9gEAAMEDAAAOAAAAZHJzL2Uyb0RvYy54bWytU72O EzEQ7pF4B8s92eweCVyUzRVJjgZBpOOndrz2riX/aexkk44O8Qx0lLwDvM1J8BaMvSGKjuYKtrA8 MzvfzPfNeH5zMJrsBQTlbE3L0ZgSYblrlG1r+v7d7bOXlITIbMO0s6KmRxHozeLpk3nvZ6JyndON AIIgNsx6X9MuRj8risA7YVgYOS8sBqUDwyKa0BYNsB7RjS6q8Xha9A4aD46LENC7GoL0hAiPAXRS Ki5Wju+MsHFABaFZREqhUz7QRe5WSsHjWymDiETXFJnGfGIRvG/TWSzmbNYC853ipxbYY1p4wMkw ZbHoGWrFIiM7UP9AGcXBBSfjiDtTDESyIsiiHD/Q5q5jXmQuKHXwZ9HD/4Plb/YbIKqp6YQSywwO /Nfn778/fbn/+vP+xzdSJYV6H2b449Ju4GQFv4FE9yDBEKmV/4CrlAVASuSQ9T2e9RWHSDg6J1dl WT5H6TnGXkyrLH8xoCQ0DyG+Es6QdKlpiMBU28WlsxYH6WCowPavQ8Q+MPFvQkrWNp3W3Sqth+jg EXkLMCWF3S4KuOuanjQqlbiaXFclRQNXoppep48Splt8GTwCJeDiRxW7PIhEJ2EEaLdLDWTPcKfW 6/VyXSaRsJ0zerYuChdJwUGzdNu65pilzH6cbP7/tIVpdS5tvF++vMUf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46WI89cAAAAJAQAADwAAAAAAAAABACAAAAAiAAAAZHJzL2Rvd25yZXYueG1sUEsB AhQAFAAAAAgAh07iQHNPv772AQAAwQMAAA4AAAAAAAAAAQAgAAAAJgEAAGRycy9lMm9Eb2MueG1s UEsFBgAAAAAGAAYAWQEAAI4FAAAAAA== ">
              <v:fill on="f" focussize="0,0"/>
              <v:stroke on="f"/>
              <v:imagedata o:title=""/>
              <o:lock v:ext="edit" aspectratio="f"/>
              <v:shadow on="t" color="#EEECE1" offset="2pt,2pt" origin="0f,0f" matrix="65536f,0f,0f,65536f"/>
            </v:shape>
          </w:pict>
        </mc:Fallback>
      </mc:AlternateContent>
    </w:r>
  </w:p>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pPr>
                          <w:r>
                            <w:fldChar w:fldCharType="begin"/>
                          </w:r>
                          <w:r>
                            <w:instrText xml:space="preserve"> PAGE  \* MERGEFORMAT </w:instrText>
                          </w:r>
                          <w:r>
                            <w:fldChar w:fldCharType="separate"/>
                          </w:r>
                          <w:r>
                            <w:t>121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q25eXmAQAAyAMAAA4AAABkcnMvZTJvRG9jLnhtbK1TzY7TMBC+ I/EOlu802UoLJWq6AqpFSAiQFh7AdZzGkv/kmTYpDwBvwIkLd56rz8HYSbpoueyBSzL2zHwz3zfj 9c1gDTuqCNq7ml8tSs6Uk77Rbl/zL59vn604AxSuEcY7VfOTAn6zefpk3YdKLX3nTaMiIxAHVR9q 3iGGqihAdsoKWPigHDlbH61AOsZ90UTRE7o1xbIsnxe9j02IXioAut2OTj4hxscA+rbVUm29PFjl cESNyggkStDpAHyTu21bJfFj24JCZmpOTDF/qQjZu/QtNmtR7aMInZZTC+IxLTzgZIV2VPQCtRUo 2CHqf6CsltGDb3EhvS1GIlkRYnFVPtDmrhNBZS4kNYSL6PD/YOWH46fIdFNzGrsTlgZ+/vH9/PP3 +dc39jLJ0weoKOouUBwOr/1ASzPfA10m1kMbbfoTH0Z+Evd0EVcNyGRKWi1Xq5JcknzzgfCL+/QQ Ad8qb1kyah5pellUcXwPOIbOIama87famDxB41hPqNerF9c54+IidOOoSGIxdpssHHbDRG3nmxMx owdBFTsfv3LW0zrU3NH2c2beOVI7bc5sxNnYzYZwkhJrjpyN5hscN+wQot53eedSvxBeHZB6zlRS G2PtqTsacBZjWsa0QX+fc9T9A9z8AV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atuXl5gEA AMgDAAAOAAAAAAAAAAEAIAAAACIBAABkcnMvZTJvRG9jLnhtbFBLBQYAAAAABgAGAFkBAAB6BQAA AAA= ">
              <v:fill on="f" focussize="0,0"/>
              <v:stroke on="f" weight="1.2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0"/>
        <w:tab w:val="clear" w:pos="4153"/>
      </w:tabs>
      <w:rPr>
        <w:rFonts w:hint="eastAsia" w:ascii="Times New Roman" w:hAnsi="Times New Roman" w:eastAsia="仿宋"/>
        <w:spacing w:val="-12"/>
        <w:sz w:val="21"/>
        <w:szCs w:val="21"/>
        <w:lang w:eastAsia="zh-CN"/>
      </w:rPr>
    </w:pPr>
    <w:r>
      <w:drawing>
        <wp:inline distT="0" distB="0" distL="114300" distR="114300">
          <wp:extent cx="1196975" cy="472440"/>
          <wp:effectExtent l="0" t="0" r="3175" b="3810"/>
          <wp:docPr id="10" name="图片 3" descr="浙江至诚2"/>
          <wp:cNvGraphicFramePr/>
          <a:graphic xmlns:a="http://schemas.openxmlformats.org/drawingml/2006/main">
            <a:graphicData uri="http://schemas.openxmlformats.org/drawingml/2006/picture">
              <pic:pic xmlns:pic="http://schemas.openxmlformats.org/drawingml/2006/picture">
                <pic:nvPicPr>
                  <pic:cNvPr id="10" name="图片 3" descr="浙江至诚2"/>
                  <pic:cNvPicPr/>
                </pic:nvPicPr>
                <pic:blipFill>
                  <a:blip r:embed="rId1"/>
                  <a:srcRect l="9576" t="26340" r="9576" b="32440"/>
                  <a:stretch>
                    <a:fillRect/>
                  </a:stretch>
                </pic:blipFill>
                <pic:spPr>
                  <a:xfrm>
                    <a:off x="0" y="0"/>
                    <a:ext cx="1196975" cy="472440"/>
                  </a:xfrm>
                  <a:prstGeom prst="rect">
                    <a:avLst/>
                  </a:prstGeom>
                  <a:noFill/>
                  <a:ln>
                    <a:noFill/>
                  </a:ln>
                </pic:spPr>
              </pic:pic>
            </a:graphicData>
          </a:graphic>
        </wp:inline>
      </w:drawing>
    </w:r>
    <w:r>
      <w:rPr>
        <w:rFonts w:hint="eastAsia" w:ascii="Times New Roman" w:hAnsi="Times New Roman" w:eastAsia="仿宋"/>
        <w:spacing w:val="-12"/>
        <w:sz w:val="21"/>
        <w:szCs w:val="21"/>
        <w:lang w:val="en-US" w:eastAsia="zh-CN"/>
      </w:rPr>
      <w:t xml:space="preserve">                  </w:t>
    </w:r>
    <w:r>
      <w:rPr>
        <w:rFonts w:hint="eastAsia" w:ascii="宋体" w:hAnsi="宋体" w:eastAsia="宋体" w:cs="宋体"/>
        <w:spacing w:val="-12"/>
        <w:sz w:val="24"/>
        <w:szCs w:val="24"/>
        <w:lang w:eastAsia="zh-CN"/>
      </w:rPr>
      <w:t>义乌市智能交通系统2023-2025年运维服务采购项目</w:t>
    </w:r>
  </w:p>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501650</wp:posOffset>
              </wp:positionH>
              <wp:positionV relativeFrom="page">
                <wp:posOffset>410210</wp:posOffset>
              </wp:positionV>
              <wp:extent cx="1892935" cy="113030"/>
              <wp:effectExtent l="0" t="0" r="0" b="0"/>
              <wp:wrapNone/>
              <wp:docPr id="2361" name="Shape 2361"/>
              <wp:cNvGraphicFramePr/>
              <a:graphic xmlns:a="http://schemas.openxmlformats.org/drawingml/2006/main">
                <a:graphicData uri="http://schemas.microsoft.com/office/word/2010/wordprocessingShape">
                  <wps:wsp>
                    <wps:cNvSpPr txBox="1"/>
                    <wps:spPr>
                      <a:xfrm>
                        <a:off x="0" y="0"/>
                        <a:ext cx="1892935" cy="113030"/>
                      </a:xfrm>
                      <a:prstGeom prst="rect">
                        <a:avLst/>
                      </a:prstGeom>
                      <a:noFill/>
                      <a:ln>
                        <a:noFill/>
                      </a:ln>
                      <a:effectLst/>
                    </wps:spPr>
                    <wps:txbx>
                      <w:txbxContent>
                        <w:p>
                          <w:pPr>
                            <w:pStyle w:val="85"/>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sz w:val="16"/>
                              <w:szCs w:val="16"/>
                              <w:lang w:val="zh-CN" w:eastAsia="zh-CN" w:bidi="zh-CN"/>
                            </w:rPr>
                            <w:t>464</w:t>
                          </w:r>
                          <w:r>
                            <w:rPr>
                              <w:rFonts w:ascii="Times New Roman" w:hAnsi="Times New Roman" w:eastAsia="Times New Roman" w:cs="Times New Roman"/>
                              <w:b/>
                              <w:bCs/>
                              <w:sz w:val="16"/>
                              <w:szCs w:val="16"/>
                              <w:lang w:val="zh-CN" w:eastAsia="zh-CN" w:bidi="zh-CN"/>
                            </w:rPr>
                            <w:fldChar w:fldCharType="end"/>
                          </w:r>
                          <w:r>
                            <w:rPr>
                              <w:rFonts w:ascii="Times New Roman" w:hAnsi="Times New Roman" w:eastAsia="Times New Roman" w:cs="Times New Roman"/>
                              <w:b/>
                              <w:bCs/>
                              <w:color w:val="000000"/>
                              <w:sz w:val="16"/>
                              <w:szCs w:val="16"/>
                              <w:lang w:val="zh-CN" w:eastAsia="zh-CN" w:bidi="zh-CN"/>
                            </w:rPr>
                            <w:t xml:space="preserve"> I</w:t>
                          </w:r>
                          <w:r>
                            <w:rPr>
                              <w:color w:val="000000"/>
                              <w:sz w:val="18"/>
                              <w:szCs w:val="18"/>
                            </w:rPr>
                            <w:t>中国生物样本库一理论与实践</w:t>
                          </w:r>
                        </w:p>
                      </w:txbxContent>
                    </wps:txbx>
                    <wps:bodyPr wrap="none" lIns="0" tIns="0" rIns="0" bIns="0">
                      <a:spAutoFit/>
                    </wps:bodyPr>
                  </wps:wsp>
                </a:graphicData>
              </a:graphic>
            </wp:anchor>
          </w:drawing>
        </mc:Choice>
        <mc:Fallback>
          <w:pict>
            <v:shape id="Shape 2361" o:spid="_x0000_s1026" o:spt="202" type="#_x0000_t202" style="position:absolute;left:0pt;margin-left:39.5pt;margin-top:32.3pt;height:8.9pt;width:149.05pt;mso-position-horizontal-relative:page;mso-position-vertical-relative:page;mso-wrap-style:none;z-index:-251657216;mso-width-relative:page;mso-height-relative:page;" filled="f" stroked="f" coordsize="21600,21600" o:gfxdata="UEsDBAoAAAAAAIdO4kAAAAAAAAAAAAAAAAAEAAAAZHJzL1BLAwQUAAAACACHTuJAyd5TA9UAAAAI AQAADwAAAGRycy9kb3ducmV2LnhtbE2PMU/DMBCFdyT+g3VIbNRJqZIQ4nSoxMJGQUhsbnyNI+xz FLtp8u85JhhP7/S97zX7xTsx4xSHQAryTQYCqQtmoF7Bx/vLQwUiJk1Gu0CoYMUI+/b2ptG1CVd6 w/mYesEQirVWYFMaayljZ9HruAkjEmfnMHmd+Jx6aSZ9Zbh3cptlhfR6IG6wesSDxe77ePEKyuUz 4BjxgF/nuZvssFbudVXq/i7PnkEkXNLfM/zqszq07HQKFzJROGY88ZSkoNgVIDh/LMscxElBtd2B bBv5f0D7A1BLAwQUAAAACACHTuJA0h//Lr4BAACcAwAADgAAAGRycy9lMm9Eb2MueG1srVPBbtsw DL0P6D8Iuje2E6xojTjFhqDFgGEb0O4DFFmOBUiiICqx8/ejZCfpuksPu8gUST3yPdLrx9EadlQB NbiGV4uSM+UktNrtG/779en2njOMwrXCgFMNPynkj5ubT+vB12oJPZhWBUYgDuvBN7yP0ddFgbJX VuACvHIU7CBYEeka9kUbxEDo1hTLsrwrBgitDyAVInm3U5DPiOEjgNB1WqotyINVLk6oQRkRiRL2 2iPf5G67Tsn4s+tQRWYaTkxjPqkI2bt0Fpu1qPdB+F7LuQXxkRbecbJCOyp6gdqKKNgh6H+grJYB ELq4kGCLiUhWhFhU5TttXnrhVeZCUqO/iI7/D1b+OP4KTLcNX67uKs6csDTzXJhlDwk0eKwp78VT Zhy/wkhrk4RLfiRn4j12waYvMWIUJ3lPF3nVGJlMj+4flg+rz5xJilXVqlxl/Yvrax8wPiuwLBkN DzS+rKo4fsdIFSn1nJKKOXjSxuQRGveXgxInj8o7ML++NpysOO7GmcUO2hORG2gPGu5o7Tkz3xzJ nFbmbISzsZuNVBH9l0OkNnJ3CXWColbThYaWm54XLG3F23vOuv5Umz9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DJ3lMD1QAAAAgBAAAPAAAAAAAAAAEAIAAAACIAAABkcnMvZG93bnJldi54bWxQSwEC FAAUAAAACACHTuJA0h//Lr4BAACcAwAADgAAAAAAAAABACAAAAAkAQAAZHJzL2Uyb0RvYy54bWxQ SwUGAAAAAAYABgBZAQAAVAUAAAAA ">
              <v:fill on="f" focussize="0,0"/>
              <v:stroke on="f"/>
              <v:imagedata o:title=""/>
              <o:lock v:ext="edit" aspectratio="f"/>
              <v:textbox inset="0mm,0mm,0mm,0mm" style="mso-fit-shape-to-text:t;">
                <w:txbxContent>
                  <w:p>
                    <w:pPr>
                      <w:pStyle w:val="85"/>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sz w:val="16"/>
                        <w:szCs w:val="16"/>
                        <w:lang w:val="zh-CN" w:eastAsia="zh-CN" w:bidi="zh-CN"/>
                      </w:rPr>
                      <w:t>464</w:t>
                    </w:r>
                    <w:r>
                      <w:rPr>
                        <w:rFonts w:ascii="Times New Roman" w:hAnsi="Times New Roman" w:eastAsia="Times New Roman" w:cs="Times New Roman"/>
                        <w:b/>
                        <w:bCs/>
                        <w:sz w:val="16"/>
                        <w:szCs w:val="16"/>
                        <w:lang w:val="zh-CN" w:eastAsia="zh-CN" w:bidi="zh-CN"/>
                      </w:rPr>
                      <w:fldChar w:fldCharType="end"/>
                    </w:r>
                    <w:r>
                      <w:rPr>
                        <w:rFonts w:ascii="Times New Roman" w:hAnsi="Times New Roman" w:eastAsia="Times New Roman" w:cs="Times New Roman"/>
                        <w:b/>
                        <w:bCs/>
                        <w:color w:val="000000"/>
                        <w:sz w:val="16"/>
                        <w:szCs w:val="16"/>
                        <w:lang w:val="zh-CN" w:eastAsia="zh-CN" w:bidi="zh-CN"/>
                      </w:rPr>
                      <w:t xml:space="preserve"> I</w:t>
                    </w:r>
                    <w:r>
                      <w:rPr>
                        <w:color w:val="000000"/>
                        <w:sz w:val="18"/>
                        <w:szCs w:val="18"/>
                      </w:rPr>
                      <w:t>中国生物样本库一理论与实践</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r>
      <w:rPr>
        <w:rFonts w:ascii="宋体" w:hAnsi="宋体"/>
      </w:rPr>
      <w:drawing>
        <wp:inline distT="0" distB="0" distL="114300" distR="114300">
          <wp:extent cx="763270" cy="266065"/>
          <wp:effectExtent l="0" t="0" r="17780" b="635"/>
          <wp:docPr id="11" name="图片 3" descr="浙江至诚2"/>
          <wp:cNvGraphicFramePr/>
          <a:graphic xmlns:a="http://schemas.openxmlformats.org/drawingml/2006/main">
            <a:graphicData uri="http://schemas.openxmlformats.org/drawingml/2006/picture">
              <pic:pic xmlns:pic="http://schemas.openxmlformats.org/drawingml/2006/picture">
                <pic:nvPicPr>
                  <pic:cNvPr id="11"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ascii="宋体" w:hAnsi="宋体"/>
      </w:rPr>
      <w:t xml:space="preserve">                 </w:t>
    </w:r>
    <w:r>
      <w:rPr>
        <w:rFonts w:hint="eastAsia" w:ascii="宋体" w:hAnsi="宋体"/>
        <w:lang w:val="en-US" w:eastAsia="zh-CN"/>
      </w:rPr>
      <w:t xml:space="preserve">                 </w:t>
    </w:r>
    <w:r>
      <w:rPr>
        <w:rFonts w:hint="eastAsia"/>
        <w:lang w:eastAsia="zh-CN"/>
      </w:rPr>
      <w:t>义乌市智能交通系统2023-2025年运维服务采购项目</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ind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53F58"/>
    <w:multiLevelType w:val="singleLevel"/>
    <w:tmpl w:val="F6C53F58"/>
    <w:lvl w:ilvl="0" w:tentative="0">
      <w:start w:val="1"/>
      <w:numFmt w:val="decimal"/>
      <w:lvlText w:val="%1."/>
      <w:lvlJc w:val="left"/>
      <w:pPr>
        <w:tabs>
          <w:tab w:val="left" w:pos="312"/>
        </w:tabs>
      </w:pPr>
    </w:lvl>
  </w:abstractNum>
  <w:abstractNum w:abstractNumId="1">
    <w:nsid w:val="010F4CD1"/>
    <w:multiLevelType w:val="multilevel"/>
    <w:tmpl w:val="010F4CD1"/>
    <w:lvl w:ilvl="0" w:tentative="0">
      <w:start w:val="4"/>
      <w:numFmt w:val="japaneseCounting"/>
      <w:pStyle w:val="16"/>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6F104E"/>
    <w:multiLevelType w:val="singleLevel"/>
    <w:tmpl w:val="1F6F104E"/>
    <w:lvl w:ilvl="0" w:tentative="0">
      <w:start w:val="4"/>
      <w:numFmt w:val="decimal"/>
      <w:suff w:val="nothing"/>
      <w:lvlText w:val="（%1）"/>
      <w:lvlJc w:val="left"/>
    </w:lvl>
  </w:abstractNum>
  <w:abstractNum w:abstractNumId="3">
    <w:nsid w:val="28630A2E"/>
    <w:multiLevelType w:val="multilevel"/>
    <w:tmpl w:val="28630A2E"/>
    <w:lvl w:ilvl="0" w:tentative="0">
      <w:start w:val="1"/>
      <w:numFmt w:val="chineseCountingThousand"/>
      <w:pStyle w:val="5"/>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4">
    <w:nsid w:val="6D6B0ECD"/>
    <w:multiLevelType w:val="singleLevel"/>
    <w:tmpl w:val="6D6B0ECD"/>
    <w:lvl w:ilvl="0" w:tentative="0">
      <w:start w:val="1"/>
      <w:numFmt w:val="chineseCounting"/>
      <w:suff w:val="nothing"/>
      <w:lvlText w:val="%1、"/>
      <w:lvlJc w:val="left"/>
      <w:rPr>
        <w:rFonts w:hint="eastAsia"/>
      </w:rPr>
    </w:lvl>
  </w:abstractNum>
  <w:abstractNum w:abstractNumId="5">
    <w:nsid w:val="6D79977A"/>
    <w:multiLevelType w:val="singleLevel"/>
    <w:tmpl w:val="6D79977A"/>
    <w:lvl w:ilvl="0" w:tentative="0">
      <w:start w:val="1"/>
      <w:numFmt w:val="decimal"/>
      <w:lvlText w:val="%1."/>
      <w:lvlJc w:val="left"/>
      <w:pPr>
        <w:tabs>
          <w:tab w:val="left" w:pos="312"/>
        </w:tabs>
      </w:pPr>
    </w:lvl>
  </w:abstractNum>
  <w:abstractNum w:abstractNumId="6">
    <w:nsid w:val="7BE6DF8E"/>
    <w:multiLevelType w:val="singleLevel"/>
    <w:tmpl w:val="7BE6DF8E"/>
    <w:lvl w:ilvl="0" w:tentative="0">
      <w:start w:val="2"/>
      <w:numFmt w:val="decimal"/>
      <w:lvlText w:val="%1."/>
      <w:lvlJc w:val="left"/>
      <w:pPr>
        <w:tabs>
          <w:tab w:val="left" w:pos="312"/>
        </w:tabs>
        <w:ind w:left="-62"/>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9"/>
  <w:drawingGridVerticalSpacing w:val="160"/>
  <w:displayHorizontalDrawingGridEvery w:val="1"/>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zU5ZmEyMTMxMGRmYWZiMzJkOGU4ZTA2NmVlOTcifQ=="/>
  </w:docVars>
  <w:rsids>
    <w:rsidRoot w:val="00D01565"/>
    <w:rsid w:val="000003B9"/>
    <w:rsid w:val="00002787"/>
    <w:rsid w:val="0000419C"/>
    <w:rsid w:val="000047F8"/>
    <w:rsid w:val="00006DD7"/>
    <w:rsid w:val="00006FB1"/>
    <w:rsid w:val="000103E6"/>
    <w:rsid w:val="00010427"/>
    <w:rsid w:val="0001062D"/>
    <w:rsid w:val="00010D8E"/>
    <w:rsid w:val="000110EC"/>
    <w:rsid w:val="0001126C"/>
    <w:rsid w:val="00011C4A"/>
    <w:rsid w:val="00012692"/>
    <w:rsid w:val="00012950"/>
    <w:rsid w:val="00012BB1"/>
    <w:rsid w:val="00012E46"/>
    <w:rsid w:val="000139D3"/>
    <w:rsid w:val="00014117"/>
    <w:rsid w:val="0001584F"/>
    <w:rsid w:val="0001704E"/>
    <w:rsid w:val="0001706C"/>
    <w:rsid w:val="00017F0E"/>
    <w:rsid w:val="000211E4"/>
    <w:rsid w:val="00021848"/>
    <w:rsid w:val="00022034"/>
    <w:rsid w:val="000222C2"/>
    <w:rsid w:val="000225CC"/>
    <w:rsid w:val="00023959"/>
    <w:rsid w:val="00024B12"/>
    <w:rsid w:val="00024D19"/>
    <w:rsid w:val="0002575F"/>
    <w:rsid w:val="00025DAF"/>
    <w:rsid w:val="00026C58"/>
    <w:rsid w:val="000274C8"/>
    <w:rsid w:val="0002768F"/>
    <w:rsid w:val="00027B6F"/>
    <w:rsid w:val="00027BCC"/>
    <w:rsid w:val="00033339"/>
    <w:rsid w:val="000339F9"/>
    <w:rsid w:val="00034946"/>
    <w:rsid w:val="00034A64"/>
    <w:rsid w:val="000353DC"/>
    <w:rsid w:val="00035C3A"/>
    <w:rsid w:val="00036331"/>
    <w:rsid w:val="00036FD6"/>
    <w:rsid w:val="000378C9"/>
    <w:rsid w:val="00041A8A"/>
    <w:rsid w:val="0004320D"/>
    <w:rsid w:val="00043822"/>
    <w:rsid w:val="00043A2E"/>
    <w:rsid w:val="00043BEA"/>
    <w:rsid w:val="00044D7A"/>
    <w:rsid w:val="00044E2B"/>
    <w:rsid w:val="000471D6"/>
    <w:rsid w:val="00047E2A"/>
    <w:rsid w:val="00050602"/>
    <w:rsid w:val="000522F3"/>
    <w:rsid w:val="000529CE"/>
    <w:rsid w:val="00053A98"/>
    <w:rsid w:val="000549C0"/>
    <w:rsid w:val="000575FE"/>
    <w:rsid w:val="00057C3A"/>
    <w:rsid w:val="0006076E"/>
    <w:rsid w:val="00060CF7"/>
    <w:rsid w:val="000612F5"/>
    <w:rsid w:val="000616F2"/>
    <w:rsid w:val="00061C40"/>
    <w:rsid w:val="00061D56"/>
    <w:rsid w:val="00062539"/>
    <w:rsid w:val="00063B97"/>
    <w:rsid w:val="000650B0"/>
    <w:rsid w:val="000658EA"/>
    <w:rsid w:val="000661C7"/>
    <w:rsid w:val="0006641E"/>
    <w:rsid w:val="00067404"/>
    <w:rsid w:val="0006789C"/>
    <w:rsid w:val="000701A9"/>
    <w:rsid w:val="00071E7D"/>
    <w:rsid w:val="00072AF5"/>
    <w:rsid w:val="0007409D"/>
    <w:rsid w:val="0007585C"/>
    <w:rsid w:val="00077744"/>
    <w:rsid w:val="00077EB6"/>
    <w:rsid w:val="000800BD"/>
    <w:rsid w:val="00081B24"/>
    <w:rsid w:val="000831BC"/>
    <w:rsid w:val="0008323C"/>
    <w:rsid w:val="000836A5"/>
    <w:rsid w:val="000848D5"/>
    <w:rsid w:val="0008584A"/>
    <w:rsid w:val="00085C72"/>
    <w:rsid w:val="00086368"/>
    <w:rsid w:val="00086F71"/>
    <w:rsid w:val="00086FAA"/>
    <w:rsid w:val="00087690"/>
    <w:rsid w:val="00087741"/>
    <w:rsid w:val="00087D48"/>
    <w:rsid w:val="00090A05"/>
    <w:rsid w:val="00092759"/>
    <w:rsid w:val="00092A61"/>
    <w:rsid w:val="00094672"/>
    <w:rsid w:val="0009546E"/>
    <w:rsid w:val="00095557"/>
    <w:rsid w:val="0009705B"/>
    <w:rsid w:val="00097E65"/>
    <w:rsid w:val="000A19E1"/>
    <w:rsid w:val="000A1B6C"/>
    <w:rsid w:val="000A2521"/>
    <w:rsid w:val="000A334A"/>
    <w:rsid w:val="000A7316"/>
    <w:rsid w:val="000B110C"/>
    <w:rsid w:val="000B2353"/>
    <w:rsid w:val="000B2CA0"/>
    <w:rsid w:val="000B3009"/>
    <w:rsid w:val="000B3C66"/>
    <w:rsid w:val="000B44C8"/>
    <w:rsid w:val="000B6F2A"/>
    <w:rsid w:val="000C061B"/>
    <w:rsid w:val="000C0659"/>
    <w:rsid w:val="000C08EA"/>
    <w:rsid w:val="000C36C0"/>
    <w:rsid w:val="000C5A02"/>
    <w:rsid w:val="000C5FD6"/>
    <w:rsid w:val="000C6791"/>
    <w:rsid w:val="000C79E0"/>
    <w:rsid w:val="000D0F50"/>
    <w:rsid w:val="000D2D39"/>
    <w:rsid w:val="000D4C4A"/>
    <w:rsid w:val="000D5871"/>
    <w:rsid w:val="000D59C4"/>
    <w:rsid w:val="000D7EDC"/>
    <w:rsid w:val="000E1B31"/>
    <w:rsid w:val="000E2640"/>
    <w:rsid w:val="000E43C5"/>
    <w:rsid w:val="000E73ED"/>
    <w:rsid w:val="000F0E74"/>
    <w:rsid w:val="000F11CE"/>
    <w:rsid w:val="000F1943"/>
    <w:rsid w:val="000F29A5"/>
    <w:rsid w:val="000F45CA"/>
    <w:rsid w:val="000F6612"/>
    <w:rsid w:val="000F7266"/>
    <w:rsid w:val="000F7504"/>
    <w:rsid w:val="00100013"/>
    <w:rsid w:val="001002C4"/>
    <w:rsid w:val="0010086F"/>
    <w:rsid w:val="00102D44"/>
    <w:rsid w:val="001033BF"/>
    <w:rsid w:val="0010387C"/>
    <w:rsid w:val="00103A26"/>
    <w:rsid w:val="0010552B"/>
    <w:rsid w:val="001055F3"/>
    <w:rsid w:val="0010669C"/>
    <w:rsid w:val="00107BBE"/>
    <w:rsid w:val="001115C2"/>
    <w:rsid w:val="00111DEF"/>
    <w:rsid w:val="00112BBE"/>
    <w:rsid w:val="0011381C"/>
    <w:rsid w:val="00113E98"/>
    <w:rsid w:val="00114363"/>
    <w:rsid w:val="00116584"/>
    <w:rsid w:val="00116BA2"/>
    <w:rsid w:val="00117661"/>
    <w:rsid w:val="00123127"/>
    <w:rsid w:val="00124726"/>
    <w:rsid w:val="0013060D"/>
    <w:rsid w:val="00130F3F"/>
    <w:rsid w:val="0013198E"/>
    <w:rsid w:val="0013224B"/>
    <w:rsid w:val="001354C7"/>
    <w:rsid w:val="0013593F"/>
    <w:rsid w:val="001374E2"/>
    <w:rsid w:val="00137503"/>
    <w:rsid w:val="00137F71"/>
    <w:rsid w:val="00141D95"/>
    <w:rsid w:val="00141EFA"/>
    <w:rsid w:val="00143853"/>
    <w:rsid w:val="001442F7"/>
    <w:rsid w:val="00146267"/>
    <w:rsid w:val="001471F7"/>
    <w:rsid w:val="0014765D"/>
    <w:rsid w:val="00151A0F"/>
    <w:rsid w:val="00151CBB"/>
    <w:rsid w:val="00152519"/>
    <w:rsid w:val="00152E9C"/>
    <w:rsid w:val="0015312B"/>
    <w:rsid w:val="001546DB"/>
    <w:rsid w:val="001550EC"/>
    <w:rsid w:val="001559CA"/>
    <w:rsid w:val="00155B10"/>
    <w:rsid w:val="00157D9A"/>
    <w:rsid w:val="00161325"/>
    <w:rsid w:val="00166E26"/>
    <w:rsid w:val="00167CEA"/>
    <w:rsid w:val="00167EC9"/>
    <w:rsid w:val="00170217"/>
    <w:rsid w:val="00172190"/>
    <w:rsid w:val="001723F0"/>
    <w:rsid w:val="0017747E"/>
    <w:rsid w:val="001775C3"/>
    <w:rsid w:val="00177799"/>
    <w:rsid w:val="00177FB7"/>
    <w:rsid w:val="00180614"/>
    <w:rsid w:val="00181593"/>
    <w:rsid w:val="0018178E"/>
    <w:rsid w:val="001817F0"/>
    <w:rsid w:val="00183791"/>
    <w:rsid w:val="0018392F"/>
    <w:rsid w:val="00187962"/>
    <w:rsid w:val="00187A2C"/>
    <w:rsid w:val="001905BC"/>
    <w:rsid w:val="0019093E"/>
    <w:rsid w:val="00190D1E"/>
    <w:rsid w:val="00190F71"/>
    <w:rsid w:val="00193F8D"/>
    <w:rsid w:val="00193FD3"/>
    <w:rsid w:val="00194B51"/>
    <w:rsid w:val="00194D41"/>
    <w:rsid w:val="001A08B2"/>
    <w:rsid w:val="001A1118"/>
    <w:rsid w:val="001A2C81"/>
    <w:rsid w:val="001A2F53"/>
    <w:rsid w:val="001A39C5"/>
    <w:rsid w:val="001A41AA"/>
    <w:rsid w:val="001A43BF"/>
    <w:rsid w:val="001A4A7D"/>
    <w:rsid w:val="001A551A"/>
    <w:rsid w:val="001A5FB4"/>
    <w:rsid w:val="001A6CB8"/>
    <w:rsid w:val="001A7202"/>
    <w:rsid w:val="001A7565"/>
    <w:rsid w:val="001B171D"/>
    <w:rsid w:val="001B2217"/>
    <w:rsid w:val="001B294E"/>
    <w:rsid w:val="001B29CA"/>
    <w:rsid w:val="001B31E7"/>
    <w:rsid w:val="001B4262"/>
    <w:rsid w:val="001B4F3C"/>
    <w:rsid w:val="001B5160"/>
    <w:rsid w:val="001B6CDD"/>
    <w:rsid w:val="001B72E5"/>
    <w:rsid w:val="001B7A17"/>
    <w:rsid w:val="001B7D78"/>
    <w:rsid w:val="001C1373"/>
    <w:rsid w:val="001C2551"/>
    <w:rsid w:val="001C3037"/>
    <w:rsid w:val="001C30D1"/>
    <w:rsid w:val="001C376A"/>
    <w:rsid w:val="001C4A39"/>
    <w:rsid w:val="001C4DAD"/>
    <w:rsid w:val="001C530D"/>
    <w:rsid w:val="001C5C5F"/>
    <w:rsid w:val="001D0EC2"/>
    <w:rsid w:val="001D16CA"/>
    <w:rsid w:val="001D1B9C"/>
    <w:rsid w:val="001D2957"/>
    <w:rsid w:val="001D354F"/>
    <w:rsid w:val="001D39FF"/>
    <w:rsid w:val="001D6100"/>
    <w:rsid w:val="001D6E35"/>
    <w:rsid w:val="001D7FFE"/>
    <w:rsid w:val="001E15AF"/>
    <w:rsid w:val="001E1846"/>
    <w:rsid w:val="001E47CB"/>
    <w:rsid w:val="001E48A6"/>
    <w:rsid w:val="001E60BC"/>
    <w:rsid w:val="001E61E5"/>
    <w:rsid w:val="001F0FF4"/>
    <w:rsid w:val="001F2E2A"/>
    <w:rsid w:val="001F3040"/>
    <w:rsid w:val="001F596F"/>
    <w:rsid w:val="001F5B4D"/>
    <w:rsid w:val="001F6E37"/>
    <w:rsid w:val="001F7BAD"/>
    <w:rsid w:val="00201B07"/>
    <w:rsid w:val="002034FC"/>
    <w:rsid w:val="00204BAB"/>
    <w:rsid w:val="00205D50"/>
    <w:rsid w:val="00207379"/>
    <w:rsid w:val="00210337"/>
    <w:rsid w:val="002131A8"/>
    <w:rsid w:val="00213F77"/>
    <w:rsid w:val="002152CC"/>
    <w:rsid w:val="00217EC4"/>
    <w:rsid w:val="002228A1"/>
    <w:rsid w:val="00222DB6"/>
    <w:rsid w:val="00223447"/>
    <w:rsid w:val="00223627"/>
    <w:rsid w:val="00223A55"/>
    <w:rsid w:val="00223DF8"/>
    <w:rsid w:val="002268B8"/>
    <w:rsid w:val="0022700C"/>
    <w:rsid w:val="002313EA"/>
    <w:rsid w:val="002314A6"/>
    <w:rsid w:val="00231771"/>
    <w:rsid w:val="002345A8"/>
    <w:rsid w:val="002352DA"/>
    <w:rsid w:val="002356A8"/>
    <w:rsid w:val="00235F7D"/>
    <w:rsid w:val="00242C7B"/>
    <w:rsid w:val="0024481B"/>
    <w:rsid w:val="00244F33"/>
    <w:rsid w:val="00244F5D"/>
    <w:rsid w:val="00245C84"/>
    <w:rsid w:val="00246F89"/>
    <w:rsid w:val="00247513"/>
    <w:rsid w:val="00247BF4"/>
    <w:rsid w:val="00250767"/>
    <w:rsid w:val="00251436"/>
    <w:rsid w:val="00251DC8"/>
    <w:rsid w:val="00252173"/>
    <w:rsid w:val="00252468"/>
    <w:rsid w:val="00253454"/>
    <w:rsid w:val="00253E28"/>
    <w:rsid w:val="0025441D"/>
    <w:rsid w:val="0025479E"/>
    <w:rsid w:val="00254A55"/>
    <w:rsid w:val="00254AA2"/>
    <w:rsid w:val="00255B33"/>
    <w:rsid w:val="0026013A"/>
    <w:rsid w:val="00261092"/>
    <w:rsid w:val="002616AA"/>
    <w:rsid w:val="00262C6A"/>
    <w:rsid w:val="002657BC"/>
    <w:rsid w:val="00265CB5"/>
    <w:rsid w:val="002675BC"/>
    <w:rsid w:val="00267F70"/>
    <w:rsid w:val="0027058E"/>
    <w:rsid w:val="002706B8"/>
    <w:rsid w:val="00272682"/>
    <w:rsid w:val="002734B7"/>
    <w:rsid w:val="002759F0"/>
    <w:rsid w:val="00276C61"/>
    <w:rsid w:val="00280DE1"/>
    <w:rsid w:val="0028186E"/>
    <w:rsid w:val="0028336F"/>
    <w:rsid w:val="00283509"/>
    <w:rsid w:val="00283655"/>
    <w:rsid w:val="00284C85"/>
    <w:rsid w:val="002855E9"/>
    <w:rsid w:val="00285CE5"/>
    <w:rsid w:val="002872A8"/>
    <w:rsid w:val="00287890"/>
    <w:rsid w:val="00291B27"/>
    <w:rsid w:val="00291E65"/>
    <w:rsid w:val="00292FB2"/>
    <w:rsid w:val="002953D0"/>
    <w:rsid w:val="00296D36"/>
    <w:rsid w:val="002A036F"/>
    <w:rsid w:val="002A06E4"/>
    <w:rsid w:val="002A1D56"/>
    <w:rsid w:val="002A346B"/>
    <w:rsid w:val="002B0481"/>
    <w:rsid w:val="002B1057"/>
    <w:rsid w:val="002B2455"/>
    <w:rsid w:val="002B2FA4"/>
    <w:rsid w:val="002B3F5D"/>
    <w:rsid w:val="002B413B"/>
    <w:rsid w:val="002B49FA"/>
    <w:rsid w:val="002B50C1"/>
    <w:rsid w:val="002B6269"/>
    <w:rsid w:val="002B6313"/>
    <w:rsid w:val="002B71C1"/>
    <w:rsid w:val="002C010D"/>
    <w:rsid w:val="002C17A1"/>
    <w:rsid w:val="002C1FDE"/>
    <w:rsid w:val="002C2384"/>
    <w:rsid w:val="002C2677"/>
    <w:rsid w:val="002C39C2"/>
    <w:rsid w:val="002C6419"/>
    <w:rsid w:val="002C77D0"/>
    <w:rsid w:val="002C7948"/>
    <w:rsid w:val="002D0B5E"/>
    <w:rsid w:val="002D0E0B"/>
    <w:rsid w:val="002D19C1"/>
    <w:rsid w:val="002D1DD2"/>
    <w:rsid w:val="002D226F"/>
    <w:rsid w:val="002D298D"/>
    <w:rsid w:val="002D368A"/>
    <w:rsid w:val="002D420F"/>
    <w:rsid w:val="002D5038"/>
    <w:rsid w:val="002D5408"/>
    <w:rsid w:val="002D5822"/>
    <w:rsid w:val="002D6147"/>
    <w:rsid w:val="002D6EC5"/>
    <w:rsid w:val="002D74A6"/>
    <w:rsid w:val="002E1E9C"/>
    <w:rsid w:val="002E2669"/>
    <w:rsid w:val="002E351B"/>
    <w:rsid w:val="002E4468"/>
    <w:rsid w:val="002E452F"/>
    <w:rsid w:val="002E5C0C"/>
    <w:rsid w:val="002E68A0"/>
    <w:rsid w:val="002E6F71"/>
    <w:rsid w:val="002E70B6"/>
    <w:rsid w:val="002E7D4C"/>
    <w:rsid w:val="002F06C8"/>
    <w:rsid w:val="002F16E7"/>
    <w:rsid w:val="002F2273"/>
    <w:rsid w:val="002F3356"/>
    <w:rsid w:val="002F3997"/>
    <w:rsid w:val="002F5296"/>
    <w:rsid w:val="002F5526"/>
    <w:rsid w:val="002F6268"/>
    <w:rsid w:val="00300208"/>
    <w:rsid w:val="0030121C"/>
    <w:rsid w:val="0030203D"/>
    <w:rsid w:val="003036C5"/>
    <w:rsid w:val="00303A52"/>
    <w:rsid w:val="0030417E"/>
    <w:rsid w:val="0030438F"/>
    <w:rsid w:val="00305E05"/>
    <w:rsid w:val="0030624D"/>
    <w:rsid w:val="00307680"/>
    <w:rsid w:val="0031036F"/>
    <w:rsid w:val="00310D77"/>
    <w:rsid w:val="00311AF0"/>
    <w:rsid w:val="00311E11"/>
    <w:rsid w:val="00311F74"/>
    <w:rsid w:val="00313596"/>
    <w:rsid w:val="00314A86"/>
    <w:rsid w:val="003151FE"/>
    <w:rsid w:val="0031522A"/>
    <w:rsid w:val="00315598"/>
    <w:rsid w:val="00317612"/>
    <w:rsid w:val="003176C0"/>
    <w:rsid w:val="003177AF"/>
    <w:rsid w:val="0032168B"/>
    <w:rsid w:val="003219C2"/>
    <w:rsid w:val="00322784"/>
    <w:rsid w:val="003230E0"/>
    <w:rsid w:val="003240AE"/>
    <w:rsid w:val="0032452D"/>
    <w:rsid w:val="003248AA"/>
    <w:rsid w:val="00324F76"/>
    <w:rsid w:val="00327ACA"/>
    <w:rsid w:val="00330D2B"/>
    <w:rsid w:val="00331751"/>
    <w:rsid w:val="00331D0E"/>
    <w:rsid w:val="00332BC2"/>
    <w:rsid w:val="003332F3"/>
    <w:rsid w:val="00334BF8"/>
    <w:rsid w:val="00334DA6"/>
    <w:rsid w:val="00335EA4"/>
    <w:rsid w:val="0033689B"/>
    <w:rsid w:val="00340AF8"/>
    <w:rsid w:val="003412D7"/>
    <w:rsid w:val="00341E96"/>
    <w:rsid w:val="00342657"/>
    <w:rsid w:val="00343D4B"/>
    <w:rsid w:val="003444FD"/>
    <w:rsid w:val="00345032"/>
    <w:rsid w:val="00345E0A"/>
    <w:rsid w:val="003460A3"/>
    <w:rsid w:val="003473F5"/>
    <w:rsid w:val="00347EED"/>
    <w:rsid w:val="00347FA1"/>
    <w:rsid w:val="003503D7"/>
    <w:rsid w:val="00350918"/>
    <w:rsid w:val="0035423F"/>
    <w:rsid w:val="003551A3"/>
    <w:rsid w:val="003556C5"/>
    <w:rsid w:val="00355C6B"/>
    <w:rsid w:val="00360EA8"/>
    <w:rsid w:val="00361A85"/>
    <w:rsid w:val="00361E7E"/>
    <w:rsid w:val="003701E3"/>
    <w:rsid w:val="00370384"/>
    <w:rsid w:val="00371A4B"/>
    <w:rsid w:val="00372517"/>
    <w:rsid w:val="00372730"/>
    <w:rsid w:val="003728E0"/>
    <w:rsid w:val="00375131"/>
    <w:rsid w:val="00375E4E"/>
    <w:rsid w:val="003775FF"/>
    <w:rsid w:val="00377FED"/>
    <w:rsid w:val="00382953"/>
    <w:rsid w:val="00382B23"/>
    <w:rsid w:val="00382B79"/>
    <w:rsid w:val="00384AC0"/>
    <w:rsid w:val="00384F44"/>
    <w:rsid w:val="003862AD"/>
    <w:rsid w:val="003864FE"/>
    <w:rsid w:val="003911EA"/>
    <w:rsid w:val="00393110"/>
    <w:rsid w:val="00394973"/>
    <w:rsid w:val="003964E1"/>
    <w:rsid w:val="003A1569"/>
    <w:rsid w:val="003A3612"/>
    <w:rsid w:val="003A36E8"/>
    <w:rsid w:val="003A564C"/>
    <w:rsid w:val="003A646D"/>
    <w:rsid w:val="003A71A0"/>
    <w:rsid w:val="003A7D7A"/>
    <w:rsid w:val="003B1421"/>
    <w:rsid w:val="003B1964"/>
    <w:rsid w:val="003B27B1"/>
    <w:rsid w:val="003B2960"/>
    <w:rsid w:val="003B37C6"/>
    <w:rsid w:val="003B3903"/>
    <w:rsid w:val="003B50B3"/>
    <w:rsid w:val="003B534E"/>
    <w:rsid w:val="003B65F7"/>
    <w:rsid w:val="003B7A70"/>
    <w:rsid w:val="003C0E66"/>
    <w:rsid w:val="003C1200"/>
    <w:rsid w:val="003C1CF3"/>
    <w:rsid w:val="003C26CB"/>
    <w:rsid w:val="003C3FAE"/>
    <w:rsid w:val="003C4CF3"/>
    <w:rsid w:val="003C4E9D"/>
    <w:rsid w:val="003C5069"/>
    <w:rsid w:val="003C643B"/>
    <w:rsid w:val="003C7A98"/>
    <w:rsid w:val="003C7C25"/>
    <w:rsid w:val="003C7D6A"/>
    <w:rsid w:val="003D00FC"/>
    <w:rsid w:val="003D4226"/>
    <w:rsid w:val="003D5922"/>
    <w:rsid w:val="003D5BC5"/>
    <w:rsid w:val="003D600C"/>
    <w:rsid w:val="003D6BFC"/>
    <w:rsid w:val="003D7C7B"/>
    <w:rsid w:val="003E021F"/>
    <w:rsid w:val="003E3349"/>
    <w:rsid w:val="003E3441"/>
    <w:rsid w:val="003E3E24"/>
    <w:rsid w:val="003E5C4E"/>
    <w:rsid w:val="003E6CA4"/>
    <w:rsid w:val="003E7DC2"/>
    <w:rsid w:val="003E7F54"/>
    <w:rsid w:val="003E7F82"/>
    <w:rsid w:val="003F148D"/>
    <w:rsid w:val="003F1B2F"/>
    <w:rsid w:val="003F1BDE"/>
    <w:rsid w:val="003F2FEE"/>
    <w:rsid w:val="003F3A6E"/>
    <w:rsid w:val="003F4C09"/>
    <w:rsid w:val="003F50AC"/>
    <w:rsid w:val="003F5348"/>
    <w:rsid w:val="003F54E2"/>
    <w:rsid w:val="003F55A4"/>
    <w:rsid w:val="003F64C1"/>
    <w:rsid w:val="003F6FAE"/>
    <w:rsid w:val="004013D0"/>
    <w:rsid w:val="00401DC1"/>
    <w:rsid w:val="004057A8"/>
    <w:rsid w:val="004060E1"/>
    <w:rsid w:val="0040674C"/>
    <w:rsid w:val="00407335"/>
    <w:rsid w:val="004073A1"/>
    <w:rsid w:val="0040754F"/>
    <w:rsid w:val="00410A95"/>
    <w:rsid w:val="00410B89"/>
    <w:rsid w:val="00412E34"/>
    <w:rsid w:val="00413B8E"/>
    <w:rsid w:val="00417D55"/>
    <w:rsid w:val="00420666"/>
    <w:rsid w:val="00423278"/>
    <w:rsid w:val="004245A8"/>
    <w:rsid w:val="004254A6"/>
    <w:rsid w:val="0042554C"/>
    <w:rsid w:val="004260CA"/>
    <w:rsid w:val="00426798"/>
    <w:rsid w:val="00426B7D"/>
    <w:rsid w:val="0043094B"/>
    <w:rsid w:val="004310C3"/>
    <w:rsid w:val="00431133"/>
    <w:rsid w:val="004319BA"/>
    <w:rsid w:val="0043308A"/>
    <w:rsid w:val="00433664"/>
    <w:rsid w:val="00436887"/>
    <w:rsid w:val="0044158C"/>
    <w:rsid w:val="00441BDB"/>
    <w:rsid w:val="004422AC"/>
    <w:rsid w:val="00442AF3"/>
    <w:rsid w:val="00442EE3"/>
    <w:rsid w:val="00443B90"/>
    <w:rsid w:val="00444007"/>
    <w:rsid w:val="00444294"/>
    <w:rsid w:val="00444513"/>
    <w:rsid w:val="00444B39"/>
    <w:rsid w:val="00445A23"/>
    <w:rsid w:val="004461A6"/>
    <w:rsid w:val="00447F04"/>
    <w:rsid w:val="004511EA"/>
    <w:rsid w:val="00451DB4"/>
    <w:rsid w:val="004524D4"/>
    <w:rsid w:val="004528A0"/>
    <w:rsid w:val="00453F19"/>
    <w:rsid w:val="00455D69"/>
    <w:rsid w:val="00455FDB"/>
    <w:rsid w:val="00457596"/>
    <w:rsid w:val="004614B0"/>
    <w:rsid w:val="00462C54"/>
    <w:rsid w:val="00463B64"/>
    <w:rsid w:val="00464310"/>
    <w:rsid w:val="004644C3"/>
    <w:rsid w:val="004644F7"/>
    <w:rsid w:val="00466680"/>
    <w:rsid w:val="00466C35"/>
    <w:rsid w:val="0046718D"/>
    <w:rsid w:val="0046796B"/>
    <w:rsid w:val="004679EE"/>
    <w:rsid w:val="00467ABF"/>
    <w:rsid w:val="00470CE5"/>
    <w:rsid w:val="00471203"/>
    <w:rsid w:val="00471C27"/>
    <w:rsid w:val="004739C6"/>
    <w:rsid w:val="0047409F"/>
    <w:rsid w:val="00475854"/>
    <w:rsid w:val="00475892"/>
    <w:rsid w:val="00477904"/>
    <w:rsid w:val="004802D4"/>
    <w:rsid w:val="00480517"/>
    <w:rsid w:val="00481F8B"/>
    <w:rsid w:val="0048201F"/>
    <w:rsid w:val="00482DDE"/>
    <w:rsid w:val="0048409E"/>
    <w:rsid w:val="00484C9B"/>
    <w:rsid w:val="00484C9E"/>
    <w:rsid w:val="0048543D"/>
    <w:rsid w:val="00485C6F"/>
    <w:rsid w:val="0048692F"/>
    <w:rsid w:val="00487508"/>
    <w:rsid w:val="00491159"/>
    <w:rsid w:val="00492020"/>
    <w:rsid w:val="00492710"/>
    <w:rsid w:val="00493F77"/>
    <w:rsid w:val="00497C26"/>
    <w:rsid w:val="004A0EBC"/>
    <w:rsid w:val="004A125A"/>
    <w:rsid w:val="004A26FB"/>
    <w:rsid w:val="004A2BEE"/>
    <w:rsid w:val="004A3C35"/>
    <w:rsid w:val="004A41A6"/>
    <w:rsid w:val="004A43E8"/>
    <w:rsid w:val="004A4D22"/>
    <w:rsid w:val="004A51FF"/>
    <w:rsid w:val="004A6324"/>
    <w:rsid w:val="004A67C2"/>
    <w:rsid w:val="004A6985"/>
    <w:rsid w:val="004A6DCC"/>
    <w:rsid w:val="004A7546"/>
    <w:rsid w:val="004B0FEF"/>
    <w:rsid w:val="004B39F9"/>
    <w:rsid w:val="004B5A01"/>
    <w:rsid w:val="004B624A"/>
    <w:rsid w:val="004B7828"/>
    <w:rsid w:val="004C1686"/>
    <w:rsid w:val="004C16F9"/>
    <w:rsid w:val="004C1875"/>
    <w:rsid w:val="004C23D9"/>
    <w:rsid w:val="004C250C"/>
    <w:rsid w:val="004C3A17"/>
    <w:rsid w:val="004C3D33"/>
    <w:rsid w:val="004C4E8E"/>
    <w:rsid w:val="004C4EC5"/>
    <w:rsid w:val="004C533C"/>
    <w:rsid w:val="004C5799"/>
    <w:rsid w:val="004C580D"/>
    <w:rsid w:val="004C7BF2"/>
    <w:rsid w:val="004C7E6D"/>
    <w:rsid w:val="004C7F96"/>
    <w:rsid w:val="004D1D3A"/>
    <w:rsid w:val="004D1D5B"/>
    <w:rsid w:val="004D1D72"/>
    <w:rsid w:val="004D235E"/>
    <w:rsid w:val="004D35B1"/>
    <w:rsid w:val="004D4361"/>
    <w:rsid w:val="004D4A62"/>
    <w:rsid w:val="004D6E05"/>
    <w:rsid w:val="004D75DC"/>
    <w:rsid w:val="004D7723"/>
    <w:rsid w:val="004D7D48"/>
    <w:rsid w:val="004D7ECE"/>
    <w:rsid w:val="004E0313"/>
    <w:rsid w:val="004E079C"/>
    <w:rsid w:val="004E0CD0"/>
    <w:rsid w:val="004E134E"/>
    <w:rsid w:val="004E1E22"/>
    <w:rsid w:val="004E2604"/>
    <w:rsid w:val="004E2DD1"/>
    <w:rsid w:val="004E426D"/>
    <w:rsid w:val="004E4A17"/>
    <w:rsid w:val="004E6099"/>
    <w:rsid w:val="004E7ABA"/>
    <w:rsid w:val="004E7FF2"/>
    <w:rsid w:val="004F03CD"/>
    <w:rsid w:val="004F3232"/>
    <w:rsid w:val="004F3259"/>
    <w:rsid w:val="004F3C51"/>
    <w:rsid w:val="004F3DEC"/>
    <w:rsid w:val="004F4443"/>
    <w:rsid w:val="004F4E97"/>
    <w:rsid w:val="004F4EF8"/>
    <w:rsid w:val="004F7BA9"/>
    <w:rsid w:val="00500449"/>
    <w:rsid w:val="00500A63"/>
    <w:rsid w:val="0050147F"/>
    <w:rsid w:val="00501E2A"/>
    <w:rsid w:val="00502EC5"/>
    <w:rsid w:val="00503309"/>
    <w:rsid w:val="00504870"/>
    <w:rsid w:val="00505959"/>
    <w:rsid w:val="00505D87"/>
    <w:rsid w:val="00506643"/>
    <w:rsid w:val="005079BE"/>
    <w:rsid w:val="00507B1D"/>
    <w:rsid w:val="00510AAF"/>
    <w:rsid w:val="00511442"/>
    <w:rsid w:val="005144F7"/>
    <w:rsid w:val="00515B87"/>
    <w:rsid w:val="005165E3"/>
    <w:rsid w:val="00517AF9"/>
    <w:rsid w:val="00523528"/>
    <w:rsid w:val="0052450E"/>
    <w:rsid w:val="00524C58"/>
    <w:rsid w:val="005254AC"/>
    <w:rsid w:val="005254F1"/>
    <w:rsid w:val="005257A1"/>
    <w:rsid w:val="0052594F"/>
    <w:rsid w:val="005267F6"/>
    <w:rsid w:val="00527FB7"/>
    <w:rsid w:val="00530CD7"/>
    <w:rsid w:val="00532473"/>
    <w:rsid w:val="005333B9"/>
    <w:rsid w:val="00533900"/>
    <w:rsid w:val="00534FBF"/>
    <w:rsid w:val="005351FE"/>
    <w:rsid w:val="0053690F"/>
    <w:rsid w:val="005369CC"/>
    <w:rsid w:val="00541093"/>
    <w:rsid w:val="005417C8"/>
    <w:rsid w:val="005417E0"/>
    <w:rsid w:val="00542B40"/>
    <w:rsid w:val="00543510"/>
    <w:rsid w:val="005442F9"/>
    <w:rsid w:val="00550674"/>
    <w:rsid w:val="005517ED"/>
    <w:rsid w:val="00552211"/>
    <w:rsid w:val="0055226C"/>
    <w:rsid w:val="005522FC"/>
    <w:rsid w:val="0055633C"/>
    <w:rsid w:val="00556974"/>
    <w:rsid w:val="00556C31"/>
    <w:rsid w:val="00557DDE"/>
    <w:rsid w:val="00560270"/>
    <w:rsid w:val="005602D2"/>
    <w:rsid w:val="00561873"/>
    <w:rsid w:val="00565C4C"/>
    <w:rsid w:val="00566A43"/>
    <w:rsid w:val="005700EA"/>
    <w:rsid w:val="005707D1"/>
    <w:rsid w:val="005716BF"/>
    <w:rsid w:val="00572821"/>
    <w:rsid w:val="0057621A"/>
    <w:rsid w:val="005765DE"/>
    <w:rsid w:val="00577FCF"/>
    <w:rsid w:val="00580A64"/>
    <w:rsid w:val="00580BE8"/>
    <w:rsid w:val="00581893"/>
    <w:rsid w:val="00581895"/>
    <w:rsid w:val="00582379"/>
    <w:rsid w:val="005825C7"/>
    <w:rsid w:val="00582AC8"/>
    <w:rsid w:val="005833B1"/>
    <w:rsid w:val="00583406"/>
    <w:rsid w:val="0058562D"/>
    <w:rsid w:val="00587B4E"/>
    <w:rsid w:val="005931BC"/>
    <w:rsid w:val="0059437D"/>
    <w:rsid w:val="0059514D"/>
    <w:rsid w:val="00595304"/>
    <w:rsid w:val="00597392"/>
    <w:rsid w:val="005977FE"/>
    <w:rsid w:val="005A10AD"/>
    <w:rsid w:val="005A1807"/>
    <w:rsid w:val="005A1E33"/>
    <w:rsid w:val="005A349F"/>
    <w:rsid w:val="005A452A"/>
    <w:rsid w:val="005A5CDF"/>
    <w:rsid w:val="005A758D"/>
    <w:rsid w:val="005A7838"/>
    <w:rsid w:val="005A7846"/>
    <w:rsid w:val="005A7D19"/>
    <w:rsid w:val="005B1567"/>
    <w:rsid w:val="005B2540"/>
    <w:rsid w:val="005B3996"/>
    <w:rsid w:val="005B3F3D"/>
    <w:rsid w:val="005B6914"/>
    <w:rsid w:val="005B6BFE"/>
    <w:rsid w:val="005B6DF5"/>
    <w:rsid w:val="005B735C"/>
    <w:rsid w:val="005C06F8"/>
    <w:rsid w:val="005C1055"/>
    <w:rsid w:val="005C2DBB"/>
    <w:rsid w:val="005C3578"/>
    <w:rsid w:val="005C366B"/>
    <w:rsid w:val="005C3EDB"/>
    <w:rsid w:val="005C47A7"/>
    <w:rsid w:val="005C4FD2"/>
    <w:rsid w:val="005C63E7"/>
    <w:rsid w:val="005D0949"/>
    <w:rsid w:val="005D0E93"/>
    <w:rsid w:val="005D2215"/>
    <w:rsid w:val="005D2882"/>
    <w:rsid w:val="005D2FB3"/>
    <w:rsid w:val="005D3C32"/>
    <w:rsid w:val="005D3DF1"/>
    <w:rsid w:val="005D4565"/>
    <w:rsid w:val="005D45C9"/>
    <w:rsid w:val="005D5C78"/>
    <w:rsid w:val="005E02DC"/>
    <w:rsid w:val="005E07E1"/>
    <w:rsid w:val="005E0C3C"/>
    <w:rsid w:val="005E13C0"/>
    <w:rsid w:val="005E159F"/>
    <w:rsid w:val="005E2A89"/>
    <w:rsid w:val="005E393F"/>
    <w:rsid w:val="005E39A6"/>
    <w:rsid w:val="005E5948"/>
    <w:rsid w:val="005E6007"/>
    <w:rsid w:val="005E70FE"/>
    <w:rsid w:val="005E7D64"/>
    <w:rsid w:val="005F0806"/>
    <w:rsid w:val="005F0BF7"/>
    <w:rsid w:val="005F0EB9"/>
    <w:rsid w:val="005F12E6"/>
    <w:rsid w:val="005F16C3"/>
    <w:rsid w:val="005F2521"/>
    <w:rsid w:val="005F5605"/>
    <w:rsid w:val="00600571"/>
    <w:rsid w:val="0060184B"/>
    <w:rsid w:val="00601A68"/>
    <w:rsid w:val="006035AA"/>
    <w:rsid w:val="006044D0"/>
    <w:rsid w:val="00604565"/>
    <w:rsid w:val="00604CA7"/>
    <w:rsid w:val="006063A9"/>
    <w:rsid w:val="00606C1A"/>
    <w:rsid w:val="006103D5"/>
    <w:rsid w:val="00610710"/>
    <w:rsid w:val="0061071A"/>
    <w:rsid w:val="00611762"/>
    <w:rsid w:val="00611840"/>
    <w:rsid w:val="006118FD"/>
    <w:rsid w:val="00611B42"/>
    <w:rsid w:val="00612378"/>
    <w:rsid w:val="00613505"/>
    <w:rsid w:val="00613FA2"/>
    <w:rsid w:val="0061579B"/>
    <w:rsid w:val="006167AE"/>
    <w:rsid w:val="00616AFF"/>
    <w:rsid w:val="00617386"/>
    <w:rsid w:val="0061741B"/>
    <w:rsid w:val="00620D6B"/>
    <w:rsid w:val="00621732"/>
    <w:rsid w:val="006246F2"/>
    <w:rsid w:val="0062527A"/>
    <w:rsid w:val="00626775"/>
    <w:rsid w:val="0062681C"/>
    <w:rsid w:val="00626CD2"/>
    <w:rsid w:val="00626F51"/>
    <w:rsid w:val="00627703"/>
    <w:rsid w:val="00630363"/>
    <w:rsid w:val="00630DD1"/>
    <w:rsid w:val="006332CF"/>
    <w:rsid w:val="0063435A"/>
    <w:rsid w:val="00635BA0"/>
    <w:rsid w:val="0064044A"/>
    <w:rsid w:val="00640833"/>
    <w:rsid w:val="00640DBC"/>
    <w:rsid w:val="006422BF"/>
    <w:rsid w:val="00642326"/>
    <w:rsid w:val="00642774"/>
    <w:rsid w:val="0064299A"/>
    <w:rsid w:val="00643640"/>
    <w:rsid w:val="006437F2"/>
    <w:rsid w:val="00643F4C"/>
    <w:rsid w:val="00644F37"/>
    <w:rsid w:val="00645083"/>
    <w:rsid w:val="00645676"/>
    <w:rsid w:val="0064679C"/>
    <w:rsid w:val="00651481"/>
    <w:rsid w:val="00651905"/>
    <w:rsid w:val="00654821"/>
    <w:rsid w:val="00654D45"/>
    <w:rsid w:val="006555BC"/>
    <w:rsid w:val="0065569A"/>
    <w:rsid w:val="006556BE"/>
    <w:rsid w:val="006558C4"/>
    <w:rsid w:val="00655963"/>
    <w:rsid w:val="00656F45"/>
    <w:rsid w:val="006577DA"/>
    <w:rsid w:val="00664B9D"/>
    <w:rsid w:val="00665B60"/>
    <w:rsid w:val="006663A2"/>
    <w:rsid w:val="0067188D"/>
    <w:rsid w:val="00672232"/>
    <w:rsid w:val="00673478"/>
    <w:rsid w:val="006744FD"/>
    <w:rsid w:val="0067510F"/>
    <w:rsid w:val="006756F1"/>
    <w:rsid w:val="006778E8"/>
    <w:rsid w:val="00681035"/>
    <w:rsid w:val="00681BFE"/>
    <w:rsid w:val="00681F87"/>
    <w:rsid w:val="0068427C"/>
    <w:rsid w:val="00685177"/>
    <w:rsid w:val="00685A88"/>
    <w:rsid w:val="0069166A"/>
    <w:rsid w:val="00693A16"/>
    <w:rsid w:val="00693F6C"/>
    <w:rsid w:val="00694FFE"/>
    <w:rsid w:val="00695636"/>
    <w:rsid w:val="0069579C"/>
    <w:rsid w:val="006963F2"/>
    <w:rsid w:val="0069742F"/>
    <w:rsid w:val="006A0F52"/>
    <w:rsid w:val="006A2214"/>
    <w:rsid w:val="006A32EB"/>
    <w:rsid w:val="006A5DE6"/>
    <w:rsid w:val="006A6A5C"/>
    <w:rsid w:val="006A6FAF"/>
    <w:rsid w:val="006A768D"/>
    <w:rsid w:val="006A7C51"/>
    <w:rsid w:val="006B0BC7"/>
    <w:rsid w:val="006B0E9C"/>
    <w:rsid w:val="006B12AE"/>
    <w:rsid w:val="006B184B"/>
    <w:rsid w:val="006B1D5E"/>
    <w:rsid w:val="006B2A66"/>
    <w:rsid w:val="006B4A5B"/>
    <w:rsid w:val="006B5A4D"/>
    <w:rsid w:val="006B74BE"/>
    <w:rsid w:val="006B798F"/>
    <w:rsid w:val="006C0A64"/>
    <w:rsid w:val="006C2531"/>
    <w:rsid w:val="006C371C"/>
    <w:rsid w:val="006C3EF8"/>
    <w:rsid w:val="006C54F0"/>
    <w:rsid w:val="006C6951"/>
    <w:rsid w:val="006C7F3C"/>
    <w:rsid w:val="006D0E11"/>
    <w:rsid w:val="006D139D"/>
    <w:rsid w:val="006D1465"/>
    <w:rsid w:val="006D24EE"/>
    <w:rsid w:val="006D2598"/>
    <w:rsid w:val="006D285D"/>
    <w:rsid w:val="006D3402"/>
    <w:rsid w:val="006D3BBA"/>
    <w:rsid w:val="006D3D2B"/>
    <w:rsid w:val="006D3D2C"/>
    <w:rsid w:val="006D40D1"/>
    <w:rsid w:val="006D47AF"/>
    <w:rsid w:val="006D4CAA"/>
    <w:rsid w:val="006D6298"/>
    <w:rsid w:val="006D6E3E"/>
    <w:rsid w:val="006E083D"/>
    <w:rsid w:val="006E1AC3"/>
    <w:rsid w:val="006E28C2"/>
    <w:rsid w:val="006E304E"/>
    <w:rsid w:val="006E34BB"/>
    <w:rsid w:val="006E3C11"/>
    <w:rsid w:val="006E6392"/>
    <w:rsid w:val="006F2CC7"/>
    <w:rsid w:val="006F3896"/>
    <w:rsid w:val="006F740E"/>
    <w:rsid w:val="006F7915"/>
    <w:rsid w:val="006F7ACB"/>
    <w:rsid w:val="006F7FA5"/>
    <w:rsid w:val="00700C74"/>
    <w:rsid w:val="00701AE9"/>
    <w:rsid w:val="00702879"/>
    <w:rsid w:val="007061DD"/>
    <w:rsid w:val="00707CC8"/>
    <w:rsid w:val="0071001C"/>
    <w:rsid w:val="007104B1"/>
    <w:rsid w:val="00711849"/>
    <w:rsid w:val="00713CA6"/>
    <w:rsid w:val="007153D2"/>
    <w:rsid w:val="00715BBF"/>
    <w:rsid w:val="00715E97"/>
    <w:rsid w:val="007179B7"/>
    <w:rsid w:val="00717D5C"/>
    <w:rsid w:val="00717FBE"/>
    <w:rsid w:val="00721DC9"/>
    <w:rsid w:val="00723601"/>
    <w:rsid w:val="007241CF"/>
    <w:rsid w:val="00725495"/>
    <w:rsid w:val="00726297"/>
    <w:rsid w:val="007262C4"/>
    <w:rsid w:val="00726929"/>
    <w:rsid w:val="007334A7"/>
    <w:rsid w:val="00733FE2"/>
    <w:rsid w:val="00735DDC"/>
    <w:rsid w:val="00736A3A"/>
    <w:rsid w:val="007375E3"/>
    <w:rsid w:val="00737FE7"/>
    <w:rsid w:val="007408E8"/>
    <w:rsid w:val="00740AAA"/>
    <w:rsid w:val="00741E42"/>
    <w:rsid w:val="0074428E"/>
    <w:rsid w:val="00745EEC"/>
    <w:rsid w:val="007461E3"/>
    <w:rsid w:val="0075077C"/>
    <w:rsid w:val="00750808"/>
    <w:rsid w:val="0075108E"/>
    <w:rsid w:val="007552CD"/>
    <w:rsid w:val="00756616"/>
    <w:rsid w:val="00757B87"/>
    <w:rsid w:val="00761FBD"/>
    <w:rsid w:val="00762D6D"/>
    <w:rsid w:val="007633E7"/>
    <w:rsid w:val="00763FFC"/>
    <w:rsid w:val="007650EA"/>
    <w:rsid w:val="007677B5"/>
    <w:rsid w:val="00772875"/>
    <w:rsid w:val="00773100"/>
    <w:rsid w:val="00775AFC"/>
    <w:rsid w:val="00776649"/>
    <w:rsid w:val="00776684"/>
    <w:rsid w:val="00780A82"/>
    <w:rsid w:val="00780BEB"/>
    <w:rsid w:val="00780DCC"/>
    <w:rsid w:val="00781AAD"/>
    <w:rsid w:val="00782182"/>
    <w:rsid w:val="00782B34"/>
    <w:rsid w:val="00782B72"/>
    <w:rsid w:val="00783078"/>
    <w:rsid w:val="007830BF"/>
    <w:rsid w:val="00783301"/>
    <w:rsid w:val="00784529"/>
    <w:rsid w:val="00786A1C"/>
    <w:rsid w:val="00792053"/>
    <w:rsid w:val="00792C34"/>
    <w:rsid w:val="007935DB"/>
    <w:rsid w:val="00793E98"/>
    <w:rsid w:val="007940D2"/>
    <w:rsid w:val="007941FB"/>
    <w:rsid w:val="00795111"/>
    <w:rsid w:val="0079565A"/>
    <w:rsid w:val="00796FA6"/>
    <w:rsid w:val="00796FE4"/>
    <w:rsid w:val="007A0650"/>
    <w:rsid w:val="007A2068"/>
    <w:rsid w:val="007A20C3"/>
    <w:rsid w:val="007A2E55"/>
    <w:rsid w:val="007A32D2"/>
    <w:rsid w:val="007A4A9C"/>
    <w:rsid w:val="007A4DF7"/>
    <w:rsid w:val="007A5662"/>
    <w:rsid w:val="007A5E5B"/>
    <w:rsid w:val="007A6EE7"/>
    <w:rsid w:val="007A6F64"/>
    <w:rsid w:val="007B1154"/>
    <w:rsid w:val="007B11F8"/>
    <w:rsid w:val="007B3657"/>
    <w:rsid w:val="007B4822"/>
    <w:rsid w:val="007C0128"/>
    <w:rsid w:val="007C0400"/>
    <w:rsid w:val="007C17B2"/>
    <w:rsid w:val="007C29CB"/>
    <w:rsid w:val="007C3EBE"/>
    <w:rsid w:val="007C4E0F"/>
    <w:rsid w:val="007C7066"/>
    <w:rsid w:val="007C77E1"/>
    <w:rsid w:val="007C7B1F"/>
    <w:rsid w:val="007D050A"/>
    <w:rsid w:val="007D0A80"/>
    <w:rsid w:val="007D0B93"/>
    <w:rsid w:val="007D201C"/>
    <w:rsid w:val="007D3AC6"/>
    <w:rsid w:val="007D717B"/>
    <w:rsid w:val="007D784E"/>
    <w:rsid w:val="007D7A5D"/>
    <w:rsid w:val="007D7E9A"/>
    <w:rsid w:val="007E0DE9"/>
    <w:rsid w:val="007E2DD7"/>
    <w:rsid w:val="007E3072"/>
    <w:rsid w:val="007E357D"/>
    <w:rsid w:val="007E3ACD"/>
    <w:rsid w:val="007E3D46"/>
    <w:rsid w:val="007E3EA5"/>
    <w:rsid w:val="007E408A"/>
    <w:rsid w:val="007E5F76"/>
    <w:rsid w:val="007E630E"/>
    <w:rsid w:val="007E7F09"/>
    <w:rsid w:val="007F0D5C"/>
    <w:rsid w:val="007F0D95"/>
    <w:rsid w:val="007F1B66"/>
    <w:rsid w:val="007F28AB"/>
    <w:rsid w:val="007F2FE0"/>
    <w:rsid w:val="007F5E04"/>
    <w:rsid w:val="00800200"/>
    <w:rsid w:val="008003BC"/>
    <w:rsid w:val="00800E54"/>
    <w:rsid w:val="00801788"/>
    <w:rsid w:val="00801D72"/>
    <w:rsid w:val="00803665"/>
    <w:rsid w:val="0080443B"/>
    <w:rsid w:val="008048CD"/>
    <w:rsid w:val="00804D82"/>
    <w:rsid w:val="00805AA6"/>
    <w:rsid w:val="008068E8"/>
    <w:rsid w:val="00806E12"/>
    <w:rsid w:val="0081046C"/>
    <w:rsid w:val="00811312"/>
    <w:rsid w:val="008120D5"/>
    <w:rsid w:val="0081540D"/>
    <w:rsid w:val="0081573B"/>
    <w:rsid w:val="00817016"/>
    <w:rsid w:val="008261FD"/>
    <w:rsid w:val="008302BE"/>
    <w:rsid w:val="0083073B"/>
    <w:rsid w:val="00830A33"/>
    <w:rsid w:val="008311EC"/>
    <w:rsid w:val="00831C28"/>
    <w:rsid w:val="00832C1E"/>
    <w:rsid w:val="0083350C"/>
    <w:rsid w:val="00836899"/>
    <w:rsid w:val="00837198"/>
    <w:rsid w:val="008372C0"/>
    <w:rsid w:val="00840A65"/>
    <w:rsid w:val="0084156D"/>
    <w:rsid w:val="00841CD9"/>
    <w:rsid w:val="00841EB2"/>
    <w:rsid w:val="00842393"/>
    <w:rsid w:val="00843F2E"/>
    <w:rsid w:val="00844EFD"/>
    <w:rsid w:val="00845B2F"/>
    <w:rsid w:val="008461BD"/>
    <w:rsid w:val="00846CB3"/>
    <w:rsid w:val="00847B2C"/>
    <w:rsid w:val="00850200"/>
    <w:rsid w:val="0085101D"/>
    <w:rsid w:val="00851307"/>
    <w:rsid w:val="00853FB0"/>
    <w:rsid w:val="008554B1"/>
    <w:rsid w:val="008554D0"/>
    <w:rsid w:val="00857C2B"/>
    <w:rsid w:val="00861323"/>
    <w:rsid w:val="00862C53"/>
    <w:rsid w:val="008633ED"/>
    <w:rsid w:val="0086357A"/>
    <w:rsid w:val="008671ED"/>
    <w:rsid w:val="00867F80"/>
    <w:rsid w:val="00870930"/>
    <w:rsid w:val="00871794"/>
    <w:rsid w:val="00871CCA"/>
    <w:rsid w:val="0087403C"/>
    <w:rsid w:val="00876784"/>
    <w:rsid w:val="00876B4E"/>
    <w:rsid w:val="00877873"/>
    <w:rsid w:val="008830E5"/>
    <w:rsid w:val="00883C4D"/>
    <w:rsid w:val="008845BB"/>
    <w:rsid w:val="00884D48"/>
    <w:rsid w:val="00884EFF"/>
    <w:rsid w:val="0088500C"/>
    <w:rsid w:val="00885455"/>
    <w:rsid w:val="00885F22"/>
    <w:rsid w:val="00886589"/>
    <w:rsid w:val="00886ACA"/>
    <w:rsid w:val="0088782B"/>
    <w:rsid w:val="008911FA"/>
    <w:rsid w:val="00892191"/>
    <w:rsid w:val="00892380"/>
    <w:rsid w:val="00893A2C"/>
    <w:rsid w:val="00893D59"/>
    <w:rsid w:val="00894D0B"/>
    <w:rsid w:val="008963EC"/>
    <w:rsid w:val="00897C37"/>
    <w:rsid w:val="008A09A9"/>
    <w:rsid w:val="008A1E0E"/>
    <w:rsid w:val="008A2613"/>
    <w:rsid w:val="008A3F4E"/>
    <w:rsid w:val="008A4408"/>
    <w:rsid w:val="008A5A3A"/>
    <w:rsid w:val="008A5DEF"/>
    <w:rsid w:val="008A5FD5"/>
    <w:rsid w:val="008A66B7"/>
    <w:rsid w:val="008A7296"/>
    <w:rsid w:val="008A77DA"/>
    <w:rsid w:val="008B20E7"/>
    <w:rsid w:val="008B4887"/>
    <w:rsid w:val="008B53C7"/>
    <w:rsid w:val="008B6C3C"/>
    <w:rsid w:val="008B797A"/>
    <w:rsid w:val="008C0466"/>
    <w:rsid w:val="008C096A"/>
    <w:rsid w:val="008C190D"/>
    <w:rsid w:val="008C26E3"/>
    <w:rsid w:val="008C2764"/>
    <w:rsid w:val="008C424F"/>
    <w:rsid w:val="008C48B5"/>
    <w:rsid w:val="008C66E6"/>
    <w:rsid w:val="008C6E59"/>
    <w:rsid w:val="008D00DD"/>
    <w:rsid w:val="008D04AC"/>
    <w:rsid w:val="008D06C4"/>
    <w:rsid w:val="008D2839"/>
    <w:rsid w:val="008D3BA0"/>
    <w:rsid w:val="008D4F10"/>
    <w:rsid w:val="008D5872"/>
    <w:rsid w:val="008D5E92"/>
    <w:rsid w:val="008D6238"/>
    <w:rsid w:val="008D67EA"/>
    <w:rsid w:val="008D73F7"/>
    <w:rsid w:val="008D75F6"/>
    <w:rsid w:val="008E0048"/>
    <w:rsid w:val="008E1250"/>
    <w:rsid w:val="008E328E"/>
    <w:rsid w:val="008E37DB"/>
    <w:rsid w:val="008E38C1"/>
    <w:rsid w:val="008E3DDF"/>
    <w:rsid w:val="008E3E9A"/>
    <w:rsid w:val="008E5190"/>
    <w:rsid w:val="008E56AC"/>
    <w:rsid w:val="008E5A84"/>
    <w:rsid w:val="008E7E28"/>
    <w:rsid w:val="008F0E77"/>
    <w:rsid w:val="008F248F"/>
    <w:rsid w:val="008F2B7A"/>
    <w:rsid w:val="008F38D1"/>
    <w:rsid w:val="008F3B4C"/>
    <w:rsid w:val="008F405C"/>
    <w:rsid w:val="008F4B3E"/>
    <w:rsid w:val="008F5752"/>
    <w:rsid w:val="008F603C"/>
    <w:rsid w:val="0090029D"/>
    <w:rsid w:val="00900C27"/>
    <w:rsid w:val="009010DF"/>
    <w:rsid w:val="009014FE"/>
    <w:rsid w:val="00902970"/>
    <w:rsid w:val="0090298B"/>
    <w:rsid w:val="00903D75"/>
    <w:rsid w:val="00905A12"/>
    <w:rsid w:val="0091062F"/>
    <w:rsid w:val="00912C8D"/>
    <w:rsid w:val="00912CBA"/>
    <w:rsid w:val="0091364B"/>
    <w:rsid w:val="00915B86"/>
    <w:rsid w:val="00915DCE"/>
    <w:rsid w:val="00916A5B"/>
    <w:rsid w:val="009171EC"/>
    <w:rsid w:val="0091787E"/>
    <w:rsid w:val="0091789C"/>
    <w:rsid w:val="00920B53"/>
    <w:rsid w:val="00920F08"/>
    <w:rsid w:val="00921AD3"/>
    <w:rsid w:val="009224D0"/>
    <w:rsid w:val="00922828"/>
    <w:rsid w:val="009237DD"/>
    <w:rsid w:val="00923BD1"/>
    <w:rsid w:val="00925812"/>
    <w:rsid w:val="00927BB5"/>
    <w:rsid w:val="00931DF8"/>
    <w:rsid w:val="00933624"/>
    <w:rsid w:val="009339AA"/>
    <w:rsid w:val="00934683"/>
    <w:rsid w:val="00934748"/>
    <w:rsid w:val="00935607"/>
    <w:rsid w:val="009363AD"/>
    <w:rsid w:val="0093653A"/>
    <w:rsid w:val="00936957"/>
    <w:rsid w:val="0093734A"/>
    <w:rsid w:val="00940007"/>
    <w:rsid w:val="0094041D"/>
    <w:rsid w:val="009407DB"/>
    <w:rsid w:val="00941445"/>
    <w:rsid w:val="0094235A"/>
    <w:rsid w:val="009424F3"/>
    <w:rsid w:val="00942A56"/>
    <w:rsid w:val="00943DB4"/>
    <w:rsid w:val="00943E32"/>
    <w:rsid w:val="0094426A"/>
    <w:rsid w:val="009446B2"/>
    <w:rsid w:val="0094665C"/>
    <w:rsid w:val="009475B2"/>
    <w:rsid w:val="00947838"/>
    <w:rsid w:val="00950569"/>
    <w:rsid w:val="00950968"/>
    <w:rsid w:val="00955A23"/>
    <w:rsid w:val="0095737B"/>
    <w:rsid w:val="00962A33"/>
    <w:rsid w:val="00962C8C"/>
    <w:rsid w:val="009638DD"/>
    <w:rsid w:val="00963AD8"/>
    <w:rsid w:val="00964590"/>
    <w:rsid w:val="00964F6F"/>
    <w:rsid w:val="0096574C"/>
    <w:rsid w:val="00965900"/>
    <w:rsid w:val="00966331"/>
    <w:rsid w:val="00966A02"/>
    <w:rsid w:val="00970E5A"/>
    <w:rsid w:val="00970FC6"/>
    <w:rsid w:val="0097136C"/>
    <w:rsid w:val="0097202E"/>
    <w:rsid w:val="00972A29"/>
    <w:rsid w:val="00972E62"/>
    <w:rsid w:val="00973094"/>
    <w:rsid w:val="009737D1"/>
    <w:rsid w:val="00975A8F"/>
    <w:rsid w:val="009765AA"/>
    <w:rsid w:val="00977719"/>
    <w:rsid w:val="009809E7"/>
    <w:rsid w:val="00981184"/>
    <w:rsid w:val="00982528"/>
    <w:rsid w:val="0098399F"/>
    <w:rsid w:val="00984A12"/>
    <w:rsid w:val="0098537C"/>
    <w:rsid w:val="00985AC5"/>
    <w:rsid w:val="00987CD7"/>
    <w:rsid w:val="00987D9E"/>
    <w:rsid w:val="009935C2"/>
    <w:rsid w:val="009935F5"/>
    <w:rsid w:val="00993ED3"/>
    <w:rsid w:val="009952D6"/>
    <w:rsid w:val="009964F4"/>
    <w:rsid w:val="009978FA"/>
    <w:rsid w:val="009979DA"/>
    <w:rsid w:val="00997F4B"/>
    <w:rsid w:val="009A087D"/>
    <w:rsid w:val="009A20AB"/>
    <w:rsid w:val="009A25C6"/>
    <w:rsid w:val="009A3497"/>
    <w:rsid w:val="009A4989"/>
    <w:rsid w:val="009A648B"/>
    <w:rsid w:val="009A758C"/>
    <w:rsid w:val="009A7C8B"/>
    <w:rsid w:val="009B0180"/>
    <w:rsid w:val="009B0E1E"/>
    <w:rsid w:val="009B115D"/>
    <w:rsid w:val="009B16CD"/>
    <w:rsid w:val="009B19D9"/>
    <w:rsid w:val="009B1AD1"/>
    <w:rsid w:val="009B4B74"/>
    <w:rsid w:val="009B4BFF"/>
    <w:rsid w:val="009B574F"/>
    <w:rsid w:val="009B67C3"/>
    <w:rsid w:val="009C0259"/>
    <w:rsid w:val="009C2559"/>
    <w:rsid w:val="009C2972"/>
    <w:rsid w:val="009C363C"/>
    <w:rsid w:val="009C37A8"/>
    <w:rsid w:val="009C3F1B"/>
    <w:rsid w:val="009C4E12"/>
    <w:rsid w:val="009C51C2"/>
    <w:rsid w:val="009C6A70"/>
    <w:rsid w:val="009C6BBE"/>
    <w:rsid w:val="009C7AF3"/>
    <w:rsid w:val="009D0B5E"/>
    <w:rsid w:val="009D0BBA"/>
    <w:rsid w:val="009D0C98"/>
    <w:rsid w:val="009D0F1F"/>
    <w:rsid w:val="009D15EC"/>
    <w:rsid w:val="009D16C4"/>
    <w:rsid w:val="009D2A07"/>
    <w:rsid w:val="009D4A99"/>
    <w:rsid w:val="009D6F94"/>
    <w:rsid w:val="009D752A"/>
    <w:rsid w:val="009E0F5E"/>
    <w:rsid w:val="009E1C29"/>
    <w:rsid w:val="009E2EB7"/>
    <w:rsid w:val="009E41DC"/>
    <w:rsid w:val="009E4B89"/>
    <w:rsid w:val="009E5EA6"/>
    <w:rsid w:val="009F0C37"/>
    <w:rsid w:val="009F0FA7"/>
    <w:rsid w:val="009F4761"/>
    <w:rsid w:val="009F64A4"/>
    <w:rsid w:val="009F6C45"/>
    <w:rsid w:val="009F7347"/>
    <w:rsid w:val="009F7D12"/>
    <w:rsid w:val="009F7FE4"/>
    <w:rsid w:val="00A004E4"/>
    <w:rsid w:val="00A018B9"/>
    <w:rsid w:val="00A0286A"/>
    <w:rsid w:val="00A037C2"/>
    <w:rsid w:val="00A04C1D"/>
    <w:rsid w:val="00A05C7F"/>
    <w:rsid w:val="00A07081"/>
    <w:rsid w:val="00A07E5D"/>
    <w:rsid w:val="00A07FCD"/>
    <w:rsid w:val="00A10566"/>
    <w:rsid w:val="00A11194"/>
    <w:rsid w:val="00A14607"/>
    <w:rsid w:val="00A15B34"/>
    <w:rsid w:val="00A15FBB"/>
    <w:rsid w:val="00A167ED"/>
    <w:rsid w:val="00A16D5D"/>
    <w:rsid w:val="00A170F1"/>
    <w:rsid w:val="00A2177F"/>
    <w:rsid w:val="00A21EFA"/>
    <w:rsid w:val="00A21FEF"/>
    <w:rsid w:val="00A22173"/>
    <w:rsid w:val="00A237AA"/>
    <w:rsid w:val="00A2418C"/>
    <w:rsid w:val="00A24C7A"/>
    <w:rsid w:val="00A27170"/>
    <w:rsid w:val="00A2755B"/>
    <w:rsid w:val="00A303AA"/>
    <w:rsid w:val="00A32592"/>
    <w:rsid w:val="00A33508"/>
    <w:rsid w:val="00A33E8D"/>
    <w:rsid w:val="00A349DA"/>
    <w:rsid w:val="00A3575A"/>
    <w:rsid w:val="00A35CE2"/>
    <w:rsid w:val="00A37530"/>
    <w:rsid w:val="00A37F65"/>
    <w:rsid w:val="00A4134A"/>
    <w:rsid w:val="00A413B6"/>
    <w:rsid w:val="00A50DE5"/>
    <w:rsid w:val="00A512C9"/>
    <w:rsid w:val="00A512FC"/>
    <w:rsid w:val="00A51FB5"/>
    <w:rsid w:val="00A52119"/>
    <w:rsid w:val="00A5365D"/>
    <w:rsid w:val="00A546AF"/>
    <w:rsid w:val="00A54FA3"/>
    <w:rsid w:val="00A551C0"/>
    <w:rsid w:val="00A553F3"/>
    <w:rsid w:val="00A55C15"/>
    <w:rsid w:val="00A55D37"/>
    <w:rsid w:val="00A55D67"/>
    <w:rsid w:val="00A568E9"/>
    <w:rsid w:val="00A56AFB"/>
    <w:rsid w:val="00A5703A"/>
    <w:rsid w:val="00A570C2"/>
    <w:rsid w:val="00A573D3"/>
    <w:rsid w:val="00A579C1"/>
    <w:rsid w:val="00A61953"/>
    <w:rsid w:val="00A62C9E"/>
    <w:rsid w:val="00A661D2"/>
    <w:rsid w:val="00A668FF"/>
    <w:rsid w:val="00A678C0"/>
    <w:rsid w:val="00A703E6"/>
    <w:rsid w:val="00A7048E"/>
    <w:rsid w:val="00A70FF4"/>
    <w:rsid w:val="00A720F3"/>
    <w:rsid w:val="00A72D47"/>
    <w:rsid w:val="00A72E8D"/>
    <w:rsid w:val="00A75B26"/>
    <w:rsid w:val="00A76610"/>
    <w:rsid w:val="00A776C3"/>
    <w:rsid w:val="00A80AFC"/>
    <w:rsid w:val="00A80DC2"/>
    <w:rsid w:val="00A81D43"/>
    <w:rsid w:val="00A81E7D"/>
    <w:rsid w:val="00A83B20"/>
    <w:rsid w:val="00A84BEF"/>
    <w:rsid w:val="00A855C7"/>
    <w:rsid w:val="00A856D2"/>
    <w:rsid w:val="00A9185E"/>
    <w:rsid w:val="00A9285B"/>
    <w:rsid w:val="00A94D08"/>
    <w:rsid w:val="00A956DE"/>
    <w:rsid w:val="00A963B6"/>
    <w:rsid w:val="00A96550"/>
    <w:rsid w:val="00A9762C"/>
    <w:rsid w:val="00AA15A2"/>
    <w:rsid w:val="00AA1C48"/>
    <w:rsid w:val="00AA36FE"/>
    <w:rsid w:val="00AA4157"/>
    <w:rsid w:val="00AA487A"/>
    <w:rsid w:val="00AA7C2E"/>
    <w:rsid w:val="00AB06C6"/>
    <w:rsid w:val="00AB1AC8"/>
    <w:rsid w:val="00AB285B"/>
    <w:rsid w:val="00AB32C2"/>
    <w:rsid w:val="00AB3F20"/>
    <w:rsid w:val="00AB40FC"/>
    <w:rsid w:val="00AB5DE7"/>
    <w:rsid w:val="00AB64F8"/>
    <w:rsid w:val="00AB685B"/>
    <w:rsid w:val="00AB6D09"/>
    <w:rsid w:val="00AB7525"/>
    <w:rsid w:val="00AB764D"/>
    <w:rsid w:val="00AC091F"/>
    <w:rsid w:val="00AC229E"/>
    <w:rsid w:val="00AC353D"/>
    <w:rsid w:val="00AC386D"/>
    <w:rsid w:val="00AC3BA8"/>
    <w:rsid w:val="00AC45AB"/>
    <w:rsid w:val="00AC5467"/>
    <w:rsid w:val="00AC6212"/>
    <w:rsid w:val="00AC765D"/>
    <w:rsid w:val="00AD024F"/>
    <w:rsid w:val="00AD087F"/>
    <w:rsid w:val="00AD199B"/>
    <w:rsid w:val="00AD1BCA"/>
    <w:rsid w:val="00AD2EF4"/>
    <w:rsid w:val="00AD3524"/>
    <w:rsid w:val="00AD3529"/>
    <w:rsid w:val="00AD3EB3"/>
    <w:rsid w:val="00AD3F33"/>
    <w:rsid w:val="00AD49C8"/>
    <w:rsid w:val="00AD49E9"/>
    <w:rsid w:val="00AD6219"/>
    <w:rsid w:val="00AD6C8F"/>
    <w:rsid w:val="00AD6FA1"/>
    <w:rsid w:val="00AE1821"/>
    <w:rsid w:val="00AE23AB"/>
    <w:rsid w:val="00AE25D0"/>
    <w:rsid w:val="00AE2C26"/>
    <w:rsid w:val="00AE3457"/>
    <w:rsid w:val="00AE42DE"/>
    <w:rsid w:val="00AE5965"/>
    <w:rsid w:val="00AE682A"/>
    <w:rsid w:val="00AF1518"/>
    <w:rsid w:val="00AF29EF"/>
    <w:rsid w:val="00AF3812"/>
    <w:rsid w:val="00AF3A05"/>
    <w:rsid w:val="00AF3B62"/>
    <w:rsid w:val="00AF43C3"/>
    <w:rsid w:val="00AF576E"/>
    <w:rsid w:val="00AF616D"/>
    <w:rsid w:val="00AF681E"/>
    <w:rsid w:val="00B0000A"/>
    <w:rsid w:val="00B02CCF"/>
    <w:rsid w:val="00B02E73"/>
    <w:rsid w:val="00B02F50"/>
    <w:rsid w:val="00B03F5C"/>
    <w:rsid w:val="00B04E56"/>
    <w:rsid w:val="00B10214"/>
    <w:rsid w:val="00B111CB"/>
    <w:rsid w:val="00B12E27"/>
    <w:rsid w:val="00B13977"/>
    <w:rsid w:val="00B167EE"/>
    <w:rsid w:val="00B175D3"/>
    <w:rsid w:val="00B1768A"/>
    <w:rsid w:val="00B20FDF"/>
    <w:rsid w:val="00B220C2"/>
    <w:rsid w:val="00B22416"/>
    <w:rsid w:val="00B24066"/>
    <w:rsid w:val="00B2508F"/>
    <w:rsid w:val="00B25D31"/>
    <w:rsid w:val="00B2628F"/>
    <w:rsid w:val="00B26820"/>
    <w:rsid w:val="00B26BD8"/>
    <w:rsid w:val="00B26E8C"/>
    <w:rsid w:val="00B3003C"/>
    <w:rsid w:val="00B30A80"/>
    <w:rsid w:val="00B3367A"/>
    <w:rsid w:val="00B34318"/>
    <w:rsid w:val="00B35327"/>
    <w:rsid w:val="00B35AFF"/>
    <w:rsid w:val="00B36145"/>
    <w:rsid w:val="00B36F34"/>
    <w:rsid w:val="00B40A29"/>
    <w:rsid w:val="00B41E84"/>
    <w:rsid w:val="00B41EC4"/>
    <w:rsid w:val="00B447EE"/>
    <w:rsid w:val="00B44B61"/>
    <w:rsid w:val="00B44B68"/>
    <w:rsid w:val="00B44E68"/>
    <w:rsid w:val="00B45334"/>
    <w:rsid w:val="00B45686"/>
    <w:rsid w:val="00B45E31"/>
    <w:rsid w:val="00B45E8E"/>
    <w:rsid w:val="00B4633B"/>
    <w:rsid w:val="00B50815"/>
    <w:rsid w:val="00B50D79"/>
    <w:rsid w:val="00B50F9C"/>
    <w:rsid w:val="00B5209E"/>
    <w:rsid w:val="00B544A3"/>
    <w:rsid w:val="00B54E2E"/>
    <w:rsid w:val="00B55268"/>
    <w:rsid w:val="00B5591F"/>
    <w:rsid w:val="00B57755"/>
    <w:rsid w:val="00B577B9"/>
    <w:rsid w:val="00B578DA"/>
    <w:rsid w:val="00B60A53"/>
    <w:rsid w:val="00B613BE"/>
    <w:rsid w:val="00B631C2"/>
    <w:rsid w:val="00B64523"/>
    <w:rsid w:val="00B675DE"/>
    <w:rsid w:val="00B67BB2"/>
    <w:rsid w:val="00B70D5F"/>
    <w:rsid w:val="00B70D74"/>
    <w:rsid w:val="00B716E8"/>
    <w:rsid w:val="00B71B87"/>
    <w:rsid w:val="00B723B6"/>
    <w:rsid w:val="00B72D6C"/>
    <w:rsid w:val="00B75FC5"/>
    <w:rsid w:val="00B8093E"/>
    <w:rsid w:val="00B80AB8"/>
    <w:rsid w:val="00B831EB"/>
    <w:rsid w:val="00B8356A"/>
    <w:rsid w:val="00B83CF1"/>
    <w:rsid w:val="00B8628D"/>
    <w:rsid w:val="00B86F83"/>
    <w:rsid w:val="00B87EEA"/>
    <w:rsid w:val="00B90B07"/>
    <w:rsid w:val="00B916B5"/>
    <w:rsid w:val="00B92BD6"/>
    <w:rsid w:val="00B93007"/>
    <w:rsid w:val="00B96498"/>
    <w:rsid w:val="00B97B45"/>
    <w:rsid w:val="00BA012E"/>
    <w:rsid w:val="00BA1ED3"/>
    <w:rsid w:val="00BA2ED0"/>
    <w:rsid w:val="00BA30BA"/>
    <w:rsid w:val="00BA4185"/>
    <w:rsid w:val="00BA5688"/>
    <w:rsid w:val="00BA5827"/>
    <w:rsid w:val="00BA5D8A"/>
    <w:rsid w:val="00BA7805"/>
    <w:rsid w:val="00BB10AA"/>
    <w:rsid w:val="00BB12B7"/>
    <w:rsid w:val="00BB1A0B"/>
    <w:rsid w:val="00BB5156"/>
    <w:rsid w:val="00BB5A23"/>
    <w:rsid w:val="00BB772B"/>
    <w:rsid w:val="00BB7FA9"/>
    <w:rsid w:val="00BC03ED"/>
    <w:rsid w:val="00BC11EB"/>
    <w:rsid w:val="00BC1B3A"/>
    <w:rsid w:val="00BC1EE1"/>
    <w:rsid w:val="00BC23D4"/>
    <w:rsid w:val="00BC2758"/>
    <w:rsid w:val="00BC3141"/>
    <w:rsid w:val="00BC3366"/>
    <w:rsid w:val="00BC3E19"/>
    <w:rsid w:val="00BC55D9"/>
    <w:rsid w:val="00BC62EC"/>
    <w:rsid w:val="00BC6BAE"/>
    <w:rsid w:val="00BC6EB1"/>
    <w:rsid w:val="00BC7FF3"/>
    <w:rsid w:val="00BD0514"/>
    <w:rsid w:val="00BD1713"/>
    <w:rsid w:val="00BD3ABD"/>
    <w:rsid w:val="00BD55A9"/>
    <w:rsid w:val="00BD5CFA"/>
    <w:rsid w:val="00BD6070"/>
    <w:rsid w:val="00BD620B"/>
    <w:rsid w:val="00BD6DB9"/>
    <w:rsid w:val="00BD7EBA"/>
    <w:rsid w:val="00BE15C6"/>
    <w:rsid w:val="00BE19A7"/>
    <w:rsid w:val="00BE1E3E"/>
    <w:rsid w:val="00BE258A"/>
    <w:rsid w:val="00BE41ED"/>
    <w:rsid w:val="00BE5BE4"/>
    <w:rsid w:val="00BE7818"/>
    <w:rsid w:val="00BF11F6"/>
    <w:rsid w:val="00BF1D38"/>
    <w:rsid w:val="00BF20C0"/>
    <w:rsid w:val="00BF311C"/>
    <w:rsid w:val="00BF3288"/>
    <w:rsid w:val="00BF44B4"/>
    <w:rsid w:val="00BF5CDD"/>
    <w:rsid w:val="00BF61E0"/>
    <w:rsid w:val="00BF66B1"/>
    <w:rsid w:val="00BF7EB7"/>
    <w:rsid w:val="00C01437"/>
    <w:rsid w:val="00C0185D"/>
    <w:rsid w:val="00C01C4F"/>
    <w:rsid w:val="00C04C62"/>
    <w:rsid w:val="00C057AA"/>
    <w:rsid w:val="00C05C07"/>
    <w:rsid w:val="00C079CD"/>
    <w:rsid w:val="00C07CD7"/>
    <w:rsid w:val="00C108BF"/>
    <w:rsid w:val="00C10FD4"/>
    <w:rsid w:val="00C11F44"/>
    <w:rsid w:val="00C12466"/>
    <w:rsid w:val="00C12C83"/>
    <w:rsid w:val="00C13675"/>
    <w:rsid w:val="00C13D66"/>
    <w:rsid w:val="00C14A11"/>
    <w:rsid w:val="00C15334"/>
    <w:rsid w:val="00C15AF5"/>
    <w:rsid w:val="00C1616C"/>
    <w:rsid w:val="00C17EFC"/>
    <w:rsid w:val="00C17F81"/>
    <w:rsid w:val="00C2049C"/>
    <w:rsid w:val="00C23E36"/>
    <w:rsid w:val="00C26BE1"/>
    <w:rsid w:val="00C26CEB"/>
    <w:rsid w:val="00C26D41"/>
    <w:rsid w:val="00C27FD0"/>
    <w:rsid w:val="00C3293C"/>
    <w:rsid w:val="00C3549C"/>
    <w:rsid w:val="00C35D89"/>
    <w:rsid w:val="00C36AB7"/>
    <w:rsid w:val="00C36E3D"/>
    <w:rsid w:val="00C373A1"/>
    <w:rsid w:val="00C420F3"/>
    <w:rsid w:val="00C42DBE"/>
    <w:rsid w:val="00C43236"/>
    <w:rsid w:val="00C4623F"/>
    <w:rsid w:val="00C463D4"/>
    <w:rsid w:val="00C46550"/>
    <w:rsid w:val="00C473C9"/>
    <w:rsid w:val="00C511F5"/>
    <w:rsid w:val="00C516F4"/>
    <w:rsid w:val="00C54CFB"/>
    <w:rsid w:val="00C556B1"/>
    <w:rsid w:val="00C577E1"/>
    <w:rsid w:val="00C60148"/>
    <w:rsid w:val="00C60A2D"/>
    <w:rsid w:val="00C60BF8"/>
    <w:rsid w:val="00C61900"/>
    <w:rsid w:val="00C62735"/>
    <w:rsid w:val="00C62AAB"/>
    <w:rsid w:val="00C6324A"/>
    <w:rsid w:val="00C64DED"/>
    <w:rsid w:val="00C652F1"/>
    <w:rsid w:val="00C66235"/>
    <w:rsid w:val="00C6667E"/>
    <w:rsid w:val="00C6775C"/>
    <w:rsid w:val="00C707F6"/>
    <w:rsid w:val="00C711D6"/>
    <w:rsid w:val="00C7193C"/>
    <w:rsid w:val="00C71F9D"/>
    <w:rsid w:val="00C7575C"/>
    <w:rsid w:val="00C80326"/>
    <w:rsid w:val="00C80790"/>
    <w:rsid w:val="00C81086"/>
    <w:rsid w:val="00C82018"/>
    <w:rsid w:val="00C8282B"/>
    <w:rsid w:val="00C8448B"/>
    <w:rsid w:val="00C8450B"/>
    <w:rsid w:val="00C84C61"/>
    <w:rsid w:val="00C85EFD"/>
    <w:rsid w:val="00C8611B"/>
    <w:rsid w:val="00C8673C"/>
    <w:rsid w:val="00C867EF"/>
    <w:rsid w:val="00C86B19"/>
    <w:rsid w:val="00C875B0"/>
    <w:rsid w:val="00C91001"/>
    <w:rsid w:val="00C92083"/>
    <w:rsid w:val="00C9514B"/>
    <w:rsid w:val="00C96A2B"/>
    <w:rsid w:val="00C9778C"/>
    <w:rsid w:val="00CA33CB"/>
    <w:rsid w:val="00CA4187"/>
    <w:rsid w:val="00CA6C49"/>
    <w:rsid w:val="00CA7383"/>
    <w:rsid w:val="00CA7394"/>
    <w:rsid w:val="00CA7AA5"/>
    <w:rsid w:val="00CB0D18"/>
    <w:rsid w:val="00CB1098"/>
    <w:rsid w:val="00CB1D19"/>
    <w:rsid w:val="00CB1F82"/>
    <w:rsid w:val="00CB37A2"/>
    <w:rsid w:val="00CB4943"/>
    <w:rsid w:val="00CB50A7"/>
    <w:rsid w:val="00CB5CEF"/>
    <w:rsid w:val="00CB7D0A"/>
    <w:rsid w:val="00CC0440"/>
    <w:rsid w:val="00CC0B9A"/>
    <w:rsid w:val="00CC0E23"/>
    <w:rsid w:val="00CC0ED7"/>
    <w:rsid w:val="00CC4B0D"/>
    <w:rsid w:val="00CC56FF"/>
    <w:rsid w:val="00CC581B"/>
    <w:rsid w:val="00CC5DB7"/>
    <w:rsid w:val="00CC6975"/>
    <w:rsid w:val="00CC79B6"/>
    <w:rsid w:val="00CD24FA"/>
    <w:rsid w:val="00CD2AC4"/>
    <w:rsid w:val="00CD5C84"/>
    <w:rsid w:val="00CE0BBC"/>
    <w:rsid w:val="00CE14C9"/>
    <w:rsid w:val="00CE1934"/>
    <w:rsid w:val="00CE1EDF"/>
    <w:rsid w:val="00CE2313"/>
    <w:rsid w:val="00CE3C53"/>
    <w:rsid w:val="00CE561B"/>
    <w:rsid w:val="00CE6561"/>
    <w:rsid w:val="00CE772F"/>
    <w:rsid w:val="00CF1F76"/>
    <w:rsid w:val="00CF21D9"/>
    <w:rsid w:val="00CF244C"/>
    <w:rsid w:val="00CF2FCF"/>
    <w:rsid w:val="00CF3DB9"/>
    <w:rsid w:val="00CF4A0C"/>
    <w:rsid w:val="00CF4B27"/>
    <w:rsid w:val="00CF5988"/>
    <w:rsid w:val="00CF6676"/>
    <w:rsid w:val="00CF70E7"/>
    <w:rsid w:val="00D0047A"/>
    <w:rsid w:val="00D00FFE"/>
    <w:rsid w:val="00D01565"/>
    <w:rsid w:val="00D0216A"/>
    <w:rsid w:val="00D0221D"/>
    <w:rsid w:val="00D028E3"/>
    <w:rsid w:val="00D04689"/>
    <w:rsid w:val="00D072D0"/>
    <w:rsid w:val="00D13777"/>
    <w:rsid w:val="00D141F1"/>
    <w:rsid w:val="00D15268"/>
    <w:rsid w:val="00D17898"/>
    <w:rsid w:val="00D21E9B"/>
    <w:rsid w:val="00D220A6"/>
    <w:rsid w:val="00D22190"/>
    <w:rsid w:val="00D26251"/>
    <w:rsid w:val="00D268BD"/>
    <w:rsid w:val="00D26DAB"/>
    <w:rsid w:val="00D26FBC"/>
    <w:rsid w:val="00D270C0"/>
    <w:rsid w:val="00D300CF"/>
    <w:rsid w:val="00D30491"/>
    <w:rsid w:val="00D309B9"/>
    <w:rsid w:val="00D3286E"/>
    <w:rsid w:val="00D32C05"/>
    <w:rsid w:val="00D33334"/>
    <w:rsid w:val="00D33547"/>
    <w:rsid w:val="00D34579"/>
    <w:rsid w:val="00D349B2"/>
    <w:rsid w:val="00D34B7A"/>
    <w:rsid w:val="00D35503"/>
    <w:rsid w:val="00D35D3F"/>
    <w:rsid w:val="00D36447"/>
    <w:rsid w:val="00D36468"/>
    <w:rsid w:val="00D37185"/>
    <w:rsid w:val="00D463BC"/>
    <w:rsid w:val="00D46DFB"/>
    <w:rsid w:val="00D47C74"/>
    <w:rsid w:val="00D5198A"/>
    <w:rsid w:val="00D53671"/>
    <w:rsid w:val="00D53E02"/>
    <w:rsid w:val="00D570A0"/>
    <w:rsid w:val="00D573F8"/>
    <w:rsid w:val="00D603C5"/>
    <w:rsid w:val="00D631A7"/>
    <w:rsid w:val="00D63669"/>
    <w:rsid w:val="00D638C4"/>
    <w:rsid w:val="00D63DD9"/>
    <w:rsid w:val="00D64364"/>
    <w:rsid w:val="00D64734"/>
    <w:rsid w:val="00D64F91"/>
    <w:rsid w:val="00D64F99"/>
    <w:rsid w:val="00D656E2"/>
    <w:rsid w:val="00D65AF1"/>
    <w:rsid w:val="00D6600C"/>
    <w:rsid w:val="00D662F2"/>
    <w:rsid w:val="00D67DB6"/>
    <w:rsid w:val="00D705AD"/>
    <w:rsid w:val="00D70B17"/>
    <w:rsid w:val="00D70B9E"/>
    <w:rsid w:val="00D7177D"/>
    <w:rsid w:val="00D71E63"/>
    <w:rsid w:val="00D72BEE"/>
    <w:rsid w:val="00D73188"/>
    <w:rsid w:val="00D74BBB"/>
    <w:rsid w:val="00D76243"/>
    <w:rsid w:val="00D76F11"/>
    <w:rsid w:val="00D77348"/>
    <w:rsid w:val="00D77F52"/>
    <w:rsid w:val="00D8034D"/>
    <w:rsid w:val="00D80F80"/>
    <w:rsid w:val="00D8103D"/>
    <w:rsid w:val="00D82E3C"/>
    <w:rsid w:val="00D839A4"/>
    <w:rsid w:val="00D844FD"/>
    <w:rsid w:val="00D849B1"/>
    <w:rsid w:val="00D85FAB"/>
    <w:rsid w:val="00D8653F"/>
    <w:rsid w:val="00D8704F"/>
    <w:rsid w:val="00D87B3E"/>
    <w:rsid w:val="00D90F9B"/>
    <w:rsid w:val="00D93939"/>
    <w:rsid w:val="00D93AD3"/>
    <w:rsid w:val="00D95755"/>
    <w:rsid w:val="00D9599B"/>
    <w:rsid w:val="00D95EE5"/>
    <w:rsid w:val="00D974B3"/>
    <w:rsid w:val="00DA0BDE"/>
    <w:rsid w:val="00DA0CC3"/>
    <w:rsid w:val="00DA14FE"/>
    <w:rsid w:val="00DA305F"/>
    <w:rsid w:val="00DA3DD0"/>
    <w:rsid w:val="00DA4D9D"/>
    <w:rsid w:val="00DA5392"/>
    <w:rsid w:val="00DA687F"/>
    <w:rsid w:val="00DA7F64"/>
    <w:rsid w:val="00DB10CD"/>
    <w:rsid w:val="00DB1351"/>
    <w:rsid w:val="00DB1364"/>
    <w:rsid w:val="00DB1633"/>
    <w:rsid w:val="00DB2355"/>
    <w:rsid w:val="00DB246F"/>
    <w:rsid w:val="00DB2CA2"/>
    <w:rsid w:val="00DB377F"/>
    <w:rsid w:val="00DB57EC"/>
    <w:rsid w:val="00DB70A8"/>
    <w:rsid w:val="00DC0088"/>
    <w:rsid w:val="00DC0900"/>
    <w:rsid w:val="00DC0F68"/>
    <w:rsid w:val="00DC1459"/>
    <w:rsid w:val="00DC213E"/>
    <w:rsid w:val="00DC264A"/>
    <w:rsid w:val="00DC338B"/>
    <w:rsid w:val="00DC4812"/>
    <w:rsid w:val="00DC7BF1"/>
    <w:rsid w:val="00DD063C"/>
    <w:rsid w:val="00DD0AA6"/>
    <w:rsid w:val="00DD0BC9"/>
    <w:rsid w:val="00DD1337"/>
    <w:rsid w:val="00DD21F7"/>
    <w:rsid w:val="00DD4C3D"/>
    <w:rsid w:val="00DD4EC6"/>
    <w:rsid w:val="00DD5339"/>
    <w:rsid w:val="00DD5420"/>
    <w:rsid w:val="00DD54EC"/>
    <w:rsid w:val="00DD64F9"/>
    <w:rsid w:val="00DD7D52"/>
    <w:rsid w:val="00DE029D"/>
    <w:rsid w:val="00DE0E49"/>
    <w:rsid w:val="00DE1D84"/>
    <w:rsid w:val="00DE321D"/>
    <w:rsid w:val="00DE4007"/>
    <w:rsid w:val="00DE4CF3"/>
    <w:rsid w:val="00DE562D"/>
    <w:rsid w:val="00DE5CEC"/>
    <w:rsid w:val="00DE631E"/>
    <w:rsid w:val="00DE6B95"/>
    <w:rsid w:val="00DE7D35"/>
    <w:rsid w:val="00DF004A"/>
    <w:rsid w:val="00DF13F6"/>
    <w:rsid w:val="00DF1697"/>
    <w:rsid w:val="00DF3BBA"/>
    <w:rsid w:val="00DF4415"/>
    <w:rsid w:val="00DF4E70"/>
    <w:rsid w:val="00DF58FA"/>
    <w:rsid w:val="00DF7239"/>
    <w:rsid w:val="00E01413"/>
    <w:rsid w:val="00E020E7"/>
    <w:rsid w:val="00E0286E"/>
    <w:rsid w:val="00E03B74"/>
    <w:rsid w:val="00E05AF0"/>
    <w:rsid w:val="00E0653D"/>
    <w:rsid w:val="00E113F9"/>
    <w:rsid w:val="00E11911"/>
    <w:rsid w:val="00E126AC"/>
    <w:rsid w:val="00E12C0C"/>
    <w:rsid w:val="00E1356F"/>
    <w:rsid w:val="00E13735"/>
    <w:rsid w:val="00E13FB1"/>
    <w:rsid w:val="00E157E4"/>
    <w:rsid w:val="00E178B3"/>
    <w:rsid w:val="00E211C9"/>
    <w:rsid w:val="00E21B9D"/>
    <w:rsid w:val="00E225C8"/>
    <w:rsid w:val="00E227E4"/>
    <w:rsid w:val="00E23C2F"/>
    <w:rsid w:val="00E243FD"/>
    <w:rsid w:val="00E24ED1"/>
    <w:rsid w:val="00E26C56"/>
    <w:rsid w:val="00E26D07"/>
    <w:rsid w:val="00E2701F"/>
    <w:rsid w:val="00E2786A"/>
    <w:rsid w:val="00E306D5"/>
    <w:rsid w:val="00E32305"/>
    <w:rsid w:val="00E32306"/>
    <w:rsid w:val="00E32A2B"/>
    <w:rsid w:val="00E32C04"/>
    <w:rsid w:val="00E3382D"/>
    <w:rsid w:val="00E35ADA"/>
    <w:rsid w:val="00E361A2"/>
    <w:rsid w:val="00E36899"/>
    <w:rsid w:val="00E4114C"/>
    <w:rsid w:val="00E42352"/>
    <w:rsid w:val="00E42A3F"/>
    <w:rsid w:val="00E434BD"/>
    <w:rsid w:val="00E4380D"/>
    <w:rsid w:val="00E44154"/>
    <w:rsid w:val="00E44981"/>
    <w:rsid w:val="00E4514C"/>
    <w:rsid w:val="00E459D7"/>
    <w:rsid w:val="00E45FC1"/>
    <w:rsid w:val="00E47232"/>
    <w:rsid w:val="00E4799B"/>
    <w:rsid w:val="00E479E8"/>
    <w:rsid w:val="00E50B9B"/>
    <w:rsid w:val="00E5191C"/>
    <w:rsid w:val="00E537C0"/>
    <w:rsid w:val="00E5382E"/>
    <w:rsid w:val="00E53985"/>
    <w:rsid w:val="00E542DD"/>
    <w:rsid w:val="00E55DCF"/>
    <w:rsid w:val="00E56639"/>
    <w:rsid w:val="00E56D4B"/>
    <w:rsid w:val="00E578E3"/>
    <w:rsid w:val="00E60743"/>
    <w:rsid w:val="00E61B43"/>
    <w:rsid w:val="00E62879"/>
    <w:rsid w:val="00E62B97"/>
    <w:rsid w:val="00E62C0C"/>
    <w:rsid w:val="00E643DE"/>
    <w:rsid w:val="00E6480A"/>
    <w:rsid w:val="00E64CFF"/>
    <w:rsid w:val="00E64E35"/>
    <w:rsid w:val="00E64EF4"/>
    <w:rsid w:val="00E65224"/>
    <w:rsid w:val="00E653F8"/>
    <w:rsid w:val="00E65CEE"/>
    <w:rsid w:val="00E667F3"/>
    <w:rsid w:val="00E72976"/>
    <w:rsid w:val="00E7365F"/>
    <w:rsid w:val="00E74330"/>
    <w:rsid w:val="00E765C2"/>
    <w:rsid w:val="00E77A87"/>
    <w:rsid w:val="00E77ECD"/>
    <w:rsid w:val="00E8061A"/>
    <w:rsid w:val="00E81BFB"/>
    <w:rsid w:val="00E81D63"/>
    <w:rsid w:val="00E82DE9"/>
    <w:rsid w:val="00E8313F"/>
    <w:rsid w:val="00E831D8"/>
    <w:rsid w:val="00E834C8"/>
    <w:rsid w:val="00E83B2E"/>
    <w:rsid w:val="00E850D5"/>
    <w:rsid w:val="00E87F40"/>
    <w:rsid w:val="00E9028F"/>
    <w:rsid w:val="00E908D6"/>
    <w:rsid w:val="00E91F76"/>
    <w:rsid w:val="00E9524C"/>
    <w:rsid w:val="00E95883"/>
    <w:rsid w:val="00E96450"/>
    <w:rsid w:val="00E9724E"/>
    <w:rsid w:val="00EA2689"/>
    <w:rsid w:val="00EA3BF7"/>
    <w:rsid w:val="00EA4EE6"/>
    <w:rsid w:val="00EA5A57"/>
    <w:rsid w:val="00EA5AB8"/>
    <w:rsid w:val="00EA6467"/>
    <w:rsid w:val="00EA7765"/>
    <w:rsid w:val="00EB2695"/>
    <w:rsid w:val="00EB2EA6"/>
    <w:rsid w:val="00EB390D"/>
    <w:rsid w:val="00EB617A"/>
    <w:rsid w:val="00EB61FD"/>
    <w:rsid w:val="00EB6716"/>
    <w:rsid w:val="00EC2E85"/>
    <w:rsid w:val="00EC5897"/>
    <w:rsid w:val="00EC6650"/>
    <w:rsid w:val="00EC72A4"/>
    <w:rsid w:val="00EC7E1C"/>
    <w:rsid w:val="00EC7E60"/>
    <w:rsid w:val="00ED0741"/>
    <w:rsid w:val="00ED09EE"/>
    <w:rsid w:val="00ED13ED"/>
    <w:rsid w:val="00ED1B62"/>
    <w:rsid w:val="00ED1BFF"/>
    <w:rsid w:val="00ED1D87"/>
    <w:rsid w:val="00ED32E9"/>
    <w:rsid w:val="00ED3D74"/>
    <w:rsid w:val="00ED427B"/>
    <w:rsid w:val="00ED6026"/>
    <w:rsid w:val="00EE4885"/>
    <w:rsid w:val="00EE5F38"/>
    <w:rsid w:val="00EE6079"/>
    <w:rsid w:val="00EE76DB"/>
    <w:rsid w:val="00EE7DC5"/>
    <w:rsid w:val="00EF1F20"/>
    <w:rsid w:val="00EF3A1D"/>
    <w:rsid w:val="00EF3D0E"/>
    <w:rsid w:val="00F0238C"/>
    <w:rsid w:val="00F04D24"/>
    <w:rsid w:val="00F05E62"/>
    <w:rsid w:val="00F0672D"/>
    <w:rsid w:val="00F070E7"/>
    <w:rsid w:val="00F127F4"/>
    <w:rsid w:val="00F1347F"/>
    <w:rsid w:val="00F1635E"/>
    <w:rsid w:val="00F16AB8"/>
    <w:rsid w:val="00F173CB"/>
    <w:rsid w:val="00F17782"/>
    <w:rsid w:val="00F202AA"/>
    <w:rsid w:val="00F20B3B"/>
    <w:rsid w:val="00F221EB"/>
    <w:rsid w:val="00F22A0C"/>
    <w:rsid w:val="00F237B8"/>
    <w:rsid w:val="00F23DD4"/>
    <w:rsid w:val="00F246AB"/>
    <w:rsid w:val="00F24B05"/>
    <w:rsid w:val="00F253AE"/>
    <w:rsid w:val="00F2669D"/>
    <w:rsid w:val="00F26B38"/>
    <w:rsid w:val="00F31E10"/>
    <w:rsid w:val="00F32A94"/>
    <w:rsid w:val="00F36F24"/>
    <w:rsid w:val="00F36F6D"/>
    <w:rsid w:val="00F37056"/>
    <w:rsid w:val="00F3728D"/>
    <w:rsid w:val="00F373AC"/>
    <w:rsid w:val="00F37515"/>
    <w:rsid w:val="00F37C01"/>
    <w:rsid w:val="00F41431"/>
    <w:rsid w:val="00F417E9"/>
    <w:rsid w:val="00F427FC"/>
    <w:rsid w:val="00F44393"/>
    <w:rsid w:val="00F46795"/>
    <w:rsid w:val="00F46FCA"/>
    <w:rsid w:val="00F478FF"/>
    <w:rsid w:val="00F5062D"/>
    <w:rsid w:val="00F52534"/>
    <w:rsid w:val="00F54755"/>
    <w:rsid w:val="00F567E9"/>
    <w:rsid w:val="00F569FC"/>
    <w:rsid w:val="00F57790"/>
    <w:rsid w:val="00F57A30"/>
    <w:rsid w:val="00F60577"/>
    <w:rsid w:val="00F61D65"/>
    <w:rsid w:val="00F639D6"/>
    <w:rsid w:val="00F63C82"/>
    <w:rsid w:val="00F63E00"/>
    <w:rsid w:val="00F63FEB"/>
    <w:rsid w:val="00F640FF"/>
    <w:rsid w:val="00F65452"/>
    <w:rsid w:val="00F664B8"/>
    <w:rsid w:val="00F677E5"/>
    <w:rsid w:val="00F7176A"/>
    <w:rsid w:val="00F736E5"/>
    <w:rsid w:val="00F73F35"/>
    <w:rsid w:val="00F74DEF"/>
    <w:rsid w:val="00F802D5"/>
    <w:rsid w:val="00F82A6F"/>
    <w:rsid w:val="00F8406C"/>
    <w:rsid w:val="00F85448"/>
    <w:rsid w:val="00F86EC8"/>
    <w:rsid w:val="00F86FE5"/>
    <w:rsid w:val="00F90A02"/>
    <w:rsid w:val="00F90C39"/>
    <w:rsid w:val="00F93D1C"/>
    <w:rsid w:val="00F94434"/>
    <w:rsid w:val="00F94657"/>
    <w:rsid w:val="00F95782"/>
    <w:rsid w:val="00F95F8E"/>
    <w:rsid w:val="00F96251"/>
    <w:rsid w:val="00FA0337"/>
    <w:rsid w:val="00FA1274"/>
    <w:rsid w:val="00FA18CB"/>
    <w:rsid w:val="00FA1AD2"/>
    <w:rsid w:val="00FA3946"/>
    <w:rsid w:val="00FA3B97"/>
    <w:rsid w:val="00FA45F5"/>
    <w:rsid w:val="00FA50A7"/>
    <w:rsid w:val="00FA5494"/>
    <w:rsid w:val="00FA56C7"/>
    <w:rsid w:val="00FA5D20"/>
    <w:rsid w:val="00FA616F"/>
    <w:rsid w:val="00FA6302"/>
    <w:rsid w:val="00FB050A"/>
    <w:rsid w:val="00FB059F"/>
    <w:rsid w:val="00FB2308"/>
    <w:rsid w:val="00FB2884"/>
    <w:rsid w:val="00FB315E"/>
    <w:rsid w:val="00FB47C5"/>
    <w:rsid w:val="00FB4B97"/>
    <w:rsid w:val="00FB5305"/>
    <w:rsid w:val="00FC0490"/>
    <w:rsid w:val="00FC0805"/>
    <w:rsid w:val="00FC1519"/>
    <w:rsid w:val="00FC1546"/>
    <w:rsid w:val="00FC1EB4"/>
    <w:rsid w:val="00FC222F"/>
    <w:rsid w:val="00FC2DF5"/>
    <w:rsid w:val="00FC2E1F"/>
    <w:rsid w:val="00FC34B5"/>
    <w:rsid w:val="00FC42C3"/>
    <w:rsid w:val="00FC4730"/>
    <w:rsid w:val="00FC4DF4"/>
    <w:rsid w:val="00FC546A"/>
    <w:rsid w:val="00FC616B"/>
    <w:rsid w:val="00FC794F"/>
    <w:rsid w:val="00FD1FDE"/>
    <w:rsid w:val="00FD38D1"/>
    <w:rsid w:val="00FD39B9"/>
    <w:rsid w:val="00FE10AB"/>
    <w:rsid w:val="00FE2FAC"/>
    <w:rsid w:val="00FE31D4"/>
    <w:rsid w:val="00FE332B"/>
    <w:rsid w:val="00FE36EF"/>
    <w:rsid w:val="00FE3DAA"/>
    <w:rsid w:val="00FE423E"/>
    <w:rsid w:val="00FE4478"/>
    <w:rsid w:val="00FE494A"/>
    <w:rsid w:val="00FE4E7D"/>
    <w:rsid w:val="00FE4F03"/>
    <w:rsid w:val="00FE61BB"/>
    <w:rsid w:val="00FE6D17"/>
    <w:rsid w:val="00FE78F4"/>
    <w:rsid w:val="00FE7CF8"/>
    <w:rsid w:val="00FF00ED"/>
    <w:rsid w:val="00FF05A8"/>
    <w:rsid w:val="00FF2E2F"/>
    <w:rsid w:val="00FF51E8"/>
    <w:rsid w:val="00FF5401"/>
    <w:rsid w:val="01011432"/>
    <w:rsid w:val="015F62DD"/>
    <w:rsid w:val="0162764C"/>
    <w:rsid w:val="02613B0B"/>
    <w:rsid w:val="02EA5C67"/>
    <w:rsid w:val="039F4F4E"/>
    <w:rsid w:val="041C5BFC"/>
    <w:rsid w:val="0447292A"/>
    <w:rsid w:val="046227CE"/>
    <w:rsid w:val="048A2E59"/>
    <w:rsid w:val="04FB10A9"/>
    <w:rsid w:val="050E5F00"/>
    <w:rsid w:val="05C32F8B"/>
    <w:rsid w:val="05F41565"/>
    <w:rsid w:val="0643223B"/>
    <w:rsid w:val="06844AC6"/>
    <w:rsid w:val="06B9750F"/>
    <w:rsid w:val="06BF0806"/>
    <w:rsid w:val="06DF0AF8"/>
    <w:rsid w:val="06E76C0A"/>
    <w:rsid w:val="077662EC"/>
    <w:rsid w:val="07820F95"/>
    <w:rsid w:val="07AE5A5F"/>
    <w:rsid w:val="07BC24D3"/>
    <w:rsid w:val="081F36E2"/>
    <w:rsid w:val="084B0A37"/>
    <w:rsid w:val="08830C9B"/>
    <w:rsid w:val="089843AB"/>
    <w:rsid w:val="09A87662"/>
    <w:rsid w:val="09AA4428"/>
    <w:rsid w:val="09B576B2"/>
    <w:rsid w:val="09FD02CD"/>
    <w:rsid w:val="0A086893"/>
    <w:rsid w:val="0A1C45D0"/>
    <w:rsid w:val="0B5A75BC"/>
    <w:rsid w:val="0B7355F1"/>
    <w:rsid w:val="0C861C4F"/>
    <w:rsid w:val="0CDC0E3F"/>
    <w:rsid w:val="0D1161CC"/>
    <w:rsid w:val="0D7C67D8"/>
    <w:rsid w:val="0D9548F8"/>
    <w:rsid w:val="0DAC357C"/>
    <w:rsid w:val="0DAF1C8F"/>
    <w:rsid w:val="0DB355D4"/>
    <w:rsid w:val="0E076534"/>
    <w:rsid w:val="0E1D4033"/>
    <w:rsid w:val="0E4E7AE3"/>
    <w:rsid w:val="0E4F5C0F"/>
    <w:rsid w:val="0E8B2DB8"/>
    <w:rsid w:val="0E8F7C75"/>
    <w:rsid w:val="0EA23486"/>
    <w:rsid w:val="0EF7337F"/>
    <w:rsid w:val="0F075892"/>
    <w:rsid w:val="0F554740"/>
    <w:rsid w:val="0F994DD1"/>
    <w:rsid w:val="0FF3196A"/>
    <w:rsid w:val="1006501D"/>
    <w:rsid w:val="100755CF"/>
    <w:rsid w:val="100A779B"/>
    <w:rsid w:val="10306019"/>
    <w:rsid w:val="10673D06"/>
    <w:rsid w:val="10AD2B55"/>
    <w:rsid w:val="10B262A5"/>
    <w:rsid w:val="10BA4B15"/>
    <w:rsid w:val="10BD22D3"/>
    <w:rsid w:val="10FB0F6A"/>
    <w:rsid w:val="110D0E58"/>
    <w:rsid w:val="1152061D"/>
    <w:rsid w:val="116A27C0"/>
    <w:rsid w:val="11E51668"/>
    <w:rsid w:val="11E951AE"/>
    <w:rsid w:val="120638B3"/>
    <w:rsid w:val="1212415F"/>
    <w:rsid w:val="12313123"/>
    <w:rsid w:val="123D1C26"/>
    <w:rsid w:val="128526CB"/>
    <w:rsid w:val="12BD635B"/>
    <w:rsid w:val="12BD7578"/>
    <w:rsid w:val="13052725"/>
    <w:rsid w:val="1311674F"/>
    <w:rsid w:val="1314294C"/>
    <w:rsid w:val="13274F59"/>
    <w:rsid w:val="1368646D"/>
    <w:rsid w:val="136A57A2"/>
    <w:rsid w:val="13796F8F"/>
    <w:rsid w:val="13C644B9"/>
    <w:rsid w:val="13CC2F16"/>
    <w:rsid w:val="13E462E5"/>
    <w:rsid w:val="140C62E0"/>
    <w:rsid w:val="146234CD"/>
    <w:rsid w:val="14B7657F"/>
    <w:rsid w:val="157B4C35"/>
    <w:rsid w:val="15970849"/>
    <w:rsid w:val="15E0093D"/>
    <w:rsid w:val="1619339D"/>
    <w:rsid w:val="16746B2A"/>
    <w:rsid w:val="167B3897"/>
    <w:rsid w:val="169A056D"/>
    <w:rsid w:val="169D4750"/>
    <w:rsid w:val="16B026BD"/>
    <w:rsid w:val="16BC2F98"/>
    <w:rsid w:val="16E82A20"/>
    <w:rsid w:val="16E95539"/>
    <w:rsid w:val="173A4C3C"/>
    <w:rsid w:val="17521825"/>
    <w:rsid w:val="17604C2E"/>
    <w:rsid w:val="177D3C04"/>
    <w:rsid w:val="17CC2B77"/>
    <w:rsid w:val="18167257"/>
    <w:rsid w:val="182F7D12"/>
    <w:rsid w:val="185170F7"/>
    <w:rsid w:val="187E0E60"/>
    <w:rsid w:val="188F0756"/>
    <w:rsid w:val="189C0A28"/>
    <w:rsid w:val="18F14949"/>
    <w:rsid w:val="19007E01"/>
    <w:rsid w:val="192E0B87"/>
    <w:rsid w:val="19780028"/>
    <w:rsid w:val="197C2762"/>
    <w:rsid w:val="197E4798"/>
    <w:rsid w:val="1998580B"/>
    <w:rsid w:val="1A1E5BF1"/>
    <w:rsid w:val="1A3D7C3C"/>
    <w:rsid w:val="1A420E8B"/>
    <w:rsid w:val="1A474AF7"/>
    <w:rsid w:val="1AA96FF1"/>
    <w:rsid w:val="1AB377E9"/>
    <w:rsid w:val="1AC6618E"/>
    <w:rsid w:val="1ADF7B77"/>
    <w:rsid w:val="1AEC03D9"/>
    <w:rsid w:val="1AEC52CD"/>
    <w:rsid w:val="1B0D1DDB"/>
    <w:rsid w:val="1B455A89"/>
    <w:rsid w:val="1B4621D4"/>
    <w:rsid w:val="1B520BE8"/>
    <w:rsid w:val="1B640896"/>
    <w:rsid w:val="1B9B59CB"/>
    <w:rsid w:val="1BC179D3"/>
    <w:rsid w:val="1BE962EE"/>
    <w:rsid w:val="1C2703B1"/>
    <w:rsid w:val="1CAE406F"/>
    <w:rsid w:val="1CB06DEF"/>
    <w:rsid w:val="1CEB455F"/>
    <w:rsid w:val="1D0647FA"/>
    <w:rsid w:val="1D477D93"/>
    <w:rsid w:val="1D546B97"/>
    <w:rsid w:val="1DEE0CA9"/>
    <w:rsid w:val="1E19633F"/>
    <w:rsid w:val="1E38618E"/>
    <w:rsid w:val="1E9A4F48"/>
    <w:rsid w:val="1EB612FC"/>
    <w:rsid w:val="1ECB619A"/>
    <w:rsid w:val="1F0F10A2"/>
    <w:rsid w:val="1F1606A1"/>
    <w:rsid w:val="1F206E9D"/>
    <w:rsid w:val="1F373E8D"/>
    <w:rsid w:val="1F4F2F47"/>
    <w:rsid w:val="1FA94E87"/>
    <w:rsid w:val="1FB7518F"/>
    <w:rsid w:val="1FC93368"/>
    <w:rsid w:val="1FEB4730"/>
    <w:rsid w:val="1FED7855"/>
    <w:rsid w:val="20C408D7"/>
    <w:rsid w:val="20ED4DFD"/>
    <w:rsid w:val="20F867D1"/>
    <w:rsid w:val="21397053"/>
    <w:rsid w:val="21501CC0"/>
    <w:rsid w:val="219A4915"/>
    <w:rsid w:val="21A35D6D"/>
    <w:rsid w:val="21EC550C"/>
    <w:rsid w:val="22053BD9"/>
    <w:rsid w:val="225C53FF"/>
    <w:rsid w:val="226E23A3"/>
    <w:rsid w:val="22A6021E"/>
    <w:rsid w:val="22ED5482"/>
    <w:rsid w:val="2305332C"/>
    <w:rsid w:val="23170081"/>
    <w:rsid w:val="23403191"/>
    <w:rsid w:val="23527970"/>
    <w:rsid w:val="23990B9D"/>
    <w:rsid w:val="23C842E9"/>
    <w:rsid w:val="23D918FA"/>
    <w:rsid w:val="247F7E81"/>
    <w:rsid w:val="24A5338D"/>
    <w:rsid w:val="24A8001E"/>
    <w:rsid w:val="24BA5FDA"/>
    <w:rsid w:val="24FE034F"/>
    <w:rsid w:val="25542E1F"/>
    <w:rsid w:val="257D27B3"/>
    <w:rsid w:val="259924B4"/>
    <w:rsid w:val="25C06613"/>
    <w:rsid w:val="25CA3C79"/>
    <w:rsid w:val="25F46BA6"/>
    <w:rsid w:val="265A2EC4"/>
    <w:rsid w:val="26617C91"/>
    <w:rsid w:val="26637303"/>
    <w:rsid w:val="26790336"/>
    <w:rsid w:val="26872F2B"/>
    <w:rsid w:val="269D0316"/>
    <w:rsid w:val="26A115D6"/>
    <w:rsid w:val="26E359BB"/>
    <w:rsid w:val="2709612D"/>
    <w:rsid w:val="27192666"/>
    <w:rsid w:val="271D478F"/>
    <w:rsid w:val="272A38F4"/>
    <w:rsid w:val="27406E5C"/>
    <w:rsid w:val="27943A41"/>
    <w:rsid w:val="28362D96"/>
    <w:rsid w:val="28551A01"/>
    <w:rsid w:val="28947DC5"/>
    <w:rsid w:val="28DF25A6"/>
    <w:rsid w:val="29A259A8"/>
    <w:rsid w:val="29DB6E0A"/>
    <w:rsid w:val="2A2E614B"/>
    <w:rsid w:val="2A545106"/>
    <w:rsid w:val="2A6737A8"/>
    <w:rsid w:val="2A693A20"/>
    <w:rsid w:val="2A802CCC"/>
    <w:rsid w:val="2A8A6D85"/>
    <w:rsid w:val="2AA77FE2"/>
    <w:rsid w:val="2AB873B2"/>
    <w:rsid w:val="2AC638CF"/>
    <w:rsid w:val="2AD4370B"/>
    <w:rsid w:val="2B462DCC"/>
    <w:rsid w:val="2B4A6A03"/>
    <w:rsid w:val="2B666DCC"/>
    <w:rsid w:val="2B87732B"/>
    <w:rsid w:val="2BCE298A"/>
    <w:rsid w:val="2BD01A2D"/>
    <w:rsid w:val="2BF62D5E"/>
    <w:rsid w:val="2C022090"/>
    <w:rsid w:val="2C5F63F9"/>
    <w:rsid w:val="2C8D4585"/>
    <w:rsid w:val="2C9C6A52"/>
    <w:rsid w:val="2CBB3B21"/>
    <w:rsid w:val="2CDE749C"/>
    <w:rsid w:val="2D9713DB"/>
    <w:rsid w:val="2D985390"/>
    <w:rsid w:val="2DBB7B5E"/>
    <w:rsid w:val="2E782680"/>
    <w:rsid w:val="2EB11E73"/>
    <w:rsid w:val="2ED87381"/>
    <w:rsid w:val="2EEB5CCF"/>
    <w:rsid w:val="2F276BAF"/>
    <w:rsid w:val="2F3A27D0"/>
    <w:rsid w:val="2FC8704F"/>
    <w:rsid w:val="30001221"/>
    <w:rsid w:val="30042891"/>
    <w:rsid w:val="300B3FB1"/>
    <w:rsid w:val="3016699C"/>
    <w:rsid w:val="30A722E1"/>
    <w:rsid w:val="30F2340E"/>
    <w:rsid w:val="310338F4"/>
    <w:rsid w:val="31076347"/>
    <w:rsid w:val="311F52B5"/>
    <w:rsid w:val="31953F38"/>
    <w:rsid w:val="319A7909"/>
    <w:rsid w:val="31B72DDB"/>
    <w:rsid w:val="31BB2A37"/>
    <w:rsid w:val="31CB036D"/>
    <w:rsid w:val="31ED37A6"/>
    <w:rsid w:val="321011B8"/>
    <w:rsid w:val="32161277"/>
    <w:rsid w:val="327B0F3C"/>
    <w:rsid w:val="329D5373"/>
    <w:rsid w:val="32AC625B"/>
    <w:rsid w:val="32F76EFF"/>
    <w:rsid w:val="33D30776"/>
    <w:rsid w:val="343004B9"/>
    <w:rsid w:val="34495138"/>
    <w:rsid w:val="34876858"/>
    <w:rsid w:val="34A522DB"/>
    <w:rsid w:val="34C26062"/>
    <w:rsid w:val="3545586D"/>
    <w:rsid w:val="35620FF4"/>
    <w:rsid w:val="35872CEC"/>
    <w:rsid w:val="3594080A"/>
    <w:rsid w:val="35BA4657"/>
    <w:rsid w:val="35BF605F"/>
    <w:rsid w:val="36046C5A"/>
    <w:rsid w:val="360A6D88"/>
    <w:rsid w:val="361333E7"/>
    <w:rsid w:val="36B326A4"/>
    <w:rsid w:val="373A72E5"/>
    <w:rsid w:val="379F63A7"/>
    <w:rsid w:val="37EC6EAB"/>
    <w:rsid w:val="37FA4CBD"/>
    <w:rsid w:val="384610B7"/>
    <w:rsid w:val="385B1221"/>
    <w:rsid w:val="387F5D3F"/>
    <w:rsid w:val="38892F97"/>
    <w:rsid w:val="38BD7423"/>
    <w:rsid w:val="38F37311"/>
    <w:rsid w:val="38F420BA"/>
    <w:rsid w:val="39030604"/>
    <w:rsid w:val="390D1CD9"/>
    <w:rsid w:val="392C6D9B"/>
    <w:rsid w:val="39404179"/>
    <w:rsid w:val="394755C8"/>
    <w:rsid w:val="39AC2412"/>
    <w:rsid w:val="39FE21FC"/>
    <w:rsid w:val="3A3B1848"/>
    <w:rsid w:val="3AA027C6"/>
    <w:rsid w:val="3ACC2A26"/>
    <w:rsid w:val="3AE11423"/>
    <w:rsid w:val="3B6F5E84"/>
    <w:rsid w:val="3BD018C0"/>
    <w:rsid w:val="3C964A41"/>
    <w:rsid w:val="3C9D55B9"/>
    <w:rsid w:val="3CAA7134"/>
    <w:rsid w:val="3CC901BE"/>
    <w:rsid w:val="3CCC44C4"/>
    <w:rsid w:val="3CEC658B"/>
    <w:rsid w:val="3CF64422"/>
    <w:rsid w:val="3CFC1B99"/>
    <w:rsid w:val="3D540C57"/>
    <w:rsid w:val="3E163992"/>
    <w:rsid w:val="3E184B31"/>
    <w:rsid w:val="3ECB2425"/>
    <w:rsid w:val="3EE00CA4"/>
    <w:rsid w:val="3EEC0CFA"/>
    <w:rsid w:val="3F285800"/>
    <w:rsid w:val="3F336B08"/>
    <w:rsid w:val="3F763AC8"/>
    <w:rsid w:val="3F9C0242"/>
    <w:rsid w:val="3FDD73A2"/>
    <w:rsid w:val="406C6949"/>
    <w:rsid w:val="409552F3"/>
    <w:rsid w:val="40B41175"/>
    <w:rsid w:val="41065340"/>
    <w:rsid w:val="4141320A"/>
    <w:rsid w:val="4181032B"/>
    <w:rsid w:val="41901074"/>
    <w:rsid w:val="41CB1D4B"/>
    <w:rsid w:val="421E14D0"/>
    <w:rsid w:val="42235BAD"/>
    <w:rsid w:val="42306196"/>
    <w:rsid w:val="42630477"/>
    <w:rsid w:val="42636C9F"/>
    <w:rsid w:val="42681E7F"/>
    <w:rsid w:val="429B48AD"/>
    <w:rsid w:val="42B92869"/>
    <w:rsid w:val="434F15AD"/>
    <w:rsid w:val="43DD5039"/>
    <w:rsid w:val="43E47EA8"/>
    <w:rsid w:val="43F60564"/>
    <w:rsid w:val="44F01BED"/>
    <w:rsid w:val="45201A12"/>
    <w:rsid w:val="452F1725"/>
    <w:rsid w:val="45343921"/>
    <w:rsid w:val="45674116"/>
    <w:rsid w:val="45EF2CA2"/>
    <w:rsid w:val="462447BF"/>
    <w:rsid w:val="46617AA6"/>
    <w:rsid w:val="469352F7"/>
    <w:rsid w:val="46C24C79"/>
    <w:rsid w:val="471B0C89"/>
    <w:rsid w:val="473873CC"/>
    <w:rsid w:val="475C7167"/>
    <w:rsid w:val="47A41137"/>
    <w:rsid w:val="47A8368F"/>
    <w:rsid w:val="47D14B79"/>
    <w:rsid w:val="48143AB9"/>
    <w:rsid w:val="483C3BE6"/>
    <w:rsid w:val="484B4D34"/>
    <w:rsid w:val="488A58FC"/>
    <w:rsid w:val="48F51097"/>
    <w:rsid w:val="493573FA"/>
    <w:rsid w:val="49F72751"/>
    <w:rsid w:val="4A13476E"/>
    <w:rsid w:val="4A3E0665"/>
    <w:rsid w:val="4A500F0F"/>
    <w:rsid w:val="4A5E0759"/>
    <w:rsid w:val="4AB23329"/>
    <w:rsid w:val="4AC531F7"/>
    <w:rsid w:val="4B1501C4"/>
    <w:rsid w:val="4B4767A7"/>
    <w:rsid w:val="4BB757AC"/>
    <w:rsid w:val="4C0461E4"/>
    <w:rsid w:val="4C5C1BA6"/>
    <w:rsid w:val="4C613C51"/>
    <w:rsid w:val="4CFF73C2"/>
    <w:rsid w:val="4D4C3F51"/>
    <w:rsid w:val="4D5A2B8A"/>
    <w:rsid w:val="4D766F79"/>
    <w:rsid w:val="4E71371C"/>
    <w:rsid w:val="4E913A57"/>
    <w:rsid w:val="4EB51C4F"/>
    <w:rsid w:val="4EDE306D"/>
    <w:rsid w:val="4EE37ADC"/>
    <w:rsid w:val="4F1C11DC"/>
    <w:rsid w:val="4F25370F"/>
    <w:rsid w:val="4F503E8B"/>
    <w:rsid w:val="4FAF6674"/>
    <w:rsid w:val="505D1C1E"/>
    <w:rsid w:val="50FB5B7D"/>
    <w:rsid w:val="50FC3A3B"/>
    <w:rsid w:val="511B1AD7"/>
    <w:rsid w:val="51260019"/>
    <w:rsid w:val="517046AD"/>
    <w:rsid w:val="518B54F3"/>
    <w:rsid w:val="51C34647"/>
    <w:rsid w:val="51D41CF8"/>
    <w:rsid w:val="524C401B"/>
    <w:rsid w:val="5278694C"/>
    <w:rsid w:val="529C2184"/>
    <w:rsid w:val="529C4837"/>
    <w:rsid w:val="52E60214"/>
    <w:rsid w:val="531E140D"/>
    <w:rsid w:val="53C46FFC"/>
    <w:rsid w:val="53D05BB5"/>
    <w:rsid w:val="54447CC0"/>
    <w:rsid w:val="548D4F31"/>
    <w:rsid w:val="54CD2AEE"/>
    <w:rsid w:val="550924B0"/>
    <w:rsid w:val="55224A20"/>
    <w:rsid w:val="55417F44"/>
    <w:rsid w:val="55935172"/>
    <w:rsid w:val="55BB16B6"/>
    <w:rsid w:val="55F556BC"/>
    <w:rsid w:val="561E3AF8"/>
    <w:rsid w:val="5625049D"/>
    <w:rsid w:val="565D2FE2"/>
    <w:rsid w:val="56991DD0"/>
    <w:rsid w:val="56BC0932"/>
    <w:rsid w:val="56F82EB0"/>
    <w:rsid w:val="570973FD"/>
    <w:rsid w:val="570E2BE3"/>
    <w:rsid w:val="57682CEA"/>
    <w:rsid w:val="57957137"/>
    <w:rsid w:val="57FD2D2A"/>
    <w:rsid w:val="58230761"/>
    <w:rsid w:val="583A4550"/>
    <w:rsid w:val="58727140"/>
    <w:rsid w:val="58784918"/>
    <w:rsid w:val="587E1D6F"/>
    <w:rsid w:val="58D815EE"/>
    <w:rsid w:val="58E51381"/>
    <w:rsid w:val="591A65FA"/>
    <w:rsid w:val="594E058F"/>
    <w:rsid w:val="59704DD6"/>
    <w:rsid w:val="597C5399"/>
    <w:rsid w:val="5A280141"/>
    <w:rsid w:val="5A4243A9"/>
    <w:rsid w:val="5A751DC0"/>
    <w:rsid w:val="5A8304C9"/>
    <w:rsid w:val="5AB372DC"/>
    <w:rsid w:val="5ADA14B0"/>
    <w:rsid w:val="5ADF4EDC"/>
    <w:rsid w:val="5B030577"/>
    <w:rsid w:val="5B0A49A6"/>
    <w:rsid w:val="5B107DE0"/>
    <w:rsid w:val="5B6A1223"/>
    <w:rsid w:val="5BB2677A"/>
    <w:rsid w:val="5BB400A8"/>
    <w:rsid w:val="5BBD321B"/>
    <w:rsid w:val="5BC055A0"/>
    <w:rsid w:val="5BC1424A"/>
    <w:rsid w:val="5BD338C5"/>
    <w:rsid w:val="5BD52D38"/>
    <w:rsid w:val="5C0234FD"/>
    <w:rsid w:val="5C180C0C"/>
    <w:rsid w:val="5C862B04"/>
    <w:rsid w:val="5CB543CA"/>
    <w:rsid w:val="5CE54D3E"/>
    <w:rsid w:val="5D5701B5"/>
    <w:rsid w:val="5DB21301"/>
    <w:rsid w:val="5DC737BF"/>
    <w:rsid w:val="5E1F1CC8"/>
    <w:rsid w:val="5E2C6C07"/>
    <w:rsid w:val="5E430752"/>
    <w:rsid w:val="5E814321"/>
    <w:rsid w:val="5ED45AEB"/>
    <w:rsid w:val="5F487310"/>
    <w:rsid w:val="5F5F137F"/>
    <w:rsid w:val="5F957DC0"/>
    <w:rsid w:val="5FC004F8"/>
    <w:rsid w:val="5FFB3B7D"/>
    <w:rsid w:val="60685533"/>
    <w:rsid w:val="607C7A01"/>
    <w:rsid w:val="609A4BD3"/>
    <w:rsid w:val="60C83911"/>
    <w:rsid w:val="60D32E87"/>
    <w:rsid w:val="60DE27FA"/>
    <w:rsid w:val="60EE467E"/>
    <w:rsid w:val="60FB0BEC"/>
    <w:rsid w:val="60FC0AD8"/>
    <w:rsid w:val="61345D08"/>
    <w:rsid w:val="61734BA9"/>
    <w:rsid w:val="61876458"/>
    <w:rsid w:val="61A859E7"/>
    <w:rsid w:val="61AD3544"/>
    <w:rsid w:val="61B4513D"/>
    <w:rsid w:val="61E74975"/>
    <w:rsid w:val="620F466D"/>
    <w:rsid w:val="62123F06"/>
    <w:rsid w:val="621D443A"/>
    <w:rsid w:val="622172FD"/>
    <w:rsid w:val="622A6875"/>
    <w:rsid w:val="6253251B"/>
    <w:rsid w:val="626E06E6"/>
    <w:rsid w:val="62725B10"/>
    <w:rsid w:val="62E7672F"/>
    <w:rsid w:val="62EC3D83"/>
    <w:rsid w:val="63797B01"/>
    <w:rsid w:val="637E1C71"/>
    <w:rsid w:val="63942591"/>
    <w:rsid w:val="639A083C"/>
    <w:rsid w:val="63A703D1"/>
    <w:rsid w:val="63C3717B"/>
    <w:rsid w:val="63C9672E"/>
    <w:rsid w:val="63CE5CCB"/>
    <w:rsid w:val="64A046EB"/>
    <w:rsid w:val="64DC2DD5"/>
    <w:rsid w:val="64E10EAD"/>
    <w:rsid w:val="651C05C3"/>
    <w:rsid w:val="654A0754"/>
    <w:rsid w:val="654B2D50"/>
    <w:rsid w:val="658F6F34"/>
    <w:rsid w:val="65B6180D"/>
    <w:rsid w:val="65C415C7"/>
    <w:rsid w:val="65DA2204"/>
    <w:rsid w:val="65F50AAA"/>
    <w:rsid w:val="66277120"/>
    <w:rsid w:val="66503916"/>
    <w:rsid w:val="667274EC"/>
    <w:rsid w:val="669161E9"/>
    <w:rsid w:val="66A371B3"/>
    <w:rsid w:val="66D10AF3"/>
    <w:rsid w:val="66DB799C"/>
    <w:rsid w:val="66F10712"/>
    <w:rsid w:val="67025380"/>
    <w:rsid w:val="670B3F3A"/>
    <w:rsid w:val="670E7C0C"/>
    <w:rsid w:val="67260131"/>
    <w:rsid w:val="67274B2D"/>
    <w:rsid w:val="67885128"/>
    <w:rsid w:val="679622AB"/>
    <w:rsid w:val="679E376D"/>
    <w:rsid w:val="67BC0A1B"/>
    <w:rsid w:val="68657858"/>
    <w:rsid w:val="6868424E"/>
    <w:rsid w:val="68BB3BF0"/>
    <w:rsid w:val="68DB2583"/>
    <w:rsid w:val="690C1533"/>
    <w:rsid w:val="69260C93"/>
    <w:rsid w:val="6944066D"/>
    <w:rsid w:val="69611074"/>
    <w:rsid w:val="697414DA"/>
    <w:rsid w:val="69E147FF"/>
    <w:rsid w:val="6A0257E8"/>
    <w:rsid w:val="6AAF1460"/>
    <w:rsid w:val="6AE671A0"/>
    <w:rsid w:val="6B6458E6"/>
    <w:rsid w:val="6B665FDE"/>
    <w:rsid w:val="6BBC152C"/>
    <w:rsid w:val="6BC25C6A"/>
    <w:rsid w:val="6BE6255D"/>
    <w:rsid w:val="6C224366"/>
    <w:rsid w:val="6C4836BD"/>
    <w:rsid w:val="6C621DE4"/>
    <w:rsid w:val="6CA45CA3"/>
    <w:rsid w:val="6CC27A85"/>
    <w:rsid w:val="6CDA08BC"/>
    <w:rsid w:val="6D787BC1"/>
    <w:rsid w:val="6D7F3F5B"/>
    <w:rsid w:val="6D855BE4"/>
    <w:rsid w:val="6DA86FE2"/>
    <w:rsid w:val="6DBB0263"/>
    <w:rsid w:val="6DDA2238"/>
    <w:rsid w:val="6DF4578E"/>
    <w:rsid w:val="6E083E59"/>
    <w:rsid w:val="6E2238F5"/>
    <w:rsid w:val="6E297961"/>
    <w:rsid w:val="6E334EEB"/>
    <w:rsid w:val="6EE90A30"/>
    <w:rsid w:val="6EEF6CB0"/>
    <w:rsid w:val="6F140602"/>
    <w:rsid w:val="6F812372"/>
    <w:rsid w:val="6F942D86"/>
    <w:rsid w:val="6FDD0724"/>
    <w:rsid w:val="6FF156B3"/>
    <w:rsid w:val="700E7919"/>
    <w:rsid w:val="704A6F9D"/>
    <w:rsid w:val="704C4CF9"/>
    <w:rsid w:val="707703E8"/>
    <w:rsid w:val="70B475FE"/>
    <w:rsid w:val="70D7652A"/>
    <w:rsid w:val="71442A2E"/>
    <w:rsid w:val="71943B66"/>
    <w:rsid w:val="71E321E5"/>
    <w:rsid w:val="7200420B"/>
    <w:rsid w:val="728A3A4D"/>
    <w:rsid w:val="72A67BAE"/>
    <w:rsid w:val="72B140BE"/>
    <w:rsid w:val="730B631B"/>
    <w:rsid w:val="736D4CE1"/>
    <w:rsid w:val="737A76DA"/>
    <w:rsid w:val="737C169B"/>
    <w:rsid w:val="737E3665"/>
    <w:rsid w:val="73D140A6"/>
    <w:rsid w:val="74116287"/>
    <w:rsid w:val="74CB1680"/>
    <w:rsid w:val="74D63DFA"/>
    <w:rsid w:val="74D8263E"/>
    <w:rsid w:val="753B30A0"/>
    <w:rsid w:val="757974C6"/>
    <w:rsid w:val="75AC05F9"/>
    <w:rsid w:val="75C26E96"/>
    <w:rsid w:val="75E87271"/>
    <w:rsid w:val="760C230C"/>
    <w:rsid w:val="762A4A48"/>
    <w:rsid w:val="763C62C7"/>
    <w:rsid w:val="76A153D0"/>
    <w:rsid w:val="76C81FAB"/>
    <w:rsid w:val="770E6DB8"/>
    <w:rsid w:val="7713523A"/>
    <w:rsid w:val="77520B47"/>
    <w:rsid w:val="776310EB"/>
    <w:rsid w:val="77D77562"/>
    <w:rsid w:val="782D2E6E"/>
    <w:rsid w:val="783A748C"/>
    <w:rsid w:val="7855031C"/>
    <w:rsid w:val="78557880"/>
    <w:rsid w:val="78911745"/>
    <w:rsid w:val="78B22854"/>
    <w:rsid w:val="78E568FC"/>
    <w:rsid w:val="795D03B2"/>
    <w:rsid w:val="798757F1"/>
    <w:rsid w:val="798C243C"/>
    <w:rsid w:val="79BB5816"/>
    <w:rsid w:val="7A190219"/>
    <w:rsid w:val="7A4B6476"/>
    <w:rsid w:val="7A7D5D5D"/>
    <w:rsid w:val="7AB355A9"/>
    <w:rsid w:val="7AC13A98"/>
    <w:rsid w:val="7B607AF4"/>
    <w:rsid w:val="7B6F644C"/>
    <w:rsid w:val="7B7A2230"/>
    <w:rsid w:val="7B83135E"/>
    <w:rsid w:val="7B9A0DF6"/>
    <w:rsid w:val="7BC86500"/>
    <w:rsid w:val="7BF40960"/>
    <w:rsid w:val="7C191EEE"/>
    <w:rsid w:val="7CD124DB"/>
    <w:rsid w:val="7DB868E4"/>
    <w:rsid w:val="7E0E370F"/>
    <w:rsid w:val="7E2C0A93"/>
    <w:rsid w:val="7E2E4D35"/>
    <w:rsid w:val="7E517F7E"/>
    <w:rsid w:val="7E8C11B8"/>
    <w:rsid w:val="7EB6190F"/>
    <w:rsid w:val="7EDB4D0D"/>
    <w:rsid w:val="7F020856"/>
    <w:rsid w:val="7F966933"/>
    <w:rsid w:val="7F9F2081"/>
    <w:rsid w:val="7FC02D2E"/>
    <w:rsid w:val="7FC84E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6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3">
    <w:name w:val="Default Paragraph Font"/>
    <w:semiHidden/>
    <w:uiPriority w:val="0"/>
    <w:rPr>
      <w:rFonts w:ascii="仿宋_GB2312" w:eastAsia="仿宋_GB2312" w:cs="仿宋_GB2312"/>
      <w:b/>
      <w:bCs/>
      <w:sz w:val="32"/>
      <w:szCs w:val="32"/>
    </w:rPr>
  </w:style>
  <w:style w:type="table" w:default="1" w:styleId="51">
    <w:name w:val="Normal Table"/>
    <w:semiHidden/>
    <w:uiPriority w:val="0"/>
    <w:tblPr>
      <w:tblStyle w:val="51"/>
      <w:tblCellMar>
        <w:top w:w="0" w:type="dxa"/>
        <w:left w:w="108" w:type="dxa"/>
        <w:bottom w:w="0" w:type="dxa"/>
        <w:right w:w="108" w:type="dxa"/>
      </w:tblCellMar>
    </w:tblPr>
  </w:style>
  <w:style w:type="paragraph" w:styleId="2">
    <w:name w:val="Body Text"/>
    <w:basedOn w:val="1"/>
    <w:next w:val="3"/>
    <w:link w:val="59"/>
    <w:qFormat/>
    <w:uiPriority w:val="0"/>
    <w:pPr>
      <w:jc w:val="center"/>
    </w:pPr>
    <w:rPr>
      <w:rFonts w:ascii="宋体" w:hAnsi="宋体"/>
      <w:b/>
      <w:bCs/>
      <w:color w:val="000000"/>
      <w:sz w:val="72"/>
      <w:szCs w:val="20"/>
    </w:rPr>
  </w:style>
  <w:style w:type="paragraph" w:styleId="3">
    <w:name w:val="Body Text First Indent"/>
    <w:basedOn w:val="2"/>
    <w:next w:val="4"/>
    <w:qFormat/>
    <w:uiPriority w:val="0"/>
    <w:pPr>
      <w:ind w:firstLine="420" w:firstLineChars="100"/>
    </w:pPr>
  </w:style>
  <w:style w:type="paragraph" w:styleId="4">
    <w:name w:val="Normal Indent"/>
    <w:basedOn w:val="1"/>
    <w:link w:val="60"/>
    <w:uiPriority w:val="0"/>
    <w:pPr>
      <w:ind w:firstLine="420" w:firstLineChars="200"/>
    </w:pPr>
    <w:rPr>
      <w:sz w:val="28"/>
      <w:szCs w:val="20"/>
    </w:rPr>
  </w:style>
  <w:style w:type="paragraph" w:styleId="14">
    <w:name w:val="toc 7"/>
    <w:basedOn w:val="1"/>
    <w:next w:val="1"/>
    <w:semiHidden/>
    <w:uiPriority w:val="0"/>
    <w:pPr>
      <w:ind w:left="2520" w:leftChars="1200"/>
    </w:pPr>
  </w:style>
  <w:style w:type="paragraph" w:styleId="15">
    <w:name w:val="index 8"/>
    <w:basedOn w:val="1"/>
    <w:next w:val="1"/>
    <w:semiHidden/>
    <w:uiPriority w:val="0"/>
    <w:pPr>
      <w:ind w:left="1400" w:leftChars="1400"/>
    </w:pPr>
  </w:style>
  <w:style w:type="paragraph" w:styleId="16">
    <w:name w:val="List Number"/>
    <w:basedOn w:val="1"/>
    <w:uiPriority w:val="0"/>
    <w:pPr>
      <w:numPr>
        <w:ilvl w:val="0"/>
        <w:numId w:val="2"/>
      </w:numPr>
    </w:pPr>
  </w:style>
  <w:style w:type="paragraph" w:styleId="17">
    <w:name w:val="index 5"/>
    <w:basedOn w:val="1"/>
    <w:next w:val="1"/>
    <w:semiHidden/>
    <w:uiPriority w:val="0"/>
    <w:pPr>
      <w:ind w:left="800" w:leftChars="800"/>
    </w:pPr>
  </w:style>
  <w:style w:type="paragraph" w:styleId="18">
    <w:name w:val="Document Map"/>
    <w:basedOn w:val="1"/>
    <w:qFormat/>
    <w:uiPriority w:val="0"/>
    <w:rPr>
      <w:rFonts w:ascii="宋体"/>
      <w:sz w:val="18"/>
      <w:szCs w:val="18"/>
    </w:rPr>
  </w:style>
  <w:style w:type="paragraph" w:styleId="19">
    <w:name w:val="annotation text"/>
    <w:basedOn w:val="1"/>
    <w:semiHidden/>
    <w:uiPriority w:val="0"/>
    <w:pPr>
      <w:jc w:val="left"/>
    </w:pPr>
  </w:style>
  <w:style w:type="paragraph" w:styleId="20">
    <w:name w:val="index 6"/>
    <w:basedOn w:val="1"/>
    <w:next w:val="1"/>
    <w:semiHidden/>
    <w:uiPriority w:val="0"/>
    <w:pPr>
      <w:ind w:left="1000" w:leftChars="1000"/>
    </w:pPr>
  </w:style>
  <w:style w:type="paragraph" w:styleId="21">
    <w:name w:val="Salutation"/>
    <w:basedOn w:val="1"/>
    <w:next w:val="1"/>
    <w:link w:val="62"/>
    <w:uiPriority w:val="0"/>
    <w:pPr>
      <w:tabs>
        <w:tab w:val="left" w:pos="360"/>
      </w:tabs>
      <w:ind w:left="360" w:hanging="360"/>
    </w:pPr>
    <w:rPr>
      <w:sz w:val="24"/>
    </w:rPr>
  </w:style>
  <w:style w:type="paragraph" w:styleId="22">
    <w:name w:val="Body Text Indent"/>
    <w:basedOn w:val="1"/>
    <w:uiPriority w:val="0"/>
    <w:pPr>
      <w:spacing w:line="460" w:lineRule="exact"/>
      <w:ind w:firstLine="482" w:firstLineChars="200"/>
    </w:pPr>
    <w:rPr>
      <w:b/>
      <w:bCs/>
      <w:sz w:val="24"/>
      <w:shd w:val="clear" w:color="auto" w:fill="CCCCCC"/>
    </w:rPr>
  </w:style>
  <w:style w:type="paragraph" w:styleId="23">
    <w:name w:val="List Continue"/>
    <w:basedOn w:val="1"/>
    <w:qFormat/>
    <w:uiPriority w:val="0"/>
    <w:pPr>
      <w:spacing w:after="120"/>
      <w:ind w:left="420"/>
    </w:pPr>
  </w:style>
  <w:style w:type="paragraph" w:styleId="24">
    <w:name w:val="index 4"/>
    <w:basedOn w:val="1"/>
    <w:next w:val="1"/>
    <w:semiHidden/>
    <w:uiPriority w:val="0"/>
    <w:pPr>
      <w:ind w:left="600" w:leftChars="600"/>
    </w:pPr>
  </w:style>
  <w:style w:type="paragraph" w:styleId="25">
    <w:name w:val="toc 5"/>
    <w:basedOn w:val="1"/>
    <w:next w:val="1"/>
    <w:semiHidden/>
    <w:uiPriority w:val="0"/>
    <w:pPr>
      <w:ind w:left="1680" w:leftChars="800"/>
    </w:pPr>
  </w:style>
  <w:style w:type="paragraph" w:styleId="26">
    <w:name w:val="toc 3"/>
    <w:basedOn w:val="1"/>
    <w:next w:val="1"/>
    <w:semiHidden/>
    <w:uiPriority w:val="0"/>
    <w:pPr>
      <w:ind w:left="840" w:leftChars="400"/>
    </w:pPr>
  </w:style>
  <w:style w:type="paragraph" w:styleId="27">
    <w:name w:val="Plain Text"/>
    <w:basedOn w:val="1"/>
    <w:next w:val="1"/>
    <w:link w:val="63"/>
    <w:qFormat/>
    <w:uiPriority w:val="0"/>
    <w:rPr>
      <w:rFonts w:ascii="宋体" w:hAnsi="Courier New" w:cs="Courier New"/>
      <w:szCs w:val="21"/>
    </w:rPr>
  </w:style>
  <w:style w:type="paragraph" w:styleId="28">
    <w:name w:val="toc 8"/>
    <w:basedOn w:val="1"/>
    <w:next w:val="1"/>
    <w:semiHidden/>
    <w:uiPriority w:val="0"/>
    <w:pPr>
      <w:ind w:left="2940" w:leftChars="1400"/>
    </w:pPr>
  </w:style>
  <w:style w:type="paragraph" w:styleId="29">
    <w:name w:val="index 3"/>
    <w:basedOn w:val="1"/>
    <w:next w:val="1"/>
    <w:semiHidden/>
    <w:uiPriority w:val="0"/>
    <w:pPr>
      <w:ind w:left="400" w:leftChars="400"/>
    </w:pPr>
  </w:style>
  <w:style w:type="paragraph" w:styleId="30">
    <w:name w:val="Date"/>
    <w:basedOn w:val="1"/>
    <w:next w:val="1"/>
    <w:link w:val="64"/>
    <w:uiPriority w:val="0"/>
    <w:pPr>
      <w:ind w:left="100" w:leftChars="2500"/>
    </w:pPr>
  </w:style>
  <w:style w:type="paragraph" w:styleId="31">
    <w:name w:val="Body Text Indent 2"/>
    <w:basedOn w:val="1"/>
    <w:link w:val="65"/>
    <w:uiPriority w:val="0"/>
    <w:pPr>
      <w:spacing w:line="360" w:lineRule="auto"/>
      <w:ind w:firstLine="480"/>
    </w:pPr>
    <w:rPr>
      <w:rFonts w:ascii="宋体" w:eastAsia="新宋体"/>
      <w:sz w:val="24"/>
      <w:szCs w:val="20"/>
    </w:rPr>
  </w:style>
  <w:style w:type="paragraph" w:styleId="32">
    <w:name w:val="Balloon Text"/>
    <w:basedOn w:val="1"/>
    <w:semiHidden/>
    <w:uiPriority w:val="0"/>
    <w:rPr>
      <w:sz w:val="18"/>
      <w:szCs w:val="18"/>
    </w:rPr>
  </w:style>
  <w:style w:type="paragraph" w:styleId="33">
    <w:name w:val="footer"/>
    <w:basedOn w:val="1"/>
    <w:link w:val="66"/>
    <w:uiPriority w:val="0"/>
    <w:pPr>
      <w:tabs>
        <w:tab w:val="center" w:pos="4153"/>
        <w:tab w:val="right" w:pos="8306"/>
      </w:tabs>
      <w:snapToGrid w:val="0"/>
      <w:jc w:val="left"/>
    </w:pPr>
    <w:rPr>
      <w:sz w:val="18"/>
      <w:szCs w:val="18"/>
    </w:rPr>
  </w:style>
  <w:style w:type="paragraph" w:styleId="34">
    <w:name w:val="header"/>
    <w:basedOn w:val="1"/>
    <w:link w:val="67"/>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line="460" w:lineRule="exact"/>
    </w:pPr>
    <w:rPr>
      <w:b/>
      <w:bCs/>
      <w:sz w:val="28"/>
      <w:szCs w:val="30"/>
    </w:rPr>
  </w:style>
  <w:style w:type="paragraph" w:styleId="36">
    <w:name w:val="toc 4"/>
    <w:basedOn w:val="1"/>
    <w:next w:val="1"/>
    <w:semiHidden/>
    <w:uiPriority w:val="0"/>
    <w:pPr>
      <w:ind w:left="1260" w:leftChars="600"/>
    </w:pPr>
  </w:style>
  <w:style w:type="paragraph" w:styleId="37">
    <w:name w:val="index heading"/>
    <w:basedOn w:val="1"/>
    <w:next w:val="38"/>
    <w:semiHidden/>
    <w:uiPriority w:val="0"/>
  </w:style>
  <w:style w:type="paragraph" w:styleId="38">
    <w:name w:val="index 1"/>
    <w:basedOn w:val="1"/>
    <w:next w:val="1"/>
    <w:semiHidden/>
    <w:uiPriority w:val="0"/>
    <w:pPr>
      <w:spacing w:line="560" w:lineRule="exact"/>
    </w:pPr>
    <w:rPr>
      <w:sz w:val="28"/>
    </w:rPr>
  </w:style>
  <w:style w:type="paragraph" w:styleId="39">
    <w:name w:val="toc 6"/>
    <w:basedOn w:val="1"/>
    <w:next w:val="1"/>
    <w:semiHidden/>
    <w:uiPriority w:val="0"/>
    <w:pPr>
      <w:ind w:left="2100" w:leftChars="1000"/>
    </w:pPr>
  </w:style>
  <w:style w:type="paragraph" w:styleId="40">
    <w:name w:val="Body Text Indent 3"/>
    <w:basedOn w:val="1"/>
    <w:link w:val="68"/>
    <w:uiPriority w:val="0"/>
    <w:pPr>
      <w:spacing w:after="120"/>
      <w:ind w:left="420" w:leftChars="200"/>
    </w:pPr>
    <w:rPr>
      <w:sz w:val="16"/>
      <w:szCs w:val="16"/>
    </w:rPr>
  </w:style>
  <w:style w:type="paragraph" w:styleId="41">
    <w:name w:val="index 7"/>
    <w:basedOn w:val="1"/>
    <w:next w:val="1"/>
    <w:semiHidden/>
    <w:uiPriority w:val="0"/>
    <w:pPr>
      <w:ind w:left="1200" w:leftChars="1200"/>
    </w:pPr>
  </w:style>
  <w:style w:type="paragraph" w:styleId="42">
    <w:name w:val="index 9"/>
    <w:basedOn w:val="1"/>
    <w:next w:val="1"/>
    <w:semiHidden/>
    <w:uiPriority w:val="0"/>
    <w:pPr>
      <w:ind w:left="1600" w:leftChars="1600"/>
    </w:pPr>
  </w:style>
  <w:style w:type="paragraph" w:styleId="43">
    <w:name w:val="table of figures"/>
    <w:basedOn w:val="1"/>
    <w:next w:val="1"/>
    <w:semiHidden/>
    <w:uiPriority w:val="0"/>
    <w:pPr>
      <w:spacing w:line="560" w:lineRule="exact"/>
    </w:pPr>
    <w:rPr>
      <w:b/>
      <w:sz w:val="28"/>
    </w:rPr>
  </w:style>
  <w:style w:type="paragraph" w:styleId="44">
    <w:name w:val="toc 2"/>
    <w:basedOn w:val="1"/>
    <w:next w:val="1"/>
    <w:semiHidden/>
    <w:uiPriority w:val="0"/>
    <w:pPr>
      <w:spacing w:line="400" w:lineRule="exact"/>
      <w:ind w:left="200" w:leftChars="200"/>
    </w:pPr>
    <w:rPr>
      <w:sz w:val="24"/>
    </w:rPr>
  </w:style>
  <w:style w:type="paragraph" w:styleId="45">
    <w:name w:val="toc 9"/>
    <w:basedOn w:val="1"/>
    <w:next w:val="1"/>
    <w:semiHidden/>
    <w:uiPriority w:val="0"/>
    <w:pPr>
      <w:ind w:left="3360" w:leftChars="1600"/>
    </w:pPr>
  </w:style>
  <w:style w:type="paragraph" w:styleId="46">
    <w:name w:val="Body Text 2"/>
    <w:basedOn w:val="1"/>
    <w:uiPriority w:val="0"/>
    <w:pPr>
      <w:spacing w:after="120" w:line="480" w:lineRule="auto"/>
    </w:pPr>
  </w:style>
  <w:style w:type="paragraph" w:styleId="47">
    <w:name w:val="Normal (Web)"/>
    <w:basedOn w:val="1"/>
    <w:uiPriority w:val="0"/>
    <w:pPr>
      <w:spacing w:before="100" w:beforeAutospacing="1" w:after="100" w:afterAutospacing="1"/>
      <w:ind w:left="0" w:right="0"/>
      <w:jc w:val="left"/>
    </w:pPr>
    <w:rPr>
      <w:kern w:val="0"/>
      <w:sz w:val="24"/>
      <w:lang w:val="en-US" w:eastAsia="zh-CN" w:bidi="ar"/>
    </w:rPr>
  </w:style>
  <w:style w:type="paragraph" w:styleId="48">
    <w:name w:val="index 2"/>
    <w:basedOn w:val="1"/>
    <w:next w:val="1"/>
    <w:semiHidden/>
    <w:uiPriority w:val="0"/>
    <w:pPr>
      <w:spacing w:line="560" w:lineRule="exact"/>
      <w:ind w:left="200" w:leftChars="200"/>
    </w:pPr>
    <w:rPr>
      <w:sz w:val="28"/>
    </w:rPr>
  </w:style>
  <w:style w:type="paragraph" w:styleId="49">
    <w:name w:val="annotation subject"/>
    <w:basedOn w:val="19"/>
    <w:next w:val="19"/>
    <w:semiHidden/>
    <w:uiPriority w:val="0"/>
    <w:rPr>
      <w:b/>
      <w:bCs/>
    </w:rPr>
  </w:style>
  <w:style w:type="paragraph" w:styleId="50">
    <w:name w:val="Body Text First Indent 2"/>
    <w:basedOn w:val="22"/>
    <w:next w:val="1"/>
    <w:uiPriority w:val="99"/>
    <w:pPr>
      <w:spacing w:after="120" w:line="240" w:lineRule="auto"/>
      <w:ind w:left="420" w:leftChars="200" w:firstLine="420"/>
    </w:pPr>
    <w:rPr>
      <w:sz w:val="21"/>
      <w:szCs w:val="21"/>
    </w:rPr>
  </w:style>
  <w:style w:type="table" w:styleId="52">
    <w:name w:val="Table Grid"/>
    <w:basedOn w:val="51"/>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rPr>
  </w:style>
  <w:style w:type="character" w:styleId="55">
    <w:name w:val="page number"/>
    <w:uiPriority w:val="0"/>
  </w:style>
  <w:style w:type="character" w:styleId="56">
    <w:name w:val="FollowedHyperlink"/>
    <w:uiPriority w:val="0"/>
    <w:rPr>
      <w:color w:val="800080"/>
      <w:u w:val="single"/>
    </w:rPr>
  </w:style>
  <w:style w:type="character" w:styleId="57">
    <w:name w:val="Hyperlink"/>
    <w:uiPriority w:val="0"/>
    <w:rPr>
      <w:color w:val="0000FF"/>
      <w:u w:val="single"/>
    </w:rPr>
  </w:style>
  <w:style w:type="character" w:styleId="58">
    <w:name w:val="annotation reference"/>
    <w:semiHidden/>
    <w:uiPriority w:val="0"/>
    <w:rPr>
      <w:sz w:val="21"/>
      <w:szCs w:val="21"/>
    </w:rPr>
  </w:style>
  <w:style w:type="character" w:customStyle="1" w:styleId="59">
    <w:name w:val="正文文本 Char"/>
    <w:link w:val="2"/>
    <w:uiPriority w:val="0"/>
    <w:rPr>
      <w:rFonts w:ascii="宋体" w:hAnsi="宋体"/>
      <w:b/>
      <w:bCs/>
      <w:color w:val="000000"/>
      <w:kern w:val="2"/>
      <w:sz w:val="72"/>
    </w:rPr>
  </w:style>
  <w:style w:type="character" w:customStyle="1" w:styleId="60">
    <w:name w:val="正文缩进 Char"/>
    <w:link w:val="4"/>
    <w:uiPriority w:val="0"/>
    <w:rPr>
      <w:rFonts w:eastAsia="宋体"/>
      <w:kern w:val="2"/>
      <w:sz w:val="28"/>
      <w:lang w:val="en-US" w:eastAsia="zh-CN" w:bidi="ar-SA"/>
    </w:rPr>
  </w:style>
  <w:style w:type="character" w:customStyle="1" w:styleId="61">
    <w:name w:val="标题 2 Char"/>
    <w:link w:val="6"/>
    <w:uiPriority w:val="0"/>
    <w:rPr>
      <w:rFonts w:ascii="Arial" w:hAnsi="Arial" w:eastAsia="黑体"/>
      <w:b/>
      <w:bCs/>
      <w:kern w:val="2"/>
      <w:sz w:val="32"/>
      <w:szCs w:val="32"/>
      <w:lang w:val="en-US" w:eastAsia="zh-CN" w:bidi="ar-SA"/>
    </w:rPr>
  </w:style>
  <w:style w:type="character" w:customStyle="1" w:styleId="62">
    <w:name w:val="称呼 Char"/>
    <w:link w:val="21"/>
    <w:uiPriority w:val="0"/>
    <w:rPr>
      <w:kern w:val="2"/>
      <w:sz w:val="24"/>
      <w:szCs w:val="24"/>
    </w:rPr>
  </w:style>
  <w:style w:type="character" w:customStyle="1" w:styleId="63">
    <w:name w:val="纯文本 Char"/>
    <w:link w:val="27"/>
    <w:qFormat/>
    <w:uiPriority w:val="0"/>
    <w:rPr>
      <w:rFonts w:ascii="宋体" w:hAnsi="Courier New" w:eastAsia="宋体" w:cs="Courier New"/>
      <w:kern w:val="2"/>
      <w:sz w:val="21"/>
      <w:szCs w:val="21"/>
      <w:lang w:val="en-US" w:eastAsia="zh-CN" w:bidi="ar-SA"/>
    </w:rPr>
  </w:style>
  <w:style w:type="character" w:customStyle="1" w:styleId="64">
    <w:name w:val="日期 Char"/>
    <w:link w:val="30"/>
    <w:uiPriority w:val="0"/>
    <w:rPr>
      <w:kern w:val="2"/>
      <w:sz w:val="21"/>
      <w:szCs w:val="24"/>
    </w:rPr>
  </w:style>
  <w:style w:type="character" w:customStyle="1" w:styleId="65">
    <w:name w:val="正文文本缩进 2 Char"/>
    <w:link w:val="31"/>
    <w:uiPriority w:val="0"/>
    <w:rPr>
      <w:rFonts w:ascii="宋体" w:eastAsia="新宋体"/>
      <w:kern w:val="2"/>
      <w:sz w:val="24"/>
    </w:rPr>
  </w:style>
  <w:style w:type="character" w:customStyle="1" w:styleId="66">
    <w:name w:val="页脚 Char"/>
    <w:link w:val="33"/>
    <w:uiPriority w:val="0"/>
    <w:rPr>
      <w:kern w:val="2"/>
      <w:sz w:val="18"/>
      <w:szCs w:val="18"/>
    </w:rPr>
  </w:style>
  <w:style w:type="character" w:customStyle="1" w:styleId="67">
    <w:name w:val="页眉 Char"/>
    <w:link w:val="34"/>
    <w:uiPriority w:val="0"/>
    <w:rPr>
      <w:kern w:val="2"/>
      <w:sz w:val="18"/>
      <w:szCs w:val="18"/>
    </w:rPr>
  </w:style>
  <w:style w:type="character" w:customStyle="1" w:styleId="68">
    <w:name w:val="正文文本缩进 3 Char"/>
    <w:link w:val="40"/>
    <w:uiPriority w:val="0"/>
    <w:rPr>
      <w:kern w:val="2"/>
      <w:sz w:val="16"/>
      <w:szCs w:val="16"/>
    </w:rPr>
  </w:style>
  <w:style w:type="character" w:customStyle="1" w:styleId="69">
    <w:name w:val="font11"/>
    <w:uiPriority w:val="0"/>
    <w:rPr>
      <w:rFonts w:hint="eastAsia" w:ascii="宋体" w:hAnsi="宋体" w:eastAsia="宋体" w:cs="宋体"/>
      <w:color w:val="000000"/>
      <w:sz w:val="24"/>
      <w:szCs w:val="24"/>
      <w:u w:val="none"/>
    </w:rPr>
  </w:style>
  <w:style w:type="character" w:customStyle="1" w:styleId="70">
    <w:name w:val="普通文字 Char Char3"/>
    <w:aliases w:val="纯文本 Char Char Char2,普通文字 Char Char Char3,Texte Char2,普通文字 Char Char Char Char3,普通文字 Char Char Char Char Char2,0921 Char2,小 Char2,普通文字1 Char2,一般文字 字元 Char2,一般文字 字元 字元 字元 字元 Char2,一般文字 字元 字元 字元 字元 字元 字元 字元 字元 Char2,一般文字 字元 字元 字元 Char1"/>
    <w:qFormat/>
    <w:uiPriority w:val="0"/>
    <w:rPr>
      <w:rFonts w:ascii="宋体" w:hAnsi="Courier New" w:eastAsia="宋体" w:cs="Courier New"/>
      <w:kern w:val="2"/>
      <w:sz w:val="21"/>
      <w:szCs w:val="21"/>
      <w:lang w:val="en-US" w:eastAsia="zh-CN" w:bidi="ar-SA"/>
    </w:rPr>
  </w:style>
  <w:style w:type="character" w:customStyle="1" w:styleId="71">
    <w:name w:val="纯文本 Char2"/>
    <w:uiPriority w:val="0"/>
    <w:rPr>
      <w:rFonts w:ascii="宋体" w:hAnsi="Courier New" w:eastAsia="宋体" w:cs="Courier New"/>
      <w:kern w:val="2"/>
      <w:sz w:val="21"/>
      <w:szCs w:val="21"/>
      <w:lang w:val="en-US" w:eastAsia="zh-CN" w:bidi="ar-SA"/>
    </w:rPr>
  </w:style>
  <w:style w:type="character" w:customStyle="1" w:styleId="72">
    <w:name w:val="纯文本 Char1"/>
    <w:aliases w:val="普通文字 Char Char1,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普通文 Char"/>
    <w:uiPriority w:val="0"/>
    <w:rPr>
      <w:rFonts w:ascii="宋体" w:hAnsi="Courier New" w:eastAsia="宋体" w:cs="Courier New"/>
      <w:kern w:val="2"/>
      <w:sz w:val="21"/>
      <w:szCs w:val="21"/>
      <w:lang w:val="en-US" w:eastAsia="zh-CN" w:bidi="ar-SA"/>
    </w:rPr>
  </w:style>
  <w:style w:type="paragraph" w:customStyle="1" w:styleId="73">
    <w:name w:val="Default"/>
    <w:unhideWhenUsed/>
    <w:qFormat/>
    <w:uiPriority w:val="99"/>
    <w:pPr>
      <w:widowControl w:val="0"/>
      <w:autoSpaceDE w:val="0"/>
      <w:autoSpaceDN w:val="0"/>
      <w:adjustRightInd w:val="0"/>
    </w:pPr>
    <w:rPr>
      <w:rFonts w:hint="eastAsia" w:ascii="方正仿宋_GBK" w:hAnsi="方正仿宋_GBK" w:eastAsia="方正仿宋_GBK"/>
      <w:color w:val="000000"/>
      <w:sz w:val="24"/>
      <w:szCs w:val="22"/>
      <w:lang w:val="en-US" w:eastAsia="zh-CN" w:bidi="ar-SA"/>
    </w:rPr>
  </w:style>
  <w:style w:type="paragraph" w:customStyle="1" w:styleId="74">
    <w:name w:val=" Char3"/>
    <w:basedOn w:val="1"/>
    <w:uiPriority w:val="0"/>
    <w:pPr>
      <w:tabs>
        <w:tab w:val="left" w:pos="360"/>
      </w:tabs>
    </w:pPr>
    <w:rPr>
      <w:sz w:val="24"/>
    </w:rPr>
  </w:style>
  <w:style w:type="paragraph" w:styleId="75">
    <w:name w:val="List Paragraph"/>
    <w:basedOn w:val="1"/>
    <w:qFormat/>
    <w:uiPriority w:val="34"/>
    <w:pPr>
      <w:ind w:firstLine="420"/>
    </w:pPr>
  </w:style>
  <w:style w:type="paragraph" w:customStyle="1" w:styleId="76">
    <w:name w:val="EP投标正文"/>
    <w:basedOn w:val="1"/>
    <w:qFormat/>
    <w:uiPriority w:val="0"/>
    <w:pPr>
      <w:spacing w:line="360" w:lineRule="auto"/>
      <w:ind w:firstLine="496" w:firstLineChars="177"/>
    </w:pPr>
    <w:rPr>
      <w:sz w:val="28"/>
    </w:rPr>
  </w:style>
  <w:style w:type="paragraph" w:customStyle="1" w:styleId="77">
    <w:name w:val="Body text|1"/>
    <w:basedOn w:val="1"/>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78">
    <w:name w:val="样式 首行缩进:  2 字符"/>
    <w:basedOn w:val="1"/>
    <w:qFormat/>
    <w:uiPriority w:val="99"/>
    <w:pPr>
      <w:spacing w:line="400" w:lineRule="exact"/>
      <w:ind w:firstLine="200" w:firstLineChars="200"/>
    </w:pPr>
    <w:rPr>
      <w:rFonts w:cs="宋体"/>
      <w:sz w:val="24"/>
    </w:rPr>
  </w:style>
  <w:style w:type="paragraph" w:customStyle="1" w:styleId="79">
    <w:name w:val="_Style 14"/>
    <w:basedOn w:val="1"/>
    <w:uiPriority w:val="0"/>
  </w:style>
  <w:style w:type="paragraph" w:customStyle="1" w:styleId="80">
    <w:name w:val="+正文"/>
    <w:basedOn w:val="1"/>
    <w:uiPriority w:val="0"/>
    <w:pPr>
      <w:spacing w:line="360" w:lineRule="auto"/>
      <w:ind w:firstLine="200" w:firstLineChars="200"/>
    </w:pPr>
    <w:rPr>
      <w:sz w:val="24"/>
      <w:szCs w:val="28"/>
    </w:rPr>
  </w:style>
  <w:style w:type="paragraph" w:customStyle="1" w:styleId="81">
    <w:name w:val="样式"/>
    <w:basedOn w:val="1"/>
    <w:uiPriority w:val="0"/>
    <w:pPr>
      <w:autoSpaceDE w:val="0"/>
      <w:autoSpaceDN w:val="0"/>
      <w:snapToGrid w:val="0"/>
      <w:spacing w:before="120" w:after="120" w:line="360" w:lineRule="auto"/>
    </w:pPr>
    <w:rPr>
      <w:rFonts w:ascii="宋体"/>
      <w:sz w:val="24"/>
      <w:szCs w:val="20"/>
    </w:rPr>
  </w:style>
  <w:style w:type="paragraph" w:customStyle="1" w:styleId="82">
    <w:name w:val="Body text|4"/>
    <w:basedOn w:val="1"/>
    <w:uiPriority w:val="0"/>
    <w:pPr>
      <w:widowControl w:val="0"/>
      <w:shd w:val="clear" w:color="auto" w:fill="auto"/>
      <w:ind w:hanging="2000"/>
    </w:pPr>
    <w:rPr>
      <w:sz w:val="20"/>
      <w:szCs w:val="20"/>
      <w:u w:val="single"/>
      <w:shd w:val="clear" w:color="auto" w:fill="auto"/>
      <w:lang w:val="zh-CN"/>
    </w:rPr>
  </w:style>
  <w:style w:type="paragraph" w:customStyle="1" w:styleId="83">
    <w:name w:val="xl24"/>
    <w:basedOn w:val="1"/>
    <w:uiPriority w:val="0"/>
    <w:pPr>
      <w:widowControl/>
      <w:spacing w:before="100" w:beforeAutospacing="1" w:after="100" w:afterAutospacing="1"/>
      <w:jc w:val="right"/>
    </w:pPr>
    <w:rPr>
      <w:rFonts w:ascii="宋体" w:hAnsi="宋体"/>
      <w:kern w:val="0"/>
      <w:sz w:val="24"/>
    </w:rPr>
  </w:style>
  <w:style w:type="paragraph" w:customStyle="1" w:styleId="84">
    <w:name w:val=" Char Char Char"/>
    <w:basedOn w:val="1"/>
    <w:uiPriority w:val="0"/>
    <w:rPr>
      <w:rFonts w:ascii="Tahoma" w:hAnsi="Tahoma"/>
      <w:sz w:val="24"/>
      <w:szCs w:val="20"/>
    </w:rPr>
  </w:style>
  <w:style w:type="paragraph" w:customStyle="1" w:styleId="85">
    <w:name w:val="Header or footer|1"/>
    <w:basedOn w:val="1"/>
    <w:uiPriority w:val="0"/>
    <w:pPr>
      <w:jc w:val="left"/>
    </w:pPr>
    <w:rPr>
      <w:rFonts w:ascii="宋体" w:hAnsi="宋体" w:cs="宋体"/>
      <w:kern w:val="0"/>
      <w:sz w:val="20"/>
      <w:lang w:val="zh-TW" w:eastAsia="zh-TW" w:bidi="zh-TW"/>
    </w:rPr>
  </w:style>
  <w:style w:type="paragraph" w:customStyle="1" w:styleId="86">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87">
    <w:name w:val="标题1"/>
    <w:basedOn w:val="35"/>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88">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89">
    <w:name w:val=" Char"/>
    <w:basedOn w:val="1"/>
    <w:uiPriority w:val="0"/>
    <w:rPr>
      <w:szCs w:val="20"/>
    </w:rPr>
  </w:style>
  <w:style w:type="paragraph" w:customStyle="1" w:styleId="90">
    <w:name w:val="*正文"/>
    <w:basedOn w:val="1"/>
    <w:qFormat/>
    <w:uiPriority w:val="0"/>
    <w:pPr>
      <w:spacing w:line="360" w:lineRule="auto"/>
      <w:ind w:firstLine="200" w:firstLineChars="200"/>
    </w:pPr>
    <w:rPr>
      <w:rFonts w:ascii="宋体" w:hAnsi="宋体"/>
      <w:sz w:val="24"/>
    </w:rPr>
  </w:style>
  <w:style w:type="paragraph" w:customStyle="1" w:styleId="91">
    <w:name w:val="Table Paragraph"/>
    <w:basedOn w:val="1"/>
    <w:qFormat/>
    <w:uiPriority w:val="0"/>
    <w:rPr>
      <w:sz w:val="28"/>
      <w:szCs w:val="20"/>
    </w:rPr>
  </w:style>
  <w:style w:type="paragraph" w:customStyle="1" w:styleId="92">
    <w:name w:val="Char"/>
    <w:basedOn w:val="1"/>
    <w:uiPriority w:val="0"/>
    <w:rPr>
      <w:rFonts w:ascii="仿宋_GB2312" w:eastAsia="仿宋_GB2312" w:cs="仿宋_GB2312"/>
      <w:b/>
      <w:bCs/>
      <w:sz w:val="32"/>
      <w:szCs w:val="32"/>
    </w:rPr>
  </w:style>
  <w:style w:type="paragraph" w:customStyle="1" w:styleId="93">
    <w:name w:val=" Char Char Char3"/>
    <w:basedOn w:val="1"/>
    <w:uiPriority w:val="0"/>
    <w:rPr>
      <w:szCs w:val="20"/>
    </w:rPr>
  </w:style>
  <w:style w:type="paragraph" w:customStyle="1" w:styleId="94">
    <w:name w:val=" Char Char Char1 Char Char Char1 Char Char Char Char"/>
    <w:basedOn w:val="1"/>
    <w:uiPriority w:val="0"/>
  </w:style>
  <w:style w:type="paragraph" w:customStyle="1" w:styleId="9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96">
    <w:name w:val="首行缩进"/>
    <w:basedOn w:val="1"/>
    <w:qFormat/>
    <w:uiPriority w:val="0"/>
    <w:pPr>
      <w:spacing w:line="360" w:lineRule="auto"/>
      <w:ind w:firstLine="480" w:firstLineChars="200"/>
    </w:pPr>
    <w:rPr>
      <w:sz w:val="24"/>
      <w:lang w:val="zh-CN"/>
    </w:rPr>
  </w:style>
  <w:style w:type="paragraph" w:customStyle="1" w:styleId="97">
    <w:name w:val="xl1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98">
    <w:name w:val="Body text|2"/>
    <w:basedOn w:val="1"/>
    <w:qFormat/>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table" w:customStyle="1" w:styleId="99">
    <w:name w:val="网格型1"/>
    <w:basedOn w:val="51"/>
    <w:unhideWhenUsed/>
    <w:qFormat/>
    <w:uiPriority w:val="59"/>
    <w:rPr>
      <w:rFonts w:ascii="Times New Roman" w:hAnsi="Times New Roman" w:eastAsia="宋体" w:cs="Times New Roman"/>
      <w:kern w:val="0"/>
      <w:sz w:val="20"/>
      <w:szCs w:val="20"/>
    </w:r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media/image2.emf"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customizations.xml" Type="http://schemas.microsoft.com/office/2006/relationships/keyMapCustomizations"/><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_rels/header3.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286</Pages>
  <Words>134419</Words>
  <Characters>193976</Characters>
  <Lines>363</Lines>
  <Paragraphs>102</Paragraphs>
  <TotalTime>1</TotalTime>
  <ScaleCrop>false</ScaleCrop>
  <LinksUpToDate>false</LinksUpToDate>
  <CharactersWithSpaces>199385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2022-07-06T07:23:00Z</dcterms:created>
  <dc:creator>Jordan</dc:creator>
  <cp:lastModifiedBy>WPS_1701756769</cp:lastModifiedBy>
  <cp:lastPrinted>2022-11-15T07:08:55Z</cp:lastPrinted>
  <dcterms:modified xsi:type="dcterms:W3CDTF">2024-02-22T07:49:07Z</dcterms:modified>
  <cp:revision>12</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D3585DD81531435BA52F66DB01B00C0B_13</vt:lpwstr>
  </property>
</Properties>
</file>