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标段名称：2023年度余杭区教育系统教师电脑规模化采购项目</w:t>
      </w:r>
    </w:p>
    <w:p/>
    <w:tbl>
      <w:tblPr>
        <w:tblStyle w:val="10"/>
        <w:tblW w:w="8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031"/>
        <w:gridCol w:w="293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  <w:t>浙江汉王科技有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报价3888950元，排名第2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30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  <w:t>杭州蓝景云捷科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技有限公司</w:t>
            </w:r>
          </w:p>
        </w:tc>
        <w:tc>
          <w:tcPr>
            <w:tcW w:w="2931" w:type="dxa"/>
            <w:vAlign w:val="center"/>
          </w:tcPr>
          <w:p>
            <w:pPr>
              <w:widowControl w:val="0"/>
              <w:wordWrap/>
              <w:adjustRightInd/>
              <w:snapToGrid/>
              <w:spacing w:afterAutospacing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报价3908294元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</w:t>
      </w:r>
      <w:bookmarkStart w:id="0" w:name="_GoBack"/>
      <w:bookmarkEnd w:id="0"/>
      <w:r>
        <w:t>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20FF2510"/>
    <w:rsid w:val="38E13493"/>
    <w:rsid w:val="3B3FF805"/>
    <w:rsid w:val="3EA61FCA"/>
    <w:rsid w:val="55EB7341"/>
    <w:rsid w:val="591B0E73"/>
    <w:rsid w:val="60C8771F"/>
    <w:rsid w:val="749D2974"/>
    <w:rsid w:val="752F45C5"/>
    <w:rsid w:val="78F152D3"/>
    <w:rsid w:val="7F9BCF07"/>
    <w:rsid w:val="DDFF9FD7"/>
    <w:rsid w:val="EF7EFE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6">
    <w:name w:val="Char1"/>
    <w:basedOn w:val="1"/>
    <w:link w:val="5"/>
    <w:qFormat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thtf-pc</cp:lastModifiedBy>
  <dcterms:modified xsi:type="dcterms:W3CDTF">2023-05-08T01:04:18Z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