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spacing w:after="240" w:afterAutospacing="0"/>
        <w:rPr>
          <w:rFonts w:hint="eastAsia"/>
          <w:b/>
        </w:rPr>
      </w:pPr>
      <w:r>
        <w:rPr>
          <w:rFonts w:hint="eastAsia"/>
          <w:b/>
        </w:rPr>
        <w:t>标段名称：余杭街道长租公务执勤车辆服务采购项目</w:t>
      </w:r>
    </w:p>
    <w:p/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031"/>
        <w:gridCol w:w="293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40"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和美出行（杭州）汽车租赁有限公司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40"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报价1592000元，排名第2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40"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杭州欣豪汽车服务有限公司</w:t>
            </w:r>
            <w:bookmarkStart w:id="0" w:name="_GoBack"/>
            <w:bookmarkEnd w:id="0"/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40"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报价1599000元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40"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  <w:t>杭州租哥辆汽车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服务有限公司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40"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报价1598000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，排名第4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34670AEE"/>
    <w:rsid w:val="38E13493"/>
    <w:rsid w:val="3B3FF805"/>
    <w:rsid w:val="3EA61FCA"/>
    <w:rsid w:val="55EB7341"/>
    <w:rsid w:val="749D2974"/>
    <w:rsid w:val="752F45C5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2023-01-19T02:00:44Z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