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91.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spacing w:line="360" w:lineRule="auto"/>
        <w:ind w:firstLine="0"/>
        <w:rPr>
          <w:rFonts w:asciiTheme="minorEastAsia" w:hAnsiTheme="minorEastAsia" w:eastAsiaTheme="minorEastAsia"/>
          <w:b/>
          <w:color w:val="000000" w:themeColor="text1"/>
          <w:sz w:val="28"/>
          <w:szCs w:val="28"/>
          <w14:textFill>
            <w14:solidFill>
              <w14:schemeClr w14:val="tx1"/>
            </w14:solidFill>
          </w14:textFill>
        </w:rPr>
      </w:pPr>
    </w:p>
    <w:p>
      <w:pPr>
        <w:pStyle w:val="33"/>
        <w:widowControl/>
        <w:jc w:val="center"/>
        <w:rPr>
          <w:rFonts w:asciiTheme="minorEastAsia" w:hAnsiTheme="minorEastAsia" w:eastAsiaTheme="minorEastAsia"/>
          <w:b/>
          <w:bCs/>
          <w:color w:val="000000" w:themeColor="text1"/>
          <w:sz w:val="48"/>
          <w:szCs w:val="48"/>
          <w14:textFill>
            <w14:solidFill>
              <w14:schemeClr w14:val="tx1"/>
            </w14:solidFill>
          </w14:textFill>
        </w:rPr>
      </w:pPr>
      <w:r>
        <w:rPr>
          <w:rFonts w:asciiTheme="minorEastAsia" w:hAnsiTheme="minorEastAsia" w:eastAsiaTheme="minorEastAsia"/>
          <w:b/>
          <w:bCs/>
          <w:color w:val="000000" w:themeColor="text1"/>
          <w:sz w:val="48"/>
          <w:szCs w:val="48"/>
          <w14:textFill>
            <w14:solidFill>
              <w14:schemeClr w14:val="tx1"/>
            </w14:solidFill>
          </w14:textFill>
        </w:rPr>
        <w:t>“一呼解忧”</w:t>
      </w:r>
    </w:p>
    <w:p>
      <w:pPr>
        <w:pStyle w:val="33"/>
        <w:widowControl/>
        <w:jc w:val="center"/>
        <w:rPr>
          <w:rFonts w:asciiTheme="minorEastAsia" w:hAnsiTheme="minorEastAsia" w:eastAsiaTheme="minorEastAsia"/>
          <w:b/>
          <w:bCs/>
          <w:color w:val="000000" w:themeColor="text1"/>
          <w:sz w:val="48"/>
          <w:szCs w:val="48"/>
          <w14:textFill>
            <w14:solidFill>
              <w14:schemeClr w14:val="tx1"/>
            </w14:solidFill>
          </w14:textFill>
        </w:rPr>
      </w:pPr>
      <w:r>
        <w:rPr>
          <w:rFonts w:hint="eastAsia" w:asciiTheme="minorEastAsia" w:hAnsiTheme="minorEastAsia" w:eastAsiaTheme="minorEastAsia"/>
          <w:b/>
          <w:bCs/>
          <w:color w:val="000000" w:themeColor="text1"/>
          <w:sz w:val="48"/>
          <w:szCs w:val="48"/>
          <w14:textFill>
            <w14:solidFill>
              <w14:schemeClr w14:val="tx1"/>
            </w14:solidFill>
          </w14:textFill>
        </w:rPr>
        <w:t>多媒体全渠道受理能力功能扩容</w:t>
      </w:r>
      <w:r>
        <w:rPr>
          <w:rFonts w:asciiTheme="minorEastAsia" w:hAnsiTheme="minorEastAsia" w:eastAsiaTheme="minorEastAsia"/>
          <w:b/>
          <w:bCs/>
          <w:color w:val="000000" w:themeColor="text1"/>
          <w:sz w:val="48"/>
          <w:szCs w:val="48"/>
          <w14:textFill>
            <w14:solidFill>
              <w14:schemeClr w14:val="tx1"/>
            </w14:solidFill>
          </w14:textFill>
        </w:rPr>
        <w:t>项目</w:t>
      </w:r>
    </w:p>
    <w:p>
      <w:pPr>
        <w:jc w:val="center"/>
        <w:rPr>
          <w:rFonts w:asciiTheme="minorEastAsia" w:hAnsiTheme="minorEastAsia" w:eastAsiaTheme="minorEastAsia"/>
          <w:b/>
          <w:bCs/>
          <w:color w:val="000000" w:themeColor="text1"/>
          <w:szCs w:val="28"/>
          <w14:textFill>
            <w14:solidFill>
              <w14:schemeClr w14:val="tx1"/>
            </w14:solidFill>
          </w14:textFill>
        </w:rPr>
      </w:pPr>
    </w:p>
    <w:p>
      <w:pPr>
        <w:widowControl/>
        <w:rPr>
          <w:rFonts w:asciiTheme="minorEastAsia" w:hAnsiTheme="minorEastAsia" w:eastAsiaTheme="minorEastAsia"/>
          <w:b/>
          <w:color w:val="000000" w:themeColor="text1"/>
          <w:szCs w:val="28"/>
          <w14:textFill>
            <w14:solidFill>
              <w14:schemeClr w14:val="tx1"/>
            </w14:solidFill>
          </w14:textFill>
        </w:rPr>
      </w:pPr>
    </w:p>
    <w:p>
      <w:pPr>
        <w:widowControl/>
        <w:rPr>
          <w:rFonts w:asciiTheme="minorEastAsia" w:hAnsiTheme="minorEastAsia" w:eastAsiaTheme="minorEastAsia"/>
          <w:b/>
          <w:color w:val="000000" w:themeColor="text1"/>
          <w:szCs w:val="28"/>
          <w14:textFill>
            <w14:solidFill>
              <w14:schemeClr w14:val="tx1"/>
            </w14:solidFill>
          </w14:textFill>
        </w:rPr>
      </w:pPr>
    </w:p>
    <w:p>
      <w:pPr>
        <w:widowControl/>
        <w:jc w:val="center"/>
        <w:rPr>
          <w:rFonts w:asciiTheme="minorEastAsia" w:hAnsiTheme="minorEastAsia" w:eastAsiaTheme="minorEastAsia"/>
          <w:b/>
          <w:bCs/>
          <w:color w:val="000000" w:themeColor="text1"/>
          <w:kern w:val="0"/>
          <w:sz w:val="48"/>
          <w:szCs w:val="52"/>
          <w14:textFill>
            <w14:solidFill>
              <w14:schemeClr w14:val="tx1"/>
            </w14:solidFill>
          </w14:textFill>
        </w:rPr>
      </w:pPr>
      <w:r>
        <w:rPr>
          <w:rFonts w:hint="eastAsia" w:asciiTheme="minorEastAsia" w:hAnsiTheme="minorEastAsia" w:eastAsiaTheme="minorEastAsia"/>
          <w:b/>
          <w:bCs/>
          <w:color w:val="000000" w:themeColor="text1"/>
          <w:kern w:val="0"/>
          <w:sz w:val="48"/>
          <w:szCs w:val="52"/>
          <w14:textFill>
            <w14:solidFill>
              <w14:schemeClr w14:val="tx1"/>
            </w14:solidFill>
          </w14:textFill>
        </w:rPr>
        <w:t>实</w:t>
      </w:r>
    </w:p>
    <w:p>
      <w:pPr>
        <w:widowControl/>
        <w:jc w:val="center"/>
        <w:rPr>
          <w:rFonts w:asciiTheme="minorEastAsia" w:hAnsiTheme="minorEastAsia" w:eastAsiaTheme="minorEastAsia"/>
          <w:b/>
          <w:bCs/>
          <w:color w:val="000000" w:themeColor="text1"/>
          <w:kern w:val="0"/>
          <w:sz w:val="48"/>
          <w:szCs w:val="52"/>
          <w14:textFill>
            <w14:solidFill>
              <w14:schemeClr w14:val="tx1"/>
            </w14:solidFill>
          </w14:textFill>
        </w:rPr>
      </w:pPr>
      <w:r>
        <w:rPr>
          <w:rFonts w:hint="eastAsia" w:asciiTheme="minorEastAsia" w:hAnsiTheme="minorEastAsia" w:eastAsiaTheme="minorEastAsia"/>
          <w:b/>
          <w:bCs/>
          <w:color w:val="000000" w:themeColor="text1"/>
          <w:kern w:val="0"/>
          <w:sz w:val="48"/>
          <w:szCs w:val="52"/>
          <w14:textFill>
            <w14:solidFill>
              <w14:schemeClr w14:val="tx1"/>
            </w14:solidFill>
          </w14:textFill>
        </w:rPr>
        <w:t>施</w:t>
      </w:r>
    </w:p>
    <w:p>
      <w:pPr>
        <w:widowControl/>
        <w:jc w:val="center"/>
        <w:rPr>
          <w:rFonts w:asciiTheme="minorEastAsia" w:hAnsiTheme="minorEastAsia" w:eastAsiaTheme="minorEastAsia"/>
          <w:b/>
          <w:bCs/>
          <w:color w:val="000000" w:themeColor="text1"/>
          <w:kern w:val="0"/>
          <w:sz w:val="48"/>
          <w:szCs w:val="52"/>
          <w14:textFill>
            <w14:solidFill>
              <w14:schemeClr w14:val="tx1"/>
            </w14:solidFill>
          </w14:textFill>
        </w:rPr>
      </w:pPr>
      <w:r>
        <w:rPr>
          <w:rFonts w:hint="eastAsia" w:asciiTheme="minorEastAsia" w:hAnsiTheme="minorEastAsia" w:eastAsiaTheme="minorEastAsia"/>
          <w:b/>
          <w:bCs/>
          <w:color w:val="000000" w:themeColor="text1"/>
          <w:kern w:val="0"/>
          <w:sz w:val="48"/>
          <w:szCs w:val="52"/>
          <w14:textFill>
            <w14:solidFill>
              <w14:schemeClr w14:val="tx1"/>
            </w14:solidFill>
          </w14:textFill>
        </w:rPr>
        <w:t>方</w:t>
      </w:r>
    </w:p>
    <w:p>
      <w:pPr>
        <w:widowControl/>
        <w:jc w:val="center"/>
        <w:rPr>
          <w:rFonts w:asciiTheme="minorEastAsia" w:hAnsiTheme="minorEastAsia" w:eastAsiaTheme="minorEastAsia"/>
          <w:b/>
          <w:color w:val="000000" w:themeColor="text1"/>
          <w:szCs w:val="32"/>
          <w14:textFill>
            <w14:solidFill>
              <w14:schemeClr w14:val="tx1"/>
            </w14:solidFill>
          </w14:textFill>
        </w:rPr>
      </w:pPr>
      <w:r>
        <w:rPr>
          <w:rFonts w:hint="eastAsia" w:asciiTheme="minorEastAsia" w:hAnsiTheme="minorEastAsia" w:eastAsiaTheme="minorEastAsia"/>
          <w:b/>
          <w:bCs/>
          <w:color w:val="000000" w:themeColor="text1"/>
          <w:kern w:val="0"/>
          <w:sz w:val="48"/>
          <w:szCs w:val="52"/>
          <w14:textFill>
            <w14:solidFill>
              <w14:schemeClr w14:val="tx1"/>
            </w14:solidFill>
          </w14:textFill>
        </w:rPr>
        <w:t>案</w:t>
      </w:r>
    </w:p>
    <w:p>
      <w:pPr>
        <w:widowControl/>
        <w:rPr>
          <w:rFonts w:asciiTheme="minorEastAsia" w:hAnsiTheme="minorEastAsia" w:eastAsiaTheme="minorEastAsia"/>
          <w:b/>
          <w:color w:val="000000" w:themeColor="text1"/>
          <w:szCs w:val="28"/>
          <w14:textFill>
            <w14:solidFill>
              <w14:schemeClr w14:val="tx1"/>
            </w14:solidFill>
          </w14:textFill>
        </w:rPr>
      </w:pPr>
    </w:p>
    <w:p>
      <w:pPr>
        <w:widowControl/>
        <w:rPr>
          <w:rFonts w:asciiTheme="minorEastAsia" w:hAnsiTheme="minorEastAsia" w:eastAsiaTheme="minorEastAsia"/>
          <w:b/>
          <w:color w:val="000000" w:themeColor="text1"/>
          <w:szCs w:val="28"/>
          <w14:textFill>
            <w14:solidFill>
              <w14:schemeClr w14:val="tx1"/>
            </w14:solidFill>
          </w14:textFill>
        </w:rPr>
      </w:pPr>
    </w:p>
    <w:tbl>
      <w:tblPr>
        <w:tblStyle w:val="38"/>
        <w:tblpPr w:leftFromText="180" w:rightFromText="180" w:vertAnchor="text" w:horzAnchor="page" w:tblpX="3211" w:tblpY="67"/>
        <w:tblOverlap w:val="never"/>
        <w:tblW w:w="5737" w:type="dxa"/>
        <w:tblInd w:w="0" w:type="dxa"/>
        <w:tblLayout w:type="fixed"/>
        <w:tblCellMar>
          <w:top w:w="0" w:type="dxa"/>
          <w:left w:w="108" w:type="dxa"/>
          <w:bottom w:w="0" w:type="dxa"/>
          <w:right w:w="108" w:type="dxa"/>
        </w:tblCellMar>
      </w:tblPr>
      <w:tblGrid>
        <w:gridCol w:w="2545"/>
        <w:gridCol w:w="3192"/>
      </w:tblGrid>
      <w:tr>
        <w:tblPrEx>
          <w:tblCellMar>
            <w:top w:w="0" w:type="dxa"/>
            <w:left w:w="108" w:type="dxa"/>
            <w:bottom w:w="0" w:type="dxa"/>
            <w:right w:w="108" w:type="dxa"/>
          </w:tblCellMar>
        </w:tblPrEx>
        <w:trPr>
          <w:trHeight w:val="1112" w:hRule="atLeast"/>
        </w:trPr>
        <w:tc>
          <w:tcPr>
            <w:tcW w:w="2545" w:type="dxa"/>
            <w:shd w:val="clear" w:color="auto" w:fill="auto"/>
            <w:vAlign w:val="center"/>
          </w:tcPr>
          <w:p>
            <w:pPr>
              <w:pStyle w:val="33"/>
              <w:widowControl/>
              <w:adjustRightInd w:val="0"/>
              <w:snapToGrid w:val="0"/>
              <w:spacing w:beforeAutospacing="0" w:afterAutospacing="0"/>
              <w:rPr>
                <w:rFonts w:asciiTheme="minorEastAsia" w:hAnsiTheme="minorEastAsia" w:eastAsiaTheme="minorEastAsia"/>
                <w:color w:val="000000" w:themeColor="text1"/>
                <w:sz w:val="32"/>
                <w:szCs w:val="36"/>
                <w14:textFill>
                  <w14:solidFill>
                    <w14:schemeClr w14:val="tx1"/>
                  </w14:solidFill>
                </w14:textFill>
              </w:rPr>
            </w:pPr>
            <w:r>
              <w:rPr>
                <w:rFonts w:asciiTheme="minorEastAsia" w:hAnsiTheme="minorEastAsia" w:eastAsiaTheme="minorEastAsia"/>
                <w:color w:val="000000" w:themeColor="text1"/>
                <w:sz w:val="32"/>
                <w:szCs w:val="36"/>
                <w14:textFill>
                  <w14:solidFill>
                    <w14:schemeClr w14:val="tx1"/>
                  </w14:solidFill>
                </w14:textFill>
              </w:rPr>
              <w:t>编制单位</w:t>
            </w:r>
          </w:p>
        </w:tc>
        <w:tc>
          <w:tcPr>
            <w:tcW w:w="3192" w:type="dxa"/>
            <w:shd w:val="clear" w:color="auto" w:fill="auto"/>
            <w:vAlign w:val="center"/>
          </w:tcPr>
          <w:p>
            <w:pPr>
              <w:pStyle w:val="33"/>
              <w:widowControl/>
              <w:adjustRightInd w:val="0"/>
              <w:snapToGrid w:val="0"/>
              <w:spacing w:beforeAutospacing="0" w:afterAutospacing="0"/>
              <w:ind w:firstLine="320" w:firstLineChars="100"/>
              <w:rPr>
                <w:rFonts w:asciiTheme="minorEastAsia" w:hAnsiTheme="minorEastAsia" w:eastAsiaTheme="minorEastAsia"/>
                <w:color w:val="000000" w:themeColor="text1"/>
                <w:sz w:val="32"/>
                <w:szCs w:val="36"/>
                <w14:textFill>
                  <w14:solidFill>
                    <w14:schemeClr w14:val="tx1"/>
                  </w14:solidFill>
                </w14:textFill>
              </w:rPr>
            </w:pPr>
            <w:r>
              <w:rPr>
                <w:rFonts w:asciiTheme="minorEastAsia" w:hAnsiTheme="minorEastAsia" w:eastAsiaTheme="minorEastAsia"/>
                <w:color w:val="000000" w:themeColor="text1"/>
                <w:sz w:val="32"/>
                <w:szCs w:val="36"/>
                <w14:textFill>
                  <w14:solidFill>
                    <w14:schemeClr w14:val="tx1"/>
                  </w14:solidFill>
                </w14:textFill>
              </w:rPr>
              <w:t>萧山区信访局</w:t>
            </w:r>
          </w:p>
        </w:tc>
      </w:tr>
      <w:tr>
        <w:tblPrEx>
          <w:tblCellMar>
            <w:top w:w="0" w:type="dxa"/>
            <w:left w:w="108" w:type="dxa"/>
            <w:bottom w:w="0" w:type="dxa"/>
            <w:right w:w="108" w:type="dxa"/>
          </w:tblCellMar>
        </w:tblPrEx>
        <w:trPr>
          <w:trHeight w:val="1112" w:hRule="atLeast"/>
        </w:trPr>
        <w:tc>
          <w:tcPr>
            <w:tcW w:w="2545" w:type="dxa"/>
            <w:shd w:val="clear" w:color="auto" w:fill="auto"/>
            <w:vAlign w:val="center"/>
          </w:tcPr>
          <w:p>
            <w:pPr>
              <w:pStyle w:val="33"/>
              <w:widowControl/>
              <w:adjustRightInd w:val="0"/>
              <w:snapToGrid w:val="0"/>
              <w:spacing w:beforeAutospacing="0" w:afterAutospacing="0"/>
              <w:rPr>
                <w:rFonts w:asciiTheme="minorEastAsia" w:hAnsiTheme="minorEastAsia" w:eastAsiaTheme="minorEastAsia"/>
                <w:color w:val="000000" w:themeColor="text1"/>
                <w:sz w:val="32"/>
                <w:szCs w:val="36"/>
                <w14:textFill>
                  <w14:solidFill>
                    <w14:schemeClr w14:val="tx1"/>
                  </w14:solidFill>
                </w14:textFill>
              </w:rPr>
            </w:pPr>
            <w:r>
              <w:rPr>
                <w:rFonts w:hint="eastAsia" w:ascii="宋体" w:hAnsi="宋体"/>
                <w:color w:val="000000" w:themeColor="text1"/>
                <w:sz w:val="32"/>
                <w14:textFill>
                  <w14:solidFill>
                    <w14:schemeClr w14:val="tx1"/>
                  </w14:solidFill>
                </w14:textFill>
              </w:rPr>
              <w:t>编制单位负责人</w:t>
            </w:r>
          </w:p>
        </w:tc>
        <w:tc>
          <w:tcPr>
            <w:tcW w:w="3192" w:type="dxa"/>
            <w:shd w:val="clear" w:color="auto" w:fill="auto"/>
            <w:vAlign w:val="center"/>
          </w:tcPr>
          <w:p>
            <w:pPr>
              <w:pStyle w:val="33"/>
              <w:widowControl/>
              <w:adjustRightInd w:val="0"/>
              <w:snapToGrid w:val="0"/>
              <w:spacing w:beforeAutospacing="0" w:afterAutospacing="0"/>
              <w:ind w:firstLine="320" w:firstLineChars="100"/>
              <w:rPr>
                <w:rFonts w:asciiTheme="minorEastAsia" w:hAnsiTheme="minorEastAsia" w:eastAsiaTheme="minorEastAsia"/>
                <w:color w:val="000000" w:themeColor="text1"/>
                <w:sz w:val="32"/>
                <w:szCs w:val="36"/>
                <w14:textFill>
                  <w14:solidFill>
                    <w14:schemeClr w14:val="tx1"/>
                  </w14:solidFill>
                </w14:textFill>
              </w:rPr>
            </w:pPr>
            <w:r>
              <w:rPr>
                <w:rFonts w:hint="eastAsia" w:ascii="宋体" w:hAnsi="宋体"/>
                <w:color w:val="000000" w:themeColor="text1"/>
                <w:sz w:val="32"/>
                <w14:textFill>
                  <w14:solidFill>
                    <w14:schemeClr w14:val="tx1"/>
                  </w14:solidFill>
                </w14:textFill>
              </w:rPr>
              <w:t>楼向东</w:t>
            </w:r>
          </w:p>
        </w:tc>
      </w:tr>
      <w:tr>
        <w:tblPrEx>
          <w:tblCellMar>
            <w:top w:w="0" w:type="dxa"/>
            <w:left w:w="108" w:type="dxa"/>
            <w:bottom w:w="0" w:type="dxa"/>
            <w:right w:w="108" w:type="dxa"/>
          </w:tblCellMar>
        </w:tblPrEx>
        <w:trPr>
          <w:trHeight w:val="1112" w:hRule="atLeast"/>
        </w:trPr>
        <w:tc>
          <w:tcPr>
            <w:tcW w:w="2545" w:type="dxa"/>
            <w:shd w:val="clear" w:color="auto" w:fill="auto"/>
            <w:vAlign w:val="center"/>
          </w:tcPr>
          <w:p>
            <w:pPr>
              <w:pStyle w:val="33"/>
              <w:widowControl/>
              <w:adjustRightInd w:val="0"/>
              <w:snapToGrid w:val="0"/>
              <w:spacing w:beforeAutospacing="0" w:afterAutospacing="0"/>
              <w:rPr>
                <w:rFonts w:asciiTheme="minorEastAsia" w:hAnsiTheme="minorEastAsia" w:eastAsiaTheme="minorEastAsia"/>
                <w:color w:val="000000" w:themeColor="text1"/>
                <w:sz w:val="32"/>
                <w:szCs w:val="36"/>
                <w14:textFill>
                  <w14:solidFill>
                    <w14:schemeClr w14:val="tx1"/>
                  </w14:solidFill>
                </w14:textFill>
              </w:rPr>
            </w:pPr>
            <w:r>
              <w:rPr>
                <w:rFonts w:hint="eastAsia" w:ascii="宋体" w:hAnsi="宋体"/>
                <w:color w:val="000000" w:themeColor="text1"/>
                <w:sz w:val="32"/>
                <w14:textFill>
                  <w14:solidFill>
                    <w14:schemeClr w14:val="tx1"/>
                  </w14:solidFill>
                </w14:textFill>
              </w:rPr>
              <w:t>编制项目负责人</w:t>
            </w:r>
          </w:p>
        </w:tc>
        <w:tc>
          <w:tcPr>
            <w:tcW w:w="3192" w:type="dxa"/>
            <w:shd w:val="clear" w:color="auto" w:fill="auto"/>
            <w:vAlign w:val="center"/>
          </w:tcPr>
          <w:p>
            <w:pPr>
              <w:pStyle w:val="33"/>
              <w:widowControl/>
              <w:adjustRightInd w:val="0"/>
              <w:snapToGrid w:val="0"/>
              <w:spacing w:beforeAutospacing="0" w:afterAutospacing="0"/>
              <w:ind w:firstLine="320" w:firstLineChars="100"/>
              <w:rPr>
                <w:rFonts w:asciiTheme="minorEastAsia" w:hAnsiTheme="minorEastAsia" w:eastAsiaTheme="minorEastAsia"/>
                <w:color w:val="000000" w:themeColor="text1"/>
                <w:sz w:val="32"/>
                <w:szCs w:val="36"/>
                <w14:textFill>
                  <w14:solidFill>
                    <w14:schemeClr w14:val="tx1"/>
                  </w14:solidFill>
                </w14:textFill>
              </w:rPr>
            </w:pPr>
            <w:r>
              <w:rPr>
                <w:rFonts w:hint="eastAsia" w:ascii="宋体" w:hAnsi="宋体"/>
                <w:color w:val="000000" w:themeColor="text1"/>
                <w:sz w:val="32"/>
                <w14:textFill>
                  <w14:solidFill>
                    <w14:schemeClr w14:val="tx1"/>
                  </w14:solidFill>
                </w14:textFill>
              </w:rPr>
              <w:t>陈金剑</w:t>
            </w:r>
          </w:p>
        </w:tc>
      </w:tr>
      <w:tr>
        <w:tblPrEx>
          <w:tblCellMar>
            <w:top w:w="0" w:type="dxa"/>
            <w:left w:w="108" w:type="dxa"/>
            <w:bottom w:w="0" w:type="dxa"/>
            <w:right w:w="108" w:type="dxa"/>
          </w:tblCellMar>
        </w:tblPrEx>
        <w:trPr>
          <w:trHeight w:val="1112" w:hRule="atLeast"/>
        </w:trPr>
        <w:tc>
          <w:tcPr>
            <w:tcW w:w="2545" w:type="dxa"/>
            <w:shd w:val="clear" w:color="auto" w:fill="auto"/>
            <w:vAlign w:val="center"/>
          </w:tcPr>
          <w:p>
            <w:pPr>
              <w:pStyle w:val="33"/>
              <w:widowControl/>
              <w:adjustRightInd w:val="0"/>
              <w:snapToGrid w:val="0"/>
              <w:spacing w:beforeAutospacing="0" w:afterAutospacing="0"/>
              <w:rPr>
                <w:rFonts w:ascii="宋体" w:hAnsi="宋体"/>
                <w:color w:val="000000" w:themeColor="text1"/>
                <w:sz w:val="32"/>
                <w14:textFill>
                  <w14:solidFill>
                    <w14:schemeClr w14:val="tx1"/>
                  </w14:solidFill>
                </w14:textFill>
              </w:rPr>
            </w:pPr>
            <w:r>
              <w:rPr>
                <w:rFonts w:hint="eastAsia" w:ascii="宋体" w:hAnsi="宋体"/>
                <w:color w:val="000000" w:themeColor="text1"/>
                <w:sz w:val="32"/>
                <w14:textFill>
                  <w14:solidFill>
                    <w14:schemeClr w14:val="tx1"/>
                  </w14:solidFill>
                </w14:textFill>
              </w:rPr>
              <w:t>主要编制人员</w:t>
            </w:r>
          </w:p>
        </w:tc>
        <w:tc>
          <w:tcPr>
            <w:tcW w:w="3192" w:type="dxa"/>
            <w:shd w:val="clear" w:color="auto" w:fill="auto"/>
            <w:vAlign w:val="center"/>
          </w:tcPr>
          <w:p>
            <w:pPr>
              <w:pStyle w:val="33"/>
              <w:widowControl/>
              <w:adjustRightInd w:val="0"/>
              <w:snapToGrid w:val="0"/>
              <w:spacing w:beforeAutospacing="0" w:afterAutospacing="0"/>
              <w:ind w:firstLine="320" w:firstLineChars="100"/>
              <w:rPr>
                <w:rFonts w:ascii="宋体" w:hAnsi="宋体"/>
                <w:color w:val="000000" w:themeColor="text1"/>
                <w:sz w:val="32"/>
                <w14:textFill>
                  <w14:solidFill>
                    <w14:schemeClr w14:val="tx1"/>
                  </w14:solidFill>
                </w14:textFill>
              </w:rPr>
            </w:pPr>
            <w:r>
              <w:rPr>
                <w:rFonts w:hint="eastAsia" w:ascii="宋体" w:hAnsi="宋体"/>
                <w:color w:val="000000" w:themeColor="text1"/>
                <w:sz w:val="32"/>
                <w14:textFill>
                  <w14:solidFill>
                    <w14:schemeClr w14:val="tx1"/>
                  </w14:solidFill>
                </w14:textFill>
              </w:rPr>
              <w:t xml:space="preserve">陈金剑 胡晨渊 </w:t>
            </w:r>
          </w:p>
        </w:tc>
      </w:tr>
    </w:tbl>
    <w:p>
      <w:pPr>
        <w:widowControl/>
        <w:rPr>
          <w:rFonts w:asciiTheme="minorEastAsia" w:hAnsiTheme="minorEastAsia" w:eastAsiaTheme="minorEastAsia"/>
          <w:b/>
          <w:color w:val="000000" w:themeColor="text1"/>
          <w:szCs w:val="28"/>
          <w14:textFill>
            <w14:solidFill>
              <w14:schemeClr w14:val="tx1"/>
            </w14:solidFill>
          </w14:textFill>
        </w:rPr>
      </w:pPr>
    </w:p>
    <w:p>
      <w:pPr>
        <w:widowControl/>
        <w:rPr>
          <w:rFonts w:asciiTheme="minorEastAsia" w:hAnsiTheme="minorEastAsia" w:eastAsiaTheme="minorEastAsia"/>
          <w:b/>
          <w:color w:val="000000" w:themeColor="text1"/>
          <w:szCs w:val="28"/>
          <w14:textFill>
            <w14:solidFill>
              <w14:schemeClr w14:val="tx1"/>
            </w14:solidFill>
          </w14:textFill>
        </w:rPr>
      </w:pPr>
    </w:p>
    <w:p>
      <w:pPr>
        <w:widowControl/>
        <w:rPr>
          <w:rFonts w:asciiTheme="minorEastAsia" w:hAnsiTheme="minorEastAsia" w:eastAsiaTheme="minorEastAsia"/>
          <w:b/>
          <w:color w:val="000000" w:themeColor="text1"/>
          <w:szCs w:val="28"/>
          <w14:textFill>
            <w14:solidFill>
              <w14:schemeClr w14:val="tx1"/>
            </w14:solidFill>
          </w14:textFill>
        </w:rPr>
      </w:pPr>
    </w:p>
    <w:p>
      <w:pPr>
        <w:widowControl/>
        <w:rPr>
          <w:rFonts w:asciiTheme="minorEastAsia" w:hAnsiTheme="minorEastAsia" w:eastAsiaTheme="minorEastAsia"/>
          <w:b/>
          <w:color w:val="000000" w:themeColor="text1"/>
          <w:szCs w:val="28"/>
          <w14:textFill>
            <w14:solidFill>
              <w14:schemeClr w14:val="tx1"/>
            </w14:solidFill>
          </w14:textFill>
        </w:rPr>
      </w:pPr>
    </w:p>
    <w:p>
      <w:pPr>
        <w:pStyle w:val="14"/>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margin">
                  <wp:posOffset>2072005</wp:posOffset>
                </wp:positionH>
                <wp:positionV relativeFrom="paragraph">
                  <wp:posOffset>1449070</wp:posOffset>
                </wp:positionV>
                <wp:extent cx="2025015" cy="472440"/>
                <wp:effectExtent l="0" t="0" r="0" b="3810"/>
                <wp:wrapNone/>
                <wp:docPr id="5" name="文本框 5"/>
                <wp:cNvGraphicFramePr/>
                <a:graphic xmlns:a="http://schemas.openxmlformats.org/drawingml/2006/main">
                  <a:graphicData uri="http://schemas.microsoft.com/office/word/2010/wordprocessingShape">
                    <wps:wsp>
                      <wps:cNvSpPr txBox="1"/>
                      <wps:spPr>
                        <a:xfrm>
                          <a:off x="0" y="0"/>
                          <a:ext cx="2025015" cy="472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sz w:val="32"/>
                                <w:szCs w:val="28"/>
                              </w:rPr>
                            </w:pPr>
                            <w:r>
                              <w:rPr>
                                <w:rFonts w:hint="eastAsia"/>
                                <w:b/>
                                <w:bCs/>
                                <w:sz w:val="32"/>
                                <w:szCs w:val="28"/>
                              </w:rPr>
                              <w:t>2022年0</w:t>
                            </w:r>
                            <w:r>
                              <w:rPr>
                                <w:b/>
                                <w:bCs/>
                                <w:sz w:val="32"/>
                                <w:szCs w:val="28"/>
                              </w:rPr>
                              <w:t>8</w:t>
                            </w:r>
                            <w:r>
                              <w:rPr>
                                <w:rFonts w:hint="eastAsia"/>
                                <w:b/>
                                <w:bCs/>
                                <w:sz w:val="32"/>
                                <w:szCs w:val="28"/>
                              </w:rPr>
                              <w:t>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15pt;margin-top:114.1pt;height:37.2pt;width:159.45pt;mso-position-horizontal-relative:margin;z-index:251659264;mso-width-relative:page;mso-height-relative:page;" filled="f" stroked="f" coordsize="21600,21600" o:gfxdata="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DDIE/bAAAACwEAAA8AAAAAAAAAAQAgAAAAIgAAAGRy&#10;cy9kb3ducmV2LnhtbFBLAQIUABQAAAAIAIdO4kDml8lFOwIAAGYEAAAOAAAAAAAAAAEAIAAAACoB&#10;AABkcnMvZTJvRG9jLnhtbFBLBQYAAAAABgAGAFkBAADXBQAAAAA=&#10;">
                <v:fill on="f" focussize="0,0"/>
                <v:stroke on="f" weight="0.5pt"/>
                <v:imagedata o:title=""/>
                <o:lock v:ext="edit" aspectratio="f"/>
                <v:textbox>
                  <w:txbxContent>
                    <w:p>
                      <w:pPr>
                        <w:jc w:val="center"/>
                        <w:rPr>
                          <w:b/>
                          <w:bCs/>
                          <w:sz w:val="32"/>
                          <w:szCs w:val="28"/>
                        </w:rPr>
                      </w:pPr>
                      <w:r>
                        <w:rPr>
                          <w:rFonts w:hint="eastAsia"/>
                          <w:b/>
                          <w:bCs/>
                          <w:sz w:val="32"/>
                          <w:szCs w:val="28"/>
                        </w:rPr>
                        <w:t>2022年0</w:t>
                      </w:r>
                      <w:r>
                        <w:rPr>
                          <w:b/>
                          <w:bCs/>
                          <w:sz w:val="32"/>
                          <w:szCs w:val="28"/>
                        </w:rPr>
                        <w:t>8</w:t>
                      </w:r>
                      <w:r>
                        <w:rPr>
                          <w:rFonts w:hint="eastAsia"/>
                          <w:b/>
                          <w:bCs/>
                          <w:sz w:val="32"/>
                          <w:szCs w:val="28"/>
                        </w:rPr>
                        <w:t>月</w:t>
                      </w:r>
                    </w:p>
                  </w:txbxContent>
                </v:textbox>
              </v:shape>
            </w:pict>
          </mc:Fallback>
        </mc:AlternateContent>
      </w:r>
      <w:r>
        <w:rPr>
          <w:rFonts w:asciiTheme="minorEastAsia" w:hAnsiTheme="minorEastAsia" w:eastAsiaTheme="minorEastAsia"/>
          <w:color w:val="000000" w:themeColor="text1"/>
          <w:sz w:val="28"/>
          <w:szCs w:val="28"/>
          <w14:textFill>
            <w14:solidFill>
              <w14:schemeClr w14:val="tx1"/>
            </w14:solidFill>
          </w14:textFill>
        </w:rPr>
        <w:br w:type="page"/>
      </w:r>
    </w:p>
    <w:p>
      <w:pPr>
        <w:widowControl/>
        <w:rPr>
          <w:rFonts w:asciiTheme="minorEastAsia" w:hAnsiTheme="minorEastAsia" w:eastAsiaTheme="minorEastAsia"/>
          <w:b/>
          <w:color w:val="000000" w:themeColor="text1"/>
          <w:szCs w:val="28"/>
          <w14:textFill>
            <w14:solidFill>
              <w14:schemeClr w14:val="tx1"/>
            </w14:solidFill>
          </w14:textFill>
        </w:rPr>
        <w:sectPr>
          <w:headerReference r:id="rId5" w:type="default"/>
          <w:footerReference r:id="rId6" w:type="default"/>
          <w:type w:val="continuous"/>
          <w:pgSz w:w="11906" w:h="16838"/>
          <w:pgMar w:top="1440" w:right="1080" w:bottom="1440" w:left="1080" w:header="851" w:footer="850" w:gutter="0"/>
          <w:cols w:space="425" w:num="1"/>
          <w:docGrid w:type="lines" w:linePitch="381" w:charSpace="0"/>
        </w:sectPr>
      </w:pPr>
    </w:p>
    <w:p>
      <w:pPr>
        <w:pStyle w:val="96"/>
        <w:tabs>
          <w:tab w:val="left" w:pos="2064"/>
          <w:tab w:val="center" w:pos="4873"/>
        </w:tabs>
        <w:spacing w:before="0" w:line="360" w:lineRule="auto"/>
        <w:rPr>
          <w:rFonts w:cs="Times New Roman" w:asciiTheme="minorEastAsia" w:hAnsiTheme="minorEastAsia" w:eastAsiaTheme="minorEastAsia"/>
          <w:b/>
          <w:bCs/>
          <w:color w:val="000000" w:themeColor="text1"/>
          <w14:textFill>
            <w14:solidFill>
              <w14:schemeClr w14:val="tx1"/>
            </w14:solidFill>
          </w14:textFill>
        </w:rPr>
      </w:pPr>
      <w:r>
        <w:rPr>
          <w:rFonts w:cs="Times New Roman" w:asciiTheme="minorEastAsia" w:hAnsiTheme="minorEastAsia" w:eastAsiaTheme="minorEastAsia"/>
          <w:b/>
          <w:bCs/>
          <w:color w:val="000000" w:themeColor="text1"/>
          <w:kern w:val="2"/>
          <w:sz w:val="24"/>
          <w:szCs w:val="24"/>
          <w:lang w:val="zh-CN"/>
          <w14:textFill>
            <w14:solidFill>
              <w14:schemeClr w14:val="tx1"/>
            </w14:solidFill>
          </w14:textFill>
        </w:rPr>
        <w:tab/>
      </w:r>
      <w:r>
        <w:rPr>
          <w:rFonts w:cs="Times New Roman" w:asciiTheme="minorEastAsia" w:hAnsiTheme="minorEastAsia" w:eastAsiaTheme="minorEastAsia"/>
          <w:b/>
          <w:bCs/>
          <w:color w:val="000000" w:themeColor="text1"/>
          <w:kern w:val="2"/>
          <w:sz w:val="24"/>
          <w:szCs w:val="24"/>
          <w:lang w:val="zh-CN"/>
          <w14:textFill>
            <w14:solidFill>
              <w14:schemeClr w14:val="tx1"/>
            </w14:solidFill>
          </w14:textFill>
        </w:rPr>
        <w:tab/>
      </w:r>
      <w:r>
        <w:rPr>
          <w:rFonts w:cs="Times New Roman" w:asciiTheme="minorEastAsia" w:hAnsiTheme="minorEastAsia" w:eastAsiaTheme="minorEastAsia"/>
          <w:b/>
          <w:bCs/>
          <w:color w:val="000000" w:themeColor="text1"/>
          <w:lang w:val="zh-CN"/>
          <w14:textFill>
            <w14:solidFill>
              <w14:schemeClr w14:val="tx1"/>
            </w14:solidFill>
          </w14:textFill>
        </w:rPr>
        <w:t>目 录</w:t>
      </w:r>
    </w:p>
    <w:p>
      <w:pPr>
        <w:pStyle w:val="28"/>
        <w:tabs>
          <w:tab w:val="right" w:leader="dot" w:pos="9736"/>
        </w:tabs>
        <w:rPr>
          <w:rFonts w:asciiTheme="minorHAnsi" w:hAnsiTheme="minorHAnsi" w:eastAsiaTheme="minorEastAsia" w:cstheme="minorBidi"/>
          <w:sz w:val="21"/>
          <w:szCs w:val="22"/>
        </w:rPr>
      </w:pPr>
      <w:r>
        <w:rPr>
          <w:rFonts w:asciiTheme="majorEastAsia" w:hAnsiTheme="majorEastAsia" w:eastAsiaTheme="majorEastAsia"/>
          <w:b/>
          <w:bCs/>
          <w:color w:val="000000" w:themeColor="text1"/>
          <w:szCs w:val="28"/>
          <w:lang w:val="zh-CN"/>
          <w14:textFill>
            <w14:solidFill>
              <w14:schemeClr w14:val="tx1"/>
            </w14:solidFill>
          </w14:textFill>
        </w:rPr>
        <w:fldChar w:fldCharType="begin"/>
      </w:r>
      <w:r>
        <w:rPr>
          <w:rFonts w:asciiTheme="majorEastAsia" w:hAnsiTheme="majorEastAsia" w:eastAsiaTheme="majorEastAsia"/>
          <w:b/>
          <w:bCs/>
          <w:color w:val="000000" w:themeColor="text1"/>
          <w:szCs w:val="28"/>
          <w:lang w:val="zh-CN"/>
          <w14:textFill>
            <w14:solidFill>
              <w14:schemeClr w14:val="tx1"/>
            </w14:solidFill>
          </w14:textFill>
        </w:rPr>
        <w:instrText xml:space="preserve"> TOC \o "1-3" \h \z \u </w:instrText>
      </w:r>
      <w:r>
        <w:rPr>
          <w:rFonts w:asciiTheme="majorEastAsia" w:hAnsiTheme="majorEastAsia" w:eastAsiaTheme="majorEastAsia"/>
          <w:b/>
          <w:bCs/>
          <w:color w:val="000000" w:themeColor="text1"/>
          <w:szCs w:val="28"/>
          <w:lang w:val="zh-CN"/>
          <w14:textFill>
            <w14:solidFill>
              <w14:schemeClr w14:val="tx1"/>
            </w14:solidFill>
          </w14:textFill>
        </w:rPr>
        <w:fldChar w:fldCharType="separate"/>
      </w:r>
      <w:r>
        <w:fldChar w:fldCharType="begin"/>
      </w:r>
      <w:r>
        <w:instrText xml:space="preserve"> HYPERLINK \l "_Toc118808193" </w:instrText>
      </w:r>
      <w:r>
        <w:fldChar w:fldCharType="separate"/>
      </w:r>
      <w:r>
        <w:rPr>
          <w:rStyle w:val="46"/>
          <w:rFonts w:asciiTheme="minorEastAsia" w:hAnsiTheme="minorEastAsia"/>
        </w:rPr>
        <w:t>第1章 项目概况</w:t>
      </w:r>
      <w:r>
        <w:tab/>
      </w:r>
      <w:r>
        <w:fldChar w:fldCharType="begin"/>
      </w:r>
      <w:r>
        <w:instrText xml:space="preserve"> PAGEREF _Toc118808193 \h </w:instrText>
      </w:r>
      <w:r>
        <w:fldChar w:fldCharType="separate"/>
      </w:r>
      <w:r>
        <w:t>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"_Toc118808194" </w:instrText>
      </w:r>
      <w:r>
        <w:fldChar w:fldCharType="separate"/>
      </w:r>
      <w:r>
        <w:rPr>
          <w:rStyle w:val="46"/>
          <w:rFonts w:eastAsia="仿宋"/>
        </w:rPr>
        <w:t>1.1</w:t>
      </w:r>
      <w:r>
        <w:rPr>
          <w:rStyle w:val="46"/>
          <w:rFonts w:asciiTheme="minorEastAsia" w:hAnsiTheme="minorEastAsia"/>
        </w:rPr>
        <w:t xml:space="preserve"> 项目名称</w:t>
      </w:r>
      <w:r>
        <w:tab/>
      </w:r>
      <w:r>
        <w:fldChar w:fldCharType="begin"/>
      </w:r>
      <w:r>
        <w:instrText xml:space="preserve"> PAGEREF _Toc118808194 \h </w:instrText>
      </w:r>
      <w:r>
        <w:fldChar w:fldCharType="separate"/>
      </w:r>
      <w:r>
        <w:t>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"_Toc118808195" </w:instrText>
      </w:r>
      <w:r>
        <w:fldChar w:fldCharType="separate"/>
      </w:r>
      <w:r>
        <w:rPr>
          <w:rStyle w:val="46"/>
          <w:rFonts w:eastAsia="仿宋"/>
        </w:rPr>
        <w:t>1.2</w:t>
      </w:r>
      <w:r>
        <w:rPr>
          <w:rStyle w:val="46"/>
          <w:rFonts w:asciiTheme="minorEastAsia" w:hAnsiTheme="minorEastAsia"/>
        </w:rPr>
        <w:t xml:space="preserve"> 项目建设单位及负责人、项目联系人</w:t>
      </w:r>
      <w:r>
        <w:tab/>
      </w:r>
      <w:r>
        <w:fldChar w:fldCharType="begin"/>
      </w:r>
      <w:r>
        <w:instrText xml:space="preserve"> PAGEREF _Toc118808195 \h </w:instrText>
      </w:r>
      <w:r>
        <w:fldChar w:fldCharType="separate"/>
      </w:r>
      <w:r>
        <w:t>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"_Toc118808196" </w:instrText>
      </w:r>
      <w:r>
        <w:fldChar w:fldCharType="separate"/>
      </w:r>
      <w:r>
        <w:rPr>
          <w:rStyle w:val="46"/>
          <w:rFonts w:eastAsia="仿宋"/>
        </w:rPr>
        <w:t>1.3</w:t>
      </w:r>
      <w:r>
        <w:rPr>
          <w:rStyle w:val="46"/>
          <w:rFonts w:asciiTheme="minorEastAsia" w:hAnsiTheme="minorEastAsia"/>
        </w:rPr>
        <w:t xml:space="preserve"> 编制依据</w:t>
      </w:r>
      <w:r>
        <w:tab/>
      </w:r>
      <w:r>
        <w:fldChar w:fldCharType="begin"/>
      </w:r>
      <w:r>
        <w:instrText xml:space="preserve"> PAGEREF _Toc118808196 \h </w:instrText>
      </w:r>
      <w:r>
        <w:fldChar w:fldCharType="separate"/>
      </w:r>
      <w:r>
        <w:t>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"_Toc118808197" </w:instrText>
      </w:r>
      <w:r>
        <w:fldChar w:fldCharType="separate"/>
      </w:r>
      <w:r>
        <w:rPr>
          <w:rStyle w:val="46"/>
          <w:rFonts w:eastAsia="仿宋"/>
        </w:rPr>
        <w:t>1.3.1</w:t>
      </w:r>
      <w:r>
        <w:rPr>
          <w:rStyle w:val="46"/>
          <w:rFonts w:asciiTheme="minorEastAsia" w:hAnsiTheme="minorEastAsia"/>
        </w:rPr>
        <w:t xml:space="preserve"> 省试点文件：浙江省信访局2022年试点项目</w:t>
      </w:r>
      <w:r>
        <w:tab/>
      </w:r>
      <w:r>
        <w:fldChar w:fldCharType="begin"/>
      </w:r>
      <w:r>
        <w:instrText xml:space="preserve"> PAGEREF _Toc118808197 \h </w:instrText>
      </w:r>
      <w:r>
        <w:fldChar w:fldCharType="separate"/>
      </w:r>
      <w:r>
        <w:t>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"_Toc118808198" </w:instrText>
      </w:r>
      <w:r>
        <w:fldChar w:fldCharType="separate"/>
      </w:r>
      <w:r>
        <w:rPr>
          <w:rStyle w:val="46"/>
          <w:rFonts w:eastAsia="仿宋"/>
        </w:rPr>
        <w:t>1.3.2</w:t>
      </w:r>
      <w:r>
        <w:rPr>
          <w:rStyle w:val="46"/>
          <w:rFonts w:asciiTheme="minorEastAsia" w:hAnsiTheme="minorEastAsia"/>
        </w:rPr>
        <w:t xml:space="preserve"> 政策法规</w:t>
      </w:r>
      <w:r>
        <w:tab/>
      </w:r>
      <w:r>
        <w:fldChar w:fldCharType="begin"/>
      </w:r>
      <w:r>
        <w:instrText xml:space="preserve"> PAGEREF _Toc118808198 \h </w:instrText>
      </w:r>
      <w:r>
        <w:fldChar w:fldCharType="separate"/>
      </w:r>
      <w:r>
        <w:t>10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"_Toc118808199" </w:instrText>
      </w:r>
      <w:r>
        <w:fldChar w:fldCharType="separate"/>
      </w:r>
      <w:r>
        <w:rPr>
          <w:rStyle w:val="46"/>
          <w:rFonts w:eastAsia="仿宋"/>
        </w:rPr>
        <w:t>1.3.3</w:t>
      </w:r>
      <w:r>
        <w:rPr>
          <w:rStyle w:val="46"/>
          <w:rFonts w:asciiTheme="minorEastAsia" w:hAnsiTheme="minorEastAsia"/>
        </w:rPr>
        <w:t xml:space="preserve"> 标准规范</w:t>
      </w:r>
      <w:r>
        <w:tab/>
      </w:r>
      <w:r>
        <w:fldChar w:fldCharType="begin"/>
      </w:r>
      <w:r>
        <w:instrText xml:space="preserve"> PAGEREF _Toc118808199 \h </w:instrText>
      </w:r>
      <w:r>
        <w:fldChar w:fldCharType="separate"/>
      </w:r>
      <w:r>
        <w:t>11</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"_Toc118808200" </w:instrText>
      </w:r>
      <w:r>
        <w:fldChar w:fldCharType="separate"/>
      </w:r>
      <w:r>
        <w:rPr>
          <w:rStyle w:val="46"/>
          <w:rFonts w:eastAsia="仿宋"/>
        </w:rPr>
        <w:t>1.4</w:t>
      </w:r>
      <w:r>
        <w:rPr>
          <w:rStyle w:val="46"/>
        </w:rPr>
        <w:t xml:space="preserve"> 项目建设的目标、规模、内容、建设期</w:t>
      </w:r>
      <w:r>
        <w:tab/>
      </w:r>
      <w:r>
        <w:fldChar w:fldCharType="begin"/>
      </w:r>
      <w:r>
        <w:instrText xml:space="preserve"> PAGEREF _Toc118808200 \h </w:instrText>
      </w:r>
      <w:r>
        <w:fldChar w:fldCharType="separate"/>
      </w:r>
      <w:r>
        <w:t>12</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"_Toc118808201" </w:instrText>
      </w:r>
      <w:r>
        <w:fldChar w:fldCharType="separate"/>
      </w:r>
      <w:r>
        <w:rPr>
          <w:rStyle w:val="46"/>
          <w:rFonts w:eastAsia="仿宋"/>
        </w:rPr>
        <w:t>1.4.1</w:t>
      </w:r>
      <w:r>
        <w:rPr>
          <w:rStyle w:val="46"/>
          <w:rFonts w:asciiTheme="minorEastAsia" w:hAnsiTheme="minorEastAsia"/>
        </w:rPr>
        <w:t xml:space="preserve"> 项目建设的目标</w:t>
      </w:r>
      <w:r>
        <w:tab/>
      </w:r>
      <w:r>
        <w:fldChar w:fldCharType="begin"/>
      </w:r>
      <w:r>
        <w:instrText xml:space="preserve"> PAGEREF _Toc118808201 \h </w:instrText>
      </w:r>
      <w:r>
        <w:fldChar w:fldCharType="separate"/>
      </w:r>
      <w:r>
        <w:t>12</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"_Toc118808202" </w:instrText>
      </w:r>
      <w:r>
        <w:fldChar w:fldCharType="separate"/>
      </w:r>
      <w:r>
        <w:rPr>
          <w:rStyle w:val="46"/>
          <w:rFonts w:eastAsia="仿宋"/>
        </w:rPr>
        <w:t>1.4.2</w:t>
      </w:r>
      <w:r>
        <w:rPr>
          <w:rStyle w:val="46"/>
          <w:rFonts w:asciiTheme="minorEastAsia" w:hAnsiTheme="minorEastAsia"/>
        </w:rPr>
        <w:t xml:space="preserve"> 项目建设的必要性</w:t>
      </w:r>
      <w:r>
        <w:tab/>
      </w:r>
      <w:r>
        <w:fldChar w:fldCharType="begin"/>
      </w:r>
      <w:r>
        <w:instrText xml:space="preserve"> PAGEREF _Toc118808202 \h </w:instrText>
      </w:r>
      <w:r>
        <w:fldChar w:fldCharType="separate"/>
      </w:r>
      <w:r>
        <w:t>15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"_Toc118808203" </w:instrText>
      </w:r>
      <w:r>
        <w:fldChar w:fldCharType="separate"/>
      </w:r>
      <w:r>
        <w:rPr>
          <w:rStyle w:val="46"/>
          <w:rFonts w:eastAsia="仿宋"/>
        </w:rPr>
        <w:t>1.4.3</w:t>
      </w:r>
      <w:r>
        <w:rPr>
          <w:rStyle w:val="46"/>
          <w:rFonts w:asciiTheme="minorEastAsia" w:hAnsiTheme="minorEastAsia"/>
        </w:rPr>
        <w:t xml:space="preserve"> 项目建设内容</w:t>
      </w:r>
      <w:r>
        <w:tab/>
      </w:r>
      <w:r>
        <w:fldChar w:fldCharType="begin"/>
      </w:r>
      <w:r>
        <w:instrText xml:space="preserve"> PAGEREF _Toc118808203 \h </w:instrText>
      </w:r>
      <w:r>
        <w:fldChar w:fldCharType="separate"/>
      </w:r>
      <w:r>
        <w:t>17</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"_Toc118808204" </w:instrText>
      </w:r>
      <w:r>
        <w:fldChar w:fldCharType="separate"/>
      </w:r>
      <w:r>
        <w:rPr>
          <w:rStyle w:val="46"/>
          <w:rFonts w:eastAsia="仿宋"/>
        </w:rPr>
        <w:t>1.4.4</w:t>
      </w:r>
      <w:r>
        <w:rPr>
          <w:rStyle w:val="46"/>
          <w:rFonts w:asciiTheme="minorEastAsia" w:hAnsiTheme="minorEastAsia"/>
        </w:rPr>
        <w:t xml:space="preserve"> 项目建设周期</w:t>
      </w:r>
      <w:r>
        <w:tab/>
      </w:r>
      <w:r>
        <w:fldChar w:fldCharType="begin"/>
      </w:r>
      <w:r>
        <w:instrText xml:space="preserve"> PAGEREF _Toc118808204 \h </w:instrText>
      </w:r>
      <w:r>
        <w:fldChar w:fldCharType="separate"/>
      </w:r>
      <w:r>
        <w:t>18</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"_Toc118808205" </w:instrText>
      </w:r>
      <w:r>
        <w:fldChar w:fldCharType="separate"/>
      </w:r>
      <w:r>
        <w:rPr>
          <w:rStyle w:val="46"/>
          <w:rFonts w:eastAsia="仿宋"/>
        </w:rPr>
        <w:t>1.5</w:t>
      </w:r>
      <w:r>
        <w:rPr>
          <w:rStyle w:val="46"/>
          <w:rFonts w:asciiTheme="minorEastAsia" w:hAnsiTheme="minorEastAsia"/>
        </w:rPr>
        <w:t xml:space="preserve"> 项目总投资及资金来源</w:t>
      </w:r>
      <w:r>
        <w:tab/>
      </w:r>
      <w:r>
        <w:fldChar w:fldCharType="begin"/>
      </w:r>
      <w:r>
        <w:instrText xml:space="preserve"> PAGEREF _Toc118808205 \h </w:instrText>
      </w:r>
      <w:r>
        <w:fldChar w:fldCharType="separate"/>
      </w:r>
      <w:r>
        <w:t>18</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"_Toc118808206" </w:instrText>
      </w:r>
      <w:r>
        <w:fldChar w:fldCharType="separate"/>
      </w:r>
      <w:r>
        <w:rPr>
          <w:rStyle w:val="46"/>
          <w:rFonts w:asciiTheme="minorEastAsia" w:hAnsiTheme="minorEastAsia"/>
        </w:rPr>
        <w:t>第2章 项目需求分析</w:t>
      </w:r>
      <w:r>
        <w:tab/>
      </w:r>
      <w:r>
        <w:fldChar w:fldCharType="begin"/>
      </w:r>
      <w:r>
        <w:instrText xml:space="preserve"> PAGEREF _Toc118808206 \h </w:instrText>
      </w:r>
      <w:r>
        <w:fldChar w:fldCharType="separate"/>
      </w:r>
      <w:r>
        <w:t>19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"_Toc118808207" </w:instrText>
      </w:r>
      <w:r>
        <w:fldChar w:fldCharType="separate"/>
      </w:r>
      <w:r>
        <w:rPr>
          <w:rStyle w:val="46"/>
          <w:rFonts w:eastAsia="仿宋"/>
        </w:rPr>
        <w:t>2.1</w:t>
      </w:r>
      <w:r>
        <w:rPr>
          <w:rStyle w:val="46"/>
        </w:rPr>
        <w:t xml:space="preserve"> 现状与差距（含原有软、硬件资源情况）</w:t>
      </w:r>
      <w:r>
        <w:tab/>
      </w:r>
      <w:r>
        <w:fldChar w:fldCharType="begin"/>
      </w:r>
      <w:r>
        <w:instrText xml:space="preserve"> PAGEREF _Toc118808207 \h </w:instrText>
      </w:r>
      <w:r>
        <w:fldChar w:fldCharType="separate"/>
      </w:r>
      <w:r>
        <w:t>19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"_Toc118808208" </w:instrText>
      </w:r>
      <w:r>
        <w:fldChar w:fldCharType="separate"/>
      </w:r>
      <w:r>
        <w:rPr>
          <w:rStyle w:val="46"/>
          <w:rFonts w:eastAsia="仿宋"/>
        </w:rPr>
        <w:t>2.1.1</w:t>
      </w:r>
      <w:r>
        <w:rPr>
          <w:rStyle w:val="46"/>
          <w:rFonts w:asciiTheme="minorEastAsia" w:hAnsiTheme="minorEastAsia"/>
        </w:rPr>
        <w:t xml:space="preserve"> 存在的问题和差距</w:t>
      </w:r>
      <w:r>
        <w:tab/>
      </w:r>
      <w:r>
        <w:fldChar w:fldCharType="begin"/>
      </w:r>
      <w:r>
        <w:instrText xml:space="preserve"> PAGEREF _Toc118808208 \h </w:instrText>
      </w:r>
      <w:r>
        <w:fldChar w:fldCharType="separate"/>
      </w:r>
      <w:r>
        <w:t>19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"_Toc118808209" </w:instrText>
      </w:r>
      <w:r>
        <w:fldChar w:fldCharType="separate"/>
      </w:r>
      <w:r>
        <w:rPr>
          <w:rStyle w:val="46"/>
          <w:rFonts w:eastAsia="仿宋"/>
        </w:rPr>
        <w:t>2.1.2</w:t>
      </w:r>
      <w:r>
        <w:rPr>
          <w:rStyle w:val="46"/>
        </w:rPr>
        <w:t xml:space="preserve"> 软件资源现状</w:t>
      </w:r>
      <w:r>
        <w:tab/>
      </w:r>
      <w:r>
        <w:fldChar w:fldCharType="begin"/>
      </w:r>
      <w:r>
        <w:instrText xml:space="preserve"> PAGEREF _Toc118808209 \h </w:instrText>
      </w:r>
      <w:r>
        <w:fldChar w:fldCharType="separate"/>
      </w:r>
      <w:r>
        <w:t>20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"_Toc118808210" </w:instrText>
      </w:r>
      <w:r>
        <w:fldChar w:fldCharType="separate"/>
      </w:r>
      <w:r>
        <w:rPr>
          <w:rStyle w:val="46"/>
          <w:rFonts w:eastAsia="仿宋"/>
        </w:rPr>
        <w:t>2.1.3</w:t>
      </w:r>
      <w:r>
        <w:rPr>
          <w:rStyle w:val="46"/>
        </w:rPr>
        <w:t xml:space="preserve"> 硬件资源现状</w:t>
      </w:r>
      <w:r>
        <w:tab/>
      </w:r>
      <w:r>
        <w:fldChar w:fldCharType="begin"/>
      </w:r>
      <w:r>
        <w:instrText xml:space="preserve"> PAGEREF _Toc118808210 \h </w:instrText>
      </w:r>
      <w:r>
        <w:fldChar w:fldCharType="separate"/>
      </w:r>
      <w:r>
        <w:t>21</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"_Toc118808211" </w:instrText>
      </w:r>
      <w:r>
        <w:fldChar w:fldCharType="separate"/>
      </w:r>
      <w:r>
        <w:rPr>
          <w:rStyle w:val="46"/>
          <w:rFonts w:eastAsia="仿宋"/>
        </w:rPr>
        <w:t>2.2</w:t>
      </w:r>
      <w:r>
        <w:rPr>
          <w:rStyle w:val="46"/>
        </w:rPr>
        <w:t xml:space="preserve"> 主要应用描述和业务流程分析</w:t>
      </w:r>
      <w:r>
        <w:tab/>
      </w:r>
      <w:r>
        <w:fldChar w:fldCharType="begin"/>
      </w:r>
      <w:r>
        <w:instrText xml:space="preserve"> PAGEREF _Toc118808211 \h </w:instrText>
      </w:r>
      <w:r>
        <w:fldChar w:fldCharType="separate"/>
      </w:r>
      <w:r>
        <w:t>21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"_Toc118808212" </w:instrText>
      </w:r>
      <w:r>
        <w:fldChar w:fldCharType="separate"/>
      </w:r>
      <w:r>
        <w:rPr>
          <w:rStyle w:val="46"/>
          <w:rFonts w:eastAsia="仿宋"/>
        </w:rPr>
        <w:t>2.2.1</w:t>
      </w:r>
      <w:r>
        <w:rPr>
          <w:rStyle w:val="46"/>
        </w:rPr>
        <w:t xml:space="preserve"> 需求分析</w:t>
      </w:r>
      <w:r>
        <w:tab/>
      </w:r>
      <w:r>
        <w:fldChar w:fldCharType="begin"/>
      </w:r>
      <w:r>
        <w:instrText xml:space="preserve"> PAGEREF _Toc118808212 \h </w:instrText>
      </w:r>
      <w:r>
        <w:fldChar w:fldCharType="separate"/>
      </w:r>
      <w:r>
        <w:t>21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"_Toc118808213" </w:instrText>
      </w:r>
      <w:r>
        <w:fldChar w:fldCharType="separate"/>
      </w:r>
      <w:r>
        <w:rPr>
          <w:rStyle w:val="46"/>
          <w:rFonts w:eastAsia="仿宋"/>
        </w:rPr>
        <w:t>2.2.2</w:t>
      </w:r>
      <w:r>
        <w:rPr>
          <w:rStyle w:val="46"/>
        </w:rPr>
        <w:t xml:space="preserve"> 业务流程分析与应用描述</w:t>
      </w:r>
      <w:r>
        <w:tab/>
      </w:r>
      <w:r>
        <w:fldChar w:fldCharType="begin"/>
      </w:r>
      <w:r>
        <w:instrText xml:space="preserve"> PAGEREF _Toc118808213 \h </w:instrText>
      </w:r>
      <w:r>
        <w:fldChar w:fldCharType="separate"/>
      </w:r>
      <w:r>
        <w:t>24</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"_Toc118808214" </w:instrText>
      </w:r>
      <w:r>
        <w:fldChar w:fldCharType="separate"/>
      </w:r>
      <w:r>
        <w:rPr>
          <w:rStyle w:val="46"/>
          <w:rFonts w:eastAsia="仿宋"/>
        </w:rPr>
        <w:t>2.2.3</w:t>
      </w:r>
      <w:r>
        <w:rPr>
          <w:rStyle w:val="46"/>
        </w:rPr>
        <w:t xml:space="preserve"> 与其他平台的关系</w:t>
      </w:r>
      <w:r>
        <w:tab/>
      </w:r>
      <w:r>
        <w:fldChar w:fldCharType="begin"/>
      </w:r>
      <w:r>
        <w:instrText xml:space="preserve"> PAGEREF _Toc118808214 \h </w:instrText>
      </w:r>
      <w:r>
        <w:fldChar w:fldCharType="separate"/>
      </w:r>
      <w:r>
        <w:t>27</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"_Toc118808215" </w:instrText>
      </w:r>
      <w:r>
        <w:fldChar w:fldCharType="separate"/>
      </w:r>
      <w:r>
        <w:rPr>
          <w:rStyle w:val="46"/>
          <w:rFonts w:eastAsia="仿宋"/>
        </w:rPr>
        <w:t>2.3</w:t>
      </w:r>
      <w:r>
        <w:rPr>
          <w:rStyle w:val="46"/>
          <w:rFonts w:asciiTheme="minorEastAsia" w:hAnsiTheme="minorEastAsia"/>
        </w:rPr>
        <w:t xml:space="preserve"> 项目服务对象和服务范围</w:t>
      </w:r>
      <w:r>
        <w:tab/>
      </w:r>
      <w:r>
        <w:fldChar w:fldCharType="begin"/>
      </w:r>
      <w:r>
        <w:instrText xml:space="preserve"> PAGEREF _Toc118808215 \h </w:instrText>
      </w:r>
      <w:r>
        <w:fldChar w:fldCharType="separate"/>
      </w:r>
      <w:r>
        <w:t>31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"_Toc118808216" </w:instrText>
      </w:r>
      <w:r>
        <w:fldChar w:fldCharType="separate"/>
      </w:r>
      <w:r>
        <w:rPr>
          <w:rStyle w:val="46"/>
          <w:rFonts w:eastAsia="仿宋"/>
        </w:rPr>
        <w:t>2.3.1</w:t>
      </w:r>
      <w:r>
        <w:rPr>
          <w:rStyle w:val="46"/>
        </w:rPr>
        <w:t xml:space="preserve"> 服务对象</w:t>
      </w:r>
      <w:r>
        <w:tab/>
      </w:r>
      <w:r>
        <w:fldChar w:fldCharType="begin"/>
      </w:r>
      <w:r>
        <w:instrText xml:space="preserve"> PAGEREF _Toc118808216 \h </w:instrText>
      </w:r>
      <w:r>
        <w:fldChar w:fldCharType="separate"/>
      </w:r>
      <w:r>
        <w:t>31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"_Toc118808217" </w:instrText>
      </w:r>
      <w:r>
        <w:fldChar w:fldCharType="separate"/>
      </w:r>
      <w:r>
        <w:rPr>
          <w:rStyle w:val="46"/>
          <w:rFonts w:eastAsia="仿宋"/>
        </w:rPr>
        <w:t>2.3.2</w:t>
      </w:r>
      <w:r>
        <w:rPr>
          <w:rStyle w:val="46"/>
        </w:rPr>
        <w:t xml:space="preserve"> 服务范围</w:t>
      </w:r>
      <w:r>
        <w:tab/>
      </w:r>
      <w:r>
        <w:fldChar w:fldCharType="begin"/>
      </w:r>
      <w:r>
        <w:instrText xml:space="preserve"> PAGEREF _Toc118808217 \h </w:instrText>
      </w:r>
      <w:r>
        <w:fldChar w:fldCharType="separate"/>
      </w:r>
      <w:r>
        <w:t>31</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"_Toc118808218" </w:instrText>
      </w:r>
      <w:r>
        <w:fldChar w:fldCharType="separate"/>
      </w:r>
      <w:r>
        <w:rPr>
          <w:rStyle w:val="46"/>
          <w:rFonts w:eastAsia="仿宋"/>
        </w:rPr>
        <w:t>2.4</w:t>
      </w:r>
      <w:r>
        <w:rPr>
          <w:rStyle w:val="46"/>
          <w:rFonts w:asciiTheme="minorEastAsia" w:hAnsiTheme="minorEastAsia"/>
        </w:rPr>
        <w:t xml:space="preserve"> 达到的效果</w:t>
      </w:r>
      <w:r>
        <w:tab/>
      </w:r>
      <w:r>
        <w:fldChar w:fldCharType="begin"/>
      </w:r>
      <w:r>
        <w:instrText xml:space="preserve"> PAGEREF _Toc118808218 \h </w:instrText>
      </w:r>
      <w:r>
        <w:fldChar w:fldCharType="separate"/>
      </w:r>
      <w:r>
        <w:t>32</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"_Toc118808219" </w:instrText>
      </w:r>
      <w:r>
        <w:fldChar w:fldCharType="separate"/>
      </w:r>
      <w:r>
        <w:rPr>
          <w:rStyle w:val="46"/>
          <w:rFonts w:asciiTheme="minorEastAsia" w:hAnsiTheme="minorEastAsia"/>
        </w:rPr>
        <w:t>第3章 总体建设方案</w:t>
      </w:r>
      <w:r>
        <w:tab/>
      </w:r>
      <w:r>
        <w:fldChar w:fldCharType="begin"/>
      </w:r>
      <w:r>
        <w:instrText xml:space="preserve"> PAGEREF _Toc118808219 \h </w:instrText>
      </w:r>
      <w:r>
        <w:fldChar w:fldCharType="separate"/>
      </w:r>
      <w:r>
        <w:t>35</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"_Toc118808220" </w:instrText>
      </w:r>
      <w:r>
        <w:fldChar w:fldCharType="separate"/>
      </w:r>
      <w:r>
        <w:rPr>
          <w:rStyle w:val="46"/>
          <w:rFonts w:eastAsia="仿宋"/>
        </w:rPr>
        <w:t>3.1</w:t>
      </w:r>
      <w:r>
        <w:rPr>
          <w:rStyle w:val="46"/>
          <w:rFonts w:asciiTheme="minorEastAsia" w:hAnsiTheme="minorEastAsia"/>
        </w:rPr>
        <w:t xml:space="preserve"> 总体设计原则</w:t>
      </w:r>
      <w:r>
        <w:tab/>
      </w:r>
      <w:r>
        <w:fldChar w:fldCharType="begin"/>
      </w:r>
      <w:r>
        <w:instrText xml:space="preserve"> PAGEREF _Toc118808220 \h </w:instrText>
      </w:r>
      <w:r>
        <w:fldChar w:fldCharType="separate"/>
      </w:r>
      <w:r>
        <w:t>35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"_Toc118808221" </w:instrText>
      </w:r>
      <w:r>
        <w:fldChar w:fldCharType="separate"/>
      </w:r>
      <w:r>
        <w:rPr>
          <w:rStyle w:val="46"/>
          <w:rFonts w:eastAsia="仿宋"/>
        </w:rPr>
        <w:t>3.1.1</w:t>
      </w:r>
      <w:r>
        <w:rPr>
          <w:rStyle w:val="46"/>
          <w:rFonts w:asciiTheme="minorEastAsia" w:hAnsiTheme="minorEastAsia"/>
        </w:rPr>
        <w:t xml:space="preserve"> 标准化和规范化原则</w:t>
      </w:r>
      <w:r>
        <w:tab/>
      </w:r>
      <w:r>
        <w:fldChar w:fldCharType="begin"/>
      </w:r>
      <w:r>
        <w:instrText xml:space="preserve"> PAGEREF _Toc118808221 \h </w:instrText>
      </w:r>
      <w:r>
        <w:fldChar w:fldCharType="separate"/>
      </w:r>
      <w:r>
        <w:t>35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"_Toc118808222" </w:instrText>
      </w:r>
      <w:r>
        <w:fldChar w:fldCharType="separate"/>
      </w:r>
      <w:r>
        <w:rPr>
          <w:rStyle w:val="46"/>
          <w:rFonts w:eastAsia="仿宋"/>
        </w:rPr>
        <w:t>3.1.2</w:t>
      </w:r>
      <w:r>
        <w:rPr>
          <w:rStyle w:val="46"/>
          <w:rFonts w:asciiTheme="minorEastAsia" w:hAnsiTheme="minorEastAsia"/>
        </w:rPr>
        <w:t xml:space="preserve"> 先进性和成熟性原则</w:t>
      </w:r>
      <w:r>
        <w:tab/>
      </w:r>
      <w:r>
        <w:fldChar w:fldCharType="begin"/>
      </w:r>
      <w:r>
        <w:instrText xml:space="preserve"> PAGEREF _Toc118808222 \h </w:instrText>
      </w:r>
      <w:r>
        <w:fldChar w:fldCharType="separate"/>
      </w:r>
      <w:r>
        <w:t>35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"_Toc118808223" </w:instrText>
      </w:r>
      <w:r>
        <w:fldChar w:fldCharType="separate"/>
      </w:r>
      <w:r>
        <w:rPr>
          <w:rStyle w:val="46"/>
          <w:rFonts w:eastAsia="仿宋"/>
        </w:rPr>
        <w:t>3.1.3</w:t>
      </w:r>
      <w:r>
        <w:rPr>
          <w:rStyle w:val="46"/>
          <w:rFonts w:asciiTheme="minorEastAsia" w:hAnsiTheme="minorEastAsia"/>
        </w:rPr>
        <w:t xml:space="preserve"> 安全性和可靠性原则</w:t>
      </w:r>
      <w:r>
        <w:tab/>
      </w:r>
      <w:r>
        <w:fldChar w:fldCharType="begin"/>
      </w:r>
      <w:r>
        <w:instrText xml:space="preserve"> PAGEREF _Toc118808223 \h </w:instrText>
      </w:r>
      <w:r>
        <w:fldChar w:fldCharType="separate"/>
      </w:r>
      <w:r>
        <w:t>35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"_Toc118808224" </w:instrText>
      </w:r>
      <w:r>
        <w:fldChar w:fldCharType="separate"/>
      </w:r>
      <w:r>
        <w:rPr>
          <w:rStyle w:val="46"/>
          <w:rFonts w:eastAsia="仿宋"/>
        </w:rPr>
        <w:t>3.1.4</w:t>
      </w:r>
      <w:r>
        <w:rPr>
          <w:rStyle w:val="46"/>
          <w:rFonts w:asciiTheme="minorEastAsia" w:hAnsiTheme="minorEastAsia"/>
        </w:rPr>
        <w:t xml:space="preserve"> 可管理性和维护性原则</w:t>
      </w:r>
      <w:r>
        <w:tab/>
      </w:r>
      <w:r>
        <w:fldChar w:fldCharType="begin"/>
      </w:r>
      <w:r>
        <w:instrText xml:space="preserve"> PAGEREF _Toc118808224 \h </w:instrText>
      </w:r>
      <w:r>
        <w:fldChar w:fldCharType="separate"/>
      </w:r>
      <w:r>
        <w:t>35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"_Toc118808225" </w:instrText>
      </w:r>
      <w:r>
        <w:fldChar w:fldCharType="separate"/>
      </w:r>
      <w:r>
        <w:rPr>
          <w:rStyle w:val="46"/>
          <w:rFonts w:eastAsia="仿宋"/>
        </w:rPr>
        <w:t>3.1.5</w:t>
      </w:r>
      <w:r>
        <w:rPr>
          <w:rStyle w:val="46"/>
          <w:rFonts w:asciiTheme="minorEastAsia" w:hAnsiTheme="minorEastAsia"/>
        </w:rPr>
        <w:t xml:space="preserve"> 灵活性和可扩充性原则</w:t>
      </w:r>
      <w:r>
        <w:tab/>
      </w:r>
      <w:r>
        <w:fldChar w:fldCharType="begin"/>
      </w:r>
      <w:r>
        <w:instrText xml:space="preserve"> PAGEREF _Toc118808225 \h </w:instrText>
      </w:r>
      <w:r>
        <w:fldChar w:fldCharType="separate"/>
      </w:r>
      <w:r>
        <w:t>36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"_Toc118808226" </w:instrText>
      </w:r>
      <w:r>
        <w:fldChar w:fldCharType="separate"/>
      </w:r>
      <w:r>
        <w:rPr>
          <w:rStyle w:val="46"/>
          <w:rFonts w:eastAsia="仿宋"/>
        </w:rPr>
        <w:t>3.1.6</w:t>
      </w:r>
      <w:r>
        <w:rPr>
          <w:rStyle w:val="46"/>
          <w:rFonts w:asciiTheme="minorEastAsia" w:hAnsiTheme="minorEastAsia"/>
        </w:rPr>
        <w:t xml:space="preserve"> 易操作和易维护性原则</w:t>
      </w:r>
      <w:r>
        <w:tab/>
      </w:r>
      <w:r>
        <w:fldChar w:fldCharType="begin"/>
      </w:r>
      <w:r>
        <w:instrText xml:space="preserve"> PAGEREF _Toc118808226 \h </w:instrText>
      </w:r>
      <w:r>
        <w:fldChar w:fldCharType="separate"/>
      </w:r>
      <w:r>
        <w:t>36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"_Toc118808227" </w:instrText>
      </w:r>
      <w:r>
        <w:fldChar w:fldCharType="separate"/>
      </w:r>
      <w:r>
        <w:rPr>
          <w:rStyle w:val="46"/>
          <w:rFonts w:eastAsia="仿宋"/>
        </w:rPr>
        <w:t>3.1.7</w:t>
      </w:r>
      <w:r>
        <w:rPr>
          <w:rStyle w:val="46"/>
          <w:rFonts w:asciiTheme="minorEastAsia" w:hAnsiTheme="minorEastAsia"/>
        </w:rPr>
        <w:t xml:space="preserve"> 动态部署应用</w:t>
      </w:r>
      <w:r>
        <w:tab/>
      </w:r>
      <w:r>
        <w:fldChar w:fldCharType="begin"/>
      </w:r>
      <w:r>
        <w:instrText xml:space="preserve"> PAGEREF _Toc118808227 \h </w:instrText>
      </w:r>
      <w:r>
        <w:fldChar w:fldCharType="separate"/>
      </w:r>
      <w:r>
        <w:t>36</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"_Toc118808228" </w:instrText>
      </w:r>
      <w:r>
        <w:fldChar w:fldCharType="separate"/>
      </w:r>
      <w:r>
        <w:rPr>
          <w:rStyle w:val="46"/>
          <w:rFonts w:eastAsia="仿宋"/>
        </w:rPr>
        <w:t>3.2</w:t>
      </w:r>
      <w:r>
        <w:rPr>
          <w:rStyle w:val="46"/>
          <w:rFonts w:asciiTheme="minorEastAsia" w:hAnsiTheme="minorEastAsia"/>
        </w:rPr>
        <w:t xml:space="preserve"> 总体建设目标与分期建设目标</w:t>
      </w:r>
      <w:r>
        <w:tab/>
      </w:r>
      <w:r>
        <w:fldChar w:fldCharType="begin"/>
      </w:r>
      <w:r>
        <w:instrText xml:space="preserve"> PAGEREF _Toc118808228 \h </w:instrText>
      </w:r>
      <w:r>
        <w:fldChar w:fldCharType="separate"/>
      </w:r>
      <w:r>
        <w:t>36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"_Toc118808229" </w:instrText>
      </w:r>
      <w:r>
        <w:fldChar w:fldCharType="separate"/>
      </w:r>
      <w:r>
        <w:rPr>
          <w:rStyle w:val="46"/>
          <w:rFonts w:eastAsia="仿宋"/>
        </w:rPr>
        <w:t>3.2.1</w:t>
      </w:r>
      <w:r>
        <w:rPr>
          <w:rStyle w:val="46"/>
          <w:rFonts w:asciiTheme="minorEastAsia" w:hAnsiTheme="minorEastAsia"/>
        </w:rPr>
        <w:t xml:space="preserve"> 总体建设目标</w:t>
      </w:r>
      <w:r>
        <w:tab/>
      </w:r>
      <w:r>
        <w:fldChar w:fldCharType="begin"/>
      </w:r>
      <w:r>
        <w:instrText xml:space="preserve"> PAGEREF _Toc118808229 \h </w:instrText>
      </w:r>
      <w:r>
        <w:fldChar w:fldCharType="separate"/>
      </w:r>
      <w:r>
        <w:t>36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"_Toc118808230" </w:instrText>
      </w:r>
      <w:r>
        <w:fldChar w:fldCharType="separate"/>
      </w:r>
      <w:r>
        <w:rPr>
          <w:rStyle w:val="46"/>
          <w:rFonts w:eastAsia="仿宋"/>
        </w:rPr>
        <w:t>3.2.2</w:t>
      </w:r>
      <w:r>
        <w:rPr>
          <w:rStyle w:val="46"/>
          <w:rFonts w:asciiTheme="minorEastAsia" w:hAnsiTheme="minorEastAsia"/>
        </w:rPr>
        <w:t xml:space="preserve"> 本期建设目标</w:t>
      </w:r>
      <w:r>
        <w:tab/>
      </w:r>
      <w:r>
        <w:fldChar w:fldCharType="begin"/>
      </w:r>
      <w:r>
        <w:instrText xml:space="preserve"> PAGEREF _Toc118808230 \h </w:instrText>
      </w:r>
      <w:r>
        <w:fldChar w:fldCharType="separate"/>
      </w:r>
      <w:r>
        <w:t>38</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"_Toc118808231" </w:instrText>
      </w:r>
      <w:r>
        <w:fldChar w:fldCharType="separate"/>
      </w:r>
      <w:r>
        <w:rPr>
          <w:rStyle w:val="46"/>
          <w:rFonts w:eastAsia="仿宋"/>
        </w:rPr>
        <w:t>3.3</w:t>
      </w:r>
      <w:r>
        <w:rPr>
          <w:rStyle w:val="46"/>
          <w:rFonts w:asciiTheme="minorEastAsia" w:hAnsiTheme="minorEastAsia"/>
        </w:rPr>
        <w:t xml:space="preserve"> 系统总体结构和逻辑结构</w:t>
      </w:r>
      <w:r>
        <w:tab/>
      </w:r>
      <w:r>
        <w:fldChar w:fldCharType="begin"/>
      </w:r>
      <w:r>
        <w:instrText xml:space="preserve"> PAGEREF _Toc118808231 \h </w:instrText>
      </w:r>
      <w:r>
        <w:fldChar w:fldCharType="separate"/>
      </w:r>
      <w:r>
        <w:t>42</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"_Toc118808232" </w:instrText>
      </w:r>
      <w:r>
        <w:fldChar w:fldCharType="separate"/>
      </w:r>
      <w:r>
        <w:rPr>
          <w:rStyle w:val="46"/>
          <w:rFonts w:eastAsia="仿宋"/>
        </w:rPr>
        <w:t>3.3.1</w:t>
      </w:r>
      <w:r>
        <w:rPr>
          <w:rStyle w:val="46"/>
          <w:rFonts w:asciiTheme="minorEastAsia" w:hAnsiTheme="minorEastAsia"/>
        </w:rPr>
        <w:t xml:space="preserve"> 萧山“一呼解忧”系统总体结构</w:t>
      </w:r>
      <w:r>
        <w:tab/>
      </w:r>
      <w:r>
        <w:fldChar w:fldCharType="begin"/>
      </w:r>
      <w:r>
        <w:instrText xml:space="preserve"> PAGEREF _Toc118808232 \h </w:instrText>
      </w:r>
      <w:r>
        <w:fldChar w:fldCharType="separate"/>
      </w:r>
      <w:r>
        <w:t>42</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"_Toc118808233" </w:instrText>
      </w:r>
      <w:r>
        <w:fldChar w:fldCharType="separate"/>
      </w:r>
      <w:r>
        <w:rPr>
          <w:rStyle w:val="46"/>
          <w:rFonts w:eastAsia="仿宋"/>
        </w:rPr>
        <w:t>3.3.2</w:t>
      </w:r>
      <w:r>
        <w:rPr>
          <w:rStyle w:val="46"/>
          <w:rFonts w:asciiTheme="minorEastAsia" w:hAnsiTheme="minorEastAsia"/>
        </w:rPr>
        <w:t xml:space="preserve"> 萧山“一呼解忧”系统逻辑结构</w:t>
      </w:r>
      <w:r>
        <w:tab/>
      </w:r>
      <w:r>
        <w:fldChar w:fldCharType="begin"/>
      </w:r>
      <w:r>
        <w:instrText xml:space="preserve"> PAGEREF _Toc118808233 \h </w:instrText>
      </w:r>
      <w:r>
        <w:fldChar w:fldCharType="separate"/>
      </w:r>
      <w:r>
        <w:t>45</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"_Toc118808234" </w:instrText>
      </w:r>
      <w:r>
        <w:fldChar w:fldCharType="separate"/>
      </w:r>
      <w:r>
        <w:rPr>
          <w:rStyle w:val="46"/>
          <w:rFonts w:asciiTheme="minorEastAsia" w:hAnsiTheme="minorEastAsia"/>
        </w:rPr>
        <w:t>第4章 本期设计方案</w:t>
      </w:r>
      <w:r>
        <w:tab/>
      </w:r>
      <w:r>
        <w:fldChar w:fldCharType="begin"/>
      </w:r>
      <w:r>
        <w:instrText xml:space="preserve"> PAGEREF _Toc118808234 \h </w:instrText>
      </w:r>
      <w:r>
        <w:fldChar w:fldCharType="separate"/>
      </w:r>
      <w:r>
        <w:t>48</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"_Toc118808235" </w:instrText>
      </w:r>
      <w:r>
        <w:fldChar w:fldCharType="separate"/>
      </w:r>
      <w:r>
        <w:rPr>
          <w:rStyle w:val="46"/>
          <w:rFonts w:eastAsia="仿宋"/>
        </w:rPr>
        <w:t>4.1</w:t>
      </w:r>
      <w:r>
        <w:rPr>
          <w:rStyle w:val="46"/>
          <w:rFonts w:asciiTheme="minorEastAsia" w:hAnsiTheme="minorEastAsia"/>
        </w:rPr>
        <w:t xml:space="preserve"> 建设目标与内容</w:t>
      </w:r>
      <w:r>
        <w:tab/>
      </w:r>
      <w:r>
        <w:fldChar w:fldCharType="begin"/>
      </w:r>
      <w:r>
        <w:instrText xml:space="preserve"> PAGEREF _Toc118808235 \h </w:instrText>
      </w:r>
      <w:r>
        <w:fldChar w:fldCharType="separate"/>
      </w:r>
      <w:r>
        <w:t>48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"_Toc118808236" </w:instrText>
      </w:r>
      <w:r>
        <w:fldChar w:fldCharType="separate"/>
      </w:r>
      <w:r>
        <w:rPr>
          <w:rStyle w:val="46"/>
          <w:rFonts w:eastAsia="仿宋"/>
        </w:rPr>
        <w:t>4.1.1</w:t>
      </w:r>
      <w:r>
        <w:rPr>
          <w:rStyle w:val="46"/>
          <w:rFonts w:asciiTheme="minorEastAsia" w:hAnsiTheme="minorEastAsia"/>
        </w:rPr>
        <w:t xml:space="preserve"> 12345业务系统适配</w:t>
      </w:r>
      <w:r>
        <w:tab/>
      </w:r>
      <w:r>
        <w:fldChar w:fldCharType="begin"/>
      </w:r>
      <w:r>
        <w:instrText xml:space="preserve"> PAGEREF _Toc118808236 \h </w:instrText>
      </w:r>
      <w:r>
        <w:fldChar w:fldCharType="separate"/>
      </w:r>
      <w:r>
        <w:t>48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"_Toc118808237" </w:instrText>
      </w:r>
      <w:r>
        <w:fldChar w:fldCharType="separate"/>
      </w:r>
      <w:r>
        <w:rPr>
          <w:rStyle w:val="46"/>
          <w:rFonts w:eastAsia="仿宋"/>
        </w:rPr>
        <w:t>4.1.2</w:t>
      </w:r>
      <w:r>
        <w:rPr>
          <w:rStyle w:val="46"/>
          <w:rFonts w:asciiTheme="minorEastAsia" w:hAnsiTheme="minorEastAsia"/>
        </w:rPr>
        <w:t xml:space="preserve"> 5G智慧联络中心</w:t>
      </w:r>
      <w:r>
        <w:tab/>
      </w:r>
      <w:r>
        <w:fldChar w:fldCharType="begin"/>
      </w:r>
      <w:r>
        <w:instrText xml:space="preserve"> PAGEREF _Toc118808237 \h </w:instrText>
      </w:r>
      <w:r>
        <w:fldChar w:fldCharType="separate"/>
      </w:r>
      <w:r>
        <w:t>51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"_Toc118808238" </w:instrText>
      </w:r>
      <w:r>
        <w:fldChar w:fldCharType="separate"/>
      </w:r>
      <w:r>
        <w:rPr>
          <w:rStyle w:val="46"/>
          <w:rFonts w:eastAsia="仿宋"/>
        </w:rPr>
        <w:t>4.1.3</w:t>
      </w:r>
      <w:r>
        <w:rPr>
          <w:rStyle w:val="46"/>
          <w:rFonts w:asciiTheme="minorEastAsia" w:hAnsiTheme="minorEastAsia"/>
        </w:rPr>
        <w:t xml:space="preserve"> “一呼解忧”服务端设计与开发</w:t>
      </w:r>
      <w:r>
        <w:tab/>
      </w:r>
      <w:r>
        <w:fldChar w:fldCharType="begin"/>
      </w:r>
      <w:r>
        <w:instrText xml:space="preserve"> PAGEREF _Toc118808238 \h </w:instrText>
      </w:r>
      <w:r>
        <w:fldChar w:fldCharType="separate"/>
      </w:r>
      <w:r>
        <w:t>79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"_Toc118808239" </w:instrText>
      </w:r>
      <w:r>
        <w:fldChar w:fldCharType="separate"/>
      </w:r>
      <w:r>
        <w:rPr>
          <w:rStyle w:val="46"/>
          <w:rFonts w:eastAsia="仿宋"/>
        </w:rPr>
        <w:t>4.1.4</w:t>
      </w:r>
      <w:r>
        <w:rPr>
          <w:rStyle w:val="46"/>
          <w:rFonts w:asciiTheme="minorEastAsia" w:hAnsiTheme="minorEastAsia"/>
        </w:rPr>
        <w:t xml:space="preserve"> “一呼解忧”移动治理端设计与开发</w:t>
      </w:r>
      <w:r>
        <w:tab/>
      </w:r>
      <w:r>
        <w:fldChar w:fldCharType="begin"/>
      </w:r>
      <w:r>
        <w:instrText xml:space="preserve"> PAGEREF _Toc118808239 \h </w:instrText>
      </w:r>
      <w:r>
        <w:fldChar w:fldCharType="separate"/>
      </w:r>
      <w:r>
        <w:t>87</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"_Toc118808240" </w:instrText>
      </w:r>
      <w:r>
        <w:fldChar w:fldCharType="separate"/>
      </w:r>
      <w:r>
        <w:rPr>
          <w:rStyle w:val="46"/>
          <w:rFonts w:eastAsia="仿宋"/>
        </w:rPr>
        <w:t>4.1.5</w:t>
      </w:r>
      <w:r>
        <w:rPr>
          <w:rStyle w:val="46"/>
          <w:rFonts w:asciiTheme="minorEastAsia" w:hAnsiTheme="minorEastAsia"/>
        </w:rPr>
        <w:t xml:space="preserve"> “一呼解忧”智治系统</w:t>
      </w:r>
      <w:r>
        <w:tab/>
      </w:r>
      <w:r>
        <w:fldChar w:fldCharType="begin"/>
      </w:r>
      <w:r>
        <w:instrText xml:space="preserve"> PAGEREF _Toc118808240 \h </w:instrText>
      </w:r>
      <w:r>
        <w:fldChar w:fldCharType="separate"/>
      </w:r>
      <w:r>
        <w:t>89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"_Toc118808241" </w:instrText>
      </w:r>
      <w:r>
        <w:fldChar w:fldCharType="separate"/>
      </w:r>
      <w:r>
        <w:rPr>
          <w:rStyle w:val="46"/>
          <w:rFonts w:eastAsia="仿宋"/>
        </w:rPr>
        <w:t>4.2</w:t>
      </w:r>
      <w:r>
        <w:rPr>
          <w:rStyle w:val="46"/>
          <w:rFonts w:asciiTheme="minorEastAsia" w:hAnsiTheme="minorEastAsia"/>
        </w:rPr>
        <w:t xml:space="preserve"> 系统总体架构</w:t>
      </w:r>
      <w:r>
        <w:tab/>
      </w:r>
      <w:r>
        <w:fldChar w:fldCharType="begin"/>
      </w:r>
      <w:r>
        <w:instrText xml:space="preserve"> PAGEREF _Toc118808241 \h </w:instrText>
      </w:r>
      <w:r>
        <w:fldChar w:fldCharType="separate"/>
      </w:r>
      <w:r>
        <w:t>155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"_Toc118808242" </w:instrText>
      </w:r>
      <w:r>
        <w:fldChar w:fldCharType="separate"/>
      </w:r>
      <w:r>
        <w:rPr>
          <w:rStyle w:val="46"/>
          <w:rFonts w:eastAsia="仿宋"/>
        </w:rPr>
        <w:t>4.2.1</w:t>
      </w:r>
      <w:r>
        <w:rPr>
          <w:rStyle w:val="46"/>
          <w:rFonts w:asciiTheme="minorEastAsia" w:hAnsiTheme="minorEastAsia"/>
        </w:rPr>
        <w:t xml:space="preserve"> 可靠性设计</w:t>
      </w:r>
      <w:r>
        <w:tab/>
      </w:r>
      <w:r>
        <w:fldChar w:fldCharType="begin"/>
      </w:r>
      <w:r>
        <w:instrText xml:space="preserve"> PAGEREF _Toc118808242 \h </w:instrText>
      </w:r>
      <w:r>
        <w:fldChar w:fldCharType="separate"/>
      </w:r>
      <w:r>
        <w:t>156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"_Toc118808243" </w:instrText>
      </w:r>
      <w:r>
        <w:fldChar w:fldCharType="separate"/>
      </w:r>
      <w:r>
        <w:rPr>
          <w:rStyle w:val="46"/>
          <w:rFonts w:eastAsia="仿宋"/>
        </w:rPr>
        <w:t>4.2.2</w:t>
      </w:r>
      <w:r>
        <w:rPr>
          <w:rStyle w:val="46"/>
          <w:rFonts w:asciiTheme="minorEastAsia" w:hAnsiTheme="minorEastAsia"/>
        </w:rPr>
        <w:t xml:space="preserve"> 可扩展性设计</w:t>
      </w:r>
      <w:r>
        <w:tab/>
      </w:r>
      <w:r>
        <w:fldChar w:fldCharType="begin"/>
      </w:r>
      <w:r>
        <w:instrText xml:space="preserve"> PAGEREF _Toc118808243 \h </w:instrText>
      </w:r>
      <w:r>
        <w:fldChar w:fldCharType="separate"/>
      </w:r>
      <w:r>
        <w:t>157</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"_Toc118808244" </w:instrText>
      </w:r>
      <w:r>
        <w:fldChar w:fldCharType="separate"/>
      </w:r>
      <w:r>
        <w:rPr>
          <w:rStyle w:val="46"/>
          <w:rFonts w:eastAsia="仿宋"/>
        </w:rPr>
        <w:t>4.2.3</w:t>
      </w:r>
      <w:r>
        <w:rPr>
          <w:rStyle w:val="46"/>
          <w:rFonts w:asciiTheme="minorEastAsia" w:hAnsiTheme="minorEastAsia"/>
        </w:rPr>
        <w:t xml:space="preserve"> 安全性设计</w:t>
      </w:r>
      <w:r>
        <w:tab/>
      </w:r>
      <w:r>
        <w:fldChar w:fldCharType="begin"/>
      </w:r>
      <w:r>
        <w:instrText xml:space="preserve"> PAGEREF _Toc118808244 \h </w:instrText>
      </w:r>
      <w:r>
        <w:fldChar w:fldCharType="separate"/>
      </w:r>
      <w:r>
        <w:t>158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"_Toc118808245" </w:instrText>
      </w:r>
      <w:r>
        <w:fldChar w:fldCharType="separate"/>
      </w:r>
      <w:r>
        <w:rPr>
          <w:rStyle w:val="46"/>
          <w:rFonts w:eastAsia="仿宋"/>
        </w:rPr>
        <w:t>4.2.4</w:t>
      </w:r>
      <w:r>
        <w:rPr>
          <w:rStyle w:val="46"/>
          <w:rFonts w:asciiTheme="minorEastAsia" w:hAnsiTheme="minorEastAsia"/>
        </w:rPr>
        <w:t xml:space="preserve"> 先进性设计</w:t>
      </w:r>
      <w:r>
        <w:tab/>
      </w:r>
      <w:r>
        <w:fldChar w:fldCharType="begin"/>
      </w:r>
      <w:r>
        <w:instrText xml:space="preserve"> PAGEREF _Toc118808245 \h </w:instrText>
      </w:r>
      <w:r>
        <w:fldChar w:fldCharType="separate"/>
      </w:r>
      <w:r>
        <w:t>158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"_Toc118808246" </w:instrText>
      </w:r>
      <w:r>
        <w:fldChar w:fldCharType="separate"/>
      </w:r>
      <w:r>
        <w:rPr>
          <w:rStyle w:val="46"/>
          <w:rFonts w:eastAsia="仿宋"/>
        </w:rPr>
        <w:t>4.2.5</w:t>
      </w:r>
      <w:r>
        <w:rPr>
          <w:rStyle w:val="46"/>
          <w:rFonts w:asciiTheme="minorEastAsia" w:hAnsiTheme="minorEastAsia"/>
        </w:rPr>
        <w:t xml:space="preserve"> 性能指标设计</w:t>
      </w:r>
      <w:r>
        <w:tab/>
      </w:r>
      <w:r>
        <w:fldChar w:fldCharType="begin"/>
      </w:r>
      <w:r>
        <w:instrText xml:space="preserve"> PAGEREF _Toc118808246 \h </w:instrText>
      </w:r>
      <w:r>
        <w:fldChar w:fldCharType="separate"/>
      </w:r>
      <w:r>
        <w:t>158</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"_Toc118808247" </w:instrText>
      </w:r>
      <w:r>
        <w:fldChar w:fldCharType="separate"/>
      </w:r>
      <w:r>
        <w:rPr>
          <w:rStyle w:val="46"/>
          <w:rFonts w:eastAsia="仿宋"/>
        </w:rPr>
        <w:t>4.3</w:t>
      </w:r>
      <w:r>
        <w:rPr>
          <w:rStyle w:val="46"/>
          <w:rFonts w:ascii="宋体" w:hAnsi="宋体" w:cs="仿宋"/>
        </w:rPr>
        <w:t xml:space="preserve"> 数据处理与存储系统设计</w:t>
      </w:r>
      <w:r>
        <w:tab/>
      </w:r>
      <w:r>
        <w:fldChar w:fldCharType="begin"/>
      </w:r>
      <w:r>
        <w:instrText xml:space="preserve"> PAGEREF _Toc118808247 \h </w:instrText>
      </w:r>
      <w:r>
        <w:fldChar w:fldCharType="separate"/>
      </w:r>
      <w:r>
        <w:t>159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"_Toc118808248" </w:instrText>
      </w:r>
      <w:r>
        <w:fldChar w:fldCharType="separate"/>
      </w:r>
      <w:r>
        <w:rPr>
          <w:rStyle w:val="46"/>
          <w:rFonts w:eastAsia="仿宋"/>
        </w:rPr>
        <w:t>4.3.1</w:t>
      </w:r>
      <w:r>
        <w:rPr>
          <w:rStyle w:val="46"/>
          <w:rFonts w:asciiTheme="minorEastAsia" w:hAnsiTheme="minorEastAsia"/>
        </w:rPr>
        <w:t xml:space="preserve"> 数据仓构建</w:t>
      </w:r>
      <w:r>
        <w:tab/>
      </w:r>
      <w:r>
        <w:fldChar w:fldCharType="begin"/>
      </w:r>
      <w:r>
        <w:instrText xml:space="preserve"> PAGEREF _Toc118808248 \h </w:instrText>
      </w:r>
      <w:r>
        <w:fldChar w:fldCharType="separate"/>
      </w:r>
      <w:r>
        <w:t>159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"_Toc118808249" </w:instrText>
      </w:r>
      <w:r>
        <w:fldChar w:fldCharType="separate"/>
      </w:r>
      <w:r>
        <w:rPr>
          <w:rStyle w:val="46"/>
          <w:rFonts w:eastAsia="仿宋"/>
        </w:rPr>
        <w:t>4.3.2</w:t>
      </w:r>
      <w:r>
        <w:rPr>
          <w:rStyle w:val="46"/>
          <w:rFonts w:asciiTheme="minorEastAsia" w:hAnsiTheme="minorEastAsia"/>
        </w:rPr>
        <w:t xml:space="preserve"> 数据处理和存储整体说明</w:t>
      </w:r>
      <w:r>
        <w:tab/>
      </w:r>
      <w:r>
        <w:fldChar w:fldCharType="begin"/>
      </w:r>
      <w:r>
        <w:instrText xml:space="preserve"> PAGEREF _Toc118808249 \h </w:instrText>
      </w:r>
      <w:r>
        <w:fldChar w:fldCharType="separate"/>
      </w:r>
      <w:r>
        <w:t>159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"_Toc118808250" </w:instrText>
      </w:r>
      <w:r>
        <w:fldChar w:fldCharType="separate"/>
      </w:r>
      <w:r>
        <w:rPr>
          <w:rStyle w:val="46"/>
          <w:rFonts w:eastAsia="仿宋"/>
        </w:rPr>
        <w:t>4.3.3</w:t>
      </w:r>
      <w:r>
        <w:rPr>
          <w:rStyle w:val="46"/>
          <w:rFonts w:asciiTheme="minorEastAsia" w:hAnsiTheme="minorEastAsia"/>
        </w:rPr>
        <w:t xml:space="preserve"> 存储体系设计</w:t>
      </w:r>
      <w:r>
        <w:tab/>
      </w:r>
      <w:r>
        <w:fldChar w:fldCharType="begin"/>
      </w:r>
      <w:r>
        <w:instrText xml:space="preserve"> PAGEREF _Toc118808250 \h </w:instrText>
      </w:r>
      <w:r>
        <w:fldChar w:fldCharType="separate"/>
      </w:r>
      <w:r>
        <w:t>161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"_Toc118808251" </w:instrText>
      </w:r>
      <w:r>
        <w:fldChar w:fldCharType="separate"/>
      </w:r>
      <w:r>
        <w:rPr>
          <w:rStyle w:val="46"/>
          <w:rFonts w:eastAsia="仿宋"/>
        </w:rPr>
        <w:t>4.3.4</w:t>
      </w:r>
      <w:r>
        <w:rPr>
          <w:rStyle w:val="46"/>
          <w:rFonts w:asciiTheme="minorEastAsia" w:hAnsiTheme="minorEastAsia"/>
        </w:rPr>
        <w:t xml:space="preserve"> 存储安全规划</w:t>
      </w:r>
      <w:r>
        <w:tab/>
      </w:r>
      <w:r>
        <w:fldChar w:fldCharType="begin"/>
      </w:r>
      <w:r>
        <w:instrText xml:space="preserve"> PAGEREF _Toc118808251 \h </w:instrText>
      </w:r>
      <w:r>
        <w:fldChar w:fldCharType="separate"/>
      </w:r>
      <w:r>
        <w:t>167</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"_Toc118808252" </w:instrText>
      </w:r>
      <w:r>
        <w:fldChar w:fldCharType="separate"/>
      </w:r>
      <w:r>
        <w:rPr>
          <w:rStyle w:val="46"/>
          <w:rFonts w:eastAsia="仿宋"/>
        </w:rPr>
        <w:t>4.4</w:t>
      </w:r>
      <w:r>
        <w:rPr>
          <w:rStyle w:val="46"/>
          <w:rFonts w:ascii="宋体" w:hAnsi="宋体" w:cs="仿宋"/>
        </w:rPr>
        <w:t xml:space="preserve"> 数据资源规划和数据库设计</w:t>
      </w:r>
      <w:r>
        <w:tab/>
      </w:r>
      <w:r>
        <w:fldChar w:fldCharType="begin"/>
      </w:r>
      <w:r>
        <w:instrText xml:space="preserve"> PAGEREF _Toc118808252 \h </w:instrText>
      </w:r>
      <w:r>
        <w:fldChar w:fldCharType="separate"/>
      </w:r>
      <w:r>
        <w:t>168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"_Toc118808253" </w:instrText>
      </w:r>
      <w:r>
        <w:fldChar w:fldCharType="separate"/>
      </w:r>
      <w:r>
        <w:rPr>
          <w:rStyle w:val="46"/>
          <w:rFonts w:eastAsia="仿宋"/>
        </w:rPr>
        <w:t>4.4.1</w:t>
      </w:r>
      <w:r>
        <w:rPr>
          <w:rStyle w:val="46"/>
          <w:rFonts w:ascii="宋体" w:hAnsi="宋体"/>
        </w:rPr>
        <w:t xml:space="preserve"> 数据需求清单</w:t>
      </w:r>
      <w:r>
        <w:tab/>
      </w:r>
      <w:r>
        <w:fldChar w:fldCharType="begin"/>
      </w:r>
      <w:r>
        <w:instrText xml:space="preserve"> PAGEREF _Toc118808253 \h </w:instrText>
      </w:r>
      <w:r>
        <w:fldChar w:fldCharType="separate"/>
      </w:r>
      <w:r>
        <w:t>169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"_Toc118808254" </w:instrText>
      </w:r>
      <w:r>
        <w:fldChar w:fldCharType="separate"/>
      </w:r>
      <w:r>
        <w:rPr>
          <w:rStyle w:val="46"/>
          <w:rFonts w:eastAsia="仿宋"/>
        </w:rPr>
        <w:t>4.4.2</w:t>
      </w:r>
      <w:r>
        <w:rPr>
          <w:rStyle w:val="46"/>
          <w:rFonts w:ascii="宋体" w:hAnsi="宋体"/>
        </w:rPr>
        <w:t xml:space="preserve"> 数据库设计</w:t>
      </w:r>
      <w:r>
        <w:tab/>
      </w:r>
      <w:r>
        <w:fldChar w:fldCharType="begin"/>
      </w:r>
      <w:r>
        <w:instrText xml:space="preserve"> PAGEREF _Toc118808254 \h </w:instrText>
      </w:r>
      <w:r>
        <w:fldChar w:fldCharType="separate"/>
      </w:r>
      <w:r>
        <w:t>174</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"_Toc118808255" </w:instrText>
      </w:r>
      <w:r>
        <w:fldChar w:fldCharType="separate"/>
      </w:r>
      <w:r>
        <w:rPr>
          <w:rStyle w:val="46"/>
          <w:rFonts w:eastAsia="仿宋"/>
        </w:rPr>
        <w:t>4.4.3</w:t>
      </w:r>
      <w:r>
        <w:rPr>
          <w:rStyle w:val="46"/>
        </w:rPr>
        <w:t xml:space="preserve"> 数据归集清单</w:t>
      </w:r>
      <w:r>
        <w:tab/>
      </w:r>
      <w:r>
        <w:fldChar w:fldCharType="begin"/>
      </w:r>
      <w:r>
        <w:instrText xml:space="preserve"> PAGEREF _Toc118808255 \h </w:instrText>
      </w:r>
      <w:r>
        <w:fldChar w:fldCharType="separate"/>
      </w:r>
      <w:r>
        <w:t>181</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"_Toc118808256" </w:instrText>
      </w:r>
      <w:r>
        <w:fldChar w:fldCharType="separate"/>
      </w:r>
      <w:r>
        <w:rPr>
          <w:rStyle w:val="46"/>
          <w:rFonts w:eastAsia="仿宋"/>
        </w:rPr>
        <w:t>4.5</w:t>
      </w:r>
      <w:r>
        <w:rPr>
          <w:rStyle w:val="46"/>
        </w:rPr>
        <w:t xml:space="preserve"> 应用系统设计</w:t>
      </w:r>
      <w:r>
        <w:tab/>
      </w:r>
      <w:r>
        <w:fldChar w:fldCharType="begin"/>
      </w:r>
      <w:r>
        <w:instrText xml:space="preserve"> PAGEREF _Toc118808256 \h </w:instrText>
      </w:r>
      <w:r>
        <w:fldChar w:fldCharType="separate"/>
      </w:r>
      <w:r>
        <w:t>188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"_Toc118808257" </w:instrText>
      </w:r>
      <w:r>
        <w:fldChar w:fldCharType="separate"/>
      </w:r>
      <w:r>
        <w:rPr>
          <w:rStyle w:val="46"/>
          <w:rFonts w:eastAsia="仿宋"/>
        </w:rPr>
        <w:t>4.5.1</w:t>
      </w:r>
      <w:r>
        <w:rPr>
          <w:rStyle w:val="46"/>
        </w:rPr>
        <w:t xml:space="preserve"> 应用系统概要设计</w:t>
      </w:r>
      <w:r>
        <w:tab/>
      </w:r>
      <w:r>
        <w:fldChar w:fldCharType="begin"/>
      </w:r>
      <w:r>
        <w:instrText xml:space="preserve"> PAGEREF _Toc118808257 \h </w:instrText>
      </w:r>
      <w:r>
        <w:fldChar w:fldCharType="separate"/>
      </w:r>
      <w:r>
        <w:t>188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"_Toc118808258" </w:instrText>
      </w:r>
      <w:r>
        <w:fldChar w:fldCharType="separate"/>
      </w:r>
      <w:r>
        <w:rPr>
          <w:rStyle w:val="46"/>
          <w:rFonts w:eastAsia="仿宋"/>
        </w:rPr>
        <w:t>4.5.2</w:t>
      </w:r>
      <w:r>
        <w:rPr>
          <w:rStyle w:val="46"/>
        </w:rPr>
        <w:t xml:space="preserve"> 应用系统详细设计</w:t>
      </w:r>
      <w:r>
        <w:tab/>
      </w:r>
      <w:r>
        <w:fldChar w:fldCharType="begin"/>
      </w:r>
      <w:r>
        <w:instrText xml:space="preserve"> PAGEREF _Toc118808258 \h </w:instrText>
      </w:r>
      <w:r>
        <w:fldChar w:fldCharType="separate"/>
      </w:r>
      <w:r>
        <w:t>188</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"_Toc118808259" </w:instrText>
      </w:r>
      <w:r>
        <w:fldChar w:fldCharType="separate"/>
      </w:r>
      <w:r>
        <w:rPr>
          <w:rStyle w:val="46"/>
          <w:rFonts w:eastAsia="仿宋"/>
        </w:rPr>
        <w:t>4.6</w:t>
      </w:r>
      <w:r>
        <w:rPr>
          <w:rStyle w:val="46"/>
          <w:rFonts w:ascii="宋体" w:hAnsi="宋体" w:cs="仿宋"/>
        </w:rPr>
        <w:t xml:space="preserve"> 与其他系统间的接口及数据交互设计</w:t>
      </w:r>
      <w:r>
        <w:tab/>
      </w:r>
      <w:r>
        <w:fldChar w:fldCharType="begin"/>
      </w:r>
      <w:r>
        <w:instrText xml:space="preserve"> PAGEREF _Toc118808259 \h </w:instrText>
      </w:r>
      <w:r>
        <w:fldChar w:fldCharType="separate"/>
      </w:r>
      <w:r>
        <w:t>189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"_Toc118808260" </w:instrText>
      </w:r>
      <w:r>
        <w:fldChar w:fldCharType="separate"/>
      </w:r>
      <w:r>
        <w:rPr>
          <w:rStyle w:val="46"/>
          <w:rFonts w:eastAsia="仿宋"/>
        </w:rPr>
        <w:t>4.6.1</w:t>
      </w:r>
      <w:r>
        <w:rPr>
          <w:rStyle w:val="46"/>
          <w:rFonts w:ascii="宋体" w:hAnsi="宋体"/>
        </w:rPr>
        <w:t xml:space="preserve"> 接口标准制定</w:t>
      </w:r>
      <w:r>
        <w:tab/>
      </w:r>
      <w:r>
        <w:fldChar w:fldCharType="begin"/>
      </w:r>
      <w:r>
        <w:instrText xml:space="preserve"> PAGEREF _Toc118808260 \h </w:instrText>
      </w:r>
      <w:r>
        <w:fldChar w:fldCharType="separate"/>
      </w:r>
      <w:r>
        <w:t>189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"_Toc118808261" </w:instrText>
      </w:r>
      <w:r>
        <w:fldChar w:fldCharType="separate"/>
      </w:r>
      <w:r>
        <w:rPr>
          <w:rStyle w:val="46"/>
          <w:rFonts w:eastAsia="仿宋"/>
        </w:rPr>
        <w:t>4.6.2</w:t>
      </w:r>
      <w:r>
        <w:rPr>
          <w:rStyle w:val="46"/>
          <w:rFonts w:ascii="宋体" w:hAnsi="宋体"/>
        </w:rPr>
        <w:t xml:space="preserve"> 接口格式约定</w:t>
      </w:r>
      <w:r>
        <w:tab/>
      </w:r>
      <w:r>
        <w:fldChar w:fldCharType="begin"/>
      </w:r>
      <w:r>
        <w:instrText xml:space="preserve"> PAGEREF _Toc118808261 \h </w:instrText>
      </w:r>
      <w:r>
        <w:fldChar w:fldCharType="separate"/>
      </w:r>
      <w:r>
        <w:t>189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"_Toc118808262" </w:instrText>
      </w:r>
      <w:r>
        <w:fldChar w:fldCharType="separate"/>
      </w:r>
      <w:r>
        <w:rPr>
          <w:rStyle w:val="46"/>
          <w:rFonts w:eastAsia="仿宋"/>
        </w:rPr>
        <w:t>4.6.3</w:t>
      </w:r>
      <w:r>
        <w:rPr>
          <w:rStyle w:val="46"/>
          <w:rFonts w:ascii="宋体" w:hAnsi="宋体"/>
        </w:rPr>
        <w:t xml:space="preserve"> 交互报文规范</w:t>
      </w:r>
      <w:r>
        <w:tab/>
      </w:r>
      <w:r>
        <w:fldChar w:fldCharType="begin"/>
      </w:r>
      <w:r>
        <w:instrText xml:space="preserve"> PAGEREF _Toc118808262 \h </w:instrText>
      </w:r>
      <w:r>
        <w:fldChar w:fldCharType="separate"/>
      </w:r>
      <w:r>
        <w:t>192</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"_Toc118808263" </w:instrText>
      </w:r>
      <w:r>
        <w:fldChar w:fldCharType="separate"/>
      </w:r>
      <w:r>
        <w:rPr>
          <w:rStyle w:val="46"/>
          <w:rFonts w:eastAsia="仿宋"/>
        </w:rPr>
        <w:t>4.7</w:t>
      </w:r>
      <w:r>
        <w:rPr>
          <w:rStyle w:val="46"/>
          <w:rFonts w:asciiTheme="minorEastAsia" w:hAnsiTheme="minorEastAsia"/>
        </w:rPr>
        <w:t xml:space="preserve"> 网络系统设计</w:t>
      </w:r>
      <w:r>
        <w:tab/>
      </w:r>
      <w:r>
        <w:fldChar w:fldCharType="begin"/>
      </w:r>
      <w:r>
        <w:instrText xml:space="preserve"> PAGEREF _Toc118808263 \h </w:instrText>
      </w:r>
      <w:r>
        <w:fldChar w:fldCharType="separate"/>
      </w:r>
      <w:r>
        <w:t>192</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"_Toc118808264" </w:instrText>
      </w:r>
      <w:r>
        <w:fldChar w:fldCharType="separate"/>
      </w:r>
      <w:r>
        <w:rPr>
          <w:rStyle w:val="46"/>
          <w:rFonts w:eastAsia="仿宋"/>
        </w:rPr>
        <w:t>4.8</w:t>
      </w:r>
      <w:r>
        <w:rPr>
          <w:rStyle w:val="46"/>
          <w:rFonts w:asciiTheme="minorEastAsia" w:hAnsiTheme="minorEastAsia"/>
        </w:rPr>
        <w:t xml:space="preserve"> 安全系统设计</w:t>
      </w:r>
      <w:r>
        <w:tab/>
      </w:r>
      <w:r>
        <w:fldChar w:fldCharType="begin"/>
      </w:r>
      <w:r>
        <w:instrText xml:space="preserve"> PAGEREF _Toc118808264 \h </w:instrText>
      </w:r>
      <w:r>
        <w:fldChar w:fldCharType="separate"/>
      </w:r>
      <w:r>
        <w:t>193</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"_Toc118808265" </w:instrText>
      </w:r>
      <w:r>
        <w:fldChar w:fldCharType="separate"/>
      </w:r>
      <w:r>
        <w:rPr>
          <w:rStyle w:val="46"/>
          <w:rFonts w:eastAsia="仿宋"/>
        </w:rPr>
        <w:t>4.8.1</w:t>
      </w:r>
      <w:r>
        <w:rPr>
          <w:rStyle w:val="46"/>
          <w:rFonts w:asciiTheme="minorEastAsia" w:hAnsiTheme="minorEastAsia"/>
        </w:rPr>
        <w:t xml:space="preserve"> 安全建设目标</w:t>
      </w:r>
      <w:r>
        <w:tab/>
      </w:r>
      <w:r>
        <w:fldChar w:fldCharType="begin"/>
      </w:r>
      <w:r>
        <w:instrText xml:space="preserve"> PAGEREF _Toc118808265 \h </w:instrText>
      </w:r>
      <w:r>
        <w:fldChar w:fldCharType="separate"/>
      </w:r>
      <w:r>
        <w:t>193</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"_Toc118808266" </w:instrText>
      </w:r>
      <w:r>
        <w:fldChar w:fldCharType="separate"/>
      </w:r>
      <w:r>
        <w:rPr>
          <w:rStyle w:val="46"/>
          <w:rFonts w:eastAsia="仿宋"/>
        </w:rPr>
        <w:t>4.8.2</w:t>
      </w:r>
      <w:r>
        <w:rPr>
          <w:rStyle w:val="46"/>
          <w:rFonts w:asciiTheme="minorEastAsia" w:hAnsiTheme="minorEastAsia"/>
        </w:rPr>
        <w:t xml:space="preserve"> 安全建设原则</w:t>
      </w:r>
      <w:r>
        <w:tab/>
      </w:r>
      <w:r>
        <w:fldChar w:fldCharType="begin"/>
      </w:r>
      <w:r>
        <w:instrText xml:space="preserve"> PAGEREF _Toc118808266 \h </w:instrText>
      </w:r>
      <w:r>
        <w:fldChar w:fldCharType="separate"/>
      </w:r>
      <w:r>
        <w:t>195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"_Toc118808267" </w:instrText>
      </w:r>
      <w:r>
        <w:fldChar w:fldCharType="separate"/>
      </w:r>
      <w:r>
        <w:rPr>
          <w:rStyle w:val="46"/>
          <w:rFonts w:eastAsia="仿宋"/>
        </w:rPr>
        <w:t>4.8.3</w:t>
      </w:r>
      <w:r>
        <w:rPr>
          <w:rStyle w:val="46"/>
        </w:rPr>
        <w:t xml:space="preserve"> 安全建设内容</w:t>
      </w:r>
      <w:r>
        <w:tab/>
      </w:r>
      <w:r>
        <w:fldChar w:fldCharType="begin"/>
      </w:r>
      <w:r>
        <w:instrText xml:space="preserve"> PAGEREF _Toc118808267 \h </w:instrText>
      </w:r>
      <w:r>
        <w:fldChar w:fldCharType="separate"/>
      </w:r>
      <w:r>
        <w:t>196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"_Toc118808268" </w:instrText>
      </w:r>
      <w:r>
        <w:fldChar w:fldCharType="separate"/>
      </w:r>
      <w:r>
        <w:rPr>
          <w:rStyle w:val="46"/>
          <w:rFonts w:eastAsia="仿宋"/>
        </w:rPr>
        <w:t>4.8.4</w:t>
      </w:r>
      <w:r>
        <w:rPr>
          <w:rStyle w:val="46"/>
        </w:rPr>
        <w:t xml:space="preserve"> 安全实施设计</w:t>
      </w:r>
      <w:r>
        <w:tab/>
      </w:r>
      <w:r>
        <w:fldChar w:fldCharType="begin"/>
      </w:r>
      <w:r>
        <w:instrText xml:space="preserve"> PAGEREF _Toc118808268 \h </w:instrText>
      </w:r>
      <w:r>
        <w:fldChar w:fldCharType="separate"/>
      </w:r>
      <w:r>
        <w:t>240</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"_Toc118808269" </w:instrText>
      </w:r>
      <w:r>
        <w:fldChar w:fldCharType="separate"/>
      </w:r>
      <w:r>
        <w:rPr>
          <w:rStyle w:val="46"/>
          <w:rFonts w:eastAsia="仿宋"/>
        </w:rPr>
        <w:t>4.9</w:t>
      </w:r>
      <w:r>
        <w:rPr>
          <w:rStyle w:val="46"/>
          <w:rFonts w:asciiTheme="minorEastAsia" w:hAnsiTheme="minorEastAsia"/>
        </w:rPr>
        <w:t xml:space="preserve"> 备份系统设计</w:t>
      </w:r>
      <w:r>
        <w:tab/>
      </w:r>
      <w:r>
        <w:fldChar w:fldCharType="begin"/>
      </w:r>
      <w:r>
        <w:instrText xml:space="preserve"> PAGEREF _Toc118808269 \h </w:instrText>
      </w:r>
      <w:r>
        <w:fldChar w:fldCharType="separate"/>
      </w:r>
      <w:r>
        <w:t>248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"_Toc118808270" </w:instrText>
      </w:r>
      <w:r>
        <w:fldChar w:fldCharType="separate"/>
      </w:r>
      <w:r>
        <w:rPr>
          <w:rStyle w:val="46"/>
          <w:rFonts w:eastAsia="仿宋"/>
        </w:rPr>
        <w:t>4.9.1</w:t>
      </w:r>
      <w:r>
        <w:rPr>
          <w:rStyle w:val="46"/>
          <w:rFonts w:ascii="宋体" w:hAnsi="宋体" w:cs="仿宋"/>
        </w:rPr>
        <w:t xml:space="preserve"> 备份系统设计</w:t>
      </w:r>
      <w:r>
        <w:tab/>
      </w:r>
      <w:r>
        <w:fldChar w:fldCharType="begin"/>
      </w:r>
      <w:r>
        <w:instrText xml:space="preserve"> PAGEREF _Toc118808270 \h </w:instrText>
      </w:r>
      <w:r>
        <w:fldChar w:fldCharType="separate"/>
      </w:r>
      <w:r>
        <w:t>248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"_Toc118808271" </w:instrText>
      </w:r>
      <w:r>
        <w:fldChar w:fldCharType="separate"/>
      </w:r>
      <w:r>
        <w:rPr>
          <w:rStyle w:val="46"/>
          <w:rFonts w:eastAsia="仿宋"/>
        </w:rPr>
        <w:t>4.9.2</w:t>
      </w:r>
      <w:r>
        <w:rPr>
          <w:rStyle w:val="46"/>
          <w:rFonts w:asciiTheme="minorEastAsia" w:hAnsiTheme="minorEastAsia"/>
        </w:rPr>
        <w:t xml:space="preserve"> 运行维护处理</w:t>
      </w:r>
      <w:r>
        <w:tab/>
      </w:r>
      <w:r>
        <w:fldChar w:fldCharType="begin"/>
      </w:r>
      <w:r>
        <w:instrText xml:space="preserve"> PAGEREF _Toc118808271 \h </w:instrText>
      </w:r>
      <w:r>
        <w:fldChar w:fldCharType="separate"/>
      </w:r>
      <w:r>
        <w:t>252</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"_Toc118808272" </w:instrText>
      </w:r>
      <w:r>
        <w:fldChar w:fldCharType="separate"/>
      </w:r>
      <w:r>
        <w:rPr>
          <w:rStyle w:val="46"/>
          <w:rFonts w:eastAsia="仿宋"/>
        </w:rPr>
        <w:t>4.10</w:t>
      </w:r>
      <w:r>
        <w:rPr>
          <w:rStyle w:val="46"/>
          <w:rFonts w:asciiTheme="minorEastAsia" w:hAnsiTheme="minorEastAsia"/>
        </w:rPr>
        <w:t xml:space="preserve"> 运行维护系统设计</w:t>
      </w:r>
      <w:r>
        <w:tab/>
      </w:r>
      <w:r>
        <w:fldChar w:fldCharType="begin"/>
      </w:r>
      <w:r>
        <w:instrText xml:space="preserve"> PAGEREF _Toc118808272 \h </w:instrText>
      </w:r>
      <w:r>
        <w:fldChar w:fldCharType="separate"/>
      </w:r>
      <w:r>
        <w:t>259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"_Toc118808273" </w:instrText>
      </w:r>
      <w:r>
        <w:fldChar w:fldCharType="separate"/>
      </w:r>
      <w:r>
        <w:rPr>
          <w:rStyle w:val="46"/>
          <w:rFonts w:eastAsia="仿宋"/>
        </w:rPr>
        <w:t>4.10.1</w:t>
      </w:r>
      <w:r>
        <w:rPr>
          <w:rStyle w:val="46"/>
          <w:rFonts w:asciiTheme="minorEastAsia" w:hAnsiTheme="minorEastAsia"/>
        </w:rPr>
        <w:t xml:space="preserve"> 萧山“一呼解忧”部署</w:t>
      </w:r>
      <w:r>
        <w:tab/>
      </w:r>
      <w:r>
        <w:fldChar w:fldCharType="begin"/>
      </w:r>
      <w:r>
        <w:instrText xml:space="preserve"> PAGEREF _Toc118808273 \h </w:instrText>
      </w:r>
      <w:r>
        <w:fldChar w:fldCharType="separate"/>
      </w:r>
      <w:r>
        <w:t>259</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"_Toc118808274" </w:instrText>
      </w:r>
      <w:r>
        <w:fldChar w:fldCharType="separate"/>
      </w:r>
      <w:r>
        <w:rPr>
          <w:rStyle w:val="46"/>
          <w:rFonts w:eastAsia="仿宋"/>
        </w:rPr>
        <w:t>4.10.2</w:t>
      </w:r>
      <w:r>
        <w:rPr>
          <w:rStyle w:val="46"/>
          <w:rFonts w:asciiTheme="minorEastAsia" w:hAnsiTheme="minorEastAsia"/>
        </w:rPr>
        <w:t xml:space="preserve"> 萧山“一呼解忧”系统维护</w:t>
      </w:r>
      <w:r>
        <w:tab/>
      </w:r>
      <w:r>
        <w:fldChar w:fldCharType="begin"/>
      </w:r>
      <w:r>
        <w:instrText xml:space="preserve"> PAGEREF _Toc118808274 \h </w:instrText>
      </w:r>
      <w:r>
        <w:fldChar w:fldCharType="separate"/>
      </w:r>
      <w:r>
        <w:t>264</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"_Toc118808275" </w:instrText>
      </w:r>
      <w:r>
        <w:fldChar w:fldCharType="separate"/>
      </w:r>
      <w:r>
        <w:rPr>
          <w:rStyle w:val="46"/>
          <w:rFonts w:eastAsia="仿宋"/>
        </w:rPr>
        <w:t>4.11</w:t>
      </w:r>
      <w:r>
        <w:rPr>
          <w:rStyle w:val="46"/>
          <w:rFonts w:ascii="宋体" w:hAnsi="宋体" w:cs="仿宋"/>
        </w:rPr>
        <w:t xml:space="preserve"> 系统配置及主要软硬件选型原则</w:t>
      </w:r>
      <w:r>
        <w:tab/>
      </w:r>
      <w:r>
        <w:fldChar w:fldCharType="begin"/>
      </w:r>
      <w:r>
        <w:instrText xml:space="preserve"> PAGEREF _Toc118808275 \h </w:instrText>
      </w:r>
      <w:r>
        <w:fldChar w:fldCharType="separate"/>
      </w:r>
      <w:r>
        <w:t>267</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"_Toc118808276" </w:instrText>
      </w:r>
      <w:r>
        <w:fldChar w:fldCharType="separate"/>
      </w:r>
      <w:r>
        <w:rPr>
          <w:rStyle w:val="46"/>
          <w:rFonts w:eastAsia="仿宋"/>
        </w:rPr>
        <w:t>4.11.1</w:t>
      </w:r>
      <w:r>
        <w:rPr>
          <w:rStyle w:val="46"/>
          <w:rFonts w:asciiTheme="minorEastAsia" w:hAnsiTheme="minorEastAsia"/>
        </w:rPr>
        <w:t xml:space="preserve"> 系统配置选型原则</w:t>
      </w:r>
      <w:r>
        <w:tab/>
      </w:r>
      <w:r>
        <w:fldChar w:fldCharType="begin"/>
      </w:r>
      <w:r>
        <w:instrText xml:space="preserve"> PAGEREF _Toc118808276 \h </w:instrText>
      </w:r>
      <w:r>
        <w:fldChar w:fldCharType="separate"/>
      </w:r>
      <w:r>
        <w:t>268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"_Toc118808277" </w:instrText>
      </w:r>
      <w:r>
        <w:fldChar w:fldCharType="separate"/>
      </w:r>
      <w:r>
        <w:rPr>
          <w:rStyle w:val="46"/>
          <w:rFonts w:eastAsia="仿宋"/>
        </w:rPr>
        <w:t>4.11.2</w:t>
      </w:r>
      <w:r>
        <w:rPr>
          <w:rStyle w:val="46"/>
          <w:rFonts w:asciiTheme="minorEastAsia" w:hAnsiTheme="minorEastAsia"/>
        </w:rPr>
        <w:t xml:space="preserve"> 主要软硬件选型原则</w:t>
      </w:r>
      <w:r>
        <w:tab/>
      </w:r>
      <w:r>
        <w:fldChar w:fldCharType="begin"/>
      </w:r>
      <w:r>
        <w:instrText xml:space="preserve"> PAGEREF _Toc118808277 \h </w:instrText>
      </w:r>
      <w:r>
        <w:fldChar w:fldCharType="separate"/>
      </w:r>
      <w:r>
        <w:t>269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"_Toc118808278" </w:instrText>
      </w:r>
      <w:r>
        <w:fldChar w:fldCharType="separate"/>
      </w:r>
      <w:r>
        <w:rPr>
          <w:rStyle w:val="46"/>
          <w:rFonts w:eastAsia="仿宋"/>
        </w:rPr>
        <w:t>4.12</w:t>
      </w:r>
      <w:r>
        <w:rPr>
          <w:rStyle w:val="46"/>
          <w:rFonts w:ascii="宋体" w:hAnsi="宋体"/>
        </w:rPr>
        <w:t xml:space="preserve"> 系统软硬件资源的共享与利用</w:t>
      </w:r>
      <w:r>
        <w:tab/>
      </w:r>
      <w:r>
        <w:fldChar w:fldCharType="begin"/>
      </w:r>
      <w:r>
        <w:instrText xml:space="preserve"> PAGEREF _Toc118808278 \h </w:instrText>
      </w:r>
      <w:r>
        <w:fldChar w:fldCharType="separate"/>
      </w:r>
      <w:r>
        <w:t>270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"_Toc118808279" </w:instrText>
      </w:r>
      <w:r>
        <w:fldChar w:fldCharType="separate"/>
      </w:r>
      <w:r>
        <w:rPr>
          <w:rStyle w:val="46"/>
          <w:rFonts w:eastAsia="仿宋"/>
        </w:rPr>
        <w:t>4.12.1</w:t>
      </w:r>
      <w:r>
        <w:rPr>
          <w:rStyle w:val="46"/>
          <w:rFonts w:asciiTheme="minorEastAsia" w:hAnsiTheme="minorEastAsia"/>
        </w:rPr>
        <w:t xml:space="preserve"> 调用组件清单</w:t>
      </w:r>
      <w:r>
        <w:tab/>
      </w:r>
      <w:r>
        <w:fldChar w:fldCharType="begin"/>
      </w:r>
      <w:r>
        <w:instrText xml:space="preserve"> PAGEREF _Toc118808279 \h </w:instrText>
      </w:r>
      <w:r>
        <w:fldChar w:fldCharType="separate"/>
      </w:r>
      <w:r>
        <w:t>270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"_Toc118808280" </w:instrText>
      </w:r>
      <w:r>
        <w:fldChar w:fldCharType="separate"/>
      </w:r>
      <w:r>
        <w:rPr>
          <w:rStyle w:val="46"/>
          <w:rFonts w:eastAsia="仿宋"/>
        </w:rPr>
        <w:t>4.12.2</w:t>
      </w:r>
      <w:r>
        <w:rPr>
          <w:rStyle w:val="46"/>
          <w:rFonts w:asciiTheme="minorEastAsia" w:hAnsiTheme="minorEastAsia"/>
        </w:rPr>
        <w:t xml:space="preserve"> 产生组件清单</w:t>
      </w:r>
      <w:r>
        <w:tab/>
      </w:r>
      <w:r>
        <w:fldChar w:fldCharType="begin"/>
      </w:r>
      <w:r>
        <w:instrText xml:space="preserve"> PAGEREF _Toc118808280 \h </w:instrText>
      </w:r>
      <w:r>
        <w:fldChar w:fldCharType="separate"/>
      </w:r>
      <w:r>
        <w:t>273</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"_Toc118808281" </w:instrText>
      </w:r>
      <w:r>
        <w:fldChar w:fldCharType="separate"/>
      </w:r>
      <w:r>
        <w:rPr>
          <w:rStyle w:val="46"/>
          <w:rFonts w:eastAsia="仿宋"/>
        </w:rPr>
        <w:t>4.13</w:t>
      </w:r>
      <w:r>
        <w:rPr>
          <w:rStyle w:val="46"/>
          <w:rFonts w:ascii="宋体" w:hAnsi="宋体" w:cs="仿宋"/>
        </w:rPr>
        <w:t xml:space="preserve"> 系统软硬件配置清单</w:t>
      </w:r>
      <w:r>
        <w:tab/>
      </w:r>
      <w:r>
        <w:fldChar w:fldCharType="begin"/>
      </w:r>
      <w:r>
        <w:instrText xml:space="preserve"> PAGEREF _Toc118808281 \h </w:instrText>
      </w:r>
      <w:r>
        <w:fldChar w:fldCharType="separate"/>
      </w:r>
      <w:r>
        <w:t>273</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"_Toc118808282" </w:instrText>
      </w:r>
      <w:r>
        <w:fldChar w:fldCharType="separate"/>
      </w:r>
      <w:r>
        <w:rPr>
          <w:rStyle w:val="46"/>
          <w:rFonts w:asciiTheme="minorEastAsia" w:hAnsiTheme="minorEastAsia"/>
        </w:rPr>
        <w:t>第5章</w:t>
      </w:r>
      <w:r>
        <w:rPr>
          <w:rStyle w:val="46"/>
          <w:rFonts w:ascii="宋体" w:hAnsi="宋体"/>
        </w:rPr>
        <w:t xml:space="preserve"> 项目建设与运行管理</w:t>
      </w:r>
      <w:r>
        <w:tab/>
      </w:r>
      <w:r>
        <w:fldChar w:fldCharType="begin"/>
      </w:r>
      <w:r>
        <w:instrText xml:space="preserve"> PAGEREF _Toc118808282 \h </w:instrText>
      </w:r>
      <w:r>
        <w:fldChar w:fldCharType="separate"/>
      </w:r>
      <w:r>
        <w:t>276</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"_Toc118808283" </w:instrText>
      </w:r>
      <w:r>
        <w:fldChar w:fldCharType="separate"/>
      </w:r>
      <w:r>
        <w:rPr>
          <w:rStyle w:val="46"/>
          <w:rFonts w:eastAsia="仿宋"/>
        </w:rPr>
        <w:t>5.1</w:t>
      </w:r>
      <w:r>
        <w:rPr>
          <w:rStyle w:val="46"/>
          <w:rFonts w:ascii="宋体" w:hAnsi="宋体" w:cs="仿宋"/>
        </w:rPr>
        <w:t xml:space="preserve"> 领导和管理机构</w:t>
      </w:r>
      <w:r>
        <w:tab/>
      </w:r>
      <w:r>
        <w:fldChar w:fldCharType="begin"/>
      </w:r>
      <w:r>
        <w:instrText xml:space="preserve"> PAGEREF _Toc118808283 \h </w:instrText>
      </w:r>
      <w:r>
        <w:fldChar w:fldCharType="separate"/>
      </w:r>
      <w:r>
        <w:t>276</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"_Toc118808284" </w:instrText>
      </w:r>
      <w:r>
        <w:fldChar w:fldCharType="separate"/>
      </w:r>
      <w:r>
        <w:rPr>
          <w:rStyle w:val="46"/>
          <w:rFonts w:eastAsia="仿宋"/>
        </w:rPr>
        <w:t>5.2</w:t>
      </w:r>
      <w:r>
        <w:rPr>
          <w:rStyle w:val="46"/>
          <w:rFonts w:ascii="宋体" w:hAnsi="宋体" w:cs="仿宋"/>
        </w:rPr>
        <w:t xml:space="preserve"> 运行维护机构</w:t>
      </w:r>
      <w:r>
        <w:tab/>
      </w:r>
      <w:r>
        <w:fldChar w:fldCharType="begin"/>
      </w:r>
      <w:r>
        <w:instrText xml:space="preserve"> PAGEREF _Toc118808284 \h </w:instrText>
      </w:r>
      <w:r>
        <w:fldChar w:fldCharType="separate"/>
      </w:r>
      <w:r>
        <w:t>276</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"_Toc118808285" </w:instrText>
      </w:r>
      <w:r>
        <w:fldChar w:fldCharType="separate"/>
      </w:r>
      <w:r>
        <w:rPr>
          <w:rStyle w:val="46"/>
          <w:rFonts w:eastAsia="仿宋"/>
        </w:rPr>
        <w:t>5.3</w:t>
      </w:r>
      <w:r>
        <w:rPr>
          <w:rStyle w:val="46"/>
          <w:rFonts w:ascii="宋体" w:hAnsi="宋体" w:cs="仿宋"/>
        </w:rPr>
        <w:t xml:space="preserve"> 项目进度方案</w:t>
      </w:r>
      <w:r>
        <w:tab/>
      </w:r>
      <w:r>
        <w:fldChar w:fldCharType="begin"/>
      </w:r>
      <w:r>
        <w:instrText xml:space="preserve"> PAGEREF _Toc118808285 \h </w:instrText>
      </w:r>
      <w:r>
        <w:fldChar w:fldCharType="separate"/>
      </w:r>
      <w:r>
        <w:t>276</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"_Toc118808286" </w:instrText>
      </w:r>
      <w:r>
        <w:fldChar w:fldCharType="separate"/>
      </w:r>
      <w:r>
        <w:rPr>
          <w:rStyle w:val="46"/>
          <w:rFonts w:eastAsia="仿宋"/>
        </w:rPr>
        <w:t>5.4</w:t>
      </w:r>
      <w:r>
        <w:rPr>
          <w:rStyle w:val="46"/>
          <w:rFonts w:ascii="宋体" w:hAnsi="宋体" w:cs="仿宋"/>
        </w:rPr>
        <w:t xml:space="preserve"> 相关管理制度</w:t>
      </w:r>
      <w:r>
        <w:tab/>
      </w:r>
      <w:r>
        <w:fldChar w:fldCharType="begin"/>
      </w:r>
      <w:r>
        <w:instrText xml:space="preserve"> PAGEREF _Toc118808286 \h </w:instrText>
      </w:r>
      <w:r>
        <w:fldChar w:fldCharType="separate"/>
      </w:r>
      <w:r>
        <w:t>277</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"_Toc118808287" </w:instrText>
      </w:r>
      <w:r>
        <w:fldChar w:fldCharType="separate"/>
      </w:r>
      <w:r>
        <w:rPr>
          <w:rStyle w:val="46"/>
          <w:rFonts w:asciiTheme="minorEastAsia" w:hAnsiTheme="minorEastAsia"/>
        </w:rPr>
        <w:t>第6章 人员配置与培训</w:t>
      </w:r>
      <w:r>
        <w:tab/>
      </w:r>
      <w:r>
        <w:fldChar w:fldCharType="begin"/>
      </w:r>
      <w:r>
        <w:instrText xml:space="preserve"> PAGEREF _Toc118808287 \h </w:instrText>
      </w:r>
      <w:r>
        <w:fldChar w:fldCharType="separate"/>
      </w:r>
      <w:r>
        <w:t>279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"_Toc118808288" </w:instrText>
      </w:r>
      <w:r>
        <w:fldChar w:fldCharType="separate"/>
      </w:r>
      <w:r>
        <w:rPr>
          <w:rStyle w:val="46"/>
          <w:rFonts w:eastAsia="仿宋"/>
        </w:rPr>
        <w:t>6.1</w:t>
      </w:r>
      <w:r>
        <w:rPr>
          <w:rStyle w:val="46"/>
        </w:rPr>
        <w:t xml:space="preserve"> 人员配置计划</w:t>
      </w:r>
      <w:r>
        <w:tab/>
      </w:r>
      <w:r>
        <w:fldChar w:fldCharType="begin"/>
      </w:r>
      <w:r>
        <w:instrText xml:space="preserve"> PAGEREF _Toc118808288 \h </w:instrText>
      </w:r>
      <w:r>
        <w:fldChar w:fldCharType="separate"/>
      </w:r>
      <w:r>
        <w:t>279</w:t>
      </w:r>
      <w:r>
        <w:fldChar w:fldCharType="end"/>
      </w:r>
      <w:r>
        <w:fldChar w:fldCharType="end"/>
      </w:r>
    </w:p>
    <w:p>
      <w:pPr>
        <w:pStyle w:val="19"/>
        <w:tabs>
          <w:tab w:val="left" w:pos="2100"/>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"_Toc118808289" </w:instrText>
      </w:r>
      <w:r>
        <w:fldChar w:fldCharType="separate"/>
      </w:r>
      <w:r>
        <w:rPr>
          <w:rStyle w:val="46"/>
        </w:rPr>
        <w:t>7.1.1.</w:t>
      </w:r>
      <w:r>
        <w:rPr>
          <w:rFonts w:asciiTheme="minorHAnsi" w:hAnsiTheme="minorHAnsi" w:eastAsiaTheme="minorEastAsia" w:cstheme="minorBidi"/>
          <w:sz w:val="21"/>
          <w:szCs w:val="22"/>
        </w:rPr>
        <w:tab/>
      </w:r>
      <w:r>
        <w:rPr>
          <w:rStyle w:val="46"/>
        </w:rPr>
        <w:t>项目建设领导小组</w:t>
      </w:r>
      <w:r>
        <w:tab/>
      </w:r>
      <w:r>
        <w:fldChar w:fldCharType="begin"/>
      </w:r>
      <w:r>
        <w:instrText xml:space="preserve"> PAGEREF _Toc118808289 \h </w:instrText>
      </w:r>
      <w:r>
        <w:fldChar w:fldCharType="separate"/>
      </w:r>
      <w:r>
        <w:t>279</w:t>
      </w:r>
      <w:r>
        <w:fldChar w:fldCharType="end"/>
      </w:r>
      <w:r>
        <w:fldChar w:fldCharType="end"/>
      </w:r>
    </w:p>
    <w:p>
      <w:pPr>
        <w:pStyle w:val="19"/>
        <w:tabs>
          <w:tab w:val="left" w:pos="2100"/>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"_Toc118808290" </w:instrText>
      </w:r>
      <w:r>
        <w:fldChar w:fldCharType="separate"/>
      </w:r>
      <w:r>
        <w:rPr>
          <w:rStyle w:val="46"/>
        </w:rPr>
        <w:t>7.1.2.</w:t>
      </w:r>
      <w:r>
        <w:rPr>
          <w:rFonts w:asciiTheme="minorHAnsi" w:hAnsiTheme="minorHAnsi" w:eastAsiaTheme="minorEastAsia" w:cstheme="minorBidi"/>
          <w:sz w:val="21"/>
          <w:szCs w:val="22"/>
        </w:rPr>
        <w:tab/>
      </w:r>
      <w:r>
        <w:rPr>
          <w:rStyle w:val="46"/>
        </w:rPr>
        <w:t>项目工作办公室</w:t>
      </w:r>
      <w:r>
        <w:tab/>
      </w:r>
      <w:r>
        <w:fldChar w:fldCharType="begin"/>
      </w:r>
      <w:r>
        <w:instrText xml:space="preserve"> PAGEREF _Toc118808290 \h </w:instrText>
      </w:r>
      <w:r>
        <w:fldChar w:fldCharType="separate"/>
      </w:r>
      <w:r>
        <w:t>279</w:t>
      </w:r>
      <w:r>
        <w:fldChar w:fldCharType="end"/>
      </w:r>
      <w:r>
        <w:fldChar w:fldCharType="end"/>
      </w:r>
    </w:p>
    <w:p>
      <w:pPr>
        <w:pStyle w:val="19"/>
        <w:tabs>
          <w:tab w:val="left" w:pos="2100"/>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"_Toc118808291" </w:instrText>
      </w:r>
      <w:r>
        <w:fldChar w:fldCharType="separate"/>
      </w:r>
      <w:r>
        <w:rPr>
          <w:rStyle w:val="46"/>
        </w:rPr>
        <w:t>7.1.3.</w:t>
      </w:r>
      <w:r>
        <w:rPr>
          <w:rFonts w:asciiTheme="minorHAnsi" w:hAnsiTheme="minorHAnsi" w:eastAsiaTheme="minorEastAsia" w:cstheme="minorBidi"/>
          <w:sz w:val="21"/>
          <w:szCs w:val="22"/>
        </w:rPr>
        <w:tab/>
      </w:r>
      <w:r>
        <w:rPr>
          <w:rStyle w:val="46"/>
        </w:rPr>
        <w:t>专家委员会</w:t>
      </w:r>
      <w:r>
        <w:tab/>
      </w:r>
      <w:r>
        <w:fldChar w:fldCharType="begin"/>
      </w:r>
      <w:r>
        <w:instrText xml:space="preserve"> PAGEREF _Toc118808291 \h </w:instrText>
      </w:r>
      <w:r>
        <w:fldChar w:fldCharType="separate"/>
      </w:r>
      <w:r>
        <w:t>279</w:t>
      </w:r>
      <w:r>
        <w:fldChar w:fldCharType="end"/>
      </w:r>
      <w:r>
        <w:fldChar w:fldCharType="end"/>
      </w:r>
    </w:p>
    <w:p>
      <w:pPr>
        <w:pStyle w:val="19"/>
        <w:tabs>
          <w:tab w:val="left" w:pos="2100"/>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"_Toc118808292" </w:instrText>
      </w:r>
      <w:r>
        <w:fldChar w:fldCharType="separate"/>
      </w:r>
      <w:r>
        <w:rPr>
          <w:rStyle w:val="46"/>
        </w:rPr>
        <w:t>7.1.4.</w:t>
      </w:r>
      <w:r>
        <w:rPr>
          <w:rFonts w:asciiTheme="minorHAnsi" w:hAnsiTheme="minorHAnsi" w:eastAsiaTheme="minorEastAsia" w:cstheme="minorBidi"/>
          <w:sz w:val="21"/>
          <w:szCs w:val="22"/>
        </w:rPr>
        <w:tab/>
      </w:r>
      <w:r>
        <w:rPr>
          <w:rStyle w:val="46"/>
        </w:rPr>
        <w:t>系统实施组</w:t>
      </w:r>
      <w:r>
        <w:tab/>
      </w:r>
      <w:r>
        <w:fldChar w:fldCharType="begin"/>
      </w:r>
      <w:r>
        <w:instrText xml:space="preserve"> PAGEREF _Toc118808292 \h </w:instrText>
      </w:r>
      <w:r>
        <w:fldChar w:fldCharType="separate"/>
      </w:r>
      <w:r>
        <w:t>279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"_Toc118808293" </w:instrText>
      </w:r>
      <w:r>
        <w:fldChar w:fldCharType="separate"/>
      </w:r>
      <w:r>
        <w:rPr>
          <w:rStyle w:val="46"/>
          <w:rFonts w:eastAsia="仿宋"/>
        </w:rPr>
        <w:t>6.2</w:t>
      </w:r>
      <w:r>
        <w:rPr>
          <w:rStyle w:val="46"/>
          <w:rFonts w:asciiTheme="minorEastAsia" w:hAnsiTheme="minorEastAsia"/>
        </w:rPr>
        <w:t xml:space="preserve"> 人员培训方案</w:t>
      </w:r>
      <w:r>
        <w:tab/>
      </w:r>
      <w:r>
        <w:fldChar w:fldCharType="begin"/>
      </w:r>
      <w:r>
        <w:instrText xml:space="preserve"> PAGEREF _Toc118808293 \h </w:instrText>
      </w:r>
      <w:r>
        <w:fldChar w:fldCharType="separate"/>
      </w:r>
      <w:r>
        <w:t>280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"_Toc118808294" </w:instrText>
      </w:r>
      <w:r>
        <w:fldChar w:fldCharType="separate"/>
      </w:r>
      <w:r>
        <w:rPr>
          <w:rStyle w:val="46"/>
          <w:rFonts w:eastAsia="仿宋"/>
        </w:rPr>
        <w:t>6.2.1</w:t>
      </w:r>
      <w:r>
        <w:rPr>
          <w:rStyle w:val="46"/>
          <w:rFonts w:asciiTheme="minorEastAsia" w:hAnsiTheme="minorEastAsia"/>
        </w:rPr>
        <w:t xml:space="preserve"> 培训目的</w:t>
      </w:r>
      <w:r>
        <w:tab/>
      </w:r>
      <w:r>
        <w:fldChar w:fldCharType="begin"/>
      </w:r>
      <w:r>
        <w:instrText xml:space="preserve"> PAGEREF _Toc118808294 \h </w:instrText>
      </w:r>
      <w:r>
        <w:fldChar w:fldCharType="separate"/>
      </w:r>
      <w:r>
        <w:t>280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"_Toc118808295" </w:instrText>
      </w:r>
      <w:r>
        <w:fldChar w:fldCharType="separate"/>
      </w:r>
      <w:r>
        <w:rPr>
          <w:rStyle w:val="46"/>
          <w:rFonts w:eastAsia="仿宋"/>
        </w:rPr>
        <w:t>6.2.2</w:t>
      </w:r>
      <w:r>
        <w:rPr>
          <w:rStyle w:val="46"/>
          <w:rFonts w:asciiTheme="minorEastAsia" w:hAnsiTheme="minorEastAsia"/>
        </w:rPr>
        <w:t xml:space="preserve"> 培训对象和培训内容</w:t>
      </w:r>
      <w:r>
        <w:tab/>
      </w:r>
      <w:r>
        <w:fldChar w:fldCharType="begin"/>
      </w:r>
      <w:r>
        <w:instrText xml:space="preserve"> PAGEREF _Toc118808295 \h </w:instrText>
      </w:r>
      <w:r>
        <w:fldChar w:fldCharType="separate"/>
      </w:r>
      <w:r>
        <w:t>280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"_Toc118808296" </w:instrText>
      </w:r>
      <w:r>
        <w:fldChar w:fldCharType="separate"/>
      </w:r>
      <w:r>
        <w:rPr>
          <w:rStyle w:val="46"/>
          <w:rFonts w:eastAsia="仿宋"/>
        </w:rPr>
        <w:t>6.2.3</w:t>
      </w:r>
      <w:r>
        <w:rPr>
          <w:rStyle w:val="46"/>
          <w:rFonts w:asciiTheme="minorEastAsia" w:hAnsiTheme="minorEastAsia"/>
        </w:rPr>
        <w:t xml:space="preserve"> 培训方式</w:t>
      </w:r>
      <w:r>
        <w:tab/>
      </w:r>
      <w:r>
        <w:fldChar w:fldCharType="begin"/>
      </w:r>
      <w:r>
        <w:instrText xml:space="preserve"> PAGEREF _Toc118808296 \h </w:instrText>
      </w:r>
      <w:r>
        <w:fldChar w:fldCharType="separate"/>
      </w:r>
      <w:r>
        <w:t>280</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"_Toc118808297" </w:instrText>
      </w:r>
      <w:r>
        <w:fldChar w:fldCharType="separate"/>
      </w:r>
      <w:r>
        <w:rPr>
          <w:rStyle w:val="46"/>
          <w:rFonts w:asciiTheme="minorEastAsia" w:hAnsiTheme="minorEastAsia"/>
        </w:rPr>
        <w:t>第7章</w:t>
      </w:r>
      <w:r>
        <w:rPr>
          <w:rStyle w:val="46"/>
          <w:rFonts w:ascii="宋体" w:hAnsi="宋体"/>
        </w:rPr>
        <w:t xml:space="preserve"> 风险及效益分析</w:t>
      </w:r>
      <w:r>
        <w:tab/>
      </w:r>
      <w:r>
        <w:fldChar w:fldCharType="begin"/>
      </w:r>
      <w:r>
        <w:instrText xml:space="preserve"> PAGEREF _Toc118808297 \h </w:instrText>
      </w:r>
      <w:r>
        <w:fldChar w:fldCharType="separate"/>
      </w:r>
      <w:r>
        <w:t>281</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"_Toc118808298" </w:instrText>
      </w:r>
      <w:r>
        <w:fldChar w:fldCharType="separate"/>
      </w:r>
      <w:r>
        <w:rPr>
          <w:rStyle w:val="46"/>
          <w:rFonts w:eastAsia="仿宋"/>
        </w:rPr>
        <w:t>7.1</w:t>
      </w:r>
      <w:r>
        <w:rPr>
          <w:rStyle w:val="46"/>
          <w:rFonts w:ascii="宋体" w:hAnsi="宋体" w:cs="仿宋"/>
        </w:rPr>
        <w:t xml:space="preserve"> 风险分析及对策</w:t>
      </w:r>
      <w:r>
        <w:tab/>
      </w:r>
      <w:r>
        <w:fldChar w:fldCharType="begin"/>
      </w:r>
      <w:r>
        <w:instrText xml:space="preserve"> PAGEREF _Toc118808298 \h </w:instrText>
      </w:r>
      <w:r>
        <w:fldChar w:fldCharType="separate"/>
      </w:r>
      <w:r>
        <w:t>281</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"_Toc118808299" </w:instrText>
      </w:r>
      <w:r>
        <w:fldChar w:fldCharType="separate"/>
      </w:r>
      <w:r>
        <w:rPr>
          <w:rStyle w:val="46"/>
          <w:rFonts w:eastAsia="仿宋"/>
        </w:rPr>
        <w:t>7.1.1</w:t>
      </w:r>
      <w:r>
        <w:rPr>
          <w:rStyle w:val="46"/>
          <w:rFonts w:ascii="宋体" w:hAnsi="宋体" w:cs="仿宋"/>
        </w:rPr>
        <w:t xml:space="preserve"> 风险识别和分析</w:t>
      </w:r>
      <w:r>
        <w:tab/>
      </w:r>
      <w:r>
        <w:fldChar w:fldCharType="begin"/>
      </w:r>
      <w:r>
        <w:instrText xml:space="preserve"> PAGEREF _Toc118808299 \h </w:instrText>
      </w:r>
      <w:r>
        <w:fldChar w:fldCharType="separate"/>
      </w:r>
      <w:r>
        <w:t>281</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"_Toc118808300" </w:instrText>
      </w:r>
      <w:r>
        <w:fldChar w:fldCharType="separate"/>
      </w:r>
      <w:r>
        <w:rPr>
          <w:rStyle w:val="46"/>
          <w:rFonts w:eastAsia="仿宋"/>
        </w:rPr>
        <w:t>7.2</w:t>
      </w:r>
      <w:r>
        <w:rPr>
          <w:rStyle w:val="46"/>
          <w:rFonts w:ascii="宋体" w:hAnsi="宋体" w:cs="仿宋"/>
        </w:rPr>
        <w:t xml:space="preserve"> 经济和社会效益分析</w:t>
      </w:r>
      <w:r>
        <w:tab/>
      </w:r>
      <w:r>
        <w:fldChar w:fldCharType="begin"/>
      </w:r>
      <w:r>
        <w:instrText xml:space="preserve"> PAGEREF _Toc118808300 \h </w:instrText>
      </w:r>
      <w:r>
        <w:fldChar w:fldCharType="separate"/>
      </w:r>
      <w:r>
        <w:t>282</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"_Toc118808301" </w:instrText>
      </w:r>
      <w:r>
        <w:fldChar w:fldCharType="separate"/>
      </w:r>
      <w:r>
        <w:rPr>
          <w:rStyle w:val="46"/>
          <w:rFonts w:eastAsia="仿宋"/>
        </w:rPr>
        <w:t>7.2.1</w:t>
      </w:r>
      <w:r>
        <w:rPr>
          <w:rStyle w:val="46"/>
          <w:rFonts w:ascii="宋体" w:hAnsi="宋体" w:cs="仿宋"/>
        </w:rPr>
        <w:t xml:space="preserve"> 经济效益分析</w:t>
      </w:r>
      <w:r>
        <w:tab/>
      </w:r>
      <w:r>
        <w:fldChar w:fldCharType="begin"/>
      </w:r>
      <w:r>
        <w:instrText xml:space="preserve"> PAGEREF _Toc118808301 \h </w:instrText>
      </w:r>
      <w:r>
        <w:fldChar w:fldCharType="separate"/>
      </w:r>
      <w:r>
        <w:t>282</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"_Toc118808302" </w:instrText>
      </w:r>
      <w:r>
        <w:fldChar w:fldCharType="separate"/>
      </w:r>
      <w:r>
        <w:rPr>
          <w:rStyle w:val="46"/>
          <w:rFonts w:eastAsia="仿宋"/>
        </w:rPr>
        <w:t>7.2.2</w:t>
      </w:r>
      <w:r>
        <w:rPr>
          <w:rStyle w:val="46"/>
          <w:rFonts w:ascii="宋体" w:hAnsi="宋体" w:cs="仿宋"/>
        </w:rPr>
        <w:t xml:space="preserve"> 社会效益分析</w:t>
      </w:r>
      <w:r>
        <w:tab/>
      </w:r>
      <w:r>
        <w:fldChar w:fldCharType="begin"/>
      </w:r>
      <w:r>
        <w:instrText xml:space="preserve"> PAGEREF _Toc118808302 \h </w:instrText>
      </w:r>
      <w:r>
        <w:fldChar w:fldCharType="separate"/>
      </w:r>
      <w:r>
        <w:t>282</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"_Toc118808303" </w:instrText>
      </w:r>
      <w:r>
        <w:fldChar w:fldCharType="separate"/>
      </w:r>
      <w:r>
        <w:rPr>
          <w:rStyle w:val="46"/>
          <w:rFonts w:asciiTheme="minorEastAsia" w:hAnsiTheme="minorEastAsia"/>
        </w:rPr>
        <w:t>第8章 项目运行维护方案</w:t>
      </w:r>
      <w:r>
        <w:tab/>
      </w:r>
      <w:r>
        <w:fldChar w:fldCharType="begin"/>
      </w:r>
      <w:r>
        <w:instrText xml:space="preserve"> PAGEREF _Toc118808303 \h </w:instrText>
      </w:r>
      <w:r>
        <w:fldChar w:fldCharType="separate"/>
      </w:r>
      <w:r>
        <w:t>284</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"_Toc118808304" </w:instrText>
      </w:r>
      <w:r>
        <w:fldChar w:fldCharType="separate"/>
      </w:r>
      <w:r>
        <w:rPr>
          <w:rStyle w:val="46"/>
          <w:rFonts w:eastAsia="仿宋"/>
        </w:rPr>
        <w:t>8.1</w:t>
      </w:r>
      <w:r>
        <w:rPr>
          <w:rStyle w:val="46"/>
          <w:rFonts w:asciiTheme="minorEastAsia" w:hAnsiTheme="minorEastAsia"/>
        </w:rPr>
        <w:t xml:space="preserve"> 运行管理单位</w:t>
      </w:r>
      <w:r>
        <w:tab/>
      </w:r>
      <w:r>
        <w:fldChar w:fldCharType="begin"/>
      </w:r>
      <w:r>
        <w:instrText xml:space="preserve"> PAGEREF _Toc118808304 \h </w:instrText>
      </w:r>
      <w:r>
        <w:fldChar w:fldCharType="separate"/>
      </w:r>
      <w:r>
        <w:t>284</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"_Toc118808305" </w:instrText>
      </w:r>
      <w:r>
        <w:fldChar w:fldCharType="separate"/>
      </w:r>
      <w:r>
        <w:rPr>
          <w:rStyle w:val="46"/>
          <w:rFonts w:eastAsia="仿宋"/>
        </w:rPr>
        <w:t>8.2</w:t>
      </w:r>
      <w:r>
        <w:rPr>
          <w:rStyle w:val="46"/>
          <w:rFonts w:asciiTheme="minorEastAsia" w:hAnsiTheme="minorEastAsia"/>
        </w:rPr>
        <w:t xml:space="preserve"> 运维管理规范</w:t>
      </w:r>
      <w:r>
        <w:tab/>
      </w:r>
      <w:r>
        <w:fldChar w:fldCharType="begin"/>
      </w:r>
      <w:r>
        <w:instrText xml:space="preserve"> PAGEREF _Toc118808305 \h </w:instrText>
      </w:r>
      <w:r>
        <w:fldChar w:fldCharType="separate"/>
      </w:r>
      <w:r>
        <w:t>284</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"_Toc118808306" </w:instrText>
      </w:r>
      <w:r>
        <w:fldChar w:fldCharType="separate"/>
      </w:r>
      <w:r>
        <w:rPr>
          <w:rStyle w:val="46"/>
          <w:rFonts w:eastAsia="仿宋"/>
        </w:rPr>
        <w:t>8.3</w:t>
      </w:r>
      <w:r>
        <w:rPr>
          <w:rStyle w:val="46"/>
          <w:rFonts w:asciiTheme="minorEastAsia" w:hAnsiTheme="minorEastAsia"/>
        </w:rPr>
        <w:t xml:space="preserve"> 运维服务内容</w:t>
      </w:r>
      <w:r>
        <w:tab/>
      </w:r>
      <w:r>
        <w:fldChar w:fldCharType="begin"/>
      </w:r>
      <w:r>
        <w:instrText xml:space="preserve"> PAGEREF _Toc118808306 \h </w:instrText>
      </w:r>
      <w:r>
        <w:fldChar w:fldCharType="separate"/>
      </w:r>
      <w:r>
        <w:t>284</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"_Toc118808307" </w:instrText>
      </w:r>
      <w:r>
        <w:fldChar w:fldCharType="separate"/>
      </w:r>
      <w:r>
        <w:rPr>
          <w:rStyle w:val="46"/>
          <w:rFonts w:eastAsia="仿宋"/>
        </w:rPr>
        <w:t>8.3.1</w:t>
      </w:r>
      <w:r>
        <w:rPr>
          <w:rStyle w:val="46"/>
          <w:rFonts w:asciiTheme="minorEastAsia" w:hAnsiTheme="minorEastAsia"/>
        </w:rPr>
        <w:t xml:space="preserve"> 提供相关资源与文档</w:t>
      </w:r>
      <w:r>
        <w:tab/>
      </w:r>
      <w:r>
        <w:fldChar w:fldCharType="begin"/>
      </w:r>
      <w:r>
        <w:instrText xml:space="preserve"> PAGEREF _Toc118808307 \h </w:instrText>
      </w:r>
      <w:r>
        <w:fldChar w:fldCharType="separate"/>
      </w:r>
      <w:r>
        <w:t>284</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"_Toc118808308" </w:instrText>
      </w:r>
      <w:r>
        <w:fldChar w:fldCharType="separate"/>
      </w:r>
      <w:r>
        <w:rPr>
          <w:rStyle w:val="46"/>
          <w:rFonts w:eastAsia="仿宋"/>
        </w:rPr>
        <w:t>8.3.2</w:t>
      </w:r>
      <w:r>
        <w:rPr>
          <w:rStyle w:val="46"/>
          <w:rFonts w:asciiTheme="minorEastAsia" w:hAnsiTheme="minorEastAsia"/>
        </w:rPr>
        <w:t xml:space="preserve"> 提供系统运行情况的跟踪服务</w:t>
      </w:r>
      <w:r>
        <w:tab/>
      </w:r>
      <w:r>
        <w:fldChar w:fldCharType="begin"/>
      </w:r>
      <w:r>
        <w:instrText xml:space="preserve"> PAGEREF _Toc118808308 \h </w:instrText>
      </w:r>
      <w:r>
        <w:fldChar w:fldCharType="separate"/>
      </w:r>
      <w:r>
        <w:t>284</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"_Toc118808309" </w:instrText>
      </w:r>
      <w:r>
        <w:fldChar w:fldCharType="separate"/>
      </w:r>
      <w:r>
        <w:rPr>
          <w:rStyle w:val="46"/>
          <w:rFonts w:eastAsia="仿宋"/>
        </w:rPr>
        <w:t>8.3.3</w:t>
      </w:r>
      <w:r>
        <w:rPr>
          <w:rStyle w:val="46"/>
          <w:rFonts w:asciiTheme="minorEastAsia" w:hAnsiTheme="minorEastAsia"/>
        </w:rPr>
        <w:t xml:space="preserve"> 现场故障维护服务</w:t>
      </w:r>
      <w:r>
        <w:tab/>
      </w:r>
      <w:r>
        <w:fldChar w:fldCharType="begin"/>
      </w:r>
      <w:r>
        <w:instrText xml:space="preserve"> PAGEREF _Toc118808309 \h </w:instrText>
      </w:r>
      <w:r>
        <w:fldChar w:fldCharType="separate"/>
      </w:r>
      <w:r>
        <w:t>285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"_Toc118808310" </w:instrText>
      </w:r>
      <w:r>
        <w:fldChar w:fldCharType="separate"/>
      </w:r>
      <w:r>
        <w:rPr>
          <w:rStyle w:val="46"/>
          <w:rFonts w:eastAsia="仿宋"/>
        </w:rPr>
        <w:t>8.3.4</w:t>
      </w:r>
      <w:r>
        <w:rPr>
          <w:rStyle w:val="46"/>
          <w:rFonts w:asciiTheme="minorEastAsia" w:hAnsiTheme="minorEastAsia"/>
        </w:rPr>
        <w:t xml:space="preserve"> 系统管理培训及维护培训</w:t>
      </w:r>
      <w:r>
        <w:tab/>
      </w:r>
      <w:r>
        <w:fldChar w:fldCharType="begin"/>
      </w:r>
      <w:r>
        <w:instrText xml:space="preserve"> PAGEREF _Toc118808310 \h </w:instrText>
      </w:r>
      <w:r>
        <w:fldChar w:fldCharType="separate"/>
      </w:r>
      <w:r>
        <w:t>285</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"_Toc118808311" </w:instrText>
      </w:r>
      <w:r>
        <w:fldChar w:fldCharType="separate"/>
      </w:r>
      <w:r>
        <w:rPr>
          <w:rStyle w:val="46"/>
          <w:rFonts w:eastAsia="仿宋"/>
        </w:rPr>
        <w:t>8.3.5</w:t>
      </w:r>
      <w:r>
        <w:rPr>
          <w:rStyle w:val="46"/>
          <w:rFonts w:asciiTheme="minorEastAsia" w:hAnsiTheme="minorEastAsia"/>
        </w:rPr>
        <w:t xml:space="preserve"> 技术指导咨询</w:t>
      </w:r>
      <w:r>
        <w:tab/>
      </w:r>
      <w:r>
        <w:fldChar w:fldCharType="begin"/>
      </w:r>
      <w:r>
        <w:instrText xml:space="preserve"> PAGEREF _Toc118808311 \h </w:instrText>
      </w:r>
      <w:r>
        <w:fldChar w:fldCharType="separate"/>
      </w:r>
      <w:r>
        <w:t>286</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"_Toc118808312" </w:instrText>
      </w:r>
      <w:r>
        <w:fldChar w:fldCharType="separate"/>
      </w:r>
      <w:r>
        <w:rPr>
          <w:rStyle w:val="46"/>
          <w:rFonts w:eastAsia="仿宋"/>
        </w:rPr>
        <w:t>8.4</w:t>
      </w:r>
      <w:r>
        <w:rPr>
          <w:rStyle w:val="46"/>
          <w:rFonts w:asciiTheme="minorEastAsia" w:hAnsiTheme="minorEastAsia"/>
        </w:rPr>
        <w:t xml:space="preserve"> 系统运行维护管理</w:t>
      </w:r>
      <w:r>
        <w:tab/>
      </w:r>
      <w:r>
        <w:fldChar w:fldCharType="begin"/>
      </w:r>
      <w:r>
        <w:instrText xml:space="preserve"> PAGEREF _Toc118808312 \h </w:instrText>
      </w:r>
      <w:r>
        <w:fldChar w:fldCharType="separate"/>
      </w:r>
      <w:r>
        <w:t>286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"_Toc118808313" </w:instrText>
      </w:r>
      <w:r>
        <w:fldChar w:fldCharType="separate"/>
      </w:r>
      <w:r>
        <w:rPr>
          <w:rStyle w:val="46"/>
          <w:rFonts w:eastAsia="仿宋"/>
        </w:rPr>
        <w:t>8.4.1</w:t>
      </w:r>
      <w:r>
        <w:rPr>
          <w:rStyle w:val="46"/>
          <w:rFonts w:asciiTheme="minorEastAsia" w:hAnsiTheme="minorEastAsia"/>
        </w:rPr>
        <w:t xml:space="preserve"> 建立技术知识库</w:t>
      </w:r>
      <w:r>
        <w:tab/>
      </w:r>
      <w:r>
        <w:fldChar w:fldCharType="begin"/>
      </w:r>
      <w:r>
        <w:instrText xml:space="preserve"> PAGEREF _Toc118808313 \h </w:instrText>
      </w:r>
      <w:r>
        <w:fldChar w:fldCharType="separate"/>
      </w:r>
      <w:r>
        <w:t>286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"_Toc118808314" </w:instrText>
      </w:r>
      <w:r>
        <w:fldChar w:fldCharType="separate"/>
      </w:r>
      <w:r>
        <w:rPr>
          <w:rStyle w:val="46"/>
          <w:rFonts w:eastAsia="仿宋"/>
        </w:rPr>
        <w:t>8.4.2</w:t>
      </w:r>
      <w:r>
        <w:rPr>
          <w:rStyle w:val="46"/>
          <w:rFonts w:asciiTheme="minorEastAsia" w:hAnsiTheme="minorEastAsia"/>
        </w:rPr>
        <w:t xml:space="preserve"> 故障报告预防</w:t>
      </w:r>
      <w:r>
        <w:tab/>
      </w:r>
      <w:r>
        <w:fldChar w:fldCharType="begin"/>
      </w:r>
      <w:r>
        <w:instrText xml:space="preserve"> PAGEREF _Toc118808314 \h </w:instrText>
      </w:r>
      <w:r>
        <w:fldChar w:fldCharType="separate"/>
      </w:r>
      <w:r>
        <w:t>286</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"_Toc118808315" </w:instrText>
      </w:r>
      <w:r>
        <w:fldChar w:fldCharType="separate"/>
      </w:r>
      <w:r>
        <w:rPr>
          <w:rStyle w:val="46"/>
          <w:rFonts w:eastAsia="仿宋"/>
        </w:rPr>
        <w:t>8.4.3</w:t>
      </w:r>
      <w:r>
        <w:rPr>
          <w:rStyle w:val="46"/>
          <w:rFonts w:asciiTheme="minorEastAsia" w:hAnsiTheme="minorEastAsia"/>
        </w:rPr>
        <w:t xml:space="preserve"> 系统安装调试</w:t>
      </w:r>
      <w:r>
        <w:tab/>
      </w:r>
      <w:r>
        <w:fldChar w:fldCharType="begin"/>
      </w:r>
      <w:r>
        <w:instrText xml:space="preserve"> PAGEREF _Toc118808315 \h </w:instrText>
      </w:r>
      <w:r>
        <w:fldChar w:fldCharType="separate"/>
      </w:r>
      <w:r>
        <w:t>288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"_Toc118808316" </w:instrText>
      </w:r>
      <w:r>
        <w:fldChar w:fldCharType="separate"/>
      </w:r>
      <w:r>
        <w:rPr>
          <w:rStyle w:val="46"/>
          <w:rFonts w:eastAsia="仿宋"/>
        </w:rPr>
        <w:t>8.4.4</w:t>
      </w:r>
      <w:r>
        <w:rPr>
          <w:rStyle w:val="46"/>
          <w:rFonts w:asciiTheme="minorEastAsia" w:hAnsiTheme="minorEastAsia"/>
        </w:rPr>
        <w:t xml:space="preserve"> 技术信息交流</w:t>
      </w:r>
      <w:r>
        <w:tab/>
      </w:r>
      <w:r>
        <w:fldChar w:fldCharType="begin"/>
      </w:r>
      <w:r>
        <w:instrText xml:space="preserve"> PAGEREF _Toc118808316 \h </w:instrText>
      </w:r>
      <w:r>
        <w:fldChar w:fldCharType="separate"/>
      </w:r>
      <w:r>
        <w:t>288</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"_Toc118808317" </w:instrText>
      </w:r>
      <w:r>
        <w:fldChar w:fldCharType="separate"/>
      </w:r>
      <w:r>
        <w:rPr>
          <w:rStyle w:val="46"/>
          <w:rFonts w:eastAsia="仿宋"/>
        </w:rPr>
        <w:t>8.4.5</w:t>
      </w:r>
      <w:r>
        <w:rPr>
          <w:rStyle w:val="46"/>
          <w:rFonts w:asciiTheme="minorEastAsia" w:hAnsiTheme="minorEastAsia"/>
        </w:rPr>
        <w:t xml:space="preserve"> FAQ解决方法</w:t>
      </w:r>
      <w:r>
        <w:tab/>
      </w:r>
      <w:r>
        <w:fldChar w:fldCharType="begin"/>
      </w:r>
      <w:r>
        <w:instrText xml:space="preserve"> PAGEREF _Toc118808317 \h </w:instrText>
      </w:r>
      <w:r>
        <w:fldChar w:fldCharType="separate"/>
      </w:r>
      <w:r>
        <w:t>289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"_Toc118808318" </w:instrText>
      </w:r>
      <w:r>
        <w:fldChar w:fldCharType="separate"/>
      </w:r>
      <w:r>
        <w:rPr>
          <w:rStyle w:val="46"/>
          <w:rFonts w:eastAsia="仿宋"/>
        </w:rPr>
        <w:t>8.5</w:t>
      </w:r>
      <w:r>
        <w:rPr>
          <w:rStyle w:val="46"/>
          <w:rFonts w:asciiTheme="minorEastAsia" w:hAnsiTheme="minorEastAsia"/>
        </w:rPr>
        <w:t xml:space="preserve"> 运维服务提供方式</w:t>
      </w:r>
      <w:r>
        <w:tab/>
      </w:r>
      <w:r>
        <w:fldChar w:fldCharType="begin"/>
      </w:r>
      <w:r>
        <w:instrText xml:space="preserve"> PAGEREF _Toc118808318 \h </w:instrText>
      </w:r>
      <w:r>
        <w:fldChar w:fldCharType="separate"/>
      </w:r>
      <w:r>
        <w:t>289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"_Toc118808319" </w:instrText>
      </w:r>
      <w:r>
        <w:fldChar w:fldCharType="separate"/>
      </w:r>
      <w:r>
        <w:rPr>
          <w:rStyle w:val="46"/>
          <w:rFonts w:eastAsia="仿宋"/>
        </w:rPr>
        <w:t>8.6</w:t>
      </w:r>
      <w:r>
        <w:rPr>
          <w:rStyle w:val="46"/>
          <w:rFonts w:asciiTheme="minorEastAsia" w:hAnsiTheme="minorEastAsia"/>
        </w:rPr>
        <w:t xml:space="preserve"> 应急措施</w:t>
      </w:r>
      <w:r>
        <w:tab/>
      </w:r>
      <w:r>
        <w:fldChar w:fldCharType="begin"/>
      </w:r>
      <w:r>
        <w:instrText xml:space="preserve"> PAGEREF _Toc118808319 \h </w:instrText>
      </w:r>
      <w:r>
        <w:fldChar w:fldCharType="separate"/>
      </w:r>
      <w:r>
        <w:t>289</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"_Toc118808320" </w:instrText>
      </w:r>
      <w:r>
        <w:fldChar w:fldCharType="separate"/>
      </w:r>
      <w:r>
        <w:rPr>
          <w:rStyle w:val="46"/>
          <w:rFonts w:eastAsia="仿宋"/>
        </w:rPr>
        <w:t>8.7</w:t>
      </w:r>
      <w:r>
        <w:rPr>
          <w:rStyle w:val="46"/>
          <w:rFonts w:asciiTheme="minorEastAsia" w:hAnsiTheme="minorEastAsia"/>
        </w:rPr>
        <w:t xml:space="preserve"> 风险对策和管理</w:t>
      </w:r>
      <w:r>
        <w:tab/>
      </w:r>
      <w:r>
        <w:fldChar w:fldCharType="begin"/>
      </w:r>
      <w:r>
        <w:instrText xml:space="preserve"> PAGEREF _Toc118808320 \h </w:instrText>
      </w:r>
      <w:r>
        <w:fldChar w:fldCharType="separate"/>
      </w:r>
      <w:r>
        <w:t>290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"_Toc118808321" </w:instrText>
      </w:r>
      <w:r>
        <w:fldChar w:fldCharType="separate"/>
      </w:r>
      <w:r>
        <w:rPr>
          <w:rStyle w:val="46"/>
          <w:rFonts w:eastAsia="仿宋"/>
        </w:rPr>
        <w:t>8.7.1</w:t>
      </w:r>
      <w:r>
        <w:rPr>
          <w:rStyle w:val="46"/>
          <w:rFonts w:asciiTheme="minorEastAsia" w:hAnsiTheme="minorEastAsia"/>
        </w:rPr>
        <w:t xml:space="preserve"> 技术风险对策</w:t>
      </w:r>
      <w:r>
        <w:tab/>
      </w:r>
      <w:r>
        <w:fldChar w:fldCharType="begin"/>
      </w:r>
      <w:r>
        <w:instrText xml:space="preserve"> PAGEREF _Toc118808321 \h </w:instrText>
      </w:r>
      <w:r>
        <w:fldChar w:fldCharType="separate"/>
      </w:r>
      <w:r>
        <w:t>290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"_Toc118808322" </w:instrText>
      </w:r>
      <w:r>
        <w:fldChar w:fldCharType="separate"/>
      </w:r>
      <w:r>
        <w:rPr>
          <w:rStyle w:val="46"/>
          <w:rFonts w:eastAsia="仿宋"/>
        </w:rPr>
        <w:t>8.7.2</w:t>
      </w:r>
      <w:r>
        <w:rPr>
          <w:rStyle w:val="46"/>
          <w:rFonts w:asciiTheme="minorEastAsia" w:hAnsiTheme="minorEastAsia"/>
        </w:rPr>
        <w:t xml:space="preserve"> 管理风险对策</w:t>
      </w:r>
      <w:r>
        <w:tab/>
      </w:r>
      <w:r>
        <w:fldChar w:fldCharType="begin"/>
      </w:r>
      <w:r>
        <w:instrText xml:space="preserve"> PAGEREF _Toc118808322 \h </w:instrText>
      </w:r>
      <w:r>
        <w:fldChar w:fldCharType="separate"/>
      </w:r>
      <w:r>
        <w:t>290</w:t>
      </w:r>
      <w:r>
        <w:fldChar w:fldCharType="end"/>
      </w:r>
      <w:r>
        <w:fldChar w:fldCharType="end"/>
      </w:r>
    </w:p>
    <w:p>
      <w:pPr>
        <w:pStyle w:val="19"/>
        <w:tabs>
          <w:tab w:val="right" w:leader="dot" w:pos="9736"/>
        </w:tabs>
        <w:ind w:left="1120"/>
        <w:rPr>
          <w:rFonts w:asciiTheme="minorHAnsi" w:hAnsiTheme="minorHAnsi" w:eastAsiaTheme="minorEastAsia" w:cstheme="minorBidi"/>
          <w:sz w:val="21"/>
          <w:szCs w:val="22"/>
        </w:rPr>
      </w:pPr>
      <w:r>
        <w:fldChar w:fldCharType="begin"/>
      </w:r>
      <w:r>
        <w:instrText xml:space="preserve"> HYPERLINK \l "_Toc118808323" </w:instrText>
      </w:r>
      <w:r>
        <w:fldChar w:fldCharType="separate"/>
      </w:r>
      <w:r>
        <w:rPr>
          <w:rStyle w:val="46"/>
          <w:rFonts w:eastAsia="仿宋"/>
        </w:rPr>
        <w:t>8.7.3</w:t>
      </w:r>
      <w:r>
        <w:rPr>
          <w:rStyle w:val="46"/>
          <w:rFonts w:asciiTheme="minorEastAsia" w:hAnsiTheme="minorEastAsia"/>
        </w:rPr>
        <w:t xml:space="preserve"> 组织风险对策</w:t>
      </w:r>
      <w:r>
        <w:tab/>
      </w:r>
      <w:r>
        <w:fldChar w:fldCharType="begin"/>
      </w:r>
      <w:r>
        <w:instrText xml:space="preserve"> PAGEREF _Toc118808323 \h </w:instrText>
      </w:r>
      <w:r>
        <w:fldChar w:fldCharType="separate"/>
      </w:r>
      <w:r>
        <w:t>291</w:t>
      </w:r>
      <w:r>
        <w:fldChar w:fldCharType="end"/>
      </w:r>
      <w:r>
        <w:fldChar w:fldCharType="end"/>
      </w:r>
    </w:p>
    <w:p>
      <w:pPr>
        <w:pStyle w:val="28"/>
        <w:tabs>
          <w:tab w:val="right" w:leader="dot" w:pos="9736"/>
        </w:tabs>
        <w:rPr>
          <w:rFonts w:asciiTheme="minorHAnsi" w:hAnsiTheme="minorHAnsi" w:eastAsiaTheme="minorEastAsia" w:cstheme="minorBidi"/>
          <w:sz w:val="21"/>
          <w:szCs w:val="22"/>
        </w:rPr>
      </w:pPr>
      <w:r>
        <w:fldChar w:fldCharType="begin"/>
      </w:r>
      <w:r>
        <w:instrText xml:space="preserve"> HYPERLINK \l "_Toc118808324" </w:instrText>
      </w:r>
      <w:r>
        <w:fldChar w:fldCharType="separate"/>
      </w:r>
      <w:r>
        <w:rPr>
          <w:rStyle w:val="46"/>
          <w:rFonts w:ascii="宋体" w:hAnsi="宋体"/>
        </w:rPr>
        <w:t>第9章 附件说明</w:t>
      </w:r>
      <w:r>
        <w:tab/>
      </w:r>
      <w:r>
        <w:fldChar w:fldCharType="begin"/>
      </w:r>
      <w:r>
        <w:instrText xml:space="preserve"> PAGEREF _Toc118808324 \h </w:instrText>
      </w:r>
      <w:r>
        <w:fldChar w:fldCharType="separate"/>
      </w:r>
      <w:r>
        <w:t>293</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"_Toc118808325" </w:instrText>
      </w:r>
      <w:r>
        <w:fldChar w:fldCharType="separate"/>
      </w:r>
      <w:r>
        <w:rPr>
          <w:rStyle w:val="46"/>
          <w:rFonts w:eastAsia="仿宋"/>
        </w:rPr>
        <w:t>9.1</w:t>
      </w:r>
      <w:r>
        <w:rPr>
          <w:rStyle w:val="46"/>
        </w:rPr>
        <w:t xml:space="preserve"> 附件1 项目软硬件配置清单</w:t>
      </w:r>
      <w:r>
        <w:tab/>
      </w:r>
      <w:r>
        <w:fldChar w:fldCharType="begin"/>
      </w:r>
      <w:r>
        <w:instrText xml:space="preserve"> PAGEREF _Toc118808325 \h </w:instrText>
      </w:r>
      <w:r>
        <w:fldChar w:fldCharType="separate"/>
      </w:r>
      <w:r>
        <w:t>293</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"_Toc118808326" </w:instrText>
      </w:r>
      <w:r>
        <w:fldChar w:fldCharType="separate"/>
      </w:r>
      <w:r>
        <w:rPr>
          <w:rStyle w:val="46"/>
          <w:rFonts w:eastAsia="仿宋"/>
          <w:lang w:eastAsia="zh-Hans"/>
        </w:rPr>
        <w:t>9.2</w:t>
      </w:r>
      <w:r>
        <w:rPr>
          <w:rStyle w:val="46"/>
          <w:rFonts w:ascii="宋体" w:hAnsi="宋体"/>
          <w:lang w:eastAsia="zh-Hans"/>
        </w:rPr>
        <w:t xml:space="preserve"> 附件</w:t>
      </w:r>
      <w:r>
        <w:rPr>
          <w:rStyle w:val="46"/>
          <w:rFonts w:ascii="宋体" w:hAnsi="宋体"/>
        </w:rPr>
        <w:t xml:space="preserve">2 </w:t>
      </w:r>
      <w:r>
        <w:rPr>
          <w:rStyle w:val="46"/>
          <w:rFonts w:ascii="宋体" w:hAnsi="宋体"/>
          <w:lang w:eastAsia="zh-Hans"/>
        </w:rPr>
        <w:t>系统网络拓扑图</w:t>
      </w:r>
      <w:r>
        <w:tab/>
      </w:r>
      <w:r>
        <w:fldChar w:fldCharType="begin"/>
      </w:r>
      <w:r>
        <w:instrText xml:space="preserve"> PAGEREF _Toc118808326 \h </w:instrText>
      </w:r>
      <w:r>
        <w:fldChar w:fldCharType="separate"/>
      </w:r>
      <w:r>
        <w:t>294</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"_Toc118808327" </w:instrText>
      </w:r>
      <w:r>
        <w:fldChar w:fldCharType="separate"/>
      </w:r>
      <w:r>
        <w:rPr>
          <w:rStyle w:val="46"/>
          <w:rFonts w:eastAsia="仿宋"/>
          <w:lang w:eastAsia="zh-Hans"/>
        </w:rPr>
        <w:t>9.3</w:t>
      </w:r>
      <w:r>
        <w:rPr>
          <w:rStyle w:val="46"/>
          <w:rFonts w:ascii="宋体" w:hAnsi="宋体"/>
          <w:lang w:eastAsia="zh-Hans"/>
        </w:rPr>
        <w:t xml:space="preserve"> 附件</w:t>
      </w:r>
      <w:r>
        <w:rPr>
          <w:rStyle w:val="46"/>
          <w:rFonts w:ascii="宋体" w:hAnsi="宋体"/>
        </w:rPr>
        <w:t xml:space="preserve">3 </w:t>
      </w:r>
      <w:r>
        <w:rPr>
          <w:rStyle w:val="46"/>
          <w:rFonts w:ascii="宋体" w:hAnsi="宋体"/>
          <w:lang w:eastAsia="zh-Hans"/>
        </w:rPr>
        <w:t>系统软硬件物理布置图</w:t>
      </w:r>
      <w:r>
        <w:rPr>
          <w:rStyle w:val="46"/>
          <w:rFonts w:ascii="宋体" w:hAnsi="宋体"/>
        </w:rPr>
        <w:t>(本次申请无物理机)</w:t>
      </w:r>
      <w:r>
        <w:tab/>
      </w:r>
      <w:r>
        <w:fldChar w:fldCharType="begin"/>
      </w:r>
      <w:r>
        <w:instrText xml:space="preserve"> PAGEREF _Toc118808327 \h </w:instrText>
      </w:r>
      <w:r>
        <w:fldChar w:fldCharType="separate"/>
      </w:r>
      <w:r>
        <w:t>295</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"_Toc118808328" </w:instrText>
      </w:r>
      <w:r>
        <w:fldChar w:fldCharType="separate"/>
      </w:r>
      <w:r>
        <w:rPr>
          <w:rStyle w:val="46"/>
          <w:rFonts w:eastAsia="仿宋"/>
          <w:lang w:eastAsia="zh-Hans"/>
        </w:rPr>
        <w:t>9.4</w:t>
      </w:r>
      <w:r>
        <w:rPr>
          <w:rStyle w:val="46"/>
        </w:rPr>
        <w:t xml:space="preserve"> 附件4 </w:t>
      </w:r>
      <w:r>
        <w:rPr>
          <w:rStyle w:val="46"/>
          <w:rFonts w:ascii="宋体" w:hAnsi="宋体"/>
          <w:lang w:eastAsia="zh-Hans"/>
        </w:rPr>
        <w:t>应用系统定制开发工作量核算表</w:t>
      </w:r>
      <w:r>
        <w:tab/>
      </w:r>
      <w:r>
        <w:fldChar w:fldCharType="begin"/>
      </w:r>
      <w:r>
        <w:instrText xml:space="preserve"> PAGEREF _Toc118808328 \h </w:instrText>
      </w:r>
      <w:r>
        <w:fldChar w:fldCharType="separate"/>
      </w:r>
      <w:r>
        <w:t>295</w:t>
      </w:r>
      <w:r>
        <w:fldChar w:fldCharType="end"/>
      </w:r>
      <w:r>
        <w:fldChar w:fldCharType="end"/>
      </w:r>
    </w:p>
    <w:p>
      <w:pPr>
        <w:pStyle w:val="31"/>
        <w:tabs>
          <w:tab w:val="right" w:leader="dot" w:pos="9736"/>
        </w:tabs>
        <w:ind w:left="560"/>
        <w:rPr>
          <w:rFonts w:asciiTheme="minorHAnsi" w:hAnsiTheme="minorHAnsi" w:eastAsiaTheme="minorEastAsia" w:cstheme="minorBidi"/>
          <w:sz w:val="21"/>
          <w:szCs w:val="22"/>
        </w:rPr>
      </w:pPr>
      <w:r>
        <w:fldChar w:fldCharType="begin"/>
      </w:r>
      <w:r>
        <w:instrText xml:space="preserve"> HYPERLINK \l "_Toc118808329" </w:instrText>
      </w:r>
      <w:r>
        <w:fldChar w:fldCharType="separate"/>
      </w:r>
      <w:r>
        <w:rPr>
          <w:rStyle w:val="46"/>
          <w:rFonts w:eastAsia="仿宋"/>
        </w:rPr>
        <w:t>9.5</w:t>
      </w:r>
      <w:r>
        <w:rPr>
          <w:rStyle w:val="46"/>
        </w:rPr>
        <w:t xml:space="preserve"> 附件5 </w:t>
      </w:r>
      <w:r>
        <w:rPr>
          <w:rStyle w:val="46"/>
          <w:rFonts w:ascii="宋体" w:hAnsi="宋体"/>
        </w:rPr>
        <w:t>推进数字政府建设“三张清单”内容</w:t>
      </w:r>
      <w:r>
        <w:tab/>
      </w:r>
      <w:r>
        <w:fldChar w:fldCharType="begin"/>
      </w:r>
      <w:r>
        <w:instrText xml:space="preserve"> PAGEREF _Toc118808329 \h </w:instrText>
      </w:r>
      <w:r>
        <w:fldChar w:fldCharType="separate"/>
      </w:r>
      <w:r>
        <w:t>306</w:t>
      </w:r>
      <w:r>
        <w:fldChar w:fldCharType="end"/>
      </w:r>
      <w:r>
        <w:fldChar w:fldCharType="end"/>
      </w:r>
    </w:p>
    <w:p>
      <w:pPr>
        <w:rPr>
          <w:rFonts w:asciiTheme="minorEastAsia" w:hAnsiTheme="minorEastAsia" w:eastAsiaTheme="minorEastAsia"/>
          <w:color w:val="000000" w:themeColor="text1"/>
          <w:szCs w:val="28"/>
          <w14:textFill>
            <w14:solidFill>
              <w14:schemeClr w14:val="tx1"/>
            </w14:solidFill>
          </w14:textFill>
        </w:rPr>
        <w:sectPr>
          <w:type w:val="continuous"/>
          <w:pgSz w:w="11906" w:h="16838"/>
          <w:pgMar w:top="1440" w:right="1080" w:bottom="1440" w:left="1080" w:header="851" w:footer="850" w:gutter="0"/>
          <w:cols w:space="425" w:num="1"/>
          <w:docGrid w:type="lines" w:linePitch="326" w:charSpace="0"/>
        </w:sectPr>
      </w:pPr>
      <w:r>
        <w:rPr>
          <w:rFonts w:asciiTheme="majorEastAsia" w:hAnsiTheme="majorEastAsia" w:eastAsiaTheme="majorEastAsia"/>
          <w:bCs/>
          <w:color w:val="000000" w:themeColor="text1"/>
          <w:szCs w:val="28"/>
          <w:lang w:val="zh-CN"/>
          <w14:textFill>
            <w14:solidFill>
              <w14:schemeClr w14:val="tx1"/>
            </w14:solidFill>
          </w14:textFill>
        </w:rPr>
        <w:fldChar w:fldCharType="end"/>
      </w:r>
    </w:p>
    <w:p>
      <w:pPr>
        <w:pStyle w:val="3"/>
        <w:rPr>
          <w:rFonts w:asciiTheme="minorEastAsia" w:hAnsiTheme="minorEastAsia" w:eastAsiaTheme="minorEastAsia"/>
          <w:color w:val="000000" w:themeColor="text1"/>
          <w14:textFill>
            <w14:solidFill>
              <w14:schemeClr w14:val="tx1"/>
            </w14:solidFill>
          </w14:textFill>
        </w:rPr>
      </w:pPr>
      <w:bookmarkStart w:id="0" w:name="_Toc118808193"/>
      <w:r>
        <w:rPr>
          <w:rFonts w:asciiTheme="minorEastAsia" w:hAnsiTheme="minorEastAsia" w:eastAsiaTheme="minorEastAsia"/>
          <w:color w:val="000000" w:themeColor="text1"/>
          <w14:textFill>
            <w14:solidFill>
              <w14:schemeClr w14:val="tx1"/>
            </w14:solidFill>
          </w14:textFill>
        </w:rPr>
        <w:t>项目概况</w:t>
      </w:r>
      <w:bookmarkEnd w:id="0"/>
    </w:p>
    <w:p>
      <w:pPr>
        <w:pStyle w:val="5"/>
        <w:rPr>
          <w:rFonts w:asciiTheme="minorEastAsia" w:hAnsiTheme="minorEastAsia" w:eastAsiaTheme="minorEastAsia"/>
          <w:color w:val="000000" w:themeColor="text1"/>
          <w14:textFill>
            <w14:solidFill>
              <w14:schemeClr w14:val="tx1"/>
            </w14:solidFill>
          </w14:textFill>
        </w:rPr>
      </w:pPr>
      <w:bookmarkStart w:id="1" w:name="_Toc527558012"/>
      <w:bookmarkStart w:id="2" w:name="_Toc512279689"/>
      <w:bookmarkStart w:id="3" w:name="_Toc9593969"/>
      <w:bookmarkStart w:id="4" w:name="_Toc64986388"/>
      <w:bookmarkStart w:id="5" w:name="_Toc17238"/>
      <w:bookmarkStart w:id="6" w:name="_Toc451764194"/>
      <w:bookmarkStart w:id="7" w:name="_Toc9594072"/>
      <w:bookmarkStart w:id="8" w:name="_Toc118808194"/>
      <w:bookmarkStart w:id="9" w:name="_Toc362961791"/>
      <w:r>
        <w:rPr>
          <w:rFonts w:asciiTheme="minorEastAsia" w:hAnsiTheme="minorEastAsia" w:eastAsiaTheme="minorEastAsia"/>
          <w:color w:val="000000" w:themeColor="text1"/>
          <w14:textFill>
            <w14:solidFill>
              <w14:schemeClr w14:val="tx1"/>
            </w14:solidFill>
          </w14:textFill>
        </w:rPr>
        <w:t>项目名称</w:t>
      </w:r>
      <w:bookmarkEnd w:id="1"/>
      <w:bookmarkEnd w:id="2"/>
      <w:bookmarkEnd w:id="3"/>
      <w:bookmarkEnd w:id="4"/>
      <w:bookmarkEnd w:id="5"/>
      <w:bookmarkEnd w:id="6"/>
      <w:bookmarkEnd w:id="7"/>
      <w:bookmarkEnd w:id="8"/>
      <w:bookmarkEnd w:id="9"/>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color w:val="000000" w:themeColor="text1"/>
          <w14:textFill>
            <w14:solidFill>
              <w14:schemeClr w14:val="tx1"/>
            </w14:solidFill>
          </w14:textFill>
        </w:rPr>
        <w:t>项目名称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 </w:t>
      </w:r>
      <w:r>
        <w:rPr>
          <w:rFonts w:asciiTheme="minorEastAsia" w:hAnsiTheme="minorEastAsia" w:eastAsiaTheme="minorEastAsia"/>
          <w:color w:val="000000" w:themeColor="text1"/>
          <w:szCs w:val="28"/>
          <w14:textFill>
            <w14:solidFill>
              <w14:schemeClr w14:val="tx1"/>
            </w14:solidFill>
          </w14:textFill>
        </w:rPr>
        <w:t>“一呼解忧”</w:t>
      </w:r>
      <w:r>
        <w:rPr>
          <w:rFonts w:hint="eastAsia" w:asciiTheme="minorEastAsia" w:hAnsiTheme="minorEastAsia" w:eastAsiaTheme="minorEastAsia"/>
          <w:color w:val="000000" w:themeColor="text1"/>
          <w:szCs w:val="28"/>
          <w14:textFill>
            <w14:solidFill>
              <w14:schemeClr w14:val="tx1"/>
            </w14:solidFill>
          </w14:textFill>
        </w:rPr>
        <w:t>多媒体全渠道受理能力功能扩容</w:t>
      </w:r>
      <w:r>
        <w:rPr>
          <w:rFonts w:asciiTheme="minorEastAsia" w:hAnsiTheme="minorEastAsia" w:eastAsiaTheme="minorEastAsia"/>
          <w:color w:val="000000" w:themeColor="text1"/>
          <w:szCs w:val="28"/>
          <w14:textFill>
            <w14:solidFill>
              <w14:schemeClr w14:val="tx1"/>
            </w14:solidFill>
          </w14:textFill>
        </w:rPr>
        <w:t>项目。</w:t>
      </w:r>
      <w:bookmarkStart w:id="10" w:name="_Toc451764195"/>
      <w:bookmarkStart w:id="11" w:name="_Toc512279690"/>
      <w:bookmarkStart w:id="12" w:name="_Toc362961792"/>
      <w:bookmarkStart w:id="13" w:name="_Toc9594073"/>
      <w:bookmarkStart w:id="14" w:name="_Toc9593970"/>
      <w:bookmarkStart w:id="15" w:name="_Toc527558013"/>
    </w:p>
    <w:p>
      <w:pPr>
        <w:pStyle w:val="5"/>
        <w:rPr>
          <w:rFonts w:asciiTheme="minorEastAsia" w:hAnsiTheme="minorEastAsia" w:eastAsiaTheme="minorEastAsia"/>
          <w:color w:val="000000" w:themeColor="text1"/>
          <w14:textFill>
            <w14:solidFill>
              <w14:schemeClr w14:val="tx1"/>
            </w14:solidFill>
          </w14:textFill>
        </w:rPr>
      </w:pPr>
      <w:bookmarkStart w:id="16" w:name="_Toc64986390"/>
      <w:bookmarkStart w:id="17" w:name="_Toc12089"/>
      <w:bookmarkStart w:id="18" w:name="_Toc118808195"/>
      <w:r>
        <w:rPr>
          <w:rFonts w:asciiTheme="minorEastAsia" w:hAnsiTheme="minorEastAsia" w:eastAsiaTheme="minorEastAsia"/>
          <w:color w:val="000000" w:themeColor="text1"/>
          <w14:textFill>
            <w14:solidFill>
              <w14:schemeClr w14:val="tx1"/>
            </w14:solidFill>
          </w14:textFill>
        </w:rPr>
        <w:t>项目建设单位及负责人</w:t>
      </w:r>
      <w:bookmarkEnd w:id="10"/>
      <w:bookmarkEnd w:id="11"/>
      <w:bookmarkEnd w:id="12"/>
      <w:bookmarkStart w:id="19" w:name="_Toc362961793"/>
      <w:bookmarkStart w:id="20" w:name="_Toc512279691"/>
      <w:bookmarkStart w:id="21" w:name="_Toc451764196"/>
      <w:r>
        <w:rPr>
          <w:rFonts w:asciiTheme="minorEastAsia" w:hAnsiTheme="minorEastAsia" w:eastAsiaTheme="minorEastAsia"/>
          <w:color w:val="000000" w:themeColor="text1"/>
          <w14:textFill>
            <w14:solidFill>
              <w14:schemeClr w14:val="tx1"/>
            </w14:solidFill>
          </w14:textFill>
        </w:rPr>
        <w:t>、项目联系人</w:t>
      </w:r>
      <w:bookmarkEnd w:id="13"/>
      <w:bookmarkEnd w:id="14"/>
      <w:bookmarkEnd w:id="15"/>
      <w:bookmarkEnd w:id="16"/>
      <w:bookmarkEnd w:id="17"/>
      <w:bookmarkEnd w:id="18"/>
    </w:p>
    <w:p>
      <w:pPr>
        <w:pStyle w:val="36"/>
        <w:ind w:firstLine="560"/>
        <w:rPr>
          <w:rFonts w:asciiTheme="minorEastAsia" w:hAnsiTheme="minorEastAsia" w:eastAsiaTheme="minorEastAsia"/>
          <w:color w:val="000000" w:themeColor="text1"/>
          <w14:textFill>
            <w14:solidFill>
              <w14:schemeClr w14:val="tx1"/>
            </w14:solidFill>
          </w14:textFill>
        </w:rPr>
      </w:pPr>
      <w:bookmarkStart w:id="22" w:name="_Toc64986391"/>
      <w:bookmarkStart w:id="23" w:name="_Toc9593971"/>
      <w:bookmarkStart w:id="24" w:name="_Toc5539"/>
      <w:bookmarkStart w:id="25" w:name="_Toc527558014"/>
      <w:bookmarkStart w:id="26" w:name="_Toc9594074"/>
      <w:r>
        <w:rPr>
          <w:rFonts w:asciiTheme="minorEastAsia" w:hAnsiTheme="minorEastAsia" w:eastAsiaTheme="minorEastAsia"/>
          <w:color w:val="000000" w:themeColor="text1"/>
          <w14:textFill>
            <w14:solidFill>
              <w14:schemeClr w14:val="tx1"/>
            </w14:solidFill>
          </w14:textFill>
        </w:rPr>
        <w:t>项目建设单位：杭州市萧山区信访局</w:t>
      </w:r>
    </w:p>
    <w:p>
      <w:pPr>
        <w:pStyle w:val="36"/>
        <w:ind w:firstLine="56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建设单位负责人：楼向东</w:t>
      </w:r>
    </w:p>
    <w:p>
      <w:pPr>
        <w:pStyle w:val="36"/>
        <w:ind w:firstLine="56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项目负责人：陈金剑</w:t>
      </w:r>
    </w:p>
    <w:bookmarkEnd w:id="19"/>
    <w:bookmarkEnd w:id="20"/>
    <w:bookmarkEnd w:id="21"/>
    <w:bookmarkEnd w:id="22"/>
    <w:bookmarkEnd w:id="23"/>
    <w:bookmarkEnd w:id="24"/>
    <w:bookmarkEnd w:id="25"/>
    <w:bookmarkEnd w:id="26"/>
    <w:p>
      <w:pPr>
        <w:pStyle w:val="5"/>
        <w:rPr>
          <w:rFonts w:asciiTheme="minorEastAsia" w:hAnsiTheme="minorEastAsia" w:eastAsiaTheme="minorEastAsia"/>
          <w:color w:val="000000" w:themeColor="text1"/>
          <w14:textFill>
            <w14:solidFill>
              <w14:schemeClr w14:val="tx1"/>
            </w14:solidFill>
          </w14:textFill>
        </w:rPr>
      </w:pPr>
      <w:bookmarkStart w:id="27" w:name="_Toc118808196"/>
      <w:bookmarkStart w:id="28" w:name="_Toc23280"/>
      <w:bookmarkStart w:id="29" w:name="_Toc64986392"/>
      <w:bookmarkStart w:id="30" w:name="_Toc9594075"/>
      <w:bookmarkStart w:id="31" w:name="_Toc9593972"/>
      <w:bookmarkStart w:id="32" w:name="_Toc527558015"/>
      <w:r>
        <w:rPr>
          <w:rFonts w:asciiTheme="minorEastAsia" w:hAnsiTheme="minorEastAsia" w:eastAsiaTheme="minorEastAsia"/>
          <w:color w:val="000000" w:themeColor="text1"/>
          <w14:textFill>
            <w14:solidFill>
              <w14:schemeClr w14:val="tx1"/>
            </w14:solidFill>
          </w14:textFill>
        </w:rPr>
        <w:t>编制依据</w:t>
      </w:r>
      <w:bookmarkEnd w:id="27"/>
      <w:bookmarkEnd w:id="28"/>
      <w:bookmarkEnd w:id="29"/>
      <w:bookmarkEnd w:id="30"/>
      <w:bookmarkEnd w:id="31"/>
      <w:bookmarkEnd w:id="32"/>
    </w:p>
    <w:p>
      <w:pPr>
        <w:pStyle w:val="2"/>
        <w:rPr>
          <w:rFonts w:asciiTheme="minorEastAsia" w:hAnsiTheme="minorEastAsia" w:eastAsiaTheme="minorEastAsia"/>
          <w:color w:val="000000" w:themeColor="text1"/>
          <w14:textFill>
            <w14:solidFill>
              <w14:schemeClr w14:val="tx1"/>
            </w14:solidFill>
          </w14:textFill>
        </w:rPr>
      </w:pPr>
      <w:bookmarkStart w:id="33" w:name="_Toc118808197"/>
      <w:r>
        <w:rPr>
          <w:rFonts w:hint="eastAsia" w:asciiTheme="minorEastAsia" w:hAnsiTheme="minorEastAsia" w:eastAsiaTheme="minorEastAsia"/>
          <w:color w:val="000000" w:themeColor="text1"/>
          <w14:textFill>
            <w14:solidFill>
              <w14:schemeClr w14:val="tx1"/>
            </w14:solidFill>
          </w14:textFill>
        </w:rPr>
        <w:t>省试点文件：浙江省信访局2</w:t>
      </w:r>
      <w:r>
        <w:rPr>
          <w:rFonts w:asciiTheme="minorEastAsia" w:hAnsiTheme="minorEastAsia" w:eastAsiaTheme="minorEastAsia"/>
          <w:color w:val="000000" w:themeColor="text1"/>
          <w14:textFill>
            <w14:solidFill>
              <w14:schemeClr w14:val="tx1"/>
            </w14:solidFill>
          </w14:textFill>
        </w:rPr>
        <w:t>022</w:t>
      </w:r>
      <w:r>
        <w:rPr>
          <w:rFonts w:hint="eastAsia" w:asciiTheme="minorEastAsia" w:hAnsiTheme="minorEastAsia" w:eastAsiaTheme="minorEastAsia"/>
          <w:color w:val="000000" w:themeColor="text1"/>
          <w14:textFill>
            <w14:solidFill>
              <w14:schemeClr w14:val="tx1"/>
            </w14:solidFill>
          </w14:textFill>
        </w:rPr>
        <w:t>年试点项目</w:t>
      </w:r>
      <w:bookmarkEnd w:id="33"/>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“民呼我为”应用场景——萧山区“一呼解忧”2022年试点项目已经通过浙江省信访局认可并进行试点推进。本</w:t>
      </w:r>
      <w:r>
        <w:rPr>
          <w:rFonts w:asciiTheme="minorEastAsia" w:hAnsiTheme="minorEastAsia" w:eastAsiaTheme="minorEastAsia"/>
          <w:color w:val="000000" w:themeColor="text1"/>
          <w:szCs w:val="28"/>
          <w14:textFill>
            <w14:solidFill>
              <w14:schemeClr w14:val="tx1"/>
            </w14:solidFill>
          </w14:textFill>
        </w:rPr>
        <w:t>项目</w:t>
      </w:r>
      <w:r>
        <w:rPr>
          <w:rFonts w:hint="eastAsia" w:asciiTheme="minorEastAsia" w:hAnsiTheme="minorEastAsia" w:eastAsiaTheme="minorEastAsia"/>
          <w:color w:val="000000" w:themeColor="text1"/>
          <w:szCs w:val="28"/>
          <w14:textFill>
            <w14:solidFill>
              <w14:schemeClr w14:val="tx1"/>
            </w14:solidFill>
          </w14:textFill>
        </w:rPr>
        <w:t>将以现有浙江省统一建设系统的基础上进行深化开发，拓宽信访渠道，满足镇街受理及业务延伸，解决信访最后一环节，避免重复交办，避免重复建设，为基层减负。</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浙江省信访局2</w:t>
      </w:r>
      <w:r>
        <w:rPr>
          <w:rFonts w:asciiTheme="minorEastAsia" w:hAnsiTheme="minorEastAsia" w:eastAsiaTheme="minorEastAsia"/>
          <w:color w:val="000000" w:themeColor="text1"/>
          <w:szCs w:val="28"/>
          <w14:textFill>
            <w14:solidFill>
              <w14:schemeClr w14:val="tx1"/>
            </w14:solidFill>
          </w14:textFill>
        </w:rPr>
        <w:t>022</w:t>
      </w:r>
      <w:r>
        <w:rPr>
          <w:rFonts w:hint="eastAsia" w:asciiTheme="minorEastAsia" w:hAnsiTheme="minorEastAsia" w:eastAsiaTheme="minorEastAsia"/>
          <w:color w:val="000000" w:themeColor="text1"/>
          <w:szCs w:val="28"/>
          <w14:textFill>
            <w14:solidFill>
              <w14:schemeClr w14:val="tx1"/>
            </w14:solidFill>
          </w14:textFill>
        </w:rPr>
        <w:t>年试点项目“一呼解忧”试点文件如下所示：</w:t>
      </w:r>
    </w:p>
    <w:p>
      <w:pPr>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4352925" cy="4676775"/>
            <wp:effectExtent l="19050" t="19050" r="28575" b="28575"/>
            <wp:docPr id="4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
                    <pic:cNvPicPr>
                      <a:picLocks noChangeAspect="1"/>
                    </pic:cNvPicPr>
                  </pic:nvPicPr>
                  <pic:blipFill>
                    <a:blip r:embed="rId8"/>
                    <a:stretch>
                      <a:fillRect/>
                    </a:stretch>
                  </pic:blipFill>
                  <pic:spPr>
                    <a:xfrm>
                      <a:off x="0" y="0"/>
                      <a:ext cx="4352925" cy="4676775"/>
                    </a:xfrm>
                    <a:prstGeom prst="rect">
                      <a:avLst/>
                    </a:prstGeom>
                    <a:ln>
                      <a:solidFill>
                        <a:schemeClr val="tx1"/>
                      </a:solidFill>
                    </a:ln>
                  </pic:spPr>
                </pic:pic>
              </a:graphicData>
            </a:graphic>
          </wp:inline>
        </w:drawing>
      </w:r>
    </w:p>
    <w:p>
      <w:pPr>
        <w:jc w:val="center"/>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图 “一呼解忧”试点文件</w:t>
      </w:r>
    </w:p>
    <w:p>
      <w:pPr>
        <w:pStyle w:val="2"/>
        <w:rPr>
          <w:rFonts w:asciiTheme="minorEastAsia" w:hAnsiTheme="minorEastAsia" w:eastAsiaTheme="minorEastAsia"/>
          <w:color w:val="000000" w:themeColor="text1"/>
          <w14:textFill>
            <w14:solidFill>
              <w14:schemeClr w14:val="tx1"/>
            </w14:solidFill>
          </w14:textFill>
        </w:rPr>
      </w:pPr>
      <w:bookmarkStart w:id="34" w:name="_Toc72400788"/>
      <w:bookmarkStart w:id="35" w:name="_Toc118808198"/>
      <w:bookmarkStart w:id="36" w:name="_Toc22680"/>
      <w:bookmarkStart w:id="37" w:name="_Toc71654572"/>
      <w:r>
        <w:rPr>
          <w:rFonts w:asciiTheme="minorEastAsia" w:hAnsiTheme="minorEastAsia" w:eastAsiaTheme="minorEastAsia"/>
          <w:color w:val="000000" w:themeColor="text1"/>
          <w14:textFill>
            <w14:solidFill>
              <w14:schemeClr w14:val="tx1"/>
            </w14:solidFill>
          </w14:textFill>
        </w:rPr>
        <w:t>政策法规</w:t>
      </w:r>
      <w:bookmarkEnd w:id="34"/>
      <w:bookmarkEnd w:id="35"/>
      <w:bookmarkEnd w:id="36"/>
      <w:bookmarkEnd w:id="37"/>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《国务院关于积极推进"互联网+"行动的指导意见》（国发〔2015〕40号）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《推进“互联网+政务服务”开展信息惠民试点实施方案的通知》（国办发〔2016〕23号）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《国务院关于加快推进“互联网+政务服务”工作的指导意见》（国发〔2016〕55号）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《“互联网+政务服务”技术体系建设指南》（国办函〔2016〕108号）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《促进新一代人工智能产业发展三年行动计划（2018-2020年）》（工信部〔2017〕315号）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浙江省政府《加快推进“最多跑一次”改革实施方案》（浙政发〔2017〕6号）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《全国深化“放管服”改革转变政府职能电视电话会议重点任务分工方案》（国办发〔2018〕79号）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《国务院关于加快推进全国一体化在线政务服务平台建设的指导意见》（国发〔2018〕27号）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《国务院办公厅关于印发进一步深化“互联网+政务服务”推进政务服务“一网、一门、一次”改革实施方案的通知》（国办发[2018]</w:t>
      </w:r>
      <w:r>
        <w:rPr>
          <w:rFonts w:asciiTheme="minorEastAsia" w:hAnsiTheme="minorEastAsia" w:eastAsiaTheme="minorEastAsia"/>
          <w:color w:val="000000" w:themeColor="text1"/>
          <w:sz w:val="28"/>
          <w:szCs w:val="28"/>
          <w14:textFill>
            <w14:solidFill>
              <w14:schemeClr w14:val="tx1"/>
            </w14:solidFill>
          </w14:textFill>
        </w:rPr>
        <w:t xml:space="preserve"> </w:t>
      </w:r>
      <w:r>
        <w:rPr>
          <w:rFonts w:hint="eastAsia" w:asciiTheme="minorEastAsia" w:hAnsiTheme="minorEastAsia" w:eastAsiaTheme="minorEastAsia"/>
          <w:color w:val="000000" w:themeColor="text1"/>
          <w:sz w:val="28"/>
          <w:szCs w:val="28"/>
          <w14:textFill>
            <w14:solidFill>
              <w14:schemeClr w14:val="tx1"/>
            </w14:solidFill>
          </w14:textFill>
        </w:rPr>
        <w:t>45号）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浙江省人民政府办公厅关于印发浙江省建立政务服务“好差评”制度工作方案的通知（浙政办函〔2019〕65号）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《国务院办公厅关于进一步优化地方政务服务便民热线的指导意见》（国办发〔2020〕53号）</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《浙江省大数据发展管理局关于印发2021年浙江省政府网站工作要点的通知》</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《关于全面推进“县乡一体、条抓块统”县域整体智治改革的实施意见》</w:t>
      </w:r>
    </w:p>
    <w:p>
      <w:pPr>
        <w:pStyle w:val="89"/>
        <w:numPr>
          <w:ilvl w:val="0"/>
          <w:numId w:val="12"/>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《2022年信访工作现代化示范县（市、区）创建工作方案》</w:t>
      </w:r>
    </w:p>
    <w:p>
      <w:pPr>
        <w:pStyle w:val="2"/>
        <w:rPr>
          <w:rFonts w:asciiTheme="minorEastAsia" w:hAnsiTheme="minorEastAsia" w:eastAsiaTheme="minorEastAsia"/>
          <w:color w:val="000000" w:themeColor="text1"/>
          <w14:textFill>
            <w14:solidFill>
              <w14:schemeClr w14:val="tx1"/>
            </w14:solidFill>
          </w14:textFill>
        </w:rPr>
      </w:pPr>
      <w:bookmarkStart w:id="38" w:name="_Toc72400789"/>
      <w:bookmarkStart w:id="39" w:name="_Toc9217"/>
      <w:bookmarkStart w:id="40" w:name="_Toc118808199"/>
      <w:bookmarkStart w:id="41" w:name="_Toc71654573"/>
      <w:r>
        <w:rPr>
          <w:rFonts w:asciiTheme="minorEastAsia" w:hAnsiTheme="minorEastAsia" w:eastAsiaTheme="minorEastAsia"/>
          <w:color w:val="000000" w:themeColor="text1"/>
          <w14:textFill>
            <w14:solidFill>
              <w14:schemeClr w14:val="tx1"/>
            </w14:solidFill>
          </w14:textFill>
        </w:rPr>
        <w:t>标准规范</w:t>
      </w:r>
      <w:bookmarkEnd w:id="38"/>
      <w:bookmarkEnd w:id="39"/>
      <w:bookmarkEnd w:id="40"/>
      <w:bookmarkEnd w:id="41"/>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《浙江政务服务网在线互动业务规范》</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《浙江政务服务网技术规范》</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《浙江省行政权力库数据交换规范》</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《浙江省电子证照数据与共享服务规范》</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《国家电子政务标准化指南总则》GB/T 30850.1—2014</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《政务信息资源目录体系与交换体系》</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《信息安全技术信息系统安全管理要求》GBT20269—2006</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GB/T 18905软件工程等系列标准</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GB/T 15843信息技术等级保护系列标准</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《电子政务系统总体设计要求》（GB/T 21064-2007）</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《信息安全等级保护管理办法》（公通字〔2007〕43号）</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《信息系统等级保护安全设计技术要求》（GB/T24856-2009）</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《信息系统安全管理要求》（GB/T20269-2006）</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央行《条码支付安全技术规范（试行）》(银办发〔2017〕242号)</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《条码支付受理终端技术规范（试行）》（银办发〔2017〕242号）</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住建部《智慧城市二维码应用技术要求》T/CUPTA 001—2018</w:t>
      </w:r>
    </w:p>
    <w:p>
      <w:pPr>
        <w:pStyle w:val="89"/>
        <w:numPr>
          <w:ilvl w:val="0"/>
          <w:numId w:val="13"/>
        </w:numPr>
        <w:spacing w:line="360" w:lineRule="auto"/>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其他相关标准</w:t>
      </w:r>
    </w:p>
    <w:p>
      <w:pPr>
        <w:pStyle w:val="5"/>
        <w:rPr>
          <w:color w:val="000000" w:themeColor="text1"/>
          <w14:textFill>
            <w14:solidFill>
              <w14:schemeClr w14:val="tx1"/>
            </w14:solidFill>
          </w14:textFill>
        </w:rPr>
      </w:pPr>
      <w:bookmarkStart w:id="42" w:name="_Toc118808200"/>
      <w:bookmarkStart w:id="43" w:name="_Toc64986398"/>
      <w:bookmarkStart w:id="44" w:name="_Toc362961796"/>
      <w:bookmarkStart w:id="45" w:name="_Toc512279694"/>
      <w:bookmarkStart w:id="46" w:name="_Toc451764207"/>
      <w:bookmarkStart w:id="47" w:name="_Toc9593978"/>
      <w:bookmarkStart w:id="48" w:name="_Toc8463"/>
      <w:bookmarkStart w:id="49" w:name="_Toc510015274"/>
      <w:bookmarkStart w:id="50" w:name="_Toc527558021"/>
      <w:bookmarkStart w:id="51" w:name="_Toc9594081"/>
      <w:r>
        <w:rPr>
          <w:rFonts w:hint="eastAsia"/>
          <w:color w:val="000000" w:themeColor="text1"/>
          <w14:textFill>
            <w14:solidFill>
              <w14:schemeClr w14:val="tx1"/>
            </w14:solidFill>
          </w14:textFill>
        </w:rPr>
        <w:t>项目建设的目标、规模、内容、建设期</w:t>
      </w:r>
      <w:bookmarkEnd w:id="42"/>
    </w:p>
    <w:p>
      <w:pPr>
        <w:ind w:firstLine="560" w:firstLineChars="200"/>
        <w:rPr>
          <w:rFonts w:asciiTheme="minorEastAsia" w:hAnsiTheme="minorEastAsia" w:eastAsiaTheme="minorEastAsia"/>
          <w:bCs/>
          <w:color w:val="000000" w:themeColor="text1"/>
          <w:szCs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根据《2021年度浙江省各市信访工作考核办法》考核内容第三部分对统一平台应用和热线管理的要求，对各级信访部门推进数字化改革进行了明确。其中要求信、访、网、电需全部纳入统一政务咨询投诉举报平台</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另根据《浙江省大数据发展管理局关于印发2021年浙江省政府网站工作要点的通知》中明确，要求非信访类咨询事项即时答复率90%以上，</w:t>
      </w:r>
      <w:r>
        <w:rPr>
          <w:rFonts w:hint="eastAsia" w:asciiTheme="minorEastAsia" w:hAnsiTheme="minorEastAsia" w:eastAsiaTheme="minorEastAsia"/>
          <w:bCs/>
          <w:color w:val="000000" w:themeColor="text1"/>
          <w:kern w:val="28"/>
          <w:szCs w:val="28"/>
          <w14:textFill>
            <w14:solidFill>
              <w14:schemeClr w14:val="tx1"/>
            </w14:solidFill>
          </w14:textFill>
        </w:rPr>
        <w:t>社会矛盾中90%以上力图化解在基层，</w:t>
      </w:r>
      <w:r>
        <w:rPr>
          <w:rFonts w:asciiTheme="minorEastAsia" w:hAnsiTheme="minorEastAsia" w:eastAsiaTheme="minorEastAsia"/>
          <w:color w:val="000000" w:themeColor="text1"/>
          <w14:textFill>
            <w14:solidFill>
              <w14:schemeClr w14:val="tx1"/>
            </w14:solidFill>
          </w14:textFill>
        </w:rPr>
        <w:t>同时根据市信访局对网信预处理办理要求的进一步提高，对信访事项整体分析和把握智能化需求随之提升。</w:t>
      </w:r>
    </w:p>
    <w:p>
      <w:pPr>
        <w:pStyle w:val="2"/>
        <w:rPr>
          <w:rFonts w:asciiTheme="minorEastAsia" w:hAnsiTheme="minorEastAsia" w:eastAsiaTheme="minorEastAsia"/>
          <w:color w:val="000000" w:themeColor="text1"/>
          <w14:textFill>
            <w14:solidFill>
              <w14:schemeClr w14:val="tx1"/>
            </w14:solidFill>
          </w14:textFill>
        </w:rPr>
      </w:pPr>
      <w:bookmarkStart w:id="52" w:name="_Toc118808201"/>
      <w:r>
        <w:rPr>
          <w:rFonts w:asciiTheme="minorEastAsia" w:hAnsiTheme="minorEastAsia" w:eastAsiaTheme="minorEastAsia"/>
          <w:color w:val="000000" w:themeColor="text1"/>
          <w14:textFill>
            <w14:solidFill>
              <w14:schemeClr w14:val="tx1"/>
            </w14:solidFill>
          </w14:textFill>
        </w:rPr>
        <w:t>项目建设的目标</w:t>
      </w:r>
      <w:bookmarkEnd w:id="52"/>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本项目整体建设的数字化改革目的是：以现有浙江省统一建设系统的基础上进行深化开发，拓宽信访渠道，满足镇街受理及业务延伸，解决信访最后一环节，避免重复交办，避免重复建设，为基层减负。</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萧山区“一呼解忧”作为2</w:t>
      </w:r>
      <w:r>
        <w:rPr>
          <w:rFonts w:asciiTheme="minorEastAsia" w:hAnsiTheme="minorEastAsia" w:eastAsiaTheme="minorEastAsia"/>
          <w:color w:val="000000" w:themeColor="text1"/>
          <w:sz w:val="28"/>
          <w:szCs w:val="28"/>
          <w14:textFill>
            <w14:solidFill>
              <w14:schemeClr w14:val="tx1"/>
            </w14:solidFill>
          </w14:textFill>
        </w:rPr>
        <w:t>022</w:t>
      </w:r>
      <w:r>
        <w:rPr>
          <w:rFonts w:hint="eastAsia" w:asciiTheme="minorEastAsia" w:hAnsiTheme="minorEastAsia" w:eastAsiaTheme="minorEastAsia"/>
          <w:color w:val="000000" w:themeColor="text1"/>
          <w:sz w:val="28"/>
          <w:szCs w:val="28"/>
          <w14:textFill>
            <w14:solidFill>
              <w14:schemeClr w14:val="tx1"/>
            </w14:solidFill>
          </w14:textFill>
        </w:rPr>
        <w:t>年“民呼我为”应用场景试点项目，已经通过了省委认可并进行试点推进。该项目将会把萧山区所汇集到的基层事件、信访事件、社会组织事件交由浙江省民呼我为系统中的浙里访系统进行业务处理与流转。根据事件不同，其办件流转的系统可分为以下三项：</w:t>
      </w:r>
    </w:p>
    <w:p>
      <w:pPr>
        <w:pStyle w:val="14"/>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1、基层事件，交办至一网统管（基层治理四平台）系统；</w:t>
      </w:r>
    </w:p>
    <w:p>
      <w:pPr>
        <w:pStyle w:val="14"/>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2、信访事件，继续由浙里访系统进行办理；</w:t>
      </w:r>
    </w:p>
    <w:p>
      <w:pPr>
        <w:pStyle w:val="14"/>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3、社会事件，由社会组织的自有系统进行非政府职能单位直接管辖的事件。</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但是，办件流转时需要注意三个问题：</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1、基层事件与信访事件相似度较高，遇到某类复杂事件时难以划分边界关系；</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2、浙里访系统向下派件时只能交办至具体镇和街道，“信访”并未做到向下延伸，镇街无法受理，村社无法办结；</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3、政策指引中明确要求县域内各类矛盾纠纷90%以上化解在乡镇（街道）和村（社区），但并未对基层事件与信访事件做出明确区分，当信访事件延伸到村、社区一级并能够得到解决，同样可以满足9</w:t>
      </w:r>
      <w:r>
        <w:rPr>
          <w:rFonts w:asciiTheme="minorEastAsia" w:hAnsiTheme="minorEastAsia" w:eastAsiaTheme="minorEastAsia"/>
          <w:color w:val="000000" w:themeColor="text1"/>
          <w:sz w:val="28"/>
          <w:szCs w:val="28"/>
          <w14:textFill>
            <w14:solidFill>
              <w14:schemeClr w14:val="tx1"/>
            </w14:solidFill>
          </w14:textFill>
        </w:rPr>
        <w:t>0%</w:t>
      </w:r>
      <w:r>
        <w:rPr>
          <w:rFonts w:hint="eastAsia" w:asciiTheme="minorEastAsia" w:hAnsiTheme="minorEastAsia" w:eastAsiaTheme="minorEastAsia"/>
          <w:color w:val="000000" w:themeColor="text1"/>
          <w:sz w:val="28"/>
          <w:szCs w:val="28"/>
          <w14:textFill>
            <w14:solidFill>
              <w14:schemeClr w14:val="tx1"/>
            </w14:solidFill>
          </w14:textFill>
        </w:rPr>
        <w:t>化解在基层的政策要求。</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基于此，萧山区“一呼解忧”项目将进行如下三项重点建设，来支持镇街受理与基层治理：</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1、拓宽受理渠道。将萧山发布、1</w:t>
      </w:r>
      <w:r>
        <w:rPr>
          <w:rFonts w:asciiTheme="minorEastAsia" w:hAnsiTheme="minorEastAsia" w:eastAsiaTheme="minorEastAsia"/>
          <w:color w:val="000000" w:themeColor="text1"/>
          <w:sz w:val="28"/>
          <w:szCs w:val="28"/>
          <w14:textFill>
            <w14:solidFill>
              <w14:schemeClr w14:val="tx1"/>
            </w14:solidFill>
          </w14:textFill>
        </w:rPr>
        <w:t>2345</w:t>
      </w:r>
      <w:r>
        <w:rPr>
          <w:rFonts w:hint="eastAsia" w:asciiTheme="minorEastAsia" w:hAnsiTheme="minorEastAsia" w:eastAsiaTheme="minorEastAsia"/>
          <w:color w:val="000000" w:themeColor="text1"/>
          <w:sz w:val="28"/>
          <w:szCs w:val="28"/>
          <w14:textFill>
            <w14:solidFill>
              <w14:schemeClr w14:val="tx1"/>
            </w14:solidFill>
          </w14:textFill>
        </w:rPr>
        <w:t>、网络问政、微信小程序等各种受理渠道整合入“一呼解忧”这一区县级民呼我为，一呼解忧将承担萧山区投诉渠道整合的任务，建设成区内最大的受理平台。</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其中85%的简单事项，通过前期的系统建设，完成高效处置；不足1%的多跨疑难事件，通过萧山区一网统管解决；剩余的14%左右较难处理的信访事件，需要通过强化处置来解决，主要包括指挥调度系统的几大模块：七张清单、十三专班、四大专项行动等。</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镇街受理及向下延伸。根据省市要求，社会矛盾纠纷90%化解在基层。目前萧山区内没有镇街受理投诉的渠道，镇街目前只具备来信、来访处理能力，但未具备相关通信受理、通讯能力以及网上信访能力。通过受理下沉，矛盾化解在一线，做到大事小事不出镇。</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同时，延展信访渠道，将办件延伸到村、社的具体部门和具体科室，做到“访”需向下延伸，解决信访最后一环节。当信访事件延伸到镇街下一级的村社并能够得到解决，同样可以达到社会矛盾纠纷9</w:t>
      </w:r>
      <w:r>
        <w:rPr>
          <w:rFonts w:asciiTheme="minorEastAsia" w:hAnsiTheme="minorEastAsia" w:eastAsiaTheme="minorEastAsia"/>
          <w:color w:val="000000" w:themeColor="text1"/>
          <w:sz w:val="28"/>
          <w:szCs w:val="28"/>
          <w14:textFill>
            <w14:solidFill>
              <w14:schemeClr w14:val="tx1"/>
            </w14:solidFill>
          </w14:textFill>
        </w:rPr>
        <w:t>0%</w:t>
      </w:r>
      <w:r>
        <w:rPr>
          <w:rFonts w:hint="eastAsia" w:asciiTheme="minorEastAsia" w:hAnsiTheme="minorEastAsia" w:eastAsiaTheme="minorEastAsia"/>
          <w:color w:val="000000" w:themeColor="text1"/>
          <w:sz w:val="28"/>
          <w:szCs w:val="28"/>
          <w14:textFill>
            <w14:solidFill>
              <w14:schemeClr w14:val="tx1"/>
            </w14:solidFill>
          </w14:textFill>
        </w:rPr>
        <w:t>化解在基层的政策要求。既与一网统管所解决的基层事件不冲突，又能够解决浙里访系统向下延伸不足、镇街无法受理、村社无法办结的信访基层治理能力，解决信访人的诉求，解决信访最终环节，真正做到“民有所呼，我有所应；民有所呼，我有所为”。</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3、1</w:t>
      </w:r>
      <w:r>
        <w:rPr>
          <w:rFonts w:asciiTheme="minorEastAsia" w:hAnsiTheme="minorEastAsia" w:eastAsiaTheme="minorEastAsia"/>
          <w:color w:val="000000" w:themeColor="text1"/>
          <w:sz w:val="28"/>
          <w:szCs w:val="28"/>
          <w14:textFill>
            <w14:solidFill>
              <w14:schemeClr w14:val="tx1"/>
            </w14:solidFill>
          </w14:textFill>
        </w:rPr>
        <w:t>2345</w:t>
      </w:r>
      <w:r>
        <w:rPr>
          <w:rFonts w:hint="eastAsia" w:asciiTheme="minorEastAsia" w:hAnsiTheme="minorEastAsia" w:eastAsiaTheme="minorEastAsia"/>
          <w:color w:val="000000" w:themeColor="text1"/>
          <w:sz w:val="28"/>
          <w:szCs w:val="28"/>
          <w14:textFill>
            <w14:solidFill>
              <w14:schemeClr w14:val="tx1"/>
            </w14:solidFill>
          </w14:textFill>
        </w:rPr>
        <w:t>业务系统适配建设。本次项目为满足建立区县民呼我为应用场景和分析功能需求，本次设计方案将对12345业务系统客平台进行适配建设，引入5</w:t>
      </w:r>
      <w:r>
        <w:rPr>
          <w:rFonts w:asciiTheme="minorEastAsia" w:hAnsiTheme="minorEastAsia" w:eastAsiaTheme="minorEastAsia"/>
          <w:color w:val="000000" w:themeColor="text1"/>
          <w:sz w:val="28"/>
          <w:szCs w:val="28"/>
          <w14:textFill>
            <w14:solidFill>
              <w14:schemeClr w14:val="tx1"/>
            </w14:solidFill>
          </w14:textFill>
        </w:rPr>
        <w:t>G</w:t>
      </w:r>
      <w:r>
        <w:rPr>
          <w:rFonts w:hint="eastAsia" w:asciiTheme="minorEastAsia" w:hAnsiTheme="minorEastAsia" w:eastAsiaTheme="minorEastAsia"/>
          <w:color w:val="000000" w:themeColor="text1"/>
          <w:sz w:val="28"/>
          <w:szCs w:val="28"/>
          <w14:textFill>
            <w14:solidFill>
              <w14:schemeClr w14:val="tx1"/>
            </w14:solidFill>
          </w14:textFill>
        </w:rPr>
        <w:t>智慧联络中心相关技术，使其具备处理5G多媒体通讯的能力。除此之外，通过指挥调度模块的建设，强化疑难信访处置能力。</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目前确定以下镇街为具体建设试点，并作相应技术的适配建设：蜀山街道，新塘街道，盈丰街道，瓜沥镇。</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萧山区“一呼解忧”整体建设逻辑架构图如下所示：</w:t>
      </w:r>
    </w:p>
    <w:p>
      <w:pPr>
        <w:pStyle w:val="14"/>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drawing>
          <wp:inline distT="0" distB="0" distL="0" distR="0">
            <wp:extent cx="6188710" cy="4917440"/>
            <wp:effectExtent l="0" t="0" r="2540" b="0"/>
            <wp:docPr id="467" name="图片 467" descr="C:\Users\Administrator\Desktop\萧山区“一呼解忧”整体建设逻辑架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C:\Users\Administrator\Desktop\萧山区“一呼解忧”整体建设逻辑架构图.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188710" cy="4917729"/>
                    </a:xfrm>
                    <a:prstGeom prst="rect">
                      <a:avLst/>
                    </a:prstGeom>
                    <a:noFill/>
                    <a:ln>
                      <a:noFill/>
                    </a:ln>
                  </pic:spPr>
                </pic:pic>
              </a:graphicData>
            </a:graphic>
          </wp:inline>
        </w:drawing>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根据此图，对萧山区“一呼解忧”多跨场景应用建设重点进行总结：</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1、建设一套具备区县级民呼我为和镇街受理能力的受理模块；</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2、建设一套向下延伸至村社一级（镇街下一级）的处理模块；</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3、整理一张能够区分基层事件与信访事件的事件库清单；</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4、建设一张萧山区信访“五色图”，将效能精确到村社，具备研判、分析、调度能力，即研判调度系统。</w:t>
      </w:r>
    </w:p>
    <w:p>
      <w:pPr>
        <w:pStyle w:val="2"/>
        <w:rPr>
          <w:rFonts w:asciiTheme="minorEastAsia" w:hAnsiTheme="minorEastAsia" w:eastAsiaTheme="minorEastAsia"/>
          <w:color w:val="000000" w:themeColor="text1"/>
          <w14:textFill>
            <w14:solidFill>
              <w14:schemeClr w14:val="tx1"/>
            </w14:solidFill>
          </w14:textFill>
        </w:rPr>
      </w:pPr>
      <w:bookmarkStart w:id="53" w:name="_Toc118808202"/>
      <w:r>
        <w:rPr>
          <w:rFonts w:asciiTheme="minorEastAsia" w:hAnsiTheme="minorEastAsia" w:eastAsiaTheme="minorEastAsia"/>
          <w:color w:val="000000" w:themeColor="text1"/>
          <w14:textFill>
            <w14:solidFill>
              <w14:schemeClr w14:val="tx1"/>
            </w14:solidFill>
          </w14:textFill>
        </w:rPr>
        <w:t>项目建设的</w:t>
      </w:r>
      <w:r>
        <w:rPr>
          <w:rFonts w:hint="eastAsia" w:asciiTheme="minorEastAsia" w:hAnsiTheme="minorEastAsia" w:eastAsiaTheme="minorEastAsia"/>
          <w:color w:val="000000" w:themeColor="text1"/>
          <w14:textFill>
            <w14:solidFill>
              <w14:schemeClr w14:val="tx1"/>
            </w14:solidFill>
          </w14:textFill>
        </w:rPr>
        <w:t>必要性</w:t>
      </w:r>
      <w:bookmarkEnd w:id="53"/>
    </w:p>
    <w:p>
      <w:pPr>
        <w:pStyle w:val="77"/>
        <w:ind w:firstLine="560"/>
        <w:rPr>
          <w:rFonts w:asciiTheme="minorEastAsia" w:hAnsiTheme="minorEastAsia" w:eastAsiaTheme="minorEastAsia"/>
          <w:bCs/>
          <w:color w:val="000000" w:themeColor="text1"/>
          <w:kern w:val="28"/>
          <w:szCs w:val="28"/>
          <w14:textFill>
            <w14:solidFill>
              <w14:schemeClr w14:val="tx1"/>
            </w14:solidFill>
          </w14:textFill>
        </w:rPr>
      </w:pPr>
      <w:r>
        <w:rPr>
          <w:rFonts w:asciiTheme="minorEastAsia" w:hAnsiTheme="minorEastAsia" w:eastAsiaTheme="minorEastAsia"/>
          <w:bCs/>
          <w:color w:val="000000" w:themeColor="text1"/>
          <w:kern w:val="28"/>
          <w:szCs w:val="28"/>
          <w14:textFill>
            <w14:solidFill>
              <w14:schemeClr w14:val="tx1"/>
            </w14:solidFill>
          </w14:textFill>
        </w:rPr>
        <w:t>根据市委、市政府的部署要求，着力推进热线工作数字化转型，倾力确保热线“接得更快、分得更准、办得更实”，全力实现市民服务“一号响应”、民意诉求“一</w:t>
      </w:r>
      <w:r>
        <w:rPr>
          <w:rFonts w:hint="eastAsia" w:asciiTheme="minorEastAsia" w:hAnsiTheme="minorEastAsia" w:eastAsiaTheme="minorEastAsia"/>
          <w:bCs/>
          <w:color w:val="000000" w:themeColor="text1"/>
          <w:kern w:val="28"/>
          <w:szCs w:val="28"/>
          <w14:textFill>
            <w14:solidFill>
              <w14:schemeClr w14:val="tx1"/>
            </w14:solidFill>
          </w14:textFill>
        </w:rPr>
        <w:t>呼解忧</w:t>
      </w:r>
      <w:r>
        <w:rPr>
          <w:rFonts w:asciiTheme="minorEastAsia" w:hAnsiTheme="minorEastAsia" w:eastAsiaTheme="minorEastAsia"/>
          <w:bCs/>
          <w:color w:val="000000" w:themeColor="text1"/>
          <w:kern w:val="28"/>
          <w:szCs w:val="28"/>
          <w14:textFill>
            <w14:solidFill>
              <w14:schemeClr w14:val="tx1"/>
            </w14:solidFill>
          </w14:textFill>
        </w:rPr>
        <w:t>”，助力提升城市软实力。</w:t>
      </w:r>
      <w:r>
        <w:rPr>
          <w:rFonts w:hint="eastAsia" w:asciiTheme="minorEastAsia" w:hAnsiTheme="minorEastAsia" w:eastAsiaTheme="minorEastAsia"/>
          <w:bCs/>
          <w:color w:val="000000" w:themeColor="text1"/>
          <w:kern w:val="28"/>
          <w:szCs w:val="28"/>
          <w14:textFill>
            <w14:solidFill>
              <w14:schemeClr w14:val="tx1"/>
            </w14:solidFill>
          </w14:textFill>
        </w:rPr>
        <w:t>根据省委区县级社会综治中心建设相关要求，社会矛盾中90%以上力图化解在基层。现阶段，浙里访系统虽有对镇街的账号设立、流程覆盖，但是在话务接听、网信受理等方面，缺少直达路径；或者现有的线下途径，难以实现数据归集、数智赋能。尤为突出的是，镇街及以下，尤其是村社层面，缺乏应急联动能力、快速响应机制，在实现信访问题村社归集、基层化解的能力上，还有进步空间。</w:t>
      </w:r>
    </w:p>
    <w:p>
      <w:pPr>
        <w:pStyle w:val="14"/>
        <w:spacing w:line="360" w:lineRule="auto"/>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市民热线是连接政府和人民群众的重要纽带,是人民诉求的传声筒,是建设服务型政府的重要举措。在当今数字信息驰骋的时代，民众诉求一改往日直接到部门诉求的方式，建立“足不出户、解决迅速”的智能渠道，区12345每日接到的日咨询投诉量高达4000-8000件。比如在萧山某些小区对于停水、停电等咨询在短短2小时内就收到了150通电话，</w:t>
      </w:r>
      <w:r>
        <w:rPr>
          <w:rFonts w:hint="eastAsia" w:asciiTheme="minorEastAsia" w:hAnsiTheme="minorEastAsia" w:eastAsiaTheme="minorEastAsia"/>
          <w:color w:val="000000" w:themeColor="text1"/>
          <w:sz w:val="28"/>
          <w:szCs w:val="28"/>
          <w14:textFill>
            <w14:solidFill>
              <w14:schemeClr w14:val="tx1"/>
            </w14:solidFill>
          </w14:textFill>
        </w:rPr>
        <w:t>仅凭电话通道，不仅效率低，还会造成1</w:t>
      </w:r>
      <w:r>
        <w:rPr>
          <w:rFonts w:asciiTheme="minorEastAsia" w:hAnsiTheme="minorEastAsia" w:eastAsiaTheme="minorEastAsia"/>
          <w:color w:val="000000" w:themeColor="text1"/>
          <w:sz w:val="28"/>
          <w:szCs w:val="28"/>
          <w14:textFill>
            <w14:solidFill>
              <w14:schemeClr w14:val="tx1"/>
            </w14:solidFill>
          </w14:textFill>
        </w:rPr>
        <w:t>2345</w:t>
      </w:r>
      <w:r>
        <w:rPr>
          <w:rFonts w:hint="eastAsia" w:asciiTheme="minorEastAsia" w:hAnsiTheme="minorEastAsia" w:eastAsiaTheme="minorEastAsia"/>
          <w:color w:val="000000" w:themeColor="text1"/>
          <w:sz w:val="28"/>
          <w:szCs w:val="28"/>
          <w14:textFill>
            <w14:solidFill>
              <w14:schemeClr w14:val="tx1"/>
            </w14:solidFill>
          </w14:textFill>
        </w:rPr>
        <w:t>客服进线堵塞，但是如果有了全渠道受理能力，群众除了电话方式，还能通过这些渠道来反映问题，客服在受理的时候，也不限于一对一，而是和人工智能结合起来一对多受理，因为这期间大量的工作相对重复，人工+多媒体+人工智能组合方式才是最优受理方式。</w:t>
      </w:r>
    </w:p>
    <w:p>
      <w:pPr>
        <w:pStyle w:val="77"/>
        <w:ind w:firstLine="56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当前，国内坚持走自主研发道路的主流厂商，在5G多媒体通讯方面，有着丰富的应用场景支持，可以为1</w:t>
      </w:r>
      <w:r>
        <w:rPr>
          <w:rFonts w:asciiTheme="minorEastAsia" w:hAnsiTheme="minorEastAsia" w:eastAsiaTheme="minorEastAsia"/>
          <w:color w:val="000000" w:themeColor="text1"/>
          <w:szCs w:val="28"/>
          <w14:textFill>
            <w14:solidFill>
              <w14:schemeClr w14:val="tx1"/>
            </w14:solidFill>
          </w14:textFill>
        </w:rPr>
        <w:t>2345</w:t>
      </w:r>
      <w:r>
        <w:rPr>
          <w:rFonts w:hint="eastAsia" w:asciiTheme="minorEastAsia" w:hAnsiTheme="minorEastAsia" w:eastAsiaTheme="minorEastAsia"/>
          <w:color w:val="000000" w:themeColor="text1"/>
          <w:szCs w:val="28"/>
          <w14:textFill>
            <w14:solidFill>
              <w14:schemeClr w14:val="tx1"/>
            </w14:solidFill>
          </w14:textFill>
        </w:rPr>
        <w:t>服务提供更多丰富的功能，例如：5G视频客服，多方视频客服，5G多媒体通讯，5G消息，</w:t>
      </w:r>
      <w:r>
        <w:rPr>
          <w:rFonts w:asciiTheme="minorEastAsia" w:hAnsiTheme="minorEastAsia" w:eastAsiaTheme="minorEastAsia"/>
          <w:color w:val="000000" w:themeColor="text1"/>
          <w:szCs w:val="28"/>
          <w14:textFill>
            <w14:solidFill>
              <w14:schemeClr w14:val="tx1"/>
            </w14:solidFill>
          </w14:textFill>
        </w:rPr>
        <w:t>5</w:t>
      </w:r>
      <w:r>
        <w:rPr>
          <w:rFonts w:hint="eastAsia" w:asciiTheme="minorEastAsia" w:hAnsiTheme="minorEastAsia" w:eastAsiaTheme="minorEastAsia"/>
          <w:color w:val="000000" w:themeColor="text1"/>
          <w:szCs w:val="28"/>
          <w14:textFill>
            <w14:solidFill>
              <w14:schemeClr w14:val="tx1"/>
            </w14:solidFill>
          </w14:textFill>
        </w:rPr>
        <w:t>G技术结合当前已上线的人工智能模块，智能人机协作，智能工作流工单等，特别是国产方案已经可以利用现有4G和5G网络，提供多媒体视频服务和多媒体消息，视频导航等服务，多媒体全渠道，完善互动机制能给1</w:t>
      </w:r>
      <w:r>
        <w:rPr>
          <w:rFonts w:asciiTheme="minorEastAsia" w:hAnsiTheme="minorEastAsia" w:eastAsiaTheme="minorEastAsia"/>
          <w:color w:val="000000" w:themeColor="text1"/>
          <w:szCs w:val="28"/>
          <w14:textFill>
            <w14:solidFill>
              <w14:schemeClr w14:val="tx1"/>
            </w14:solidFill>
          </w14:textFill>
        </w:rPr>
        <w:t>2345</w:t>
      </w:r>
      <w:r>
        <w:rPr>
          <w:rFonts w:hint="eastAsia" w:asciiTheme="minorEastAsia" w:hAnsiTheme="minorEastAsia" w:eastAsiaTheme="minorEastAsia"/>
          <w:color w:val="000000" w:themeColor="text1"/>
          <w:szCs w:val="28"/>
          <w14:textFill>
            <w14:solidFill>
              <w14:schemeClr w14:val="tx1"/>
            </w14:solidFill>
          </w14:textFill>
        </w:rPr>
        <w:t>服务更多高效高质量服务能力，提高人民群众满意度。</w:t>
      </w:r>
    </w:p>
    <w:p>
      <w:pPr>
        <w:pStyle w:val="77"/>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本项目作为“</w:t>
      </w:r>
      <w:r>
        <w:rPr>
          <w:rFonts w:asciiTheme="minorEastAsia" w:hAnsiTheme="minorEastAsia" w:eastAsiaTheme="minorEastAsia"/>
          <w:color w:val="000000" w:themeColor="text1"/>
          <w:szCs w:val="28"/>
          <w:lang w:val="zh-CN"/>
          <w14:textFill>
            <w14:solidFill>
              <w14:schemeClr w14:val="tx1"/>
            </w14:solidFill>
          </w14:textFill>
        </w:rPr>
        <w:t>一网受理、多跨协调、全量分析、闭环处置、媒体融合</w:t>
      </w:r>
      <w:r>
        <w:rPr>
          <w:rFonts w:asciiTheme="minorEastAsia" w:hAnsiTheme="minorEastAsia" w:eastAsiaTheme="minorEastAsia"/>
          <w:color w:val="000000" w:themeColor="text1"/>
          <w:szCs w:val="28"/>
          <w14:textFill>
            <w14:solidFill>
              <w14:schemeClr w14:val="tx1"/>
            </w14:solidFill>
          </w14:textFill>
        </w:rPr>
        <w:t>”的数智化项目，积极响应杭州市长“把数字化、一体化、现代化贯穿到发展全过程各方面”的会议精神，围绕</w:t>
      </w:r>
      <w:r>
        <w:rPr>
          <w:rFonts w:hint="eastAsia" w:asciiTheme="minorEastAsia" w:hAnsiTheme="minorEastAsia" w:eastAsiaTheme="minorEastAsia"/>
          <w:color w:val="000000" w:themeColor="text1"/>
          <w:szCs w:val="28"/>
          <w14:textFill>
            <w14:solidFill>
              <w14:schemeClr w14:val="tx1"/>
            </w14:solidFill>
          </w14:textFill>
        </w:rPr>
        <w:t>多媒体智能客服</w:t>
      </w:r>
      <w:r>
        <w:rPr>
          <w:rFonts w:asciiTheme="minorEastAsia" w:hAnsiTheme="minorEastAsia" w:eastAsiaTheme="minorEastAsia"/>
          <w:color w:val="000000" w:themeColor="text1"/>
          <w:szCs w:val="28"/>
          <w14:textFill>
            <w14:solidFill>
              <w14:schemeClr w14:val="tx1"/>
            </w14:solidFill>
          </w14:textFill>
        </w:rPr>
        <w:t>改革发展方向，全面贯彻高水平建设数智新萧山、奋力打造重要窗口示范样板新要求，具有为民办实事的深刻意义</w:t>
      </w:r>
      <w:r>
        <w:rPr>
          <w:rFonts w:hint="eastAsia" w:asciiTheme="minorEastAsia" w:hAnsiTheme="minorEastAsia" w:eastAsiaTheme="minorEastAsia"/>
          <w:color w:val="000000" w:themeColor="text1"/>
          <w:szCs w:val="28"/>
          <w14:textFill>
            <w14:solidFill>
              <w14:schemeClr w14:val="tx1"/>
            </w14:solidFill>
          </w14:textFill>
        </w:rPr>
        <w:t>。</w:t>
      </w:r>
    </w:p>
    <w:p>
      <w:pPr>
        <w:pStyle w:val="2"/>
        <w:rPr>
          <w:rFonts w:asciiTheme="minorEastAsia" w:hAnsiTheme="minorEastAsia" w:eastAsiaTheme="minorEastAsia"/>
          <w:color w:val="000000" w:themeColor="text1"/>
          <w14:textFill>
            <w14:solidFill>
              <w14:schemeClr w14:val="tx1"/>
            </w14:solidFill>
          </w14:textFill>
        </w:rPr>
      </w:pPr>
      <w:bookmarkStart w:id="54" w:name="_Toc118808203"/>
      <w:r>
        <w:rPr>
          <w:rFonts w:asciiTheme="minorEastAsia" w:hAnsiTheme="minorEastAsia" w:eastAsiaTheme="minorEastAsia"/>
          <w:color w:val="000000" w:themeColor="text1"/>
          <w14:textFill>
            <w14:solidFill>
              <w14:schemeClr w14:val="tx1"/>
            </w14:solidFill>
          </w14:textFill>
        </w:rPr>
        <w:t>项目建设</w:t>
      </w:r>
      <w:r>
        <w:rPr>
          <w:rFonts w:hint="eastAsia" w:asciiTheme="minorEastAsia" w:hAnsiTheme="minorEastAsia" w:eastAsiaTheme="minorEastAsia"/>
          <w:color w:val="000000" w:themeColor="text1"/>
          <w14:textFill>
            <w14:solidFill>
              <w14:schemeClr w14:val="tx1"/>
            </w14:solidFill>
          </w14:textFill>
        </w:rPr>
        <w:t>内容</w:t>
      </w:r>
      <w:bookmarkEnd w:id="54"/>
    </w:p>
    <w:p>
      <w:pPr>
        <w:ind w:firstLine="56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本项目将</w:t>
      </w:r>
      <w:r>
        <w:rPr>
          <w:rFonts w:hint="eastAsia" w:asciiTheme="minorEastAsia" w:hAnsiTheme="minorEastAsia" w:eastAsiaTheme="minorEastAsia"/>
          <w:color w:val="000000" w:themeColor="text1"/>
          <w14:textFill>
            <w14:solidFill>
              <w14:schemeClr w14:val="tx1"/>
            </w14:solidFill>
          </w14:textFill>
        </w:rPr>
        <w:t>结合1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系统进行适配建设，同时包含5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技术能力建设、一呼解忧服务端、移动治理端、智治系统等建设内容的开发。</w:t>
      </w:r>
      <w:r>
        <w:rPr>
          <w:rFonts w:asciiTheme="minorEastAsia" w:hAnsiTheme="minorEastAsia" w:eastAsiaTheme="minorEastAsia"/>
          <w:color w:val="000000" w:themeColor="text1"/>
          <w14:textFill>
            <w14:solidFill>
              <w14:schemeClr w14:val="tx1"/>
            </w14:solidFill>
          </w14:textFill>
        </w:rPr>
        <w:t>本项目将</w:t>
      </w:r>
      <w:r>
        <w:rPr>
          <w:rFonts w:hint="eastAsia" w:asciiTheme="minorEastAsia" w:hAnsiTheme="minorEastAsia" w:eastAsiaTheme="minorEastAsia"/>
          <w:color w:val="000000" w:themeColor="text1"/>
          <w14:textFill>
            <w14:solidFill>
              <w14:schemeClr w14:val="tx1"/>
            </w14:solidFill>
          </w14:textFill>
        </w:rPr>
        <w:t>开发并优化与“一网统管”、“浙里办”微信小程序、镇街系统、省市“民呼我为”、短信平台的接口对接与集成，提升性能，优化平台业务处理性能</w:t>
      </w:r>
      <w:r>
        <w:rPr>
          <w:rFonts w:asciiTheme="minorEastAsia" w:hAnsiTheme="minorEastAsia" w:eastAsiaTheme="minorEastAsia"/>
          <w:color w:val="000000" w:themeColor="text1"/>
          <w14:textFill>
            <w14:solidFill>
              <w14:schemeClr w14:val="tx1"/>
            </w14:solidFill>
          </w14:textFill>
        </w:rPr>
        <w:t>；本项目将</w:t>
      </w:r>
      <w:r>
        <w:rPr>
          <w:rFonts w:hint="eastAsia" w:asciiTheme="minorEastAsia" w:hAnsiTheme="minorEastAsia" w:eastAsiaTheme="minorEastAsia"/>
          <w:color w:val="000000" w:themeColor="text1"/>
          <w14:textFill>
            <w14:solidFill>
              <w14:schemeClr w14:val="tx1"/>
            </w14:solidFill>
          </w14:textFill>
        </w:rPr>
        <w:t>提供安装部署、第三方监理、安全评测、运维等相关响应服务。</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总体建设内容详见下表：</w:t>
      </w:r>
    </w:p>
    <w:tbl>
      <w:tblPr>
        <w:tblStyle w:val="38"/>
        <w:tblW w:w="9067" w:type="dxa"/>
        <w:jc w:val="center"/>
        <w:tblLayout w:type="autofit"/>
        <w:tblCellMar>
          <w:top w:w="0" w:type="dxa"/>
          <w:left w:w="108" w:type="dxa"/>
          <w:bottom w:w="0" w:type="dxa"/>
          <w:right w:w="108" w:type="dxa"/>
        </w:tblCellMar>
      </w:tblPr>
      <w:tblGrid>
        <w:gridCol w:w="562"/>
        <w:gridCol w:w="1134"/>
        <w:gridCol w:w="4253"/>
        <w:gridCol w:w="850"/>
        <w:gridCol w:w="1134"/>
        <w:gridCol w:w="1134"/>
      </w:tblGrid>
      <w:tr>
        <w:trPr>
          <w:trHeight w:val="312"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序号</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建设 内容</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二级</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数量</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单位</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备注</w:t>
            </w:r>
          </w:p>
        </w:tc>
      </w:tr>
      <w:tr>
        <w:tblPrEx>
          <w:tblCellMar>
            <w:top w:w="0" w:type="dxa"/>
            <w:left w:w="108" w:type="dxa"/>
            <w:bottom w:w="0" w:type="dxa"/>
            <w:right w:w="108" w:type="dxa"/>
          </w:tblCellMar>
        </w:tblPrEx>
        <w:trPr>
          <w:trHeight w:val="660"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一呼</w:t>
            </w:r>
          </w:p>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解忧</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一呼解忧服务端</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25"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2</w:t>
            </w:r>
          </w:p>
        </w:tc>
        <w:tc>
          <w:tcPr>
            <w:tcW w:w="1134"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一呼解忧移动治理端</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3</w:t>
            </w:r>
          </w:p>
        </w:tc>
        <w:tc>
          <w:tcPr>
            <w:tcW w:w="1134"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一呼解忧智治系统</w:t>
            </w:r>
          </w:p>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(包含智能派单+镇街建设)</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含镇街20路坐席许可租赁三年</w:t>
            </w:r>
          </w:p>
        </w:tc>
      </w:tr>
      <w:tr>
        <w:tblPrEx>
          <w:tblCellMar>
            <w:top w:w="0" w:type="dxa"/>
            <w:left w:w="108" w:type="dxa"/>
            <w:bottom w:w="0" w:type="dxa"/>
            <w:right w:w="108" w:type="dxa"/>
          </w:tblCellMar>
        </w:tblPrEx>
        <w:trPr>
          <w:trHeight w:val="557"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4</w:t>
            </w:r>
          </w:p>
        </w:tc>
        <w:tc>
          <w:tcPr>
            <w:tcW w:w="11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5G</w:t>
            </w:r>
          </w:p>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智慧</w:t>
            </w:r>
          </w:p>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联络</w:t>
            </w:r>
          </w:p>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中心</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视频IVR</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96"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5</w:t>
            </w:r>
          </w:p>
        </w:tc>
        <w:tc>
          <w:tcPr>
            <w:tcW w:w="1134"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视频客服</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62"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6</w:t>
            </w:r>
          </w:p>
        </w:tc>
        <w:tc>
          <w:tcPr>
            <w:tcW w:w="1134"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5G消息</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98"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7</w:t>
            </w:r>
          </w:p>
        </w:tc>
        <w:tc>
          <w:tcPr>
            <w:tcW w:w="1134" w:type="dxa"/>
            <w:vMerge w:val="restart"/>
            <w:tcBorders>
              <w:top w:val="single" w:color="000000" w:sz="4" w:space="0"/>
              <w:left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2345</w:t>
            </w:r>
            <w:r>
              <w:rPr>
                <w:rFonts w:hint="eastAsia" w:cs="宋体" w:asciiTheme="minorEastAsia" w:hAnsiTheme="minorEastAsia" w:eastAsiaTheme="minorEastAsia"/>
                <w:color w:val="000000" w:themeColor="text1"/>
                <w:kern w:val="0"/>
                <w:szCs w:val="28"/>
                <w14:textFill>
                  <w14:solidFill>
                    <w14:schemeClr w14:val="tx1"/>
                  </w14:solidFill>
                </w14:textFill>
              </w:rPr>
              <w:t>适配</w:t>
            </w:r>
          </w:p>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建设</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云通信租赁</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60</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路</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租赁3年</w:t>
            </w:r>
          </w:p>
        </w:tc>
      </w:tr>
      <w:tr>
        <w:trPr>
          <w:trHeight w:val="708"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8</w:t>
            </w:r>
          </w:p>
        </w:tc>
        <w:tc>
          <w:tcPr>
            <w:tcW w:w="1134" w:type="dxa"/>
            <w:vMerge w:val="continue"/>
            <w:tcBorders>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坐席辅助建设</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20</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路</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312"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9</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第三方对接</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数据接口与平台对接</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99"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0</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话机 耳麦</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话机耳麦</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20</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97"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1</w:t>
            </w:r>
          </w:p>
        </w:tc>
        <w:tc>
          <w:tcPr>
            <w:tcW w:w="1134" w:type="dxa"/>
            <w:vMerge w:val="restart"/>
            <w:tcBorders>
              <w:top w:val="single" w:color="000000" w:sz="4" w:space="0"/>
              <w:left w:val="single" w:color="000000" w:sz="4" w:space="0"/>
              <w:right w:val="single" w:color="000000" w:sz="4" w:space="0"/>
            </w:tcBorders>
            <w:shd w:val="clear" w:color="auto" w:fill="auto"/>
            <w:vAlign w:val="center"/>
          </w:tcPr>
          <w:p>
            <w:pPr>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其他</w:t>
            </w:r>
          </w:p>
          <w:p>
            <w:pPr>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费用</w:t>
            </w: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软件评测</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次</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49"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2</w:t>
            </w:r>
          </w:p>
        </w:tc>
        <w:tc>
          <w:tcPr>
            <w:tcW w:w="1134" w:type="dxa"/>
            <w:vMerge w:val="continue"/>
            <w:tcBorders>
              <w:left w:val="single" w:color="000000" w:sz="4" w:space="0"/>
              <w:right w:val="single" w:color="000000" w:sz="4" w:space="0"/>
            </w:tcBorders>
            <w:shd w:val="clear" w:color="auto" w:fill="auto"/>
            <w:vAlign w:val="center"/>
          </w:tcPr>
          <w:p>
            <w:pPr>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监理服务</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 w:val="22"/>
                <w:szCs w:val="22"/>
                <w14:textFill>
                  <w14:solidFill>
                    <w14:schemeClr w14:val="tx1"/>
                  </w14:solidFill>
                </w14:textFill>
              </w:rPr>
            </w:pPr>
            <w:r>
              <w:rPr>
                <w:rFonts w:hint="eastAsia" w:cs="宋体" w:asciiTheme="minorEastAsia" w:hAnsiTheme="minorEastAsia" w:eastAsiaTheme="minorEastAsia"/>
                <w:color w:val="000000" w:themeColor="text1"/>
                <w:kern w:val="0"/>
                <w:sz w:val="22"/>
                <w:szCs w:val="22"/>
                <w14:textFill>
                  <w14:solidFill>
                    <w14:schemeClr w14:val="tx1"/>
                  </w14:solidFill>
                </w14:textFill>
              </w:rPr>
              <w:t>采购人另行采购，不在本次招标范围内</w:t>
            </w:r>
          </w:p>
        </w:tc>
      </w:tr>
      <w:tr>
        <w:tblPrEx>
          <w:tblCellMar>
            <w:top w:w="0" w:type="dxa"/>
            <w:left w:w="108" w:type="dxa"/>
            <w:bottom w:w="0" w:type="dxa"/>
            <w:right w:w="108" w:type="dxa"/>
          </w:tblCellMar>
        </w:tblPrEx>
        <w:trPr>
          <w:trHeight w:val="556"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3</w:t>
            </w:r>
          </w:p>
        </w:tc>
        <w:tc>
          <w:tcPr>
            <w:tcW w:w="1134" w:type="dxa"/>
            <w:vMerge w:val="continue"/>
            <w:tcBorders>
              <w:left w:val="single" w:color="000000" w:sz="4" w:space="0"/>
              <w:right w:val="single" w:color="000000" w:sz="4" w:space="0"/>
            </w:tcBorders>
            <w:shd w:val="clear" w:color="auto" w:fill="auto"/>
            <w:vAlign w:val="center"/>
          </w:tcPr>
          <w:p>
            <w:pPr>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招标代理</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套</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hint="eastAsia" w:cs="宋体" w:asciiTheme="minorEastAsia" w:hAnsiTheme="minorEastAsia" w:eastAsiaTheme="minorEastAsia"/>
                <w:color w:val="000000" w:themeColor="text1"/>
                <w:kern w:val="0"/>
                <w:sz w:val="22"/>
                <w:szCs w:val="22"/>
                <w:lang w:eastAsia="zh-CN"/>
                <w14:textFill>
                  <w14:solidFill>
                    <w14:schemeClr w14:val="tx1"/>
                  </w14:solidFill>
                </w14:textFill>
              </w:rPr>
            </w:pPr>
            <w:r>
              <w:rPr>
                <w:rFonts w:hint="eastAsia" w:cs="宋体" w:asciiTheme="minorEastAsia" w:hAnsiTheme="minorEastAsia" w:eastAsiaTheme="minorEastAsia"/>
                <w:color w:val="000000" w:themeColor="text1"/>
                <w:kern w:val="0"/>
                <w:sz w:val="22"/>
                <w:szCs w:val="22"/>
                <w14:textFill>
                  <w14:solidFill>
                    <w14:schemeClr w14:val="tx1"/>
                  </w14:solidFill>
                </w14:textFill>
              </w:rPr>
              <w:t>代理服务费由</w:t>
            </w:r>
            <w:r>
              <w:rPr>
                <w:rFonts w:hint="eastAsia" w:cs="宋体" w:asciiTheme="minorEastAsia" w:hAnsiTheme="minorEastAsia" w:eastAsiaTheme="minorEastAsia"/>
                <w:color w:val="000000" w:themeColor="text1"/>
                <w:kern w:val="0"/>
                <w:sz w:val="22"/>
                <w:szCs w:val="22"/>
                <w:lang w:val="en-US" w:eastAsia="zh-CN"/>
                <w14:textFill>
                  <w14:solidFill>
                    <w14:schemeClr w14:val="tx1"/>
                  </w14:solidFill>
                </w14:textFill>
              </w:rPr>
              <w:t>采购人</w:t>
            </w:r>
            <w:r>
              <w:rPr>
                <w:rFonts w:hint="eastAsia" w:cs="宋体" w:asciiTheme="minorEastAsia" w:hAnsiTheme="minorEastAsia" w:eastAsiaTheme="minorEastAsia"/>
                <w:color w:val="000000" w:themeColor="text1"/>
                <w:kern w:val="0"/>
                <w:sz w:val="22"/>
                <w:szCs w:val="22"/>
                <w14:textFill>
                  <w14:solidFill>
                    <w14:schemeClr w14:val="tx1"/>
                  </w14:solidFill>
                </w14:textFill>
              </w:rPr>
              <w:t>支付</w:t>
            </w:r>
          </w:p>
        </w:tc>
      </w:tr>
      <w:tr>
        <w:tblPrEx>
          <w:tblCellMar>
            <w:top w:w="0" w:type="dxa"/>
            <w:left w:w="108" w:type="dxa"/>
            <w:bottom w:w="0" w:type="dxa"/>
            <w:right w:w="108" w:type="dxa"/>
          </w:tblCellMar>
        </w:tblPrEx>
        <w:trPr>
          <w:trHeight w:val="564"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4</w:t>
            </w:r>
          </w:p>
        </w:tc>
        <w:tc>
          <w:tcPr>
            <w:tcW w:w="1134" w:type="dxa"/>
            <w:vMerge w:val="continue"/>
            <w:tcBorders>
              <w:left w:val="single" w:color="000000" w:sz="4" w:space="0"/>
              <w:right w:val="single" w:color="000000" w:sz="4" w:space="0"/>
            </w:tcBorders>
            <w:shd w:val="clear" w:color="auto" w:fill="auto"/>
            <w:vAlign w:val="center"/>
          </w:tcPr>
          <w:p>
            <w:pPr>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等保二级</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次</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58"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5</w:t>
            </w:r>
          </w:p>
        </w:tc>
        <w:tc>
          <w:tcPr>
            <w:tcW w:w="1134" w:type="dxa"/>
            <w:vMerge w:val="continue"/>
            <w:tcBorders>
              <w:left w:val="single" w:color="000000" w:sz="4" w:space="0"/>
              <w:right w:val="single" w:color="000000" w:sz="4" w:space="0"/>
            </w:tcBorders>
            <w:shd w:val="clear" w:color="auto" w:fill="auto"/>
            <w:vAlign w:val="center"/>
          </w:tcPr>
          <w:p>
            <w:pPr>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渗透测试</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次</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52"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r>
              <w:rPr>
                <w:rFonts w:cs="宋体" w:asciiTheme="minorEastAsia" w:hAnsiTheme="minorEastAsia" w:eastAsiaTheme="minorEastAsia"/>
                <w:color w:val="000000" w:themeColor="text1"/>
                <w:kern w:val="0"/>
                <w:szCs w:val="28"/>
                <w14:textFill>
                  <w14:solidFill>
                    <w14:schemeClr w14:val="tx1"/>
                  </w14:solidFill>
                </w14:textFill>
              </w:rPr>
              <w:t>6</w:t>
            </w:r>
          </w:p>
        </w:tc>
        <w:tc>
          <w:tcPr>
            <w:tcW w:w="1134" w:type="dxa"/>
            <w:vMerge w:val="continue"/>
            <w:tcBorders>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c>
          <w:tcPr>
            <w:tcW w:w="425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风险评估</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次</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rPr>
                <w:rFonts w:cs="宋体" w:asciiTheme="minorEastAsia" w:hAnsiTheme="minorEastAsia" w:eastAsiaTheme="minorEastAsia"/>
                <w:color w:val="000000" w:themeColor="text1"/>
                <w:kern w:val="0"/>
                <w:szCs w:val="28"/>
                <w14:textFill>
                  <w14:solidFill>
                    <w14:schemeClr w14:val="tx1"/>
                  </w14:solidFill>
                </w14:textFill>
              </w:rPr>
            </w:pPr>
          </w:p>
        </w:tc>
      </w:tr>
    </w:tbl>
    <w:p>
      <w:pPr>
        <w:rPr>
          <w:rFonts w:asciiTheme="minorEastAsia" w:hAnsiTheme="minorEastAsia" w:eastAsiaTheme="minorEastAsia"/>
          <w:color w:val="000000" w:themeColor="text1"/>
          <w14:textFill>
            <w14:solidFill>
              <w14:schemeClr w14:val="tx1"/>
            </w14:solidFill>
          </w14:textFill>
        </w:rPr>
      </w:pPr>
    </w:p>
    <w:p>
      <w:pPr>
        <w:pStyle w:val="2"/>
        <w:rPr>
          <w:rFonts w:asciiTheme="minorEastAsia" w:hAnsiTheme="minorEastAsia" w:eastAsiaTheme="minorEastAsia"/>
          <w:color w:val="000000" w:themeColor="text1"/>
          <w14:textFill>
            <w14:solidFill>
              <w14:schemeClr w14:val="tx1"/>
            </w14:solidFill>
          </w14:textFill>
        </w:rPr>
      </w:pPr>
      <w:bookmarkStart w:id="55" w:name="_Toc118808204"/>
      <w:r>
        <w:rPr>
          <w:rFonts w:asciiTheme="minorEastAsia" w:hAnsiTheme="minorEastAsia" w:eastAsiaTheme="minorEastAsia"/>
          <w:color w:val="000000" w:themeColor="text1"/>
          <w14:textFill>
            <w14:solidFill>
              <w14:schemeClr w14:val="tx1"/>
            </w14:solidFill>
          </w14:textFill>
        </w:rPr>
        <w:t>项目建设周期</w:t>
      </w:r>
      <w:bookmarkEnd w:id="5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项目</w:t>
      </w:r>
      <w:r>
        <w:rPr>
          <w:rFonts w:hint="eastAsia" w:asciiTheme="minorEastAsia" w:hAnsiTheme="minorEastAsia" w:eastAsiaTheme="minorEastAsia"/>
          <w:color w:val="000000" w:themeColor="text1"/>
          <w14:textFill>
            <w14:solidFill>
              <w14:schemeClr w14:val="tx1"/>
            </w14:solidFill>
          </w14:textFill>
        </w:rPr>
        <w:t>建</w:t>
      </w:r>
      <w:r>
        <w:rPr>
          <w:rFonts w:asciiTheme="minorEastAsia" w:hAnsiTheme="minorEastAsia" w:eastAsiaTheme="minorEastAsia"/>
          <w:color w:val="000000" w:themeColor="text1"/>
          <w14:textFill>
            <w14:solidFill>
              <w14:schemeClr w14:val="tx1"/>
            </w14:solidFill>
          </w14:textFill>
        </w:rPr>
        <w:t>设期为5</w:t>
      </w:r>
      <w:r>
        <w:rPr>
          <w:rFonts w:hint="eastAsia" w:asciiTheme="minorEastAsia" w:hAnsiTheme="minorEastAsia" w:eastAsiaTheme="minorEastAsia"/>
          <w:color w:val="000000" w:themeColor="text1"/>
          <w14:textFill>
            <w14:solidFill>
              <w14:schemeClr w14:val="tx1"/>
            </w14:solidFill>
          </w14:textFill>
        </w:rPr>
        <w:t>个月。</w:t>
      </w:r>
    </w:p>
    <w:bookmarkEnd w:id="43"/>
    <w:bookmarkEnd w:id="44"/>
    <w:bookmarkEnd w:id="45"/>
    <w:bookmarkEnd w:id="46"/>
    <w:bookmarkEnd w:id="47"/>
    <w:bookmarkEnd w:id="48"/>
    <w:bookmarkEnd w:id="49"/>
    <w:bookmarkEnd w:id="50"/>
    <w:bookmarkEnd w:id="51"/>
    <w:p>
      <w:pPr>
        <w:pStyle w:val="5"/>
        <w:rPr>
          <w:rFonts w:asciiTheme="minorEastAsia" w:hAnsiTheme="minorEastAsia" w:eastAsiaTheme="minorEastAsia"/>
          <w:color w:val="000000" w:themeColor="text1"/>
          <w14:textFill>
            <w14:solidFill>
              <w14:schemeClr w14:val="tx1"/>
            </w14:solidFill>
          </w14:textFill>
        </w:rPr>
      </w:pPr>
      <w:bookmarkStart w:id="56" w:name="_Toc118808205"/>
      <w:bookmarkStart w:id="57" w:name="_Toc64986406"/>
      <w:bookmarkStart w:id="58" w:name="_Toc527558031"/>
      <w:bookmarkStart w:id="59" w:name="_Toc25465"/>
      <w:bookmarkStart w:id="60" w:name="_Toc9593988"/>
      <w:bookmarkStart w:id="61" w:name="_Toc9594091"/>
      <w:r>
        <w:rPr>
          <w:rFonts w:hint="eastAsia" w:asciiTheme="minorEastAsia" w:hAnsiTheme="minorEastAsia" w:eastAsiaTheme="minorEastAsia"/>
          <w:color w:val="000000" w:themeColor="text1"/>
          <w14:textFill>
            <w14:solidFill>
              <w14:schemeClr w14:val="tx1"/>
            </w14:solidFill>
          </w14:textFill>
        </w:rPr>
        <w:t>项目总投资及资金来源</w:t>
      </w:r>
      <w:bookmarkEnd w:id="56"/>
    </w:p>
    <w:p>
      <w:pPr>
        <w:ind w:firstLine="560" w:firstLineChars="20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本项目的投资估算为人民币</w:t>
      </w:r>
      <w:r>
        <w:rPr>
          <w:rFonts w:ascii="宋体" w:hAnsi="宋体"/>
          <w:color w:val="000000" w:themeColor="text1"/>
          <w14:textFill>
            <w14:solidFill>
              <w14:schemeClr w14:val="tx1"/>
            </w14:solidFill>
          </w14:textFill>
        </w:rPr>
        <w:t>375</w:t>
      </w:r>
      <w:r>
        <w:rPr>
          <w:rFonts w:hint="eastAsia" w:ascii="宋体" w:hAnsi="宋体"/>
          <w:color w:val="000000" w:themeColor="text1"/>
          <w14:textFill>
            <w14:solidFill>
              <w14:schemeClr w14:val="tx1"/>
            </w14:solidFill>
          </w14:textFill>
        </w:rPr>
        <w:t>万元，</w:t>
      </w:r>
      <w:r>
        <w:rPr>
          <w:rFonts w:asciiTheme="minorEastAsia" w:hAnsiTheme="minorEastAsia" w:eastAsiaTheme="minorEastAsia"/>
          <w:color w:val="000000" w:themeColor="text1"/>
          <w:szCs w:val="28"/>
          <w14:textFill>
            <w14:solidFill>
              <w14:schemeClr w14:val="tx1"/>
            </w14:solidFill>
          </w14:textFill>
        </w:rPr>
        <w:t>项目建设资金来源为萧山区</w:t>
      </w:r>
      <w:r>
        <w:rPr>
          <w:rFonts w:hint="eastAsia" w:asciiTheme="minorEastAsia" w:hAnsiTheme="minorEastAsia" w:eastAsiaTheme="minorEastAsia"/>
          <w:color w:val="000000" w:themeColor="text1"/>
          <w:szCs w:val="28"/>
          <w14:textFill>
            <w14:solidFill>
              <w14:schemeClr w14:val="tx1"/>
            </w14:solidFill>
          </w14:textFill>
        </w:rPr>
        <w:t>财政资金。本次招标预算金额36</w:t>
      </w:r>
      <w:r>
        <w:rPr>
          <w:rFonts w:hint="eastAsia" w:asciiTheme="minorEastAsia" w:hAnsiTheme="minorEastAsia" w:eastAsiaTheme="minorEastAsia"/>
          <w:color w:val="000000" w:themeColor="text1"/>
          <w:szCs w:val="28"/>
          <w:lang w:val="en-US" w:eastAsia="zh-CN"/>
          <w14:textFill>
            <w14:solidFill>
              <w14:schemeClr w14:val="tx1"/>
            </w14:solidFill>
          </w14:textFill>
        </w:rPr>
        <w:t>1</w:t>
      </w:r>
      <w:r>
        <w:rPr>
          <w:rFonts w:hint="eastAsia" w:asciiTheme="minorEastAsia" w:hAnsiTheme="minorEastAsia" w:eastAsiaTheme="minorEastAsia"/>
          <w:color w:val="000000" w:themeColor="text1"/>
          <w:szCs w:val="28"/>
          <w14:textFill>
            <w14:solidFill>
              <w14:schemeClr w14:val="tx1"/>
            </w14:solidFill>
          </w14:textFill>
        </w:rPr>
        <w:t>万元。</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bookmarkStart w:id="62" w:name="_Toc9593982"/>
      <w:bookmarkStart w:id="63" w:name="_Toc9594085"/>
      <w:bookmarkStart w:id="64" w:name="_Toc64986400"/>
      <w:bookmarkStart w:id="65" w:name="_Toc16627"/>
      <w:bookmarkStart w:id="66" w:name="_Toc527558025"/>
    </w:p>
    <w:bookmarkEnd w:id="62"/>
    <w:bookmarkEnd w:id="63"/>
    <w:bookmarkEnd w:id="64"/>
    <w:bookmarkEnd w:id="65"/>
    <w:bookmarkEnd w:id="66"/>
    <w:p>
      <w:pPr>
        <w:pStyle w:val="3"/>
        <w:rPr>
          <w:rFonts w:asciiTheme="minorEastAsia" w:hAnsiTheme="minorEastAsia" w:eastAsiaTheme="minorEastAsia"/>
          <w:color w:val="000000" w:themeColor="text1"/>
          <w14:textFill>
            <w14:solidFill>
              <w14:schemeClr w14:val="tx1"/>
            </w14:solidFill>
          </w14:textFill>
        </w:rPr>
      </w:pPr>
      <w:bookmarkStart w:id="67" w:name="_Toc64986411"/>
      <w:bookmarkStart w:id="68" w:name="_Toc9593992"/>
      <w:bookmarkStart w:id="69" w:name="_Toc9594095"/>
      <w:bookmarkStart w:id="70" w:name="_Toc22256"/>
      <w:bookmarkStart w:id="71" w:name="_Toc118808206"/>
      <w:bookmarkStart w:id="72" w:name="_Toc527558041"/>
      <w:r>
        <w:rPr>
          <w:rFonts w:asciiTheme="minorEastAsia" w:hAnsiTheme="minorEastAsia" w:eastAsiaTheme="minorEastAsia"/>
          <w:color w:val="000000" w:themeColor="text1"/>
          <w14:textFill>
            <w14:solidFill>
              <w14:schemeClr w14:val="tx1"/>
            </w14:solidFill>
          </w14:textFill>
        </w:rPr>
        <w:t>项目需求分析</w:t>
      </w:r>
      <w:bookmarkEnd w:id="67"/>
      <w:bookmarkEnd w:id="68"/>
      <w:bookmarkEnd w:id="69"/>
      <w:bookmarkEnd w:id="70"/>
      <w:bookmarkEnd w:id="71"/>
      <w:bookmarkEnd w:id="72"/>
    </w:p>
    <w:p>
      <w:pPr>
        <w:pStyle w:val="5"/>
        <w:rPr>
          <w:color w:val="000000" w:themeColor="text1"/>
          <w14:textFill>
            <w14:solidFill>
              <w14:schemeClr w14:val="tx1"/>
            </w14:solidFill>
          </w14:textFill>
        </w:rPr>
      </w:pPr>
      <w:bookmarkStart w:id="73" w:name="_Toc118808207"/>
      <w:bookmarkStart w:id="74" w:name="_Toc168212144"/>
      <w:bookmarkStart w:id="75" w:name="_Toc9618"/>
      <w:bookmarkStart w:id="76" w:name="_Toc32612"/>
      <w:bookmarkStart w:id="77" w:name="_Toc64986422"/>
      <w:bookmarkStart w:id="78" w:name="_Toc521079576"/>
      <w:bookmarkStart w:id="79" w:name="_Toc45825754"/>
      <w:bookmarkStart w:id="80" w:name="_Toc27446"/>
      <w:bookmarkStart w:id="81" w:name="_Toc146353133"/>
      <w:bookmarkStart w:id="82" w:name="_Toc49175040"/>
      <w:r>
        <w:rPr>
          <w:rFonts w:hint="eastAsia"/>
          <w:color w:val="000000" w:themeColor="text1"/>
          <w14:textFill>
            <w14:solidFill>
              <w14:schemeClr w14:val="tx1"/>
            </w14:solidFill>
          </w14:textFill>
        </w:rPr>
        <w:t>现状与差距（含原有软、硬件资源情况）</w:t>
      </w:r>
      <w:bookmarkEnd w:id="73"/>
    </w:p>
    <w:p>
      <w:pPr>
        <w:pStyle w:val="2"/>
        <w:rPr>
          <w:rFonts w:asciiTheme="minorEastAsia" w:hAnsiTheme="minorEastAsia" w:eastAsiaTheme="minorEastAsia"/>
          <w:color w:val="000000" w:themeColor="text1"/>
          <w14:textFill>
            <w14:solidFill>
              <w14:schemeClr w14:val="tx1"/>
            </w14:solidFill>
          </w14:textFill>
        </w:rPr>
      </w:pPr>
      <w:bookmarkStart w:id="83" w:name="_Toc118808208"/>
      <w:bookmarkStart w:id="84" w:name="_Toc80881151"/>
      <w:r>
        <w:rPr>
          <w:rFonts w:asciiTheme="minorEastAsia" w:hAnsiTheme="minorEastAsia" w:eastAsiaTheme="minorEastAsia"/>
          <w:color w:val="000000" w:themeColor="text1"/>
          <w14:textFill>
            <w14:solidFill>
              <w14:schemeClr w14:val="tx1"/>
            </w14:solidFill>
          </w14:textFill>
        </w:rPr>
        <w:t>存在的问题和差距</w:t>
      </w:r>
      <w:bookmarkEnd w:id="83"/>
      <w:bookmarkEnd w:id="84"/>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手段有限导致能力有限</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现有硬件条件制约调解纠纷能力，群众找到1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调解矛盾纠纷，往往会因为1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受理模式单一，经常会面临取证不及时，没有及时保存关键证据，等相关对应处理工作人员到场的时候，却因环境人物变化证据“消失”</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 xml:space="preserve">(通常 </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矛盾制造者</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有比群众更丰富的经验规避取证，打</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擦边球</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)导致纠纷更加复杂，最终让群众认为找1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投诉无门，找1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投诉无用的尴尬结果。导致这样的结果，根本原因是客服远离群众，在调解矛盾纠纷的时候，很难时刻贴近群众，跟群众站在一起，结果，群众看到的问题，客服看不到，群众想告诉客服的事实，客服看不到。</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群众办事透明度低</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群众找到1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反映问题后，想了解问题进展，当前只有两种途径：</w:t>
      </w:r>
      <w:r>
        <w:rPr>
          <w:rFonts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14:textFill>
            <w14:solidFill>
              <w14:schemeClr w14:val="tx1"/>
            </w14:solidFill>
          </w14:textFill>
        </w:rPr>
        <w:t>、再打电话问1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办事进度或者等待1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来电回访办事完成；</w:t>
      </w:r>
      <w:r>
        <w:rPr>
          <w:rFonts w:asciiTheme="minorEastAsia" w:hAnsiTheme="minorEastAsia" w:eastAsiaTheme="minorEastAsia"/>
          <w:color w:val="000000" w:themeColor="text1"/>
          <w14:textFill>
            <w14:solidFill>
              <w14:schemeClr w14:val="tx1"/>
            </w14:solidFill>
          </w14:textFill>
        </w:rPr>
        <w:t>2</w:t>
      </w:r>
      <w:r>
        <w:rPr>
          <w:rFonts w:hint="eastAsia" w:asciiTheme="minorEastAsia" w:hAnsiTheme="minorEastAsia" w:eastAsiaTheme="minorEastAsia"/>
          <w:color w:val="000000" w:themeColor="text1"/>
          <w14:textFill>
            <w14:solidFill>
              <w14:schemeClr w14:val="tx1"/>
            </w14:solidFill>
          </w14:textFill>
        </w:rPr>
        <w:t>、等待1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办事完结短信通知。有限的沟通渠道导致群众获取办事进度过程方式单一，沟通不方便，容易对办事产生疑虑。</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传统客服模式下自我服务能力提升手段有限</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作为为人民群众服务的窗口，客服不仅要业务娴熟，精通自身业务，还要不断学习，强化自身素质，深入理解党和国家各类惠民政策以及法律法规，才能更好的服务人民群众，但是这对客服本身能力就有一定的要求，而当前客服系统平台为传统简单客服平台，客服能力提高，培训教育基本都是线下完成，虽然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开始使用人工智能，但是因为平台本身能力不足，没有充分利用上现有资源，客服整体学习教育培训还是传统模式。线上线下结合度很低，更没有对现有已部署的人工智能做深化应用结合，效率相对现在已经使用上各类人工智能的客服职场，</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还是有较大的差距。</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总体来说，平台整体老旧，难以较好的兼容人工智能，现在已经开始进行智能化客服建设改造，但是当前客服平台所使用的系统年代久远，并处于已停产状态，缺乏技术支撑，已经远远跟不上当前智能客服建设需要，技术条件有限造成了不仅不能发挥现有已建设好的智能模块的最大化最优化利用(平台过于落后，和智能语音模块只能做最基础的集成，智能质检也不能很好的集成融入，只能单独使用)，还限制了更多智能客服能力的扩展(旧系统因为技术问题，计划使用的智能辅助智能培训智能监控等功能根本无法融入现有平台)造成了资源利用率低下，浪费了人工智能在客服的各类功能应用。</w:t>
      </w:r>
    </w:p>
    <w:p>
      <w:pPr>
        <w:pStyle w:val="2"/>
        <w:rPr>
          <w:color w:val="000000" w:themeColor="text1"/>
          <w14:textFill>
            <w14:solidFill>
              <w14:schemeClr w14:val="tx1"/>
            </w14:solidFill>
          </w14:textFill>
        </w:rPr>
      </w:pPr>
      <w:bookmarkStart w:id="85" w:name="_Toc118808209"/>
      <w:r>
        <w:rPr>
          <w:rFonts w:hint="eastAsia"/>
          <w:color w:val="000000" w:themeColor="text1"/>
          <w14:textFill>
            <w14:solidFill>
              <w14:schemeClr w14:val="tx1"/>
            </w14:solidFill>
          </w14:textFill>
        </w:rPr>
        <w:t>软件资源现状</w:t>
      </w:r>
      <w:bookmarkEnd w:id="85"/>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萧山</w:t>
      </w:r>
      <w:r>
        <w:rPr>
          <w:color w:val="000000" w:themeColor="text1"/>
          <w14:textFill>
            <w14:solidFill>
              <w14:schemeClr w14:val="tx1"/>
            </w14:solidFill>
          </w14:textFill>
        </w:rPr>
        <w:t>12345统一政务咨询投诉举报系统数智化建设项目</w:t>
      </w:r>
      <w:r>
        <w:rPr>
          <w:rFonts w:hint="eastAsia"/>
          <w:color w:val="000000" w:themeColor="text1"/>
          <w14:textFill>
            <w14:solidFill>
              <w14:schemeClr w14:val="tx1"/>
            </w14:solidFill>
          </w14:textFill>
        </w:rPr>
        <w:t>解决了萧山区复杂业务场景与信息共享协同的问题，但仍然存在以下几方面的软件资源现状问题。</w:t>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问题一：萧山区整体话务量较大，</w:t>
      </w:r>
      <w:r>
        <w:rPr>
          <w:color w:val="000000" w:themeColor="text1"/>
          <w14:textFill>
            <w14:solidFill>
              <w14:schemeClr w14:val="tx1"/>
            </w14:solidFill>
          </w14:textFill>
        </w:rPr>
        <w:t>12345受理模式单一</w:t>
      </w:r>
      <w:r>
        <w:rPr>
          <w:rFonts w:hint="eastAsia"/>
          <w:color w:val="000000" w:themeColor="text1"/>
          <w14:textFill>
            <w14:solidFill>
              <w14:schemeClr w14:val="tx1"/>
            </w14:solidFill>
          </w14:textFill>
        </w:rPr>
        <w:t>，缺乏5</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通信渠道。市民拨打电话经常面临排队情况，电话接不进，市民的诉求难以及时解决，导致矛盾纠纷扩大化，严重的将导致群众认为找</w:t>
      </w:r>
      <w:r>
        <w:rPr>
          <w:color w:val="000000" w:themeColor="text1"/>
          <w14:textFill>
            <w14:solidFill>
              <w14:schemeClr w14:val="tx1"/>
            </w14:solidFill>
          </w14:textFill>
        </w:rPr>
        <w:t>12345投诉无门，找12345投诉无用的尴尬结果。</w:t>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问题二：沟通渠道单一，缺乏多跨场景应用平台。市民想要了解问题进展，只能通过再次致电1</w:t>
      </w:r>
      <w:r>
        <w:rPr>
          <w:color w:val="000000" w:themeColor="text1"/>
          <w14:textFill>
            <w14:solidFill>
              <w14:schemeClr w14:val="tx1"/>
            </w14:solidFill>
          </w14:textFill>
        </w:rPr>
        <w:t>2345</w:t>
      </w:r>
      <w:r>
        <w:rPr>
          <w:rFonts w:hint="eastAsia"/>
          <w:color w:val="000000" w:themeColor="text1"/>
          <w14:textFill>
            <w14:solidFill>
              <w14:schemeClr w14:val="tx1"/>
            </w14:solidFill>
          </w14:textFill>
        </w:rPr>
        <w:t>或等待1</w:t>
      </w:r>
      <w:r>
        <w:rPr>
          <w:color w:val="000000" w:themeColor="text1"/>
          <w14:textFill>
            <w14:solidFill>
              <w14:schemeClr w14:val="tx1"/>
            </w14:solidFill>
          </w14:textFill>
        </w:rPr>
        <w:t>2345</w:t>
      </w:r>
      <w:r>
        <w:rPr>
          <w:rFonts w:hint="eastAsia"/>
          <w:color w:val="000000" w:themeColor="text1"/>
          <w14:textFill>
            <w14:solidFill>
              <w14:schemeClr w14:val="tx1"/>
            </w14:solidFill>
          </w14:textFill>
        </w:rPr>
        <w:t>的办结短信通知，导致群众获取办事进度过程方式单一，沟通不方便，等相关对应处理工作人员回复时，可能因环境人物变化导致矛盾纠纷复杂化，使市民容易对办事产生疑虑。</w:t>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问题三：基层延申不足，缺乏基层镇街解决渠道。目前区一级只能将工单流转至办事街道或相关镇街，更下一级的具体村、具体街道与处理部门才是解决市民具体诉求的最终环节，我们还缺乏对基层工单的延申与监督。同时，镇街一级缺乏话务受理手段，需要相关软件资源满足镇街受理及向下延伸的要求。</w:t>
      </w:r>
    </w:p>
    <w:p>
      <w:pPr>
        <w:pStyle w:val="2"/>
        <w:rPr>
          <w:color w:val="000000" w:themeColor="text1"/>
          <w14:textFill>
            <w14:solidFill>
              <w14:schemeClr w14:val="tx1"/>
            </w14:solidFill>
          </w14:textFill>
        </w:rPr>
      </w:pPr>
      <w:bookmarkStart w:id="86" w:name="_Toc118808210"/>
      <w:r>
        <w:rPr>
          <w:rFonts w:hint="eastAsia"/>
          <w:color w:val="000000" w:themeColor="text1"/>
          <w14:textFill>
            <w14:solidFill>
              <w14:schemeClr w14:val="tx1"/>
            </w14:solidFill>
          </w14:textFill>
        </w:rPr>
        <w:t>硬件资源现状</w:t>
      </w:r>
      <w:bookmarkEnd w:id="86"/>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根据基础软硬件资源清单申请当地政务云资源，包括不限于服务器资源、存储资源、数据库资源、中间件资源等。</w:t>
      </w:r>
    </w:p>
    <w:p>
      <w:pPr>
        <w:pStyle w:val="5"/>
        <w:rPr>
          <w:color w:val="000000" w:themeColor="text1"/>
          <w14:textFill>
            <w14:solidFill>
              <w14:schemeClr w14:val="tx1"/>
            </w14:solidFill>
          </w14:textFill>
        </w:rPr>
      </w:pPr>
      <w:bookmarkStart w:id="87" w:name="_Toc118808211"/>
      <w:r>
        <w:rPr>
          <w:rFonts w:hint="eastAsia"/>
          <w:color w:val="000000" w:themeColor="text1"/>
          <w14:textFill>
            <w14:solidFill>
              <w14:schemeClr w14:val="tx1"/>
            </w14:solidFill>
          </w14:textFill>
        </w:rPr>
        <w:t>主要应用描述和业务流程分析</w:t>
      </w:r>
      <w:bookmarkEnd w:id="87"/>
    </w:p>
    <w:p>
      <w:pPr>
        <w:pStyle w:val="2"/>
        <w:rPr>
          <w:color w:val="000000" w:themeColor="text1"/>
          <w14:textFill>
            <w14:solidFill>
              <w14:schemeClr w14:val="tx1"/>
            </w14:solidFill>
          </w14:textFill>
        </w:rPr>
      </w:pPr>
      <w:bookmarkStart w:id="88" w:name="_Toc118808212"/>
      <w:r>
        <w:rPr>
          <w:rFonts w:hint="eastAsia"/>
          <w:color w:val="000000" w:themeColor="text1"/>
          <w14:textFill>
            <w14:solidFill>
              <w14:schemeClr w14:val="tx1"/>
            </w14:solidFill>
          </w14:textFill>
        </w:rPr>
        <w:t>需求分析</w:t>
      </w:r>
      <w:bookmarkEnd w:id="88"/>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政务目标分析</w:t>
      </w:r>
    </w:p>
    <w:p>
      <w:pPr>
        <w:ind w:firstLine="560" w:firstLineChars="200"/>
        <w:rPr>
          <w:rFonts w:asciiTheme="minorEastAsia" w:hAnsiTheme="minorEastAsia" w:eastAsiaTheme="minorEastAsia"/>
          <w:color w:val="000000" w:themeColor="text1"/>
          <w:szCs w:val="28"/>
          <w14:textFill>
            <w14:solidFill>
              <w14:schemeClr w14:val="tx1"/>
            </w14:solidFill>
          </w14:textFill>
        </w:rPr>
      </w:pPr>
      <w:bookmarkStart w:id="89" w:name="bookmark20"/>
      <w:bookmarkEnd w:id="89"/>
      <w:r>
        <w:rPr>
          <w:rFonts w:hint="eastAsia" w:asciiTheme="minorEastAsia" w:hAnsiTheme="minorEastAsia" w:eastAsiaTheme="minorEastAsia"/>
          <w:color w:val="000000" w:themeColor="text1"/>
          <w:szCs w:val="28"/>
          <w14:textFill>
            <w14:solidFill>
              <w14:schemeClr w14:val="tx1"/>
            </w14:solidFill>
          </w14:textFill>
        </w:rPr>
        <w:t>本年度</w:t>
      </w:r>
      <w:r>
        <w:rPr>
          <w:rFonts w:asciiTheme="minorEastAsia" w:hAnsiTheme="minorEastAsia" w:eastAsiaTheme="minorEastAsia"/>
          <w:color w:val="000000" w:themeColor="text1"/>
          <w:szCs w:val="28"/>
          <w14:textFill>
            <w14:solidFill>
              <w14:schemeClr w14:val="tx1"/>
            </w14:solidFill>
          </w14:textFill>
        </w:rPr>
        <w:t>萧山区12345工作的要求是：以习近平总书记浙江考察时的重要讲话精神和关于加强与改进人民信访工作重要思想为指导，认真学习贯彻党的十九大和十九届四中全会、省委十四届六次全会、市五届四次党代会和市五届人代会五次会议精神，全面落实全省办信、网上信访和12345政务服务热线会议要求，不断提升我区12345各项工作，提升12345在区域治理体系中的站位，助力“两手抓，两战赢”，在萧山区建设新时代民营经济高质量发展强市建设中发挥更重要的作用，在“重要窗口”建设中谱写萧山区12345新篇章。</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业务需求分析</w:t>
      </w:r>
    </w:p>
    <w:p>
      <w:pPr>
        <w:pStyle w:val="14"/>
        <w:spacing w:line="360" w:lineRule="auto"/>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通过打造萧山“一呼解忧”智治系统，延伸服务触角，提升服务效能，通过对民意数据的充分挖掘、治理、分析与应用，实现辅助决策，推动社会治理。与市级“民呼我为”数智平台实现系统连通、数据互通、业务协同；以镇街为主体，下沉服务到村社，通过事项授权，镇街吹哨、部门报到的方式，即时就近承接办理和回应反馈民意诉求，对市民和企业开展有呼必应的服务模式，实现对市民和企业诉求的统一在线受理、在线办理、在线进度查询、在线反馈评价。提升萧山</w:t>
      </w:r>
      <w:bookmarkStart w:id="502" w:name="_GoBack"/>
      <w:r>
        <w:rPr>
          <w:rFonts w:hint="eastAsia" w:asciiTheme="minorEastAsia" w:hAnsiTheme="minorEastAsia" w:eastAsiaTheme="minorEastAsia"/>
          <w:color w:val="000000" w:themeColor="text1"/>
          <w:sz w:val="28"/>
          <w:szCs w:val="28"/>
          <w14:textFill>
            <w14:solidFill>
              <w14:schemeClr w14:val="tx1"/>
            </w14:solidFill>
          </w14:textFill>
        </w:rPr>
        <w:t>区对市民和企业服务的效能，提升良好的政务服务环境，打造萧山区“有呼必应”</w:t>
      </w:r>
      <w:bookmarkEnd w:id="502"/>
      <w:r>
        <w:rPr>
          <w:rFonts w:hint="eastAsia" w:asciiTheme="minorEastAsia" w:hAnsiTheme="minorEastAsia" w:eastAsiaTheme="minorEastAsia"/>
          <w:color w:val="000000" w:themeColor="text1"/>
          <w:sz w:val="28"/>
          <w:szCs w:val="28"/>
          <w14:textFill>
            <w14:solidFill>
              <w14:schemeClr w14:val="tx1"/>
            </w14:solidFill>
          </w14:textFill>
        </w:rPr>
        <w:t>政府服务形象。</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经过</w:t>
      </w:r>
      <w:r>
        <w:rPr>
          <w:rFonts w:hint="eastAsia" w:asciiTheme="minorEastAsia" w:hAnsiTheme="minorEastAsia" w:eastAsiaTheme="minorEastAsia"/>
          <w:color w:val="000000" w:themeColor="text1"/>
          <w:szCs w:val="28"/>
          <w14:textFill>
            <w14:solidFill>
              <w14:schemeClr w14:val="tx1"/>
            </w14:solidFill>
          </w14:textFill>
        </w:rPr>
        <w:t>全渠道多媒体受理渠道新增</w:t>
      </w:r>
      <w:r>
        <w:rPr>
          <w:rFonts w:asciiTheme="minorEastAsia" w:hAnsiTheme="minorEastAsia" w:eastAsiaTheme="minorEastAsia"/>
          <w:color w:val="000000" w:themeColor="text1"/>
          <w:szCs w:val="28"/>
          <w14:textFill>
            <w14:solidFill>
              <w14:schemeClr w14:val="tx1"/>
            </w14:solidFill>
          </w14:textFill>
        </w:rPr>
        <w:t>整合以及民意渠道整合，会大幅度增加</w:t>
      </w:r>
      <w:r>
        <w:rPr>
          <w:rFonts w:hint="eastAsia" w:asciiTheme="minorEastAsia" w:hAnsiTheme="minorEastAsia" w:eastAsiaTheme="minorEastAsia"/>
          <w:color w:val="000000" w:themeColor="text1"/>
          <w:szCs w:val="28"/>
          <w14:textFill>
            <w14:solidFill>
              <w14:schemeClr w14:val="tx1"/>
            </w14:solidFill>
          </w14:textFill>
        </w:rPr>
        <w:t>客服</w:t>
      </w:r>
      <w:r>
        <w:rPr>
          <w:rFonts w:asciiTheme="minorEastAsia" w:hAnsiTheme="minorEastAsia" w:eastAsiaTheme="minorEastAsia"/>
          <w:color w:val="000000" w:themeColor="text1"/>
          <w:szCs w:val="28"/>
          <w14:textFill>
            <w14:solidFill>
              <w14:schemeClr w14:val="tx1"/>
            </w14:solidFill>
          </w14:textFill>
        </w:rPr>
        <w:t>业务量，因此</w:t>
      </w:r>
      <w:r>
        <w:rPr>
          <w:rFonts w:hint="eastAsia" w:asciiTheme="minorEastAsia" w:hAnsiTheme="minorEastAsia" w:eastAsiaTheme="minorEastAsia"/>
          <w:color w:val="000000" w:themeColor="text1"/>
          <w:szCs w:val="28"/>
          <w14:textFill>
            <w14:solidFill>
              <w14:schemeClr w14:val="tx1"/>
            </w14:solidFill>
          </w14:textFill>
        </w:rPr>
        <w:t>同时还</w:t>
      </w:r>
      <w:r>
        <w:rPr>
          <w:rFonts w:asciiTheme="minorEastAsia" w:hAnsiTheme="minorEastAsia" w:eastAsiaTheme="minorEastAsia"/>
          <w:color w:val="000000" w:themeColor="text1"/>
          <w:szCs w:val="28"/>
          <w14:textFill>
            <w14:solidFill>
              <w14:schemeClr w14:val="tx1"/>
            </w14:solidFill>
          </w14:textFill>
        </w:rPr>
        <w:t>需要</w:t>
      </w:r>
      <w:r>
        <w:rPr>
          <w:rFonts w:hint="eastAsia" w:asciiTheme="minorEastAsia" w:hAnsiTheme="minorEastAsia" w:eastAsiaTheme="minorEastAsia"/>
          <w:color w:val="000000" w:themeColor="text1"/>
          <w:szCs w:val="28"/>
          <w14:textFill>
            <w14:solidFill>
              <w14:schemeClr w14:val="tx1"/>
            </w14:solidFill>
          </w14:textFill>
        </w:rPr>
        <w:t>升级平台对</w:t>
      </w:r>
      <w:r>
        <w:rPr>
          <w:rFonts w:asciiTheme="minorEastAsia" w:hAnsiTheme="minorEastAsia" w:eastAsiaTheme="minorEastAsia"/>
          <w:color w:val="000000" w:themeColor="text1"/>
          <w:szCs w:val="28"/>
          <w14:textFill>
            <w14:solidFill>
              <w14:schemeClr w14:val="tx1"/>
            </w14:solidFill>
          </w14:textFill>
        </w:rPr>
        <w:t>智能化</w:t>
      </w:r>
      <w:r>
        <w:rPr>
          <w:rFonts w:hint="eastAsia" w:asciiTheme="minorEastAsia" w:hAnsiTheme="minorEastAsia" w:eastAsiaTheme="minorEastAsia"/>
          <w:color w:val="000000" w:themeColor="text1"/>
          <w:szCs w:val="28"/>
          <w14:textFill>
            <w14:solidFill>
              <w14:schemeClr w14:val="tx1"/>
            </w14:solidFill>
          </w14:textFill>
        </w:rPr>
        <w:t>深度集成以</w:t>
      </w:r>
      <w:r>
        <w:rPr>
          <w:rFonts w:asciiTheme="minorEastAsia" w:hAnsiTheme="minorEastAsia" w:eastAsiaTheme="minorEastAsia"/>
          <w:color w:val="000000" w:themeColor="text1"/>
          <w:szCs w:val="28"/>
          <w14:textFill>
            <w14:solidFill>
              <w14:schemeClr w14:val="tx1"/>
            </w14:solidFill>
          </w14:textFill>
        </w:rPr>
        <w:t>支撑业务的受理和办理效能，并通过对民意数据的分析应用，及时了解舆情民意趋势、热点并能及时识别问题进行预警提示和干预。同时通过对预警事件和舆情热点分析，对信访工作和党建工作提供辅助决策依据。</w:t>
      </w:r>
    </w:p>
    <w:p>
      <w:pPr>
        <w:pStyle w:val="6"/>
        <w:rPr>
          <w:rFonts w:asciiTheme="minorEastAsia" w:hAnsiTheme="minorEastAsia" w:eastAsiaTheme="minorEastAsia"/>
          <w:color w:val="000000" w:themeColor="text1"/>
          <w14:textFill>
            <w14:solidFill>
              <w14:schemeClr w14:val="tx1"/>
            </w14:solidFill>
          </w14:textFill>
        </w:rPr>
      </w:pPr>
      <w:bookmarkStart w:id="90" w:name="_Toc11346"/>
      <w:bookmarkStart w:id="91" w:name="_Toc64986423"/>
      <w:r>
        <w:rPr>
          <w:rFonts w:asciiTheme="minorEastAsia" w:hAnsiTheme="minorEastAsia" w:eastAsiaTheme="minorEastAsia"/>
          <w:color w:val="000000" w:themeColor="text1"/>
          <w14:textFill>
            <w14:solidFill>
              <w14:schemeClr w14:val="tx1"/>
            </w14:solidFill>
          </w14:textFill>
        </w:rPr>
        <w:t>安全需求分析</w:t>
      </w:r>
      <w:bookmarkEnd w:id="90"/>
      <w:bookmarkEnd w:id="91"/>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根据国家标准</w:t>
      </w:r>
      <w:r>
        <w:rPr>
          <w:rFonts w:asciiTheme="minorEastAsia" w:hAnsiTheme="minorEastAsia" w:eastAsiaTheme="minorEastAsia"/>
          <w:color w:val="000000" w:themeColor="text1"/>
          <w:szCs w:val="28"/>
          <w14:textFill>
            <w14:solidFill>
              <w14:schemeClr w14:val="tx1"/>
            </w14:solidFill>
          </w14:textFill>
        </w:rPr>
        <w:t>《信息安全技术网络安全等级保护基本要求》（GB/T22239-2019）</w:t>
      </w:r>
      <w:r>
        <w:rPr>
          <w:rFonts w:asciiTheme="minorEastAsia" w:hAnsiTheme="minorEastAsia" w:eastAsiaTheme="minorEastAsia"/>
          <w:color w:val="000000" w:themeColor="text1"/>
          <w:kern w:val="0"/>
          <w:szCs w:val="28"/>
          <w14:textFill>
            <w14:solidFill>
              <w14:schemeClr w14:val="tx1"/>
            </w14:solidFill>
          </w14:textFill>
        </w:rPr>
        <w:t>有关要求，结合本项目实际情况，本项目需要达</w:t>
      </w:r>
      <w:r>
        <w:rPr>
          <w:rFonts w:asciiTheme="minorEastAsia" w:hAnsiTheme="minorEastAsia" w:eastAsiaTheme="minorEastAsia"/>
          <w:color w:val="000000" w:themeColor="text1"/>
          <w:szCs w:val="28"/>
          <w14:textFill>
            <w14:solidFill>
              <w14:schemeClr w14:val="tx1"/>
            </w14:solidFill>
          </w14:textFill>
        </w:rPr>
        <w:t>到安全等级二级的要求，</w:t>
      </w:r>
      <w:r>
        <w:rPr>
          <w:rFonts w:asciiTheme="minorEastAsia" w:hAnsiTheme="minorEastAsia" w:eastAsiaTheme="minorEastAsia"/>
          <w:color w:val="000000" w:themeColor="text1"/>
          <w:kern w:val="0"/>
          <w:szCs w:val="28"/>
          <w14:textFill>
            <w14:solidFill>
              <w14:schemeClr w14:val="tx1"/>
            </w14:solidFill>
          </w14:textFill>
        </w:rPr>
        <w:t>至少需满足系统定级和关键信息基础设施评估要求、信息系统安全功能设计要求、信息系统源代码编码安全要求、数据保护要求、部署运行安全要求和安全测评等六个要求</w:t>
      </w:r>
      <w:r>
        <w:rPr>
          <w:rFonts w:hint="eastAsia" w:asciiTheme="minorEastAsia" w:hAnsiTheme="minorEastAsia" w:eastAsiaTheme="minorEastAsia"/>
          <w:color w:val="000000" w:themeColor="text1"/>
          <w:kern w:val="0"/>
          <w:szCs w:val="28"/>
          <w14:textFill>
            <w14:solidFill>
              <w14:schemeClr w14:val="tx1"/>
            </w14:solidFill>
          </w14:textFill>
        </w:rPr>
        <w:t>。</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系统定级和关键信息基础设施评估要求</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信息系统应在设计之初，依据信息系统安全等级保护定级指南，确定定级对象，分别确定定级对象的系统服务和业务信息的安全保护等级，进而确定定级对象的安全等级。初步评估建设对象是否可能为关键信息基础设施。</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信息系统安全功能设计要求</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信息系统在进行功能设计时应包括身份认证、权限管理、安全审计、交互安全、数据分类、数据传输和存储安全等功能，为应用系统提供安全服务。</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权限管理功能：对系统用户进行权限管理，为相关职能部门以及各级机构提供权限内服务；</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安全审计功能：记录用户操作业务系统与安全相关的行为和操作数据，形成审计记录，保留不少于6个月的时限以供审查。并通过实现对审计记录的分析，实现快速准确定位业务系统的安全状态；</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交互安全功能：应用系统应对人机交互及系统间调用接口实现安全保护等；</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数据分类功能：对数据不同类别进行标记，并进行相应保护；</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数据传输和存储安全功能：对重要数据和个人信息进行非明文传输和存储保护。</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信息系统源代码编码安全要求</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信息系统应在设计、开发阶段遵循源代码安全要求，包括对输入校验、输出编码、会话管理、文件系统访问、数据传输及存储、异常处理和代码注释等进行规范。</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数据保护要求</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系统关键信息应在应用程序中实现用户真实身份信息的验证和内容审核流程的功能开发，并对关键业务数据进行分类、加密、脱敏、封装和关联性隔离以及容灾备份等，保障数据在产生、传输、处置和存储等流程中的真实性、完整性、保密性。</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部署运行安全要求</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应当依据国家有关法规、政策及标准要求，针对网络结构、服务器操作系统、数据库系统等领域进行安全防护设计、选型和实施，做到网络结构清晰；网络边界、安全域边界、业务边界隔离防护合理、措施有效；操作系统、数据库等关键设施自身安全防护可达到信息系统相应等级的安全要求等。</w:t>
      </w:r>
    </w:p>
    <w:p>
      <w:pPr>
        <w:ind w:firstLine="560" w:firstLineChars="200"/>
        <w:rPr>
          <w:rFonts w:asciiTheme="minorEastAsia" w:hAnsiTheme="minorEastAsia" w:eastAsiaTheme="minorEastAsia"/>
          <w:color w:val="000000" w:themeColor="text1"/>
          <w:kern w:val="0"/>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应在信息系统的设计、建设实施等工作开展中形成并不断完善系统安全规划、实施、运行方案，对信息系统的部署、使用、应急响应及恢复处置等过程进行详细规定。</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安全测评</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kern w:val="0"/>
          <w:szCs w:val="28"/>
          <w14:textFill>
            <w14:solidFill>
              <w14:schemeClr w14:val="tx1"/>
            </w14:solidFill>
          </w14:textFill>
        </w:rPr>
        <w:t>应开展信息化工程竣工验收时的安全验收测评（含源代码安全审查）、软件验收测评和安全等级测评。</w:t>
      </w:r>
    </w:p>
    <w:p>
      <w:pPr>
        <w:pStyle w:val="14"/>
        <w:rPr>
          <w:rFonts w:asciiTheme="minorEastAsia" w:hAnsiTheme="minorEastAsia" w:eastAsiaTheme="minorEastAsia"/>
          <w:color w:val="000000" w:themeColor="text1"/>
          <w14:textFill>
            <w14:solidFill>
              <w14:schemeClr w14:val="tx1"/>
            </w14:solidFill>
          </w14:textFill>
        </w:rPr>
      </w:pPr>
    </w:p>
    <w:p>
      <w:pPr>
        <w:pStyle w:val="2"/>
        <w:rPr>
          <w:rFonts w:ascii="Times New Roman" w:hAnsi="Times New Roman"/>
          <w:color w:val="000000" w:themeColor="text1"/>
          <w:sz w:val="30"/>
          <w:szCs w:val="30"/>
          <w14:textFill>
            <w14:solidFill>
              <w14:schemeClr w14:val="tx1"/>
            </w14:solidFill>
          </w14:textFill>
        </w:rPr>
      </w:pPr>
      <w:bookmarkStart w:id="92" w:name="_Toc118808213"/>
      <w:r>
        <w:rPr>
          <w:rFonts w:hint="eastAsia" w:ascii="Times New Roman" w:hAnsi="Times New Roman"/>
          <w:color w:val="000000" w:themeColor="text1"/>
          <w:szCs w:val="28"/>
          <w14:textFill>
            <w14:solidFill>
              <w14:schemeClr w14:val="tx1"/>
            </w14:solidFill>
          </w14:textFill>
        </w:rPr>
        <w:t>业务流程分析与应用描述</w:t>
      </w:r>
      <w:bookmarkEnd w:id="92"/>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本项目整体建设的数字化改革目的是：以现有浙江省统一建设系统的基础上进行深化开发，拓宽信访渠道，满足镇街受理及业务延伸，解决信访最后一环节，避免重复交办，避免重复建设，为基层减负。</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萧山区“一呼解忧”作为2</w:t>
      </w:r>
      <w:r>
        <w:rPr>
          <w:rFonts w:asciiTheme="minorEastAsia" w:hAnsiTheme="minorEastAsia" w:eastAsiaTheme="minorEastAsia"/>
          <w:color w:val="000000" w:themeColor="text1"/>
          <w:sz w:val="28"/>
          <w:szCs w:val="28"/>
          <w14:textFill>
            <w14:solidFill>
              <w14:schemeClr w14:val="tx1"/>
            </w14:solidFill>
          </w14:textFill>
        </w:rPr>
        <w:t>022</w:t>
      </w:r>
      <w:r>
        <w:rPr>
          <w:rFonts w:hint="eastAsia" w:asciiTheme="minorEastAsia" w:hAnsiTheme="minorEastAsia" w:eastAsiaTheme="minorEastAsia"/>
          <w:color w:val="000000" w:themeColor="text1"/>
          <w:sz w:val="28"/>
          <w:szCs w:val="28"/>
          <w14:textFill>
            <w14:solidFill>
              <w14:schemeClr w14:val="tx1"/>
            </w14:solidFill>
          </w14:textFill>
        </w:rPr>
        <w:t>年“民呼我为”应用场景试点项目，已经通过了省委认可并进行试点推进。该项目将会把萧山区所汇集到的基层事件、信访事件、社会组织事件交由浙江省民呼我为系统中的浙里访系统进行业务处理与流转。根据事件不同，其办件流转的系统可分为以下三项：</w:t>
      </w:r>
    </w:p>
    <w:p>
      <w:pPr>
        <w:pStyle w:val="14"/>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1、基层事件，交办至一网统管（基层治理四平台）系统；</w:t>
      </w:r>
    </w:p>
    <w:p>
      <w:pPr>
        <w:pStyle w:val="14"/>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2、信访事件，继续由浙里访系统进行办理；</w:t>
      </w:r>
    </w:p>
    <w:p>
      <w:pPr>
        <w:pStyle w:val="14"/>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3、社会事件，由社会组织的自有系统进行非政府职能单位直接管辖的事件。</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但是，办件流转时需要注意三个问题：</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1、基层事件与信访事件相似度较高，遇到某类复杂事件时难以划分边界关系；</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2、浙里访系统向下派件时只能交办至具体镇和街道，“信访”并未做到向下延伸，镇街无法受理，村社无法办结；</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3、政策指引中明确要求县域内各类矛盾纠纷90%以上化解在乡镇（街道）和村（社区），但并未对基层事件与信访事件做出明确区分，当信访事件延伸到村、社区一级并能够得到解决，同样可以满足9</w:t>
      </w:r>
      <w:r>
        <w:rPr>
          <w:rFonts w:asciiTheme="minorEastAsia" w:hAnsiTheme="minorEastAsia" w:eastAsiaTheme="minorEastAsia"/>
          <w:color w:val="000000" w:themeColor="text1"/>
          <w:sz w:val="28"/>
          <w:szCs w:val="28"/>
          <w14:textFill>
            <w14:solidFill>
              <w14:schemeClr w14:val="tx1"/>
            </w14:solidFill>
          </w14:textFill>
        </w:rPr>
        <w:t>0%</w:t>
      </w:r>
      <w:r>
        <w:rPr>
          <w:rFonts w:hint="eastAsia" w:asciiTheme="minorEastAsia" w:hAnsiTheme="minorEastAsia" w:eastAsiaTheme="minorEastAsia"/>
          <w:color w:val="000000" w:themeColor="text1"/>
          <w:sz w:val="28"/>
          <w:szCs w:val="28"/>
          <w14:textFill>
            <w14:solidFill>
              <w14:schemeClr w14:val="tx1"/>
            </w14:solidFill>
          </w14:textFill>
        </w:rPr>
        <w:t>化解在基层的政策要求。</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基于此，萧山区“一呼解忧”项目将进行如下三项重点建设，来支持镇街受理与基层治理：</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1、拓宽受理渠道。将萧山发布、1</w:t>
      </w:r>
      <w:r>
        <w:rPr>
          <w:rFonts w:asciiTheme="minorEastAsia" w:hAnsiTheme="minorEastAsia" w:eastAsiaTheme="minorEastAsia"/>
          <w:color w:val="000000" w:themeColor="text1"/>
          <w:sz w:val="28"/>
          <w:szCs w:val="28"/>
          <w14:textFill>
            <w14:solidFill>
              <w14:schemeClr w14:val="tx1"/>
            </w14:solidFill>
          </w14:textFill>
        </w:rPr>
        <w:t>2345</w:t>
      </w:r>
      <w:r>
        <w:rPr>
          <w:rFonts w:hint="eastAsia" w:asciiTheme="minorEastAsia" w:hAnsiTheme="minorEastAsia" w:eastAsiaTheme="minorEastAsia"/>
          <w:color w:val="000000" w:themeColor="text1"/>
          <w:sz w:val="28"/>
          <w:szCs w:val="28"/>
          <w14:textFill>
            <w14:solidFill>
              <w14:schemeClr w14:val="tx1"/>
            </w14:solidFill>
          </w14:textFill>
        </w:rPr>
        <w:t>、网络问政、微信小程序等各种受理渠道整合入“一呼解忧”这一区县级民呼我为，一呼解忧将承担萧山区投诉渠道整合的任务，建设成区内最大的受理平台。</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其中85%的简单事项，通过前期的系统建设，完成高效处置；不足1%的多跨疑难事件，通过萧山区一网统管解决；剩余的14%左右较难处理的信访事件，需要通过强化处置来解决，主要包括指挥调度系统的几大模块：七张清单、十三专班、四大专项行动等。</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镇街受理分析及向下延伸。根据省市要求，社会矛盾纠纷90%化解在基层。目前萧山区内没有镇街受理投诉的渠道，镇街目前只具备来信、来访处理能力，但未具备相关通信受理、通讯能力以及网上信访能力。通过受理下沉，矛盾化解在一线，做到大事小事不出镇。通过镇街受理分析，强化镇街预警预测数据分析能力，强化疑难信访处置能力。</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同时，延展信访渠道，将办件延伸到村、社的具体部门和具体科室，做到“访”需向下延伸，解决信访最后一环节。当信访事件延伸到镇街下一级的村社并能够得到解决，同样可以达到社会矛盾纠纷9</w:t>
      </w:r>
      <w:r>
        <w:rPr>
          <w:rFonts w:asciiTheme="minorEastAsia" w:hAnsiTheme="minorEastAsia" w:eastAsiaTheme="minorEastAsia"/>
          <w:color w:val="000000" w:themeColor="text1"/>
          <w:sz w:val="28"/>
          <w:szCs w:val="28"/>
          <w14:textFill>
            <w14:solidFill>
              <w14:schemeClr w14:val="tx1"/>
            </w14:solidFill>
          </w14:textFill>
        </w:rPr>
        <w:t>0%</w:t>
      </w:r>
      <w:r>
        <w:rPr>
          <w:rFonts w:hint="eastAsia" w:asciiTheme="minorEastAsia" w:hAnsiTheme="minorEastAsia" w:eastAsiaTheme="minorEastAsia"/>
          <w:color w:val="000000" w:themeColor="text1"/>
          <w:sz w:val="28"/>
          <w:szCs w:val="28"/>
          <w14:textFill>
            <w14:solidFill>
              <w14:schemeClr w14:val="tx1"/>
            </w14:solidFill>
          </w14:textFill>
        </w:rPr>
        <w:t>化解在基层的政策要求。既与一网统管所解决的基层事件不冲突，又能够解决浙里访系统向下延伸不足、镇街无法受理、村社无法办结的信访基层治理能力，解决信访人的诉求，解决信访最终环节，真正做到“民有所呼，我有所应；民有所呼，我有所为”。</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3、1</w:t>
      </w:r>
      <w:r>
        <w:rPr>
          <w:rFonts w:asciiTheme="minorEastAsia" w:hAnsiTheme="minorEastAsia" w:eastAsiaTheme="minorEastAsia"/>
          <w:color w:val="000000" w:themeColor="text1"/>
          <w:sz w:val="28"/>
          <w:szCs w:val="28"/>
          <w14:textFill>
            <w14:solidFill>
              <w14:schemeClr w14:val="tx1"/>
            </w14:solidFill>
          </w14:textFill>
        </w:rPr>
        <w:t>2345</w:t>
      </w:r>
      <w:r>
        <w:rPr>
          <w:rFonts w:hint="eastAsia" w:asciiTheme="minorEastAsia" w:hAnsiTheme="minorEastAsia" w:eastAsiaTheme="minorEastAsia"/>
          <w:color w:val="000000" w:themeColor="text1"/>
          <w:sz w:val="28"/>
          <w:szCs w:val="28"/>
          <w14:textFill>
            <w14:solidFill>
              <w14:schemeClr w14:val="tx1"/>
            </w14:solidFill>
          </w14:textFill>
        </w:rPr>
        <w:t>业务系统适配。本次项目为满足建立区县民呼我为应用场景和分析功能需求，本次设计方案将对12345业务系统客平台进行适配建设，引入5</w:t>
      </w:r>
      <w:r>
        <w:rPr>
          <w:rFonts w:asciiTheme="minorEastAsia" w:hAnsiTheme="minorEastAsia" w:eastAsiaTheme="minorEastAsia"/>
          <w:color w:val="000000" w:themeColor="text1"/>
          <w:sz w:val="28"/>
          <w:szCs w:val="28"/>
          <w14:textFill>
            <w14:solidFill>
              <w14:schemeClr w14:val="tx1"/>
            </w14:solidFill>
          </w14:textFill>
        </w:rPr>
        <w:t>G</w:t>
      </w:r>
      <w:r>
        <w:rPr>
          <w:rFonts w:hint="eastAsia" w:asciiTheme="minorEastAsia" w:hAnsiTheme="minorEastAsia" w:eastAsiaTheme="minorEastAsia"/>
          <w:color w:val="000000" w:themeColor="text1"/>
          <w:sz w:val="28"/>
          <w:szCs w:val="28"/>
          <w14:textFill>
            <w14:solidFill>
              <w14:schemeClr w14:val="tx1"/>
            </w14:solidFill>
          </w14:textFill>
        </w:rPr>
        <w:t>智慧联络中心相关技术，使其具备处理5G多媒体通讯的能力。除此之外，通过指挥调度模块的建设，强化疑难信访处置能力。</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目前确定以下镇街为具体建设试点，并作相应技术的适配建设：蜀山街道，新塘街道，盈丰街道，瓜沥镇。</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萧山区“一呼解忧”整体建设逻辑架构图如下所示：</w:t>
      </w:r>
    </w:p>
    <w:p>
      <w:pPr>
        <w:pStyle w:val="14"/>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drawing>
          <wp:inline distT="0" distB="0" distL="0" distR="0">
            <wp:extent cx="6188710" cy="4917440"/>
            <wp:effectExtent l="0" t="0" r="2540" b="0"/>
            <wp:docPr id="468" name="图片 468" descr="C:\Users\Administrator\Desktop\萧山区“一呼解忧”整体建设逻辑架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C:\Users\Administrator\Desktop\萧山区“一呼解忧”整体建设逻辑架构图.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188710" cy="4917729"/>
                    </a:xfrm>
                    <a:prstGeom prst="rect">
                      <a:avLst/>
                    </a:prstGeom>
                    <a:noFill/>
                    <a:ln>
                      <a:noFill/>
                    </a:ln>
                  </pic:spPr>
                </pic:pic>
              </a:graphicData>
            </a:graphic>
          </wp:inline>
        </w:drawing>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根据此图，对萧山区“一呼解忧”多跨场景应用建设重点进行总结：</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1、建设一套具备区县级民呼我为和镇街受理能力的受理模块；</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2、建设一套向下延伸至村社一级（镇街下一级）的处理模块；</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3、整理一张能够区分基层事件与信访事件的事件库清单；</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4、建设一张萧山区信访“五色图”，将效能精确到村社，具备研判、分析、调度能力，即研判调度系统。</w:t>
      </w:r>
    </w:p>
    <w:p>
      <w:pPr>
        <w:pStyle w:val="2"/>
        <w:rPr>
          <w:color w:val="000000" w:themeColor="text1"/>
          <w14:textFill>
            <w14:solidFill>
              <w14:schemeClr w14:val="tx1"/>
            </w14:solidFill>
          </w14:textFill>
        </w:rPr>
      </w:pPr>
      <w:bookmarkStart w:id="93" w:name="_Toc118808214"/>
      <w:r>
        <w:rPr>
          <w:rFonts w:hint="eastAsia"/>
          <w:color w:val="000000" w:themeColor="text1"/>
          <w14:textFill>
            <w14:solidFill>
              <w14:schemeClr w14:val="tx1"/>
            </w14:solidFill>
          </w14:textFill>
        </w:rPr>
        <w:t>与其他平台的关系</w:t>
      </w:r>
      <w:bookmarkEnd w:id="93"/>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w:t>
      </w:r>
      <w:r>
        <w:rPr>
          <w:rFonts w:hint="eastAsia" w:asciiTheme="minorEastAsia" w:hAnsiTheme="minorEastAsia" w:eastAsiaTheme="minorEastAsia"/>
          <w:color w:val="000000" w:themeColor="text1"/>
          <w14:textFill>
            <w14:solidFill>
              <w14:schemeClr w14:val="tx1"/>
            </w14:solidFill>
          </w14:textFill>
        </w:rPr>
        <w:t>萧山一网统管</w:t>
      </w:r>
      <w:r>
        <w:rPr>
          <w:rFonts w:asciiTheme="minorEastAsia" w:hAnsiTheme="minorEastAsia" w:eastAsiaTheme="minorEastAsia"/>
          <w:color w:val="000000" w:themeColor="text1"/>
          <w14:textFill>
            <w14:solidFill>
              <w14:schemeClr w14:val="tx1"/>
            </w14:solidFill>
          </w14:textFill>
        </w:rPr>
        <w:t>平台的关系</w:t>
      </w:r>
    </w:p>
    <w:p>
      <w:pPr>
        <w:pStyle w:val="111"/>
        <w:spacing w:before="156" w:beforeLines="50" w:after="156" w:afterLines="50"/>
        <w:ind w:firstLine="560"/>
        <w:rPr>
          <w:rFonts w:ascii="Times New Roman" w:hAnsi="Times New Roman" w:cs="Times New Roman"/>
          <w:color w:val="000000" w:themeColor="text1"/>
          <w:sz w:val="28"/>
          <w:szCs w:val="28"/>
          <w:lang w:eastAsia="zh-CN"/>
          <w14:textFill>
            <w14:solidFill>
              <w14:schemeClr w14:val="tx1"/>
            </w14:solidFill>
          </w14:textFill>
        </w:rPr>
      </w:pPr>
      <w:r>
        <w:rPr>
          <w:rFonts w:hint="eastAsia" w:ascii="Times New Roman" w:hAnsi="Times New Roman" w:cs="Times New Roman"/>
          <w:color w:val="000000" w:themeColor="text1"/>
          <w:sz w:val="28"/>
          <w:szCs w:val="28"/>
          <w:lang w:eastAsia="zh-CN"/>
          <w14:textFill>
            <w14:solidFill>
              <w14:schemeClr w14:val="tx1"/>
            </w14:solidFill>
          </w14:textFill>
        </w:rPr>
        <w:t>目前萧山区“一呼解忧”</w:t>
      </w:r>
      <w:r>
        <w:rPr>
          <w:rFonts w:hint="eastAsia" w:asciiTheme="minorEastAsia" w:hAnsiTheme="minorEastAsia" w:eastAsiaTheme="minorEastAsia"/>
          <w:color w:val="000000" w:themeColor="text1"/>
          <w:sz w:val="28"/>
          <w:szCs w:val="28"/>
          <w14:textFill>
            <w14:solidFill>
              <w14:schemeClr w14:val="tx1"/>
            </w14:solidFill>
          </w14:textFill>
        </w:rPr>
        <w:t>多跨场景应用建设</w:t>
      </w:r>
      <w:r>
        <w:rPr>
          <w:rFonts w:hint="eastAsia" w:asciiTheme="minorEastAsia" w:hAnsiTheme="minorEastAsia" w:eastAsiaTheme="minorEastAsia"/>
          <w:color w:val="000000" w:themeColor="text1"/>
          <w:sz w:val="28"/>
          <w:szCs w:val="28"/>
          <w:lang w:eastAsia="zh-CN"/>
          <w14:textFill>
            <w14:solidFill>
              <w14:schemeClr w14:val="tx1"/>
            </w14:solidFill>
          </w14:textFill>
        </w:rPr>
        <w:t>已经与</w:t>
      </w:r>
      <w:r>
        <w:rPr>
          <w:rFonts w:hint="eastAsia" w:ascii="Times New Roman" w:hAnsi="Times New Roman" w:cs="Times New Roman"/>
          <w:color w:val="000000" w:themeColor="text1"/>
          <w:sz w:val="28"/>
          <w:szCs w:val="28"/>
          <w:lang w:eastAsia="zh-CN"/>
          <w14:textFill>
            <w14:solidFill>
              <w14:schemeClr w14:val="tx1"/>
            </w14:solidFill>
          </w14:textFill>
        </w:rPr>
        <w:t>“一网统管”平台完成接口及数据的对接。</w:t>
      </w:r>
    </w:p>
    <w:p>
      <w:pPr>
        <w:pStyle w:val="111"/>
        <w:spacing w:before="156" w:beforeLines="50" w:after="156" w:afterLines="50"/>
        <w:ind w:firstLine="560"/>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eastAsia="zh-CN"/>
          <w14:textFill>
            <w14:solidFill>
              <w14:schemeClr w14:val="tx1"/>
            </w14:solidFill>
          </w14:textFill>
        </w:rPr>
        <w:t>“一网统管”基于“</w:t>
      </w: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多跨协同，条抓块统</w:t>
      </w:r>
      <w:r>
        <w:rPr>
          <w:rFonts w:hint="eastAsia" w:cs="Times New Roman" w:asciiTheme="minorEastAsia" w:hAnsiTheme="minorEastAsia" w:eastAsiaTheme="minorEastAsia"/>
          <w:color w:val="000000" w:themeColor="text1"/>
          <w:sz w:val="28"/>
          <w:szCs w:val="28"/>
          <w:lang w:eastAsia="zh-CN"/>
          <w14:textFill>
            <w14:solidFill>
              <w14:schemeClr w14:val="tx1"/>
            </w14:solidFill>
          </w14:textFill>
        </w:rPr>
        <w:t>”的建设原则，统筹整合26个镇街（平台）智治分中心的手脚力量，并融合了交通、人社、公安等46个部门智治联动工作室进行高效运转，</w:t>
      </w: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形成一支集指挥调度、综管处置、纠纷调解、行政执法、网格建设为一体的应急处置队伍，充分融合“大综合一体化”行政执法改革，有效扩充行政执法力量，能够为信访工作提供有力的民意收集与处置支撑。</w:t>
      </w:r>
    </w:p>
    <w:p>
      <w:pPr>
        <w:pStyle w:val="111"/>
        <w:spacing w:before="156" w:beforeLines="50" w:after="156" w:afterLines="50"/>
        <w:ind w:firstLine="560"/>
        <w:rPr>
          <w:rFonts w:cs="Times New Roman" w:asciiTheme="minorEastAsia" w:hAnsiTheme="minorEastAsia" w:eastAsiaTheme="minorEastAsia"/>
          <w:color w:val="000000" w:themeColor="text1"/>
          <w:sz w:val="28"/>
          <w:szCs w:val="28"/>
          <w:lang w:val="en-US"/>
          <w14:textFill>
            <w14:solidFill>
              <w14:schemeClr w14:val="tx1"/>
            </w14:solidFill>
          </w14:textFill>
        </w:rPr>
      </w:pPr>
      <w:r>
        <w:rPr>
          <w:rFonts w:hint="eastAsia" w:ascii="Times New Roman" w:hAnsi="Times New Roman" w:cs="Times New Roman"/>
          <w:color w:val="000000" w:themeColor="text1"/>
          <w:sz w:val="28"/>
          <w:szCs w:val="28"/>
          <w:lang w:eastAsia="zh-CN"/>
          <w14:textFill>
            <w14:solidFill>
              <w14:schemeClr w14:val="tx1"/>
            </w14:solidFill>
          </w14:textFill>
        </w:rPr>
        <w:t>萧山区“一网统管”平台</w:t>
      </w:r>
      <w:r>
        <w:rPr>
          <w:rFonts w:ascii="Times New Roman" w:hAnsi="Times New Roman" w:cs="Times New Roman"/>
          <w:color w:val="000000" w:themeColor="text1"/>
          <w:sz w:val="28"/>
          <w:szCs w:val="28"/>
          <w14:textFill>
            <w14:solidFill>
              <w14:schemeClr w14:val="tx1"/>
            </w14:solidFill>
          </w14:textFill>
        </w:rPr>
        <w:t>将作为办理民生述求基层穿透的一个渠道，</w:t>
      </w:r>
      <w:r>
        <w:rPr>
          <w:rFonts w:hint="eastAsia" w:ascii="Times New Roman" w:hAnsi="Times New Roman" w:cs="Times New Roman"/>
          <w:color w:val="000000" w:themeColor="text1"/>
          <w:sz w:val="28"/>
          <w:szCs w:val="28"/>
          <w14:textFill>
            <w14:solidFill>
              <w14:schemeClr w14:val="tx1"/>
            </w14:solidFill>
          </w14:textFill>
        </w:rPr>
        <w:t>通过打通“</w:t>
      </w:r>
      <w:r>
        <w:rPr>
          <w:rFonts w:hint="eastAsia" w:ascii="Times New Roman" w:hAnsi="Times New Roman" w:cs="Times New Roman"/>
          <w:color w:val="000000" w:themeColor="text1"/>
          <w:sz w:val="28"/>
          <w:szCs w:val="28"/>
          <w:lang w:eastAsia="zh-CN"/>
          <w14:textFill>
            <w14:solidFill>
              <w14:schemeClr w14:val="tx1"/>
            </w14:solidFill>
          </w14:textFill>
        </w:rPr>
        <w:t>一网统管</w:t>
      </w:r>
      <w:r>
        <w:rPr>
          <w:rFonts w:hint="eastAsia" w:ascii="Times New Roman" w:hAnsi="Times New Roman" w:cs="Times New Roman"/>
          <w:color w:val="000000" w:themeColor="text1"/>
          <w:sz w:val="28"/>
          <w:szCs w:val="28"/>
          <w14:textFill>
            <w14:solidFill>
              <w14:schemeClr w14:val="tx1"/>
            </w14:solidFill>
          </w14:textFill>
        </w:rPr>
        <w:t>”，</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eastAsia" w:ascii="Times New Roman" w:hAnsi="Times New Roman" w:cs="Times New Roman"/>
          <w:color w:val="000000" w:themeColor="text1"/>
          <w:sz w:val="28"/>
          <w:szCs w:val="28"/>
          <w14:textFill>
            <w14:solidFill>
              <w14:schemeClr w14:val="tx1"/>
            </w14:solidFill>
          </w14:textFill>
        </w:rPr>
        <w:t>线下即办类</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eastAsia" w:ascii="Times New Roman" w:hAnsi="Times New Roman" w:cs="Times New Roman"/>
          <w:color w:val="000000" w:themeColor="text1"/>
          <w:sz w:val="28"/>
          <w:szCs w:val="28"/>
          <w14:textFill>
            <w14:solidFill>
              <w14:schemeClr w14:val="tx1"/>
            </w14:solidFill>
          </w14:textFill>
        </w:rPr>
        <w:t>民生件直接流转给</w:t>
      </w:r>
      <w:r>
        <w:rPr>
          <w:rFonts w:hint="eastAsia" w:ascii="Times New Roman" w:hAnsi="Times New Roman" w:cs="Times New Roman"/>
          <w:color w:val="000000" w:themeColor="text1"/>
          <w:sz w:val="28"/>
          <w:szCs w:val="28"/>
          <w:lang w:eastAsia="zh-CN"/>
          <w14:textFill>
            <w14:solidFill>
              <w14:schemeClr w14:val="tx1"/>
            </w14:solidFill>
          </w14:textFill>
        </w:rPr>
        <w:t>“一网统管”平台</w:t>
      </w:r>
      <w:r>
        <w:rPr>
          <w:rFonts w:hint="eastAsia" w:ascii="Times New Roman" w:hAnsi="Times New Roman" w:cs="Times New Roman"/>
          <w:color w:val="000000" w:themeColor="text1"/>
          <w:sz w:val="28"/>
          <w:szCs w:val="28"/>
          <w14:textFill>
            <w14:solidFill>
              <w14:schemeClr w14:val="tx1"/>
            </w14:solidFill>
          </w14:textFill>
        </w:rPr>
        <w:t>，依托</w:t>
      </w:r>
      <w:r>
        <w:rPr>
          <w:rFonts w:hint="eastAsia" w:ascii="Times New Roman" w:hAnsi="Times New Roman" w:cs="Times New Roman"/>
          <w:color w:val="000000" w:themeColor="text1"/>
          <w:sz w:val="28"/>
          <w:szCs w:val="28"/>
          <w:lang w:eastAsia="zh-CN"/>
          <w14:textFill>
            <w14:solidFill>
              <w14:schemeClr w14:val="tx1"/>
            </w14:solidFill>
          </w14:textFill>
        </w:rPr>
        <w:t>执法、</w:t>
      </w:r>
      <w:r>
        <w:rPr>
          <w:rFonts w:hint="eastAsia" w:ascii="Times New Roman" w:hAnsi="Times New Roman" w:cs="Times New Roman"/>
          <w:color w:val="000000" w:themeColor="text1"/>
          <w:sz w:val="28"/>
          <w:szCs w:val="28"/>
          <w14:textFill>
            <w14:solidFill>
              <w14:schemeClr w14:val="tx1"/>
            </w14:solidFill>
          </w14:textFill>
        </w:rPr>
        <w:t>网格化</w:t>
      </w:r>
      <w:r>
        <w:rPr>
          <w:rFonts w:hint="eastAsia" w:ascii="Times New Roman" w:hAnsi="Times New Roman" w:cs="Times New Roman"/>
          <w:color w:val="000000" w:themeColor="text1"/>
          <w:sz w:val="28"/>
          <w:szCs w:val="28"/>
          <w:lang w:eastAsia="zh-CN"/>
          <w14:textFill>
            <w14:solidFill>
              <w14:schemeClr w14:val="tx1"/>
            </w14:solidFill>
          </w14:textFill>
        </w:rPr>
        <w:t>等</w:t>
      </w:r>
      <w:r>
        <w:rPr>
          <w:rFonts w:hint="eastAsia" w:ascii="Times New Roman" w:hAnsi="Times New Roman" w:cs="Times New Roman"/>
          <w:color w:val="000000" w:themeColor="text1"/>
          <w:sz w:val="28"/>
          <w:szCs w:val="28"/>
          <w14:textFill>
            <w14:solidFill>
              <w14:schemeClr w14:val="tx1"/>
            </w14:solidFill>
          </w14:textFill>
        </w:rPr>
        <w:t>队伍，分层分级直穿调度，快速落地、快速处置，以提升群众満意度。</w:t>
      </w:r>
    </w:p>
    <w:p>
      <w:pPr>
        <w:pStyle w:val="111"/>
        <w:spacing w:before="156" w:beforeLines="50" w:after="156" w:afterLines="50"/>
        <w:ind w:firstLine="560"/>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萧山区信访局目前已与“一网统管”平台已做好对接，完成基层事件的流转，并完成协调工作。如下所示：</w:t>
      </w:r>
    </w:p>
    <w:p>
      <w:pPr>
        <w:pStyle w:val="111"/>
        <w:spacing w:before="156" w:beforeLines="50" w:after="156" w:afterLines="50"/>
        <w:ind w:firstLine="0"/>
        <w:jc w:val="center"/>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3070225"/>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10"/>
                    <a:stretch>
                      <a:fillRect/>
                    </a:stretch>
                  </pic:blipFill>
                  <pic:spPr>
                    <a:xfrm>
                      <a:off x="0" y="0"/>
                      <a:ext cx="6188710" cy="3070225"/>
                    </a:xfrm>
                    <a:prstGeom prst="rect">
                      <a:avLst/>
                    </a:prstGeom>
                  </pic:spPr>
                </pic:pic>
              </a:graphicData>
            </a:graphic>
          </wp:inline>
        </w:drawing>
      </w:r>
    </w:p>
    <w:p>
      <w:pPr>
        <w:pStyle w:val="111"/>
        <w:spacing w:before="156" w:beforeLines="50" w:after="156" w:afterLines="50"/>
        <w:ind w:firstLine="0"/>
        <w:jc w:val="center"/>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“一网统管”基层事件流转</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与浙里访的关系</w:t>
      </w:r>
    </w:p>
    <w:p>
      <w:pPr>
        <w:pStyle w:val="111"/>
        <w:spacing w:before="156" w:beforeLines="50" w:after="156" w:afterLines="50"/>
        <w:ind w:firstLine="560"/>
        <w:rPr>
          <w:rFonts w:ascii="Times New Roman" w:hAnsi="Times New Roman" w:eastAsia="PMingLiU"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在</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eastAsia" w:ascii="Times New Roman" w:hAnsi="Times New Roman" w:cs="Times New Roman"/>
          <w:color w:val="000000" w:themeColor="text1"/>
          <w:sz w:val="28"/>
          <w:szCs w:val="28"/>
          <w:lang w:val="en-US" w:eastAsia="zh-CN"/>
          <w14:textFill>
            <w14:solidFill>
              <w14:schemeClr w14:val="tx1"/>
            </w14:solidFill>
          </w14:textFill>
        </w:rPr>
        <w:t>一呼解忧</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ascii="Times New Roman" w:hAnsi="Times New Roman" w:cs="Times New Roman"/>
          <w:color w:val="000000" w:themeColor="text1"/>
          <w:sz w:val="28"/>
          <w:szCs w:val="28"/>
          <w:lang w:eastAsia="zh-CN"/>
          <w14:textFill>
            <w14:solidFill>
              <w14:schemeClr w14:val="tx1"/>
            </w14:solidFill>
          </w14:textFill>
        </w:rPr>
        <w:t>窗</w:t>
      </w:r>
      <w:r>
        <w:rPr>
          <w:rFonts w:ascii="Times New Roman" w:hAnsi="Times New Roman" w:cs="Times New Roman"/>
          <w:color w:val="000000" w:themeColor="text1"/>
          <w:sz w:val="28"/>
          <w:szCs w:val="28"/>
          <w14:textFill>
            <w14:solidFill>
              <w14:schemeClr w14:val="tx1"/>
            </w14:solidFill>
          </w14:textFill>
        </w:rPr>
        <w:t>口受理的，并被认定为非紧急类的事项，将</w:t>
      </w:r>
      <w:r>
        <w:rPr>
          <w:rFonts w:hint="eastAsia" w:ascii="Times New Roman" w:hAnsi="Times New Roman" w:cs="Times New Roman"/>
          <w:color w:val="000000" w:themeColor="text1"/>
          <w:sz w:val="28"/>
          <w:szCs w:val="28"/>
          <w:lang w:eastAsia="zh-CN"/>
          <w14:textFill>
            <w14:solidFill>
              <w14:schemeClr w14:val="tx1"/>
            </w14:solidFill>
          </w14:textFill>
        </w:rPr>
        <w:t>提交到</w:t>
      </w:r>
      <w:r>
        <w:rPr>
          <w:rFonts w:ascii="Times New Roman" w:hAnsi="Times New Roman" w:cs="Times New Roman"/>
          <w:color w:val="000000" w:themeColor="text1"/>
          <w:sz w:val="28"/>
          <w:szCs w:val="28"/>
          <w14:textFill>
            <w14:solidFill>
              <w14:schemeClr w14:val="tx1"/>
            </w14:solidFill>
          </w14:textFill>
        </w:rPr>
        <w:t>浙里访的平</w:t>
      </w:r>
      <w:r>
        <w:rPr>
          <w:rFonts w:ascii="Times New Roman" w:hAnsi="Times New Roman" w:cs="Times New Roman"/>
          <w:color w:val="000000" w:themeColor="text1"/>
          <w:sz w:val="28"/>
          <w:szCs w:val="28"/>
          <w:lang w:eastAsia="zh-CN"/>
          <w14:textFill>
            <w14:solidFill>
              <w14:schemeClr w14:val="tx1"/>
            </w14:solidFill>
          </w14:textFill>
        </w:rPr>
        <w:t>台进</w:t>
      </w:r>
      <w:r>
        <w:rPr>
          <w:rFonts w:ascii="Times New Roman" w:hAnsi="Times New Roman" w:cs="Times New Roman"/>
          <w:color w:val="000000" w:themeColor="text1"/>
          <w:sz w:val="28"/>
          <w:szCs w:val="28"/>
          <w14:textFill>
            <w14:solidFill>
              <w14:schemeClr w14:val="tx1"/>
            </w14:solidFill>
          </w14:textFill>
        </w:rPr>
        <w:t>行流转交办。</w:t>
      </w:r>
      <w:r>
        <w:rPr>
          <w:rFonts w:ascii="Times New Roman" w:hAnsi="Times New Roman" w:cs="Times New Roman"/>
          <w:color w:val="000000" w:themeColor="text1"/>
          <w:sz w:val="28"/>
          <w:szCs w:val="28"/>
          <w:lang w:val="zh-CN" w:eastAsia="zh-CN" w:bidi="zh-CN"/>
          <w14:textFill>
            <w14:solidFill>
              <w14:schemeClr w14:val="tx1"/>
            </w14:solidFill>
          </w14:textFill>
        </w:rPr>
        <w:t>并按</w:t>
      </w:r>
      <w:r>
        <w:rPr>
          <w:rFonts w:ascii="Times New Roman" w:hAnsi="Times New Roman" w:cs="Times New Roman"/>
          <w:color w:val="000000" w:themeColor="text1"/>
          <w:sz w:val="28"/>
          <w:szCs w:val="28"/>
          <w14:textFill>
            <w14:solidFill>
              <w14:schemeClr w14:val="tx1"/>
            </w14:solidFill>
          </w14:textFill>
        </w:rPr>
        <w:t>照浙里</w:t>
      </w:r>
      <w:r>
        <w:rPr>
          <w:rFonts w:hint="eastAsia" w:ascii="Times New Roman" w:hAnsi="Times New Roman" w:cs="Times New Roman"/>
          <w:color w:val="000000" w:themeColor="text1"/>
          <w:sz w:val="28"/>
          <w:szCs w:val="28"/>
          <w:lang w:eastAsia="zh-CN"/>
          <w14:textFill>
            <w14:solidFill>
              <w14:schemeClr w14:val="tx1"/>
            </w14:solidFill>
          </w14:textFill>
        </w:rPr>
        <w:t>访</w:t>
      </w:r>
      <w:r>
        <w:rPr>
          <w:rFonts w:ascii="Times New Roman" w:hAnsi="Times New Roman" w:cs="Times New Roman"/>
          <w:color w:val="000000" w:themeColor="text1"/>
          <w:sz w:val="28"/>
          <w:szCs w:val="28"/>
          <w14:textFill>
            <w14:solidFill>
              <w14:schemeClr w14:val="tx1"/>
            </w14:solidFill>
          </w14:textFill>
        </w:rPr>
        <w:t>的数据共享模式同步办理进度和办理结果</w:t>
      </w:r>
      <w:r>
        <w:rPr>
          <w:rFonts w:hint="eastAsia" w:ascii="Times New Roman" w:hAnsi="Times New Roman" w:cs="Times New Roman"/>
          <w:color w:val="000000" w:themeColor="text1"/>
          <w:sz w:val="28"/>
          <w:szCs w:val="28"/>
          <w:lang w:eastAsia="zh-CN"/>
          <w14:textFill>
            <w14:solidFill>
              <w14:schemeClr w14:val="tx1"/>
            </w14:solidFill>
          </w14:textFill>
        </w:rPr>
        <w:t>，完成信访事件的流转，如下所示：</w:t>
      </w:r>
    </w:p>
    <w:p>
      <w:pPr>
        <w:pStyle w:val="111"/>
        <w:spacing w:before="156" w:beforeLines="50" w:after="156" w:afterLines="50"/>
        <w:ind w:firstLine="0"/>
        <w:jc w:val="center"/>
        <w:rPr>
          <w:rFonts w:ascii="Times New Roman" w:hAnsi="Times New Roman" w:eastAsia="PMingLiU" w:cs="Times New Roman"/>
          <w:color w:val="000000" w:themeColor="text1"/>
          <w:sz w:val="28"/>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3070225"/>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11"/>
                    <a:stretch>
                      <a:fillRect/>
                    </a:stretch>
                  </pic:blipFill>
                  <pic:spPr>
                    <a:xfrm>
                      <a:off x="0" y="0"/>
                      <a:ext cx="6188710" cy="3070225"/>
                    </a:xfrm>
                    <a:prstGeom prst="rect">
                      <a:avLst/>
                    </a:prstGeom>
                  </pic:spPr>
                </pic:pic>
              </a:graphicData>
            </a:graphic>
          </wp:inline>
        </w:drawing>
      </w:r>
    </w:p>
    <w:p>
      <w:pPr>
        <w:pStyle w:val="111"/>
        <w:spacing w:before="156" w:beforeLines="50" w:after="156" w:afterLines="50"/>
        <w:ind w:firstLine="0"/>
        <w:jc w:val="center"/>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“浙里访”信访事件流转</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与浙里办及浙政钉的关系</w:t>
      </w:r>
    </w:p>
    <w:p>
      <w:pPr>
        <w:pStyle w:val="111"/>
        <w:spacing w:before="156" w:beforeLines="50" w:after="156" w:afterLines="50"/>
        <w:ind w:firstLine="56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本项目公众服务端移动应用依托浙里办进行建设，协同办理中心、党政智治中心等移动应</w:t>
      </w:r>
      <w:r>
        <w:rPr>
          <w:rFonts w:ascii="Times New Roman" w:hAnsi="Times New Roman" w:cs="Times New Roman"/>
          <w:color w:val="000000" w:themeColor="text1"/>
          <w:sz w:val="28"/>
          <w:szCs w:val="28"/>
          <w:lang w:eastAsia="zh-CN"/>
          <w14:textFill>
            <w14:solidFill>
              <w14:schemeClr w14:val="tx1"/>
            </w14:solidFill>
          </w14:textFill>
        </w:rPr>
        <w:t>用</w:t>
      </w:r>
      <w:r>
        <w:rPr>
          <w:rFonts w:ascii="Times New Roman" w:hAnsi="Times New Roman" w:cs="Times New Roman"/>
          <w:color w:val="000000" w:themeColor="text1"/>
          <w:sz w:val="28"/>
          <w:szCs w:val="28"/>
          <w14:textFill>
            <w14:solidFill>
              <w14:schemeClr w14:val="tx1"/>
            </w14:solidFill>
          </w14:textFill>
        </w:rPr>
        <w:t>依托浙政钉进行建设，通过浙里办和浙政钉客户端入口登录</w:t>
      </w:r>
      <w:r>
        <w:rPr>
          <w:rFonts w:hint="eastAsia" w:ascii="Times New Roman" w:hAnsi="Times New Roman" w:cs="Times New Roman"/>
          <w:color w:val="000000" w:themeColor="text1"/>
          <w:sz w:val="28"/>
          <w:szCs w:val="28"/>
          <w:lang w:val="zh-CN" w:eastAsia="zh-CN" w:bidi="zh-CN"/>
          <w14:textFill>
            <w14:solidFill>
              <w14:schemeClr w14:val="tx1"/>
            </w14:solidFill>
          </w14:textFill>
        </w:rPr>
        <w:t>“</w:t>
      </w:r>
      <w:r>
        <w:rPr>
          <w:rFonts w:hint="eastAsia" w:ascii="Times New Roman" w:hAnsi="Times New Roman" w:cs="Times New Roman"/>
          <w:color w:val="000000" w:themeColor="text1"/>
          <w:sz w:val="28"/>
          <w:szCs w:val="28"/>
          <w:lang w:val="en-US" w:eastAsia="zh-CN"/>
          <w14:textFill>
            <w14:solidFill>
              <w14:schemeClr w14:val="tx1"/>
            </w14:solidFill>
          </w14:textFill>
        </w:rPr>
        <w:t>一呼解忧</w:t>
      </w:r>
      <w:r>
        <w:rPr>
          <w:rFonts w:hint="eastAsia" w:ascii="Times New Roman" w:hAnsi="Times New Roman" w:cs="Times New Roman"/>
          <w:color w:val="000000" w:themeColor="text1"/>
          <w:sz w:val="28"/>
          <w:szCs w:val="28"/>
          <w:lang w:val="zh-CN" w:eastAsia="zh-CN" w:bidi="zh-CN"/>
          <w14:textFill>
            <w14:solidFill>
              <w14:schemeClr w14:val="tx1"/>
            </w14:solidFill>
          </w14:textFill>
        </w:rPr>
        <w:t>”</w:t>
      </w:r>
      <w:r>
        <w:rPr>
          <w:rFonts w:ascii="Times New Roman" w:hAnsi="Times New Roman" w:cs="Times New Roman"/>
          <w:color w:val="000000" w:themeColor="text1"/>
          <w:sz w:val="28"/>
          <w:szCs w:val="28"/>
          <w14:textFill>
            <w14:solidFill>
              <w14:schemeClr w14:val="tx1"/>
            </w14:solidFill>
          </w14:textFill>
        </w:rPr>
        <w:t>平台进行相关操作。</w:t>
      </w:r>
      <w:r>
        <w:rPr>
          <w:rFonts w:ascii="Times New Roman" w:hAnsi="Times New Roman" w:cs="Times New Roman"/>
          <w:color w:val="000000" w:themeColor="text1"/>
          <w:sz w:val="28"/>
          <w:szCs w:val="28"/>
          <w:lang w:eastAsia="zh-CN"/>
          <w14:textFill>
            <w14:solidFill>
              <w14:schemeClr w14:val="tx1"/>
            </w14:solidFill>
          </w14:textFill>
        </w:rPr>
        <w:t>同时，</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eastAsia" w:ascii="Times New Roman" w:hAnsi="Times New Roman" w:cs="Times New Roman"/>
          <w:color w:val="000000" w:themeColor="text1"/>
          <w:sz w:val="28"/>
          <w:szCs w:val="28"/>
          <w:lang w:val="en-US" w:eastAsia="zh-CN"/>
          <w14:textFill>
            <w14:solidFill>
              <w14:schemeClr w14:val="tx1"/>
            </w14:solidFill>
          </w14:textFill>
        </w:rPr>
        <w:t>一呼解忧</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ascii="Times New Roman" w:hAnsi="Times New Roman" w:cs="Times New Roman"/>
          <w:color w:val="000000" w:themeColor="text1"/>
          <w:sz w:val="28"/>
          <w:szCs w:val="28"/>
          <w14:textFill>
            <w14:solidFill>
              <w14:schemeClr w14:val="tx1"/>
            </w14:solidFill>
          </w14:textFill>
        </w:rPr>
        <w:t>平台用户体系通过对接浙里办</w:t>
      </w:r>
      <w:r>
        <w:rPr>
          <w:rFonts w:ascii="Times New Roman" w:hAnsi="Times New Roman" w:cs="Times New Roman"/>
          <w:color w:val="000000" w:themeColor="text1"/>
          <w:sz w:val="28"/>
          <w:szCs w:val="28"/>
          <w:lang w:eastAsia="zh-CN"/>
          <w14:textFill>
            <w14:solidFill>
              <w14:schemeClr w14:val="tx1"/>
            </w14:solidFill>
          </w14:textFill>
        </w:rPr>
        <w:t>和</w:t>
      </w:r>
      <w:r>
        <w:rPr>
          <w:rFonts w:ascii="Times New Roman" w:hAnsi="Times New Roman" w:cs="Times New Roman"/>
          <w:color w:val="000000" w:themeColor="text1"/>
          <w:sz w:val="28"/>
          <w:szCs w:val="28"/>
          <w14:textFill>
            <w14:solidFill>
              <w14:schemeClr w14:val="tx1"/>
            </w14:solidFill>
          </w14:textFill>
        </w:rPr>
        <w:t>浙政钉统一用户管理体系，实现组织信息、用户信息等的同步，为所有用户在平台内所有应用建立统一的认证，集中管理所有应用授权信息。</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w:t>
      </w:r>
      <w:r>
        <w:rPr>
          <w:rFonts w:hint="eastAsia" w:asciiTheme="minorEastAsia" w:hAnsiTheme="minorEastAsia" w:eastAsiaTheme="minorEastAsia"/>
          <w:color w:val="000000" w:themeColor="text1"/>
          <w14:textFill>
            <w14:solidFill>
              <w14:schemeClr w14:val="tx1"/>
            </w14:solidFill>
          </w14:textFill>
        </w:rPr>
        <w:t>萧山区</w:t>
      </w:r>
      <w:r>
        <w:rPr>
          <w:rFonts w:asciiTheme="minorEastAsia" w:hAnsiTheme="minorEastAsia" w:eastAsiaTheme="minorEastAsia"/>
          <w:color w:val="000000" w:themeColor="text1"/>
          <w14:textFill>
            <w14:solidFill>
              <w14:schemeClr w14:val="tx1"/>
            </w14:solidFill>
          </w14:textFill>
        </w:rPr>
        <w:t>信访局现有系统的关系</w:t>
      </w:r>
    </w:p>
    <w:p>
      <w:pPr>
        <w:pStyle w:val="111"/>
        <w:spacing w:before="156" w:beforeLines="50" w:after="156" w:afterLines="50"/>
        <w:ind w:firstLine="560"/>
        <w:rPr>
          <w:rFonts w:ascii="Times New Roman" w:hAnsi="Times New Roman" w:cs="Times New Roman"/>
          <w:color w:val="000000" w:themeColor="text1"/>
          <w:sz w:val="28"/>
          <w:szCs w:val="28"/>
          <w14:textFill>
            <w14:solidFill>
              <w14:schemeClr w14:val="tx1"/>
            </w14:solidFill>
          </w14:textFill>
        </w:rPr>
      </w:pPr>
      <w:r>
        <w:rPr>
          <w:rFonts w:hint="eastAsia" w:ascii="Times New Roman" w:hAnsi="Times New Roman" w:cs="Times New Roman"/>
          <w:color w:val="000000" w:themeColor="text1"/>
          <w:sz w:val="28"/>
          <w:szCs w:val="28"/>
          <w:lang w:val="en-US" w:eastAsia="zh-CN"/>
          <w14:textFill>
            <w14:solidFill>
              <w14:schemeClr w14:val="tx1"/>
            </w14:solidFill>
          </w14:textFill>
        </w:rPr>
        <w:t>基于萧山区</w:t>
      </w:r>
      <w:r>
        <w:rPr>
          <w:rFonts w:ascii="Times New Roman" w:hAnsi="Times New Roman" w:cs="Times New Roman"/>
          <w:color w:val="000000" w:themeColor="text1"/>
          <w:sz w:val="28"/>
          <w:szCs w:val="28"/>
          <w14:textFill>
            <w14:solidFill>
              <w14:schemeClr w14:val="tx1"/>
            </w14:solidFill>
          </w14:textFill>
        </w:rPr>
        <w:t>信访局</w:t>
      </w:r>
      <w:r>
        <w:rPr>
          <w:rFonts w:hint="eastAsia" w:ascii="Times New Roman" w:hAnsi="Times New Roman" w:cs="Times New Roman"/>
          <w:color w:val="000000" w:themeColor="text1"/>
          <w:sz w:val="28"/>
          <w:szCs w:val="28"/>
          <w:lang w:val="en-US" w:eastAsia="zh-CN"/>
          <w14:textFill>
            <w14:solidFill>
              <w14:schemeClr w14:val="tx1"/>
            </w14:solidFill>
          </w14:textFill>
        </w:rPr>
        <w:t>12345平台进行功能的适配</w:t>
      </w:r>
      <w:r>
        <w:rPr>
          <w:rFonts w:ascii="Times New Roman" w:hAnsi="Times New Roman" w:cs="Times New Roman"/>
          <w:color w:val="000000" w:themeColor="text1"/>
          <w:sz w:val="28"/>
          <w:szCs w:val="28"/>
          <w14:textFill>
            <w14:solidFill>
              <w14:schemeClr w14:val="tx1"/>
            </w14:solidFill>
          </w14:textFill>
        </w:rPr>
        <w:t>，在数据方面将融合市信访局现有的网、电、信、访四大业务板块的相关业务数据，实现整体数据研判，在业务方面，通过多渠道协同办理、基础穿透、提级督办等功能模块是对于现有市信访局业务支撑能力不足的补充，在技术能力方面，</w:t>
      </w:r>
      <w:r>
        <w:rPr>
          <w:rFonts w:hint="eastAsia" w:ascii="Times New Roman" w:hAnsi="Times New Roman" w:cs="Times New Roman"/>
          <w:color w:val="000000" w:themeColor="text1"/>
          <w:sz w:val="28"/>
          <w:szCs w:val="28"/>
          <w:lang w:eastAsia="zh-CN"/>
          <w14:textFill>
            <w14:solidFill>
              <w14:schemeClr w14:val="tx1"/>
            </w14:solidFill>
          </w14:textFill>
        </w:rPr>
        <w:t>5</w:t>
      </w:r>
      <w:r>
        <w:rPr>
          <w:rFonts w:ascii="Times New Roman" w:hAnsi="Times New Roman" w:eastAsia="PMingLiU" w:cs="Times New Roman"/>
          <w:color w:val="000000" w:themeColor="text1"/>
          <w:sz w:val="28"/>
          <w:szCs w:val="28"/>
          <w14:textFill>
            <w14:solidFill>
              <w14:schemeClr w14:val="tx1"/>
            </w14:solidFill>
          </w14:textFill>
        </w:rPr>
        <w:t>G</w:t>
      </w:r>
      <w:r>
        <w:rPr>
          <w:rFonts w:hint="eastAsia" w:cs="Times New Roman" w:asciiTheme="minorEastAsia" w:hAnsiTheme="minorEastAsia" w:eastAsiaTheme="minorEastAsia"/>
          <w:color w:val="000000" w:themeColor="text1"/>
          <w:sz w:val="28"/>
          <w:szCs w:val="28"/>
          <w14:textFill>
            <w14:solidFill>
              <w14:schemeClr w14:val="tx1"/>
            </w14:solidFill>
          </w14:textFill>
        </w:rPr>
        <w:t>视频</w:t>
      </w:r>
      <w:r>
        <w:rPr>
          <w:rFonts w:ascii="Times New Roman" w:hAnsi="Times New Roman" w:eastAsia="PMingLiU" w:cs="Times New Roman"/>
          <w:color w:val="000000" w:themeColor="text1"/>
          <w:sz w:val="28"/>
          <w:szCs w:val="28"/>
          <w14:textFill>
            <w14:solidFill>
              <w14:schemeClr w14:val="tx1"/>
            </w14:solidFill>
          </w14:textFill>
        </w:rPr>
        <w:t>IVR</w:t>
      </w:r>
      <w:r>
        <w:rPr>
          <w:rFonts w:hint="eastAsia" w:cs="Times New Roman" w:asciiTheme="minorEastAsia" w:hAnsiTheme="minorEastAsia" w:eastAsiaTheme="minorEastAsia"/>
          <w:color w:val="000000" w:themeColor="text1"/>
          <w:sz w:val="28"/>
          <w:szCs w:val="28"/>
          <w14:textFill>
            <w14:solidFill>
              <w14:schemeClr w14:val="tx1"/>
            </w14:solidFill>
          </w14:textFill>
        </w:rPr>
        <w:t>、视频客服</w:t>
      </w:r>
      <w:r>
        <w:rPr>
          <w:rFonts w:ascii="Times New Roman" w:hAnsi="Times New Roman" w:cs="Times New Roman"/>
          <w:color w:val="000000" w:themeColor="text1"/>
          <w:sz w:val="28"/>
          <w:szCs w:val="28"/>
          <w14:textFill>
            <w14:solidFill>
              <w14:schemeClr w14:val="tx1"/>
            </w14:solidFill>
          </w14:textFill>
        </w:rPr>
        <w:t>等技术</w:t>
      </w:r>
      <w:r>
        <w:rPr>
          <w:rFonts w:hint="eastAsia" w:ascii="Times New Roman" w:hAnsi="Times New Roman" w:cs="Times New Roman"/>
          <w:color w:val="000000" w:themeColor="text1"/>
          <w:sz w:val="28"/>
          <w:szCs w:val="28"/>
          <w14:textFill>
            <w14:solidFill>
              <w14:schemeClr w14:val="tx1"/>
            </w14:solidFill>
          </w14:textFill>
        </w:rPr>
        <w:t>集合现有智能导航、智能知识库的</w:t>
      </w:r>
      <w:r>
        <w:rPr>
          <w:rFonts w:ascii="Times New Roman" w:hAnsi="Times New Roman" w:cs="Times New Roman"/>
          <w:color w:val="000000" w:themeColor="text1"/>
          <w:sz w:val="28"/>
          <w:szCs w:val="28"/>
          <w14:textFill>
            <w14:solidFill>
              <w14:schemeClr w14:val="tx1"/>
            </w14:solidFill>
          </w14:textFill>
        </w:rPr>
        <w:t>能力将提升信访局</w:t>
      </w:r>
      <w:r>
        <w:rPr>
          <w:rFonts w:hint="eastAsia" w:ascii="Times New Roman" w:hAnsi="Times New Roman" w:cs="Times New Roman"/>
          <w:color w:val="000000" w:themeColor="text1"/>
          <w:sz w:val="28"/>
          <w:szCs w:val="28"/>
          <w14:textFill>
            <w14:solidFill>
              <w14:schemeClr w14:val="tx1"/>
            </w14:solidFill>
          </w14:textFill>
        </w:rPr>
        <w:t>整体</w:t>
      </w:r>
      <w:r>
        <w:rPr>
          <w:rFonts w:ascii="Times New Roman" w:hAnsi="Times New Roman" w:cs="Times New Roman"/>
          <w:color w:val="000000" w:themeColor="text1"/>
          <w:sz w:val="28"/>
          <w:szCs w:val="28"/>
          <w14:textFill>
            <w14:solidFill>
              <w14:schemeClr w14:val="tx1"/>
            </w14:solidFill>
          </w14:textFill>
        </w:rPr>
        <w:t>智能化水平</w:t>
      </w:r>
      <w:r>
        <w:rPr>
          <w:rFonts w:hint="eastAsia" w:ascii="Times New Roman" w:hAnsi="Times New Roman" w:cs="Times New Roman"/>
          <w:color w:val="000000" w:themeColor="text1"/>
          <w:sz w:val="28"/>
          <w:szCs w:val="28"/>
          <w14:textFill>
            <w14:solidFill>
              <w14:schemeClr w14:val="tx1"/>
            </w14:solidFill>
          </w14:textFill>
        </w:rPr>
        <w:t>，并为市民带来更好的用户体验</w:t>
      </w:r>
      <w:r>
        <w:rPr>
          <w:rFonts w:ascii="Times New Roman" w:hAnsi="Times New Roman" w:cs="Times New Roman"/>
          <w:color w:val="000000" w:themeColor="text1"/>
          <w:sz w:val="28"/>
          <w:szCs w:val="28"/>
          <w14:textFill>
            <w14:solidFill>
              <w14:schemeClr w14:val="tx1"/>
            </w14:solidFill>
          </w14:textFill>
        </w:rPr>
        <w:t>。</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w:t>
      </w:r>
      <w:r>
        <w:rPr>
          <w:rFonts w:hint="eastAsia" w:asciiTheme="minorEastAsia" w:hAnsiTheme="minorEastAsia" w:eastAsiaTheme="minorEastAsia"/>
          <w:color w:val="000000" w:themeColor="text1"/>
          <w14:textFill>
            <w14:solidFill>
              <w14:schemeClr w14:val="tx1"/>
            </w14:solidFill>
          </w14:textFill>
        </w:rPr>
        <w:t>各</w:t>
      </w:r>
      <w:r>
        <w:rPr>
          <w:rFonts w:asciiTheme="minorEastAsia" w:hAnsiTheme="minorEastAsia" w:eastAsiaTheme="minorEastAsia"/>
          <w:color w:val="000000" w:themeColor="text1"/>
          <w14:textFill>
            <w14:solidFill>
              <w14:schemeClr w14:val="tx1"/>
            </w14:solidFill>
          </w14:textFill>
        </w:rPr>
        <w:t>民</w:t>
      </w:r>
      <w:r>
        <w:rPr>
          <w:rFonts w:hint="eastAsia" w:asciiTheme="minorEastAsia" w:hAnsiTheme="minorEastAsia" w:eastAsiaTheme="minorEastAsia"/>
          <w:color w:val="000000" w:themeColor="text1"/>
          <w14:textFill>
            <w14:solidFill>
              <w14:schemeClr w14:val="tx1"/>
            </w14:solidFill>
          </w14:textFill>
        </w:rPr>
        <w:t>意</w:t>
      </w:r>
      <w:r>
        <w:rPr>
          <w:rFonts w:asciiTheme="minorEastAsia" w:hAnsiTheme="minorEastAsia" w:eastAsiaTheme="minorEastAsia"/>
          <w:color w:val="000000" w:themeColor="text1"/>
          <w14:textFill>
            <w14:solidFill>
              <w14:schemeClr w14:val="tx1"/>
            </w14:solidFill>
          </w14:textFill>
        </w:rPr>
        <w:t>渠道的关系</w:t>
      </w:r>
    </w:p>
    <w:p>
      <w:pPr>
        <w:pStyle w:val="111"/>
        <w:spacing w:before="156" w:beforeLines="50" w:after="156" w:afterLines="50"/>
        <w:ind w:firstLine="56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民生类受理系统作为甬上民情通办理民声事项的渠道,协同办理民情通平台中受理的群众述求，同时也将归集各个渠道的所有办件数据，作为整体社情民意分析的主要数据来源。</w:t>
      </w:r>
    </w:p>
    <w:p>
      <w:pPr>
        <w:pStyle w:val="6"/>
        <w:rPr>
          <w:rFonts w:ascii="Times New Roman" w:hAnsi="Times New Roman"/>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与其他部门系统相关的关系</w:t>
      </w:r>
    </w:p>
    <w:p>
      <w:pPr>
        <w:pStyle w:val="111"/>
        <w:spacing w:before="156" w:beforeLines="50" w:after="156" w:afterLines="50"/>
        <w:ind w:firstLine="560"/>
        <w:rPr>
          <w:rFonts w:ascii="Times New Roman" w:hAnsi="Times New Roman" w:eastAsia="PMingLiU"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通过横向民声诉求表达渠道的业务和数据对接，纵向与其他部门平台的互联互通，实现事件多方协同处置办理，发挥职能部门作用，提高工作效能。</w:t>
      </w:r>
      <w:r>
        <w:rPr>
          <w:rFonts w:hint="eastAsia" w:ascii="Times New Roman" w:hAnsi="Times New Roman" w:cs="Times New Roman"/>
          <w:color w:val="000000" w:themeColor="text1"/>
          <w:sz w:val="28"/>
          <w:szCs w:val="28"/>
          <w:lang w:eastAsia="zh-CN"/>
          <w14:textFill>
            <w14:solidFill>
              <w14:schemeClr w14:val="tx1"/>
            </w14:solidFill>
          </w14:textFill>
        </w:rPr>
        <w:t>如下所示：</w:t>
      </w:r>
    </w:p>
    <w:p>
      <w:pPr>
        <w:pStyle w:val="111"/>
        <w:spacing w:before="156" w:beforeLines="50" w:after="156" w:afterLines="50"/>
        <w:ind w:firstLine="0"/>
        <w:jc w:val="center"/>
        <w:rPr>
          <w:rFonts w:ascii="Times New Roman" w:hAnsi="Times New Roman" w:eastAsia="PMingLiU" w:cs="Times New Roman"/>
          <w:color w:val="000000" w:themeColor="text1"/>
          <w:sz w:val="28"/>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3083560"/>
            <wp:effectExtent l="0" t="0" r="2540" b="254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12"/>
                    <a:stretch>
                      <a:fillRect/>
                    </a:stretch>
                  </pic:blipFill>
                  <pic:spPr>
                    <a:xfrm>
                      <a:off x="0" y="0"/>
                      <a:ext cx="6188710" cy="3083560"/>
                    </a:xfrm>
                    <a:prstGeom prst="rect">
                      <a:avLst/>
                    </a:prstGeom>
                  </pic:spPr>
                </pic:pic>
              </a:graphicData>
            </a:graphic>
          </wp:inline>
        </w:drawing>
      </w:r>
    </w:p>
    <w:p>
      <w:pPr>
        <w:pStyle w:val="111"/>
        <w:spacing w:before="156" w:beforeLines="50" w:after="156" w:afterLines="50"/>
        <w:ind w:firstLine="0"/>
        <w:jc w:val="center"/>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与其他部门的业务流转</w:t>
      </w:r>
    </w:p>
    <w:bookmarkEnd w:id="74"/>
    <w:bookmarkEnd w:id="75"/>
    <w:bookmarkEnd w:id="76"/>
    <w:bookmarkEnd w:id="77"/>
    <w:bookmarkEnd w:id="78"/>
    <w:bookmarkEnd w:id="79"/>
    <w:bookmarkEnd w:id="80"/>
    <w:bookmarkEnd w:id="81"/>
    <w:bookmarkEnd w:id="82"/>
    <w:p>
      <w:pPr>
        <w:pStyle w:val="5"/>
        <w:rPr>
          <w:rFonts w:asciiTheme="minorEastAsia" w:hAnsiTheme="minorEastAsia" w:eastAsiaTheme="minorEastAsia"/>
          <w:color w:val="000000" w:themeColor="text1"/>
          <w14:textFill>
            <w14:solidFill>
              <w14:schemeClr w14:val="tx1"/>
            </w14:solidFill>
          </w14:textFill>
        </w:rPr>
      </w:pPr>
      <w:bookmarkStart w:id="94" w:name="_Toc118808215"/>
      <w:r>
        <w:rPr>
          <w:rFonts w:hint="eastAsia" w:asciiTheme="minorEastAsia" w:hAnsiTheme="minorEastAsia" w:eastAsiaTheme="minorEastAsia"/>
          <w:color w:val="000000" w:themeColor="text1"/>
          <w14:textFill>
            <w14:solidFill>
              <w14:schemeClr w14:val="tx1"/>
            </w14:solidFill>
          </w14:textFill>
        </w:rPr>
        <w:t>项目服务对象和服务范围</w:t>
      </w:r>
      <w:bookmarkEnd w:id="94"/>
    </w:p>
    <w:p>
      <w:pPr>
        <w:pStyle w:val="2"/>
        <w:rPr>
          <w:color w:val="000000" w:themeColor="text1"/>
          <w14:textFill>
            <w14:solidFill>
              <w14:schemeClr w14:val="tx1"/>
            </w14:solidFill>
          </w14:textFill>
        </w:rPr>
      </w:pPr>
      <w:bookmarkStart w:id="95" w:name="_Toc118808216"/>
      <w:r>
        <w:rPr>
          <w:rFonts w:hint="eastAsia"/>
          <w:color w:val="000000" w:themeColor="text1"/>
          <w14:textFill>
            <w14:solidFill>
              <w14:schemeClr w14:val="tx1"/>
            </w14:solidFill>
          </w14:textFill>
        </w:rPr>
        <w:t>服务对象</w:t>
      </w:r>
      <w:bookmarkEnd w:id="95"/>
    </w:p>
    <w:p>
      <w:pPr>
        <w:ind w:firstLine="560" w:firstLineChars="200"/>
        <w:rPr>
          <w:rFonts w:ascii="宋体" w:hAnsi="宋体"/>
          <w:bCs/>
          <w:color w:val="000000" w:themeColor="text1"/>
          <w:kern w:val="28"/>
          <w:szCs w:val="28"/>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萧山市民。面向萧山区范围内的群众，通过信访求助、反映现实生活中遇到的与职能部门相关的问题与情况。</w:t>
      </w:r>
    </w:p>
    <w:p>
      <w:pPr>
        <w:ind w:firstLine="560" w:firstLineChars="200"/>
        <w:rPr>
          <w:rFonts w:ascii="宋体" w:hAnsi="宋体"/>
          <w:bCs/>
          <w:color w:val="000000" w:themeColor="text1"/>
          <w:kern w:val="28"/>
          <w:szCs w:val="28"/>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坐席人员。以电话坐席的形式，通过解答举报人提问、疏导举报人情绪、处置举报人所反映问题的工作人员。</w:t>
      </w:r>
    </w:p>
    <w:p>
      <w:pPr>
        <w:ind w:firstLine="560" w:firstLineChars="200"/>
        <w:rPr>
          <w:rFonts w:ascii="宋体" w:hAnsi="宋体"/>
          <w:bCs/>
          <w:color w:val="000000" w:themeColor="text1"/>
          <w:kern w:val="28"/>
          <w:szCs w:val="28"/>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处理人员。各级政府信访部门和各职能部门专门接待群众来访的工作人员。</w:t>
      </w:r>
    </w:p>
    <w:p>
      <w:pPr>
        <w:ind w:firstLine="560" w:firstLineChars="200"/>
        <w:rPr>
          <w:color w:val="000000" w:themeColor="text1"/>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管理人员。各级政府部门和各职能部门专门负责信访工作的主要管理人员，需要对基础的信访数据、反映的情况进行汇总、分析、研判并反馈到上一级领导。</w:t>
      </w:r>
    </w:p>
    <w:p>
      <w:pPr>
        <w:pStyle w:val="2"/>
        <w:rPr>
          <w:color w:val="000000" w:themeColor="text1"/>
          <w14:textFill>
            <w14:solidFill>
              <w14:schemeClr w14:val="tx1"/>
            </w14:solidFill>
          </w14:textFill>
        </w:rPr>
      </w:pPr>
      <w:bookmarkStart w:id="96" w:name="_Toc118808217"/>
      <w:r>
        <w:rPr>
          <w:rFonts w:hint="eastAsia"/>
          <w:color w:val="000000" w:themeColor="text1"/>
          <w14:textFill>
            <w14:solidFill>
              <w14:schemeClr w14:val="tx1"/>
            </w14:solidFill>
          </w14:textFill>
        </w:rPr>
        <w:t>服务范围</w:t>
      </w:r>
      <w:bookmarkEnd w:id="96"/>
    </w:p>
    <w:p>
      <w:pPr>
        <w:spacing w:before="120"/>
        <w:ind w:firstLine="560" w:firstLineChars="200"/>
        <w:rPr>
          <w:color w:val="000000" w:themeColor="text1"/>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包括市民业务咨询、坐席业务受理、处理人员满意度调查和沟通、管理人员针对坐席工作的质检、管理人员对数据进行深度挖掘以辅助有关工作。</w:t>
      </w:r>
    </w:p>
    <w:p>
      <w:pPr>
        <w:pStyle w:val="5"/>
        <w:rPr>
          <w:rFonts w:asciiTheme="minorEastAsia" w:hAnsiTheme="minorEastAsia" w:eastAsiaTheme="minorEastAsia"/>
          <w:color w:val="000000" w:themeColor="text1"/>
          <w14:textFill>
            <w14:solidFill>
              <w14:schemeClr w14:val="tx1"/>
            </w14:solidFill>
          </w14:textFill>
        </w:rPr>
      </w:pPr>
      <w:bookmarkStart w:id="97" w:name="_Toc118808218"/>
      <w:r>
        <w:rPr>
          <w:rFonts w:hint="eastAsia" w:asciiTheme="minorEastAsia" w:hAnsiTheme="minorEastAsia" w:eastAsiaTheme="minorEastAsia"/>
          <w:color w:val="000000" w:themeColor="text1"/>
          <w14:textFill>
            <w14:solidFill>
              <w14:schemeClr w14:val="tx1"/>
            </w14:solidFill>
          </w14:textFill>
        </w:rPr>
        <w:t>达到的效果</w:t>
      </w:r>
      <w:bookmarkEnd w:id="97"/>
    </w:p>
    <w:p>
      <w:pPr>
        <w:ind w:firstLine="560" w:firstLineChars="200"/>
        <w:rPr>
          <w:rFonts w:ascii="宋体" w:hAnsi="宋体"/>
          <w:bCs/>
          <w:color w:val="000000" w:themeColor="text1"/>
          <w:kern w:val="28"/>
          <w:szCs w:val="28"/>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信访工作是党和政府的一项重要工作，对于解决人民群众的实际问题，保护人民群众的利益，扩大党的群众基础，维护社会稳定，促进改革的深入和经济的发展，加强党的执政能力，巩固党的执政地位，具有重大意义。</w:t>
      </w:r>
    </w:p>
    <w:p>
      <w:pPr>
        <w:ind w:firstLine="560" w:firstLineChars="200"/>
        <w:rPr>
          <w:rFonts w:ascii="Arial" w:hAnsi="Arial" w:cs="Arial"/>
          <w:color w:val="000000" w:themeColor="text1"/>
          <w:shd w:val="clear" w:color="auto" w:fill="FFFFFF"/>
          <w14:textFill>
            <w14:solidFill>
              <w14:schemeClr w14:val="tx1"/>
            </w14:solidFill>
          </w14:textFill>
        </w:rPr>
      </w:pPr>
      <w:r>
        <w:rPr>
          <w:rFonts w:ascii="Arial" w:hAnsi="Arial" w:cs="Arial"/>
          <w:color w:val="000000" w:themeColor="text1"/>
          <w:shd w:val="clear" w:color="auto" w:fill="FFFFFF"/>
          <w14:textFill>
            <w14:solidFill>
              <w14:schemeClr w14:val="tx1"/>
            </w14:solidFill>
          </w14:textFill>
        </w:rPr>
        <w:t>建设远程视频接访系统，实现群众家门口解忧愁</w:t>
      </w:r>
      <w:r>
        <w:rPr>
          <w:rFonts w:hint="eastAsia" w:ascii="Arial" w:hAnsi="Arial" w:cs="Arial"/>
          <w:color w:val="000000" w:themeColor="text1"/>
          <w:shd w:val="clear" w:color="auto" w:fill="FFFFFF"/>
          <w14:textFill>
            <w14:solidFill>
              <w14:schemeClr w14:val="tx1"/>
            </w14:solidFill>
          </w14:textFill>
        </w:rPr>
        <w:t>。业务系统</w:t>
      </w:r>
      <w:r>
        <w:rPr>
          <w:rFonts w:ascii="Arial" w:hAnsi="Arial" w:cs="Arial"/>
          <w:color w:val="000000" w:themeColor="text1"/>
          <w:shd w:val="clear" w:color="auto" w:fill="FFFFFF"/>
          <w14:textFill>
            <w14:solidFill>
              <w14:schemeClr w14:val="tx1"/>
            </w14:solidFill>
          </w14:textFill>
        </w:rPr>
        <w:t>覆盖</w:t>
      </w:r>
      <w:r>
        <w:rPr>
          <w:rFonts w:hint="eastAsia" w:ascii="Arial" w:hAnsi="Arial" w:cs="Arial"/>
          <w:color w:val="000000" w:themeColor="text1"/>
          <w:shd w:val="clear" w:color="auto" w:fill="FFFFFF"/>
          <w14:textFill>
            <w14:solidFill>
              <w14:schemeClr w14:val="tx1"/>
            </w14:solidFill>
          </w14:textFill>
        </w:rPr>
        <w:t>省、市、</w:t>
      </w:r>
      <w:r>
        <w:rPr>
          <w:rFonts w:ascii="Arial" w:hAnsi="Arial" w:cs="Arial"/>
          <w:color w:val="000000" w:themeColor="text1"/>
          <w:shd w:val="clear" w:color="auto" w:fill="FFFFFF"/>
          <w14:textFill>
            <w14:solidFill>
              <w14:schemeClr w14:val="tx1"/>
            </w14:solidFill>
          </w14:textFill>
        </w:rPr>
        <w:t>区、镇、村</w:t>
      </w:r>
      <w:r>
        <w:rPr>
          <w:rFonts w:hint="eastAsia" w:ascii="Arial" w:hAnsi="Arial" w:cs="Arial"/>
          <w:color w:val="000000" w:themeColor="text1"/>
          <w:shd w:val="clear" w:color="auto" w:fill="FFFFFF"/>
          <w14:textFill>
            <w14:solidFill>
              <w14:schemeClr w14:val="tx1"/>
            </w14:solidFill>
          </w14:textFill>
        </w:rPr>
        <w:t>五</w:t>
      </w:r>
      <w:r>
        <w:rPr>
          <w:rFonts w:ascii="Arial" w:hAnsi="Arial" w:cs="Arial"/>
          <w:color w:val="000000" w:themeColor="text1"/>
          <w:shd w:val="clear" w:color="auto" w:fill="FFFFFF"/>
          <w14:textFill>
            <w14:solidFill>
              <w14:schemeClr w14:val="tx1"/>
            </w14:solidFill>
          </w14:textFill>
        </w:rPr>
        <w:t>级，形成集数据搜集、矛盾研判、案件办理、应急处置、视频接访等于一体，联通</w:t>
      </w:r>
      <w:r>
        <w:rPr>
          <w:rFonts w:hint="eastAsia" w:ascii="Arial" w:hAnsi="Arial" w:cs="Arial"/>
          <w:color w:val="000000" w:themeColor="text1"/>
          <w:shd w:val="clear" w:color="auto" w:fill="FFFFFF"/>
          <w14:textFill>
            <w14:solidFill>
              <w14:schemeClr w14:val="tx1"/>
            </w14:solidFill>
          </w14:textFill>
        </w:rPr>
        <w:t>交通</w:t>
      </w:r>
      <w:r>
        <w:rPr>
          <w:rFonts w:ascii="Arial" w:hAnsi="Arial" w:cs="Arial"/>
          <w:color w:val="000000" w:themeColor="text1"/>
          <w:shd w:val="clear" w:color="auto" w:fill="FFFFFF"/>
          <w14:textFill>
            <w14:solidFill>
              <w14:schemeClr w14:val="tx1"/>
            </w14:solidFill>
          </w14:textFill>
        </w:rPr>
        <w:t>、</w:t>
      </w:r>
      <w:r>
        <w:rPr>
          <w:rFonts w:hint="eastAsia" w:ascii="Arial" w:hAnsi="Arial" w:cs="Arial"/>
          <w:color w:val="000000" w:themeColor="text1"/>
          <w:shd w:val="clear" w:color="auto" w:fill="FFFFFF"/>
          <w14:textFill>
            <w14:solidFill>
              <w14:schemeClr w14:val="tx1"/>
            </w14:solidFill>
          </w14:textFill>
        </w:rPr>
        <w:t>公安、网格</w:t>
      </w:r>
      <w:r>
        <w:rPr>
          <w:rFonts w:ascii="Arial" w:hAnsi="Arial" w:cs="Arial"/>
          <w:color w:val="000000" w:themeColor="text1"/>
          <w:shd w:val="clear" w:color="auto" w:fill="FFFFFF"/>
          <w14:textFill>
            <w14:solidFill>
              <w14:schemeClr w14:val="tx1"/>
            </w14:solidFill>
          </w14:textFill>
        </w:rPr>
        <w:t>等关键部门平台，实现群众矛盾预警在早、发现在小、处置在好。</w:t>
      </w:r>
    </w:p>
    <w:p>
      <w:pPr>
        <w:ind w:firstLine="560" w:firstLineChars="200"/>
        <w:rPr>
          <w:rFonts w:ascii="宋体" w:hAnsi="宋体"/>
          <w:bCs/>
          <w:color w:val="000000" w:themeColor="text1"/>
          <w:kern w:val="28"/>
          <w:szCs w:val="28"/>
          <w14:textFill>
            <w14:solidFill>
              <w14:schemeClr w14:val="tx1"/>
            </w14:solidFill>
          </w14:textFill>
        </w:rPr>
      </w:pPr>
      <w:r>
        <w:rPr>
          <w:rFonts w:hint="eastAsia" w:ascii="宋体" w:hAnsi="宋体"/>
          <w:bCs/>
          <w:color w:val="000000" w:themeColor="text1"/>
          <w:kern w:val="28"/>
          <w:szCs w:val="28"/>
          <w14:textFill>
            <w14:solidFill>
              <w14:schemeClr w14:val="tx1"/>
            </w14:solidFill>
          </w14:textFill>
        </w:rPr>
        <w:t>充分运用大数据分析平台，不断提升分析研判能力，为工作更好开展提供基础。</w:t>
      </w:r>
      <w:r>
        <w:rPr>
          <w:rFonts w:ascii="Arial" w:hAnsi="Arial" w:cs="Arial"/>
          <w:color w:val="000000" w:themeColor="text1"/>
          <w:shd w:val="clear" w:color="auto" w:fill="FFFFFF"/>
          <w14:textFill>
            <w14:solidFill>
              <w14:schemeClr w14:val="tx1"/>
            </w14:solidFill>
          </w14:textFill>
        </w:rPr>
        <w:t>推动落实属地主体责任，统筹各方面资源，形成信访联治、矛盾联调、工作联动，提升信访矛盾化解攻坚的整体效果。织密乡镇（街道）、村居（社区）信访工作网络，健全基层群众工作平台，用好网格化管理，做细做实群众工作</w:t>
      </w:r>
      <w:r>
        <w:rPr>
          <w:rFonts w:hint="eastAsia" w:ascii="Arial" w:hAnsi="Arial" w:cs="Arial"/>
          <w:color w:val="000000" w:themeColor="text1"/>
          <w:shd w:val="clear" w:color="auto" w:fill="FFFFFF"/>
          <w14:textFill>
            <w14:solidFill>
              <w14:schemeClr w14:val="tx1"/>
            </w14:solidFill>
          </w14:textFill>
        </w:rPr>
        <w:t>。</w:t>
      </w:r>
      <w:r>
        <w:rPr>
          <w:rFonts w:hint="eastAsia" w:ascii="宋体" w:hAnsi="宋体"/>
          <w:bCs/>
          <w:color w:val="000000" w:themeColor="text1"/>
          <w:kern w:val="28"/>
          <w:szCs w:val="28"/>
          <w14:textFill>
            <w14:solidFill>
              <w14:schemeClr w14:val="tx1"/>
            </w14:solidFill>
          </w14:textFill>
        </w:rPr>
        <w:t>以信息化建设和应用为突破口，推动信访工作效能水平和公信力的全面提升。</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通过本项目的适配建设，针对民声诉求中的社会热点、服务痛点、民声堵点、办理难点，聚焦改革突破，以数字驱动制度重塑、效果突破，主要亮点特色如下：</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1、实现从各自为政向多级联动治理转变。通过打造“一呼解忧”多跨场景应用，打破民生诉求的渠道壁垒、信息壁垒、数据壁垒，跨部门、跨区域、跨层级的协同机制,提升系统治理效能。热点诉求实时抓取至“一呼解忧”系统，受理的疑难复杂问题、需转交部门或属地办理的问题，统一归集到“浙里访”兜底交办。同时，发挥部门职能作用，提高工作效能。统一办理时限标准，根据事项紧急程度提速各类事项时限。三是规范了录入标准。规范民生诉求分类标准、办理时限、评价标准和数据规范,统一民生诉求数据录入标准，编制民生诉求业务分类编码，确保归集数据可挖掘、可分析、可评估。四是打通条块壁垒。横向实现与“浙里访”平台、12345政务热线等平台数据对接和业务对接。</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2、实现从诉求办结向事项办好转变。通过“一呼解忧”多跨场景应用，进一步畅通和规范群众诉求表达、利益协调、权益保障渠道，在调处化解、上下联动、服务便民上力求更高效，提升全市基层服务和治理能力。一是强化了闭环管理。完善民生诉求“-件事”闭环管理制度，综合运用接诉即办、预警提醒、提级督办等闭环管理手段，推动实现民意收集、受理流转、办理反馈、评价督办、分析预警、应急处置等环节一体化、标准化，精细化，确保件件有回音、事事有落实。二是推动了清单治理。综合运用数字化手段，自动生成推送阶段性重大问题清单，推动属地或部门通过领导领衔、政策完善、专项攻坚等举措，抓好成批事的整改推出，实现从一件事及时处置向一类事成批化解转变。对涉及跨地区、跨部门、跨层级的突出问题，三是提升了应急能力。建立紧急事项探查预警机制，通过高发事件关联、热点事项抓取、风险隐患预警、重点人群管理等数智化波动分析,及时发现苗头性、阶段性、突发性民生诉求，提前发布预警信息,积极应对有效处置。</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3、从经验决策向数智驱动转变。运用数字化改革思维和方法，通过构建“一呼解忧”多跨应用场景，实现民生诉求事项办理实时、多跨、闭环、共享,确保第一时间掌握民意、第一时间办理回应、第一时间跟进督查,让群众呼声有着落、有回应。通过12345总客服，制定各类民生诉求指数的构成标准和适用规则，利用数字化手段自动生成各类指数指标，推动形成科学高效的综合评价体系。借助大数据分析技术，从更深层次、更大范围对民生诉求、人民意见建议进行挖掘研判，及时发现规律性、潜在性、共通性问题，实现从数据看效能，从指数看治理，助力党委政府民主科学决策，不断提升整体智治水平。</w:t>
      </w:r>
    </w:p>
    <w:bookmarkEnd w:id="57"/>
    <w:bookmarkEnd w:id="58"/>
    <w:bookmarkEnd w:id="59"/>
    <w:bookmarkEnd w:id="60"/>
    <w:bookmarkEnd w:id="61"/>
    <w:p>
      <w:pPr>
        <w:pStyle w:val="3"/>
        <w:rPr>
          <w:rFonts w:asciiTheme="minorEastAsia" w:hAnsiTheme="minorEastAsia" w:eastAsiaTheme="minorEastAsia"/>
          <w:color w:val="000000" w:themeColor="text1"/>
          <w14:textFill>
            <w14:solidFill>
              <w14:schemeClr w14:val="tx1"/>
            </w14:solidFill>
          </w14:textFill>
        </w:rPr>
      </w:pPr>
      <w:bookmarkStart w:id="98" w:name="_Toc118808219"/>
      <w:bookmarkStart w:id="99" w:name="_Toc6433"/>
      <w:bookmarkStart w:id="100" w:name="_Toc22615"/>
      <w:bookmarkStart w:id="101" w:name="_Toc80881221"/>
      <w:bookmarkStart w:id="102" w:name="_Toc30512"/>
      <w:bookmarkStart w:id="103" w:name="_Toc24407"/>
      <w:bookmarkStart w:id="104" w:name="_Toc13700"/>
      <w:r>
        <w:rPr>
          <w:rFonts w:asciiTheme="minorEastAsia" w:hAnsiTheme="minorEastAsia" w:eastAsiaTheme="minorEastAsia"/>
          <w:color w:val="000000" w:themeColor="text1"/>
          <w14:textFill>
            <w14:solidFill>
              <w14:schemeClr w14:val="tx1"/>
            </w14:solidFill>
          </w14:textFill>
        </w:rPr>
        <w:t>总体建设方案</w:t>
      </w:r>
      <w:bookmarkEnd w:id="98"/>
    </w:p>
    <w:p>
      <w:pPr>
        <w:pStyle w:val="5"/>
        <w:rPr>
          <w:rFonts w:asciiTheme="minorEastAsia" w:hAnsiTheme="minorEastAsia" w:eastAsiaTheme="minorEastAsia"/>
          <w:color w:val="000000" w:themeColor="text1"/>
          <w14:textFill>
            <w14:solidFill>
              <w14:schemeClr w14:val="tx1"/>
            </w14:solidFill>
          </w14:textFill>
        </w:rPr>
      </w:pPr>
      <w:bookmarkStart w:id="105" w:name="_Toc8097"/>
      <w:bookmarkStart w:id="106" w:name="_Toc118808220"/>
      <w:bookmarkStart w:id="107" w:name="_Toc8583"/>
      <w:bookmarkStart w:id="108" w:name="_Toc24490"/>
      <w:bookmarkStart w:id="109" w:name="_Toc12026"/>
      <w:r>
        <w:rPr>
          <w:rFonts w:hint="eastAsia" w:asciiTheme="minorEastAsia" w:hAnsiTheme="minorEastAsia" w:eastAsiaTheme="minorEastAsia"/>
          <w:color w:val="000000" w:themeColor="text1"/>
          <w14:textFill>
            <w14:solidFill>
              <w14:schemeClr w14:val="tx1"/>
            </w14:solidFill>
          </w14:textFill>
        </w:rPr>
        <w:t>总体设计</w:t>
      </w:r>
      <w:r>
        <w:rPr>
          <w:rFonts w:asciiTheme="minorEastAsia" w:hAnsiTheme="minorEastAsia" w:eastAsiaTheme="minorEastAsia"/>
          <w:color w:val="000000" w:themeColor="text1"/>
          <w14:textFill>
            <w14:solidFill>
              <w14:schemeClr w14:val="tx1"/>
            </w14:solidFill>
          </w14:textFill>
        </w:rPr>
        <w:t>原则</w:t>
      </w:r>
      <w:bookmarkEnd w:id="105"/>
      <w:bookmarkEnd w:id="106"/>
      <w:bookmarkEnd w:id="107"/>
      <w:bookmarkEnd w:id="108"/>
      <w:bookmarkEnd w:id="109"/>
    </w:p>
    <w:p>
      <w:pPr>
        <w:pStyle w:val="2"/>
        <w:rPr>
          <w:rFonts w:asciiTheme="minorEastAsia" w:hAnsiTheme="minorEastAsia" w:eastAsiaTheme="minorEastAsia"/>
          <w:color w:val="000000" w:themeColor="text1"/>
          <w14:textFill>
            <w14:solidFill>
              <w14:schemeClr w14:val="tx1"/>
            </w14:solidFill>
          </w14:textFill>
        </w:rPr>
      </w:pPr>
      <w:bookmarkStart w:id="110" w:name="_Toc118808221"/>
      <w:r>
        <w:rPr>
          <w:rFonts w:asciiTheme="minorEastAsia" w:hAnsiTheme="minorEastAsia" w:eastAsiaTheme="minorEastAsia"/>
          <w:color w:val="000000" w:themeColor="text1"/>
          <w14:textFill>
            <w14:solidFill>
              <w14:schemeClr w14:val="tx1"/>
            </w14:solidFill>
          </w14:textFill>
        </w:rPr>
        <w:t>标准化和规范化原则</w:t>
      </w:r>
      <w:bookmarkEnd w:id="110"/>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项目建设选用符合工业标准或事实工业标准的网络通讯协议、操作系统、管理平台和系统软件。采用标准化、规范化设计，使得系统具有开放性，保护系统进行有效的开发和使用，并为以后的发展提供一个良好的环境。</w:t>
      </w:r>
    </w:p>
    <w:p>
      <w:pPr>
        <w:pStyle w:val="2"/>
        <w:rPr>
          <w:rFonts w:asciiTheme="minorEastAsia" w:hAnsiTheme="minorEastAsia" w:eastAsiaTheme="minorEastAsia"/>
          <w:color w:val="000000" w:themeColor="text1"/>
          <w14:textFill>
            <w14:solidFill>
              <w14:schemeClr w14:val="tx1"/>
            </w14:solidFill>
          </w14:textFill>
        </w:rPr>
      </w:pPr>
      <w:bookmarkStart w:id="111" w:name="_Toc118808222"/>
      <w:r>
        <w:rPr>
          <w:rFonts w:asciiTheme="minorEastAsia" w:hAnsiTheme="minorEastAsia" w:eastAsiaTheme="minorEastAsia"/>
          <w:color w:val="000000" w:themeColor="text1"/>
          <w14:textFill>
            <w14:solidFill>
              <w14:schemeClr w14:val="tx1"/>
            </w14:solidFill>
          </w14:textFill>
        </w:rPr>
        <w:t>先进性和成熟性原则</w:t>
      </w:r>
      <w:bookmarkEnd w:id="111"/>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为了保证整个系统结构、网络技术的先进性以及网络运行的可靠性，选择合理的、实用的、便于扩展与升级的网络拓扑结构。网络系统所用的设备、器材以及软件产品，应选择技术先进的、有技术保证的、得到广大用户认可的可靠厂家的产品。</w:t>
      </w:r>
    </w:p>
    <w:p>
      <w:pPr>
        <w:pStyle w:val="2"/>
        <w:rPr>
          <w:rFonts w:asciiTheme="minorEastAsia" w:hAnsiTheme="minorEastAsia" w:eastAsiaTheme="minorEastAsia"/>
          <w:color w:val="000000" w:themeColor="text1"/>
          <w14:textFill>
            <w14:solidFill>
              <w14:schemeClr w14:val="tx1"/>
            </w14:solidFill>
          </w14:textFill>
        </w:rPr>
      </w:pPr>
      <w:bookmarkStart w:id="112" w:name="_Toc118808223"/>
      <w:r>
        <w:rPr>
          <w:rFonts w:asciiTheme="minorEastAsia" w:hAnsiTheme="minorEastAsia" w:eastAsiaTheme="minorEastAsia"/>
          <w:color w:val="000000" w:themeColor="text1"/>
          <w14:textFill>
            <w14:solidFill>
              <w14:schemeClr w14:val="tx1"/>
            </w14:solidFill>
          </w14:textFill>
        </w:rPr>
        <w:t>安全性和可靠性原则</w:t>
      </w:r>
      <w:bookmarkEnd w:id="112"/>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计算机网络是一个相对复杂并且相对公开的系统，需在软件和硬件两方面采取措施以保证整个网络系统安全、可靠的运行。首先保证网络基础设施的安全性与可靠性。网络系统可采用划分虚拟网络、数据加密和设置优先权限等手段实现系统的安全性。</w:t>
      </w:r>
    </w:p>
    <w:p>
      <w:pPr>
        <w:pStyle w:val="2"/>
        <w:rPr>
          <w:rFonts w:asciiTheme="minorEastAsia" w:hAnsiTheme="minorEastAsia" w:eastAsiaTheme="minorEastAsia"/>
          <w:color w:val="000000" w:themeColor="text1"/>
          <w14:textFill>
            <w14:solidFill>
              <w14:schemeClr w14:val="tx1"/>
            </w14:solidFill>
          </w14:textFill>
        </w:rPr>
      </w:pPr>
      <w:bookmarkStart w:id="113" w:name="_Toc118808224"/>
      <w:r>
        <w:rPr>
          <w:rFonts w:asciiTheme="minorEastAsia" w:hAnsiTheme="minorEastAsia" w:eastAsiaTheme="minorEastAsia"/>
          <w:color w:val="000000" w:themeColor="text1"/>
          <w14:textFill>
            <w14:solidFill>
              <w14:schemeClr w14:val="tx1"/>
            </w14:solidFill>
          </w14:textFill>
        </w:rPr>
        <w:t>可管理性和维护性原则</w:t>
      </w:r>
      <w:bookmarkEnd w:id="113"/>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计算机网络是一个比较复杂的系统，在设计、组建一个网络时，必须采用先进的、标准的、用户界面友好的网络管理软件；此外，整个网络系统建成后就整理一套完整的文档资料，以便提高整个系统的可管理性与可维护性。</w:t>
      </w:r>
    </w:p>
    <w:p>
      <w:pPr>
        <w:pStyle w:val="2"/>
        <w:rPr>
          <w:rFonts w:asciiTheme="minorEastAsia" w:hAnsiTheme="minorEastAsia" w:eastAsiaTheme="minorEastAsia"/>
          <w:color w:val="000000" w:themeColor="text1"/>
          <w14:textFill>
            <w14:solidFill>
              <w14:schemeClr w14:val="tx1"/>
            </w14:solidFill>
          </w14:textFill>
        </w:rPr>
      </w:pPr>
      <w:bookmarkStart w:id="114" w:name="_Toc118808225"/>
      <w:r>
        <w:rPr>
          <w:rFonts w:asciiTheme="minorEastAsia" w:hAnsiTheme="minorEastAsia" w:eastAsiaTheme="minorEastAsia"/>
          <w:color w:val="000000" w:themeColor="text1"/>
          <w14:textFill>
            <w14:solidFill>
              <w14:schemeClr w14:val="tx1"/>
            </w14:solidFill>
          </w14:textFill>
        </w:rPr>
        <w:t>灵活性和可扩充性原则</w:t>
      </w:r>
      <w:bookmarkEnd w:id="114"/>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为了保护已有投资以及不断增长的业务需求，系统应具有灵活的结构并留有合理的扩充余地，以便根据需要进行适当的变动与扩充。</w:t>
      </w:r>
    </w:p>
    <w:p>
      <w:pPr>
        <w:pStyle w:val="2"/>
        <w:rPr>
          <w:rFonts w:asciiTheme="minorEastAsia" w:hAnsiTheme="minorEastAsia" w:eastAsiaTheme="minorEastAsia"/>
          <w:color w:val="000000" w:themeColor="text1"/>
          <w14:textFill>
            <w14:solidFill>
              <w14:schemeClr w14:val="tx1"/>
            </w14:solidFill>
          </w14:textFill>
        </w:rPr>
      </w:pPr>
      <w:bookmarkStart w:id="115" w:name="_Toc118808226"/>
      <w:r>
        <w:rPr>
          <w:rFonts w:asciiTheme="minorEastAsia" w:hAnsiTheme="minorEastAsia" w:eastAsiaTheme="minorEastAsia"/>
          <w:color w:val="000000" w:themeColor="text1"/>
          <w14:textFill>
            <w14:solidFill>
              <w14:schemeClr w14:val="tx1"/>
            </w14:solidFill>
          </w14:textFill>
        </w:rPr>
        <w:t>易操作和易维护性原则</w:t>
      </w:r>
      <w:bookmarkEnd w:id="115"/>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系统应具有良好的界面，减少各种特别培训，并具有在线帮助功能。系统须具备良好的可维护性们在投入正式运行后，维护成本低。</w:t>
      </w:r>
    </w:p>
    <w:p>
      <w:pPr>
        <w:pStyle w:val="2"/>
        <w:rPr>
          <w:rFonts w:asciiTheme="minorEastAsia" w:hAnsiTheme="minorEastAsia" w:eastAsiaTheme="minorEastAsia"/>
          <w:color w:val="000000" w:themeColor="text1"/>
          <w14:textFill>
            <w14:solidFill>
              <w14:schemeClr w14:val="tx1"/>
            </w14:solidFill>
          </w14:textFill>
        </w:rPr>
      </w:pPr>
      <w:bookmarkStart w:id="116" w:name="_Toc118808227"/>
      <w:r>
        <w:rPr>
          <w:rFonts w:asciiTheme="minorEastAsia" w:hAnsiTheme="minorEastAsia" w:eastAsiaTheme="minorEastAsia"/>
          <w:color w:val="000000" w:themeColor="text1"/>
          <w14:textFill>
            <w14:solidFill>
              <w14:schemeClr w14:val="tx1"/>
            </w14:solidFill>
          </w14:textFill>
        </w:rPr>
        <w:t>动态部署应用</w:t>
      </w:r>
      <w:bookmarkEnd w:id="116"/>
    </w:p>
    <w:p>
      <w:pPr>
        <w:pStyle w:val="112"/>
        <w:adjustRightInd w:val="0"/>
        <w:ind w:firstLine="560" w:firstLineChars="200"/>
        <w:contextualSpacing/>
        <w:jc w:val="both"/>
        <w:rPr>
          <w:rFonts w:asciiTheme="minorEastAsia" w:hAnsiTheme="minorEastAsia" w:eastAsiaTheme="minorEastAsia"/>
          <w:color w:val="000000" w:themeColor="text1"/>
          <w:kern w:val="2"/>
          <w:szCs w:val="28"/>
          <w:lang w:val="en-US"/>
          <w14:textFill>
            <w14:solidFill>
              <w14:schemeClr w14:val="tx1"/>
            </w14:solidFill>
          </w14:textFill>
        </w:rPr>
      </w:pPr>
      <w:r>
        <w:rPr>
          <w:rFonts w:asciiTheme="minorEastAsia" w:hAnsiTheme="minorEastAsia" w:eastAsiaTheme="minorEastAsia"/>
          <w:color w:val="000000" w:themeColor="text1"/>
          <w:kern w:val="2"/>
          <w:szCs w:val="28"/>
          <w:lang w:val="en-US"/>
          <w14:textFill>
            <w14:solidFill>
              <w14:schemeClr w14:val="tx1"/>
            </w14:solidFill>
          </w14:textFill>
        </w:rPr>
        <w:t>提供应用的动态可部署性，支持动态地将新应用部署到应用服务器，并与12345系统集成到一起，方便系统使用和扩展。</w:t>
      </w:r>
    </w:p>
    <w:p>
      <w:pPr>
        <w:pStyle w:val="5"/>
        <w:rPr>
          <w:rFonts w:asciiTheme="minorEastAsia" w:hAnsiTheme="minorEastAsia" w:eastAsiaTheme="minorEastAsia"/>
          <w:color w:val="000000" w:themeColor="text1"/>
          <w14:textFill>
            <w14:solidFill>
              <w14:schemeClr w14:val="tx1"/>
            </w14:solidFill>
          </w14:textFill>
        </w:rPr>
      </w:pPr>
      <w:bookmarkStart w:id="117" w:name="_Toc118808228"/>
      <w:bookmarkStart w:id="118" w:name="_Toc25189"/>
      <w:bookmarkStart w:id="119" w:name="_Toc7827"/>
      <w:bookmarkStart w:id="120" w:name="_Toc27150"/>
      <w:bookmarkStart w:id="121" w:name="_Toc21263"/>
      <w:r>
        <w:rPr>
          <w:rFonts w:asciiTheme="minorEastAsia" w:hAnsiTheme="minorEastAsia" w:eastAsiaTheme="minorEastAsia"/>
          <w:color w:val="000000" w:themeColor="text1"/>
          <w14:textFill>
            <w14:solidFill>
              <w14:schemeClr w14:val="tx1"/>
            </w14:solidFill>
          </w14:textFill>
        </w:rPr>
        <w:t>总体建设目标与分期建设目标</w:t>
      </w:r>
      <w:bookmarkEnd w:id="117"/>
    </w:p>
    <w:p>
      <w:pPr>
        <w:pStyle w:val="2"/>
        <w:rPr>
          <w:rFonts w:asciiTheme="minorEastAsia" w:hAnsiTheme="minorEastAsia" w:eastAsiaTheme="minorEastAsia"/>
          <w:color w:val="000000" w:themeColor="text1"/>
          <w14:textFill>
            <w14:solidFill>
              <w14:schemeClr w14:val="tx1"/>
            </w14:solidFill>
          </w14:textFill>
        </w:rPr>
      </w:pPr>
      <w:bookmarkStart w:id="122" w:name="_Toc118808229"/>
      <w:r>
        <w:rPr>
          <w:rFonts w:asciiTheme="minorEastAsia" w:hAnsiTheme="minorEastAsia" w:eastAsiaTheme="minorEastAsia"/>
          <w:color w:val="000000" w:themeColor="text1"/>
          <w14:textFill>
            <w14:solidFill>
              <w14:schemeClr w14:val="tx1"/>
            </w14:solidFill>
          </w14:textFill>
        </w:rPr>
        <w:t>总体建设目标</w:t>
      </w:r>
      <w:bookmarkEnd w:id="122"/>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本</w:t>
      </w:r>
      <w:r>
        <w:rPr>
          <w:rFonts w:asciiTheme="minorEastAsia" w:hAnsiTheme="minorEastAsia" w:eastAsiaTheme="minorEastAsia"/>
          <w:color w:val="000000" w:themeColor="text1"/>
          <w:szCs w:val="28"/>
          <w14:textFill>
            <w14:solidFill>
              <w14:schemeClr w14:val="tx1"/>
            </w14:solidFill>
          </w14:textFill>
        </w:rPr>
        <w:t>项目</w:t>
      </w:r>
      <w:r>
        <w:rPr>
          <w:rFonts w:asciiTheme="minorEastAsia" w:hAnsiTheme="minorEastAsia" w:eastAsiaTheme="minorEastAsia"/>
          <w:color w:val="000000" w:themeColor="text1"/>
          <w14:textFill>
            <w14:solidFill>
              <w14:schemeClr w14:val="tx1"/>
            </w14:solidFill>
          </w14:textFill>
        </w:rPr>
        <w:t>建设方案以支持国家治理体系和治理能力现代化为导向，着力与互联网+、</w:t>
      </w:r>
      <w:r>
        <w:rPr>
          <w:rFonts w:hint="eastAsia" w:asciiTheme="minorEastAsia" w:hAnsiTheme="minorEastAsia" w:eastAsiaTheme="minorEastAsia"/>
          <w:color w:val="000000" w:themeColor="text1"/>
          <w14:textFill>
            <w14:solidFill>
              <w14:schemeClr w14:val="tx1"/>
            </w14:solidFill>
          </w14:textFill>
        </w:rPr>
        <w:t>全媒体5G智能客服</w:t>
      </w:r>
      <w:r>
        <w:rPr>
          <w:rFonts w:asciiTheme="minorEastAsia" w:hAnsiTheme="minorEastAsia" w:eastAsiaTheme="minorEastAsia"/>
          <w:color w:val="000000" w:themeColor="text1"/>
          <w14:textFill>
            <w14:solidFill>
              <w14:schemeClr w14:val="tx1"/>
            </w14:solidFill>
          </w14:textFill>
        </w:rPr>
        <w:t>建设思维推进信访热线服务的数智化转型升级，进一步将信访服务向互联网、移动终端拓展深挖。同时，以五全七化为建设总目标，“五全”即：全程监督、全程可视、全程留痕、全程公开、全程覆盖，“七化”即数据采集实时化、受理办理智能化、信访为民便捷化、信访决策科学化、信访风险可</w:t>
      </w:r>
      <w:bookmarkStart w:id="123" w:name="_Hlk74149204"/>
      <w:r>
        <w:rPr>
          <w:rFonts w:asciiTheme="minorEastAsia" w:hAnsiTheme="minorEastAsia" w:eastAsiaTheme="minorEastAsia"/>
          <w:color w:val="000000" w:themeColor="text1"/>
          <w14:textFill>
            <w14:solidFill>
              <w14:schemeClr w14:val="tx1"/>
            </w14:solidFill>
          </w14:textFill>
        </w:rPr>
        <w:t>视化、信访决策系统化、信访公开常态化；打造阳光信访、法制信访、智慧信访，助力打</w:t>
      </w:r>
      <w:bookmarkEnd w:id="123"/>
      <w:r>
        <w:rPr>
          <w:rFonts w:asciiTheme="minorEastAsia" w:hAnsiTheme="minorEastAsia" w:eastAsiaTheme="minorEastAsia"/>
          <w:color w:val="000000" w:themeColor="text1"/>
          <w14:textFill>
            <w14:solidFill>
              <w14:schemeClr w14:val="tx1"/>
            </w14:solidFill>
          </w14:textFill>
        </w:rPr>
        <w:t>通政府与群众沟通桥梁，使信访工作成为了解民情、集中民智、维护民利、凝聚民心的纽带。</w:t>
      </w:r>
    </w:p>
    <w:p>
      <w:pPr>
        <w:ind w:firstLine="560" w:firstLineChars="200"/>
        <w:rPr>
          <w:rFonts w:asciiTheme="minorEastAsia" w:hAnsiTheme="minorEastAsia" w:eastAsiaTheme="minorEastAsia"/>
          <w:color w:val="000000" w:themeColor="text1"/>
          <w:lang w:eastAsia="zh-Hans"/>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围绕“12345”平台运营，深挖</w:t>
      </w:r>
      <w:r>
        <w:rPr>
          <w:rFonts w:hint="eastAsia" w:asciiTheme="minorEastAsia" w:hAnsiTheme="minorEastAsia" w:eastAsiaTheme="minorEastAsia"/>
          <w:color w:val="000000" w:themeColor="text1"/>
          <w14:textFill>
            <w14:solidFill>
              <w14:schemeClr w14:val="tx1"/>
            </w14:solidFill>
          </w14:textFill>
        </w:rPr>
        <w:t>客服多媒体智能客服建设</w:t>
      </w:r>
      <w:r>
        <w:rPr>
          <w:rFonts w:asciiTheme="minorEastAsia" w:hAnsiTheme="minorEastAsia" w:eastAsiaTheme="minorEastAsia"/>
          <w:color w:val="000000" w:themeColor="text1"/>
          <w14:textFill>
            <w14:solidFill>
              <w14:schemeClr w14:val="tx1"/>
            </w14:solidFill>
          </w14:textFill>
        </w:rPr>
        <w:t>，强化信访矛盾攻坚和化解能力。突出高能运转，加强省市区三级信访数据联动，锚定网格处置“高标准”</w:t>
      </w:r>
      <w:r>
        <w:rPr>
          <w:rFonts w:hint="eastAsia" w:asciiTheme="minorEastAsia" w:hAnsiTheme="minorEastAsia" w:eastAsiaTheme="minorEastAsia"/>
          <w:color w:val="000000" w:themeColor="text1"/>
          <w14:textFill>
            <w14:solidFill>
              <w14:schemeClr w14:val="tx1"/>
            </w14:solidFill>
          </w14:textFill>
        </w:rPr>
        <w:t>，本</w:t>
      </w:r>
      <w:r>
        <w:rPr>
          <w:rFonts w:asciiTheme="minorEastAsia" w:hAnsiTheme="minorEastAsia" w:eastAsiaTheme="minorEastAsia"/>
          <w:color w:val="000000" w:themeColor="text1"/>
          <w:szCs w:val="28"/>
          <w14:textFill>
            <w14:solidFill>
              <w14:schemeClr w14:val="tx1"/>
            </w14:solidFill>
          </w14:textFill>
        </w:rPr>
        <w:t>项目</w:t>
      </w:r>
      <w:r>
        <w:rPr>
          <w:rFonts w:asciiTheme="minorEastAsia" w:hAnsiTheme="minorEastAsia" w:eastAsiaTheme="minorEastAsia"/>
          <w:color w:val="000000" w:themeColor="text1"/>
          <w14:textFill>
            <w14:solidFill>
              <w14:schemeClr w14:val="tx1"/>
            </w14:solidFill>
          </w14:textFill>
        </w:rPr>
        <w:t>建设作为信访网格管理服务终端平台，通过多方大数据集中分析研判，最大程度发挥信访数智化管理服务终端平台"智库"作用，第一时间将矛盾纠纷预警解决在信访第一线，确保“情况明、发现快、处理早”。</w:t>
      </w:r>
    </w:p>
    <w:p>
      <w:pPr>
        <w:ind w:firstLine="560" w:firstLineChars="200"/>
        <w:rPr>
          <w:rFonts w:asciiTheme="minorEastAsia" w:hAnsiTheme="minorEastAsia" w:eastAsiaTheme="minorEastAsia"/>
          <w:color w:val="000000" w:themeColor="text1"/>
          <w:lang w:eastAsia="zh-Hans"/>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萧山区“一呼解忧”事件流转中台如下所示：</w:t>
      </w:r>
    </w:p>
    <w:p>
      <w:pPr>
        <w:jc w:val="center"/>
        <w:rPr>
          <w:rFonts w:asciiTheme="minorEastAsia" w:hAnsiTheme="minorEastAsia" w:eastAsiaTheme="minorEastAsia"/>
          <w:color w:val="000000" w:themeColor="text1"/>
          <w:lang w:eastAsia="zh-Hans"/>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4296410"/>
            <wp:effectExtent l="0" t="0" r="2540" b="889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188710" cy="4296410"/>
                    </a:xfrm>
                    <a:prstGeom prst="rect">
                      <a:avLst/>
                    </a:prstGeom>
                  </pic:spPr>
                </pic:pic>
              </a:graphicData>
            </a:graphic>
          </wp:inline>
        </w:drawing>
      </w:r>
    </w:p>
    <w:p>
      <w:pPr>
        <w:ind w:firstLine="560" w:firstLineChars="200"/>
        <w:rPr>
          <w:rFonts w:asciiTheme="minorEastAsia" w:hAnsiTheme="minorEastAsia" w:eastAsiaTheme="minorEastAsia"/>
          <w:color w:val="000000" w:themeColor="text1"/>
          <w:lang w:eastAsia="zh-Hans"/>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萧山区“一呼解忧”话务分流中台如下所示：</w:t>
      </w:r>
    </w:p>
    <w:p>
      <w:pPr>
        <w:jc w:val="center"/>
        <w:rPr>
          <w:rFonts w:asciiTheme="minorEastAsia" w:hAnsiTheme="minorEastAsia" w:eastAsiaTheme="minorEastAsia"/>
          <w:color w:val="000000" w:themeColor="text1"/>
          <w:lang w:eastAsia="zh-Hans"/>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861435"/>
            <wp:effectExtent l="0" t="0" r="2540" b="571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188710" cy="3861435"/>
                    </a:xfrm>
                    <a:prstGeom prst="rect">
                      <a:avLst/>
                    </a:prstGeom>
                  </pic:spPr>
                </pic:pic>
              </a:graphicData>
            </a:graphic>
          </wp:inline>
        </w:drawing>
      </w:r>
    </w:p>
    <w:p>
      <w:pPr>
        <w:pStyle w:val="2"/>
        <w:rPr>
          <w:rFonts w:asciiTheme="minorEastAsia" w:hAnsiTheme="minorEastAsia" w:eastAsiaTheme="minorEastAsia"/>
          <w:color w:val="000000" w:themeColor="text1"/>
          <w14:textFill>
            <w14:solidFill>
              <w14:schemeClr w14:val="tx1"/>
            </w14:solidFill>
          </w14:textFill>
        </w:rPr>
      </w:pPr>
      <w:bookmarkStart w:id="124" w:name="_Toc118808230"/>
      <w:r>
        <w:rPr>
          <w:rFonts w:asciiTheme="minorEastAsia" w:hAnsiTheme="minorEastAsia" w:eastAsiaTheme="minorEastAsia"/>
          <w:color w:val="000000" w:themeColor="text1"/>
          <w14:textFill>
            <w14:solidFill>
              <w14:schemeClr w14:val="tx1"/>
            </w14:solidFill>
          </w14:textFill>
        </w:rPr>
        <w:t>本期建设目标</w:t>
      </w:r>
      <w:bookmarkEnd w:id="124"/>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本项目充分利用萧山平台现有语音组件</w:t>
      </w:r>
      <w:r>
        <w:rPr>
          <w:rFonts w:hint="eastAsia" w:asciiTheme="minorEastAsia" w:hAnsiTheme="minorEastAsia" w:eastAsiaTheme="minorEastAsia"/>
          <w:color w:val="000000" w:themeColor="text1"/>
          <w:szCs w:val="28"/>
          <w14:textFill>
            <w14:solidFill>
              <w14:schemeClr w14:val="tx1"/>
            </w14:solidFill>
          </w14:textFill>
        </w:rPr>
        <w:t>和人工智能资源</w:t>
      </w:r>
      <w:r>
        <w:rPr>
          <w:rFonts w:asciiTheme="minorEastAsia" w:hAnsiTheme="minorEastAsia" w:eastAsiaTheme="minorEastAsia"/>
          <w:color w:val="000000" w:themeColor="text1"/>
          <w:szCs w:val="28"/>
          <w14:textFill>
            <w14:solidFill>
              <w14:schemeClr w14:val="tx1"/>
            </w14:solidFill>
          </w14:textFill>
        </w:rPr>
        <w:t>，</w:t>
      </w:r>
      <w:bookmarkStart w:id="125" w:name="_Hlk87018943"/>
      <w:r>
        <w:rPr>
          <w:rFonts w:hint="eastAsia" w:asciiTheme="minorEastAsia" w:hAnsiTheme="minorEastAsia" w:eastAsiaTheme="minorEastAsia"/>
          <w:color w:val="000000" w:themeColor="text1"/>
          <w:szCs w:val="28"/>
          <w14:textFill>
            <w14:solidFill>
              <w14:schemeClr w14:val="tx1"/>
            </w14:solidFill>
          </w14:textFill>
        </w:rPr>
        <w:t>通过打造萧山“一呼解忧”智治系统，延伸服务触角，提升服务效能，通过对民意数据的充分挖掘、治理、分析与应用，实现辅助决策，推动社会治理。与市级“民呼我为”数智平台实现系统连通、数据互通、业务协同；以镇街为主体，下沉服务到村社，通过事项授权，镇街吹哨、部门报到的方式，即时就近承接办理和回应反馈民意诉求。</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同时，对1</w:t>
      </w:r>
      <w:r>
        <w:rPr>
          <w:rFonts w:asciiTheme="minorEastAsia" w:hAnsiTheme="minorEastAsia" w:eastAsiaTheme="minorEastAsia"/>
          <w:color w:val="000000" w:themeColor="text1"/>
          <w:szCs w:val="28"/>
          <w14:textFill>
            <w14:solidFill>
              <w14:schemeClr w14:val="tx1"/>
            </w14:solidFill>
          </w14:textFill>
        </w:rPr>
        <w:t>2345</w:t>
      </w:r>
      <w:r>
        <w:rPr>
          <w:rFonts w:hint="eastAsia" w:asciiTheme="minorEastAsia" w:hAnsiTheme="minorEastAsia" w:eastAsiaTheme="minorEastAsia"/>
          <w:color w:val="000000" w:themeColor="text1"/>
          <w:szCs w:val="28"/>
          <w14:textFill>
            <w14:solidFill>
              <w14:schemeClr w14:val="tx1"/>
            </w14:solidFill>
          </w14:textFill>
        </w:rPr>
        <w:t>业务系统客平台进行适配改造,</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接入5G技术,使其具备处理5G多媒体通讯的能力。</w:t>
      </w:r>
    </w:p>
    <w:bookmarkEnd w:id="125"/>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智能融合</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建设</w:t>
      </w:r>
      <w:r>
        <w:rPr>
          <w:rFonts w:hint="eastAsia" w:asciiTheme="minorEastAsia" w:hAnsiTheme="minorEastAsia" w:eastAsiaTheme="minorEastAsia"/>
          <w:color w:val="000000" w:themeColor="text1"/>
          <w:szCs w:val="28"/>
          <w14:textFill>
            <w14:solidFill>
              <w14:schemeClr w14:val="tx1"/>
            </w14:solidFill>
          </w14:textFill>
        </w:rPr>
        <w:t>全媒体5G客服体系 ,实现人工智能+</w:t>
      </w:r>
      <w:r>
        <w:rPr>
          <w:rFonts w:asciiTheme="minorEastAsia" w:hAnsiTheme="minorEastAsia" w:eastAsiaTheme="minorEastAsia"/>
          <w:color w:val="000000" w:themeColor="text1"/>
          <w:szCs w:val="28"/>
          <w14:textFill>
            <w14:solidFill>
              <w14:schemeClr w14:val="tx1"/>
            </w14:solidFill>
          </w14:textFill>
        </w:rPr>
        <w:t>坐席</w:t>
      </w:r>
      <w:r>
        <w:rPr>
          <w:rFonts w:hint="eastAsia" w:asciiTheme="minorEastAsia" w:hAnsiTheme="minorEastAsia" w:eastAsiaTheme="minorEastAsia"/>
          <w:color w:val="000000" w:themeColor="text1"/>
          <w:szCs w:val="28"/>
          <w14:textFill>
            <w14:solidFill>
              <w14:schemeClr w14:val="tx1"/>
            </w14:solidFill>
          </w14:textFill>
        </w:rPr>
        <w:t>的智能</w:t>
      </w:r>
      <w:r>
        <w:rPr>
          <w:rFonts w:asciiTheme="minorEastAsia" w:hAnsiTheme="minorEastAsia" w:eastAsiaTheme="minorEastAsia"/>
          <w:color w:val="000000" w:themeColor="text1"/>
          <w:szCs w:val="28"/>
          <w14:textFill>
            <w14:solidFill>
              <w14:schemeClr w14:val="tx1"/>
            </w14:solidFill>
          </w14:textFill>
        </w:rPr>
        <w:t>辅助系统、情绪识别系统、智能检索、实时监控等坐席服务系统，结合信访知识库、信访大数据，大大提高信访工作人员的服务效率；将视频能力融合通信</w:t>
      </w:r>
      <w:r>
        <w:rPr>
          <w:rFonts w:hint="eastAsia" w:asciiTheme="minorEastAsia" w:hAnsiTheme="minorEastAsia" w:eastAsiaTheme="minorEastAsia"/>
          <w:color w:val="000000" w:themeColor="text1"/>
          <w:szCs w:val="28"/>
          <w14:textFill>
            <w14:solidFill>
              <w14:schemeClr w14:val="tx1"/>
            </w14:solidFill>
          </w14:textFill>
        </w:rPr>
        <w:t>+</w:t>
      </w:r>
      <w:r>
        <w:rPr>
          <w:rFonts w:asciiTheme="minorEastAsia" w:hAnsiTheme="minorEastAsia" w:eastAsiaTheme="minorEastAsia"/>
          <w:color w:val="000000" w:themeColor="text1"/>
          <w:szCs w:val="28"/>
          <w14:textFill>
            <w14:solidFill>
              <w14:schemeClr w14:val="tx1"/>
            </w14:solidFill>
          </w14:textFill>
        </w:rPr>
        <w:t>智能的能力，提升服务效率。</w:t>
      </w:r>
    </w:p>
    <w:bookmarkEnd w:id="118"/>
    <w:bookmarkEnd w:id="119"/>
    <w:bookmarkEnd w:id="120"/>
    <w:bookmarkEnd w:id="121"/>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统一收集民意</w:t>
      </w:r>
    </w:p>
    <w:p>
      <w:pPr>
        <w:spacing w:before="156" w:beforeLines="50"/>
        <w:ind w:firstLine="560"/>
        <w:rPr>
          <w:rFonts w:cs="宋体"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群众通过12345便民服务热线、或通过手机扫描二维码</w:t>
      </w:r>
      <w:r>
        <w:rPr>
          <w:rFonts w:hint="eastAsia" w:cs="宋体" w:asciiTheme="minorEastAsia" w:hAnsiTheme="minorEastAsia" w:eastAsiaTheme="minorEastAsia"/>
          <w:color w:val="000000" w:themeColor="text1"/>
          <w:szCs w:val="28"/>
          <w:lang w:bidi="ar"/>
          <w14:textFill>
            <w14:solidFill>
              <w14:schemeClr w14:val="tx1"/>
            </w14:solidFill>
          </w14:textFill>
        </w:rPr>
        <w:t>在线服务窗口实现诉求、建议、投诉举报的统一受理，并提供统一查询入口，市民不需要再分辨咨询渠道以及办事单位。</w:t>
      </w:r>
    </w:p>
    <w:p>
      <w:pPr>
        <w:pStyle w:val="6"/>
        <w:rPr>
          <w:rFonts w:asciiTheme="minorEastAsia" w:hAnsiTheme="minorEastAsia" w:eastAsiaTheme="minorEastAsia"/>
          <w:color w:val="000000" w:themeColor="text1"/>
          <w14:textFill>
            <w14:solidFill>
              <w14:schemeClr w14:val="tx1"/>
            </w14:solidFill>
          </w14:textFill>
        </w:rPr>
      </w:pPr>
      <w:bookmarkStart w:id="126" w:name="_Toc89626316"/>
      <w:bookmarkStart w:id="127" w:name="_Toc25662"/>
      <w:r>
        <w:rPr>
          <w:rFonts w:hint="eastAsia" w:asciiTheme="minorEastAsia" w:hAnsiTheme="minorEastAsia" w:eastAsiaTheme="minorEastAsia"/>
          <w:color w:val="000000" w:themeColor="text1"/>
          <w14:textFill>
            <w14:solidFill>
              <w14:schemeClr w14:val="tx1"/>
            </w14:solidFill>
          </w14:textFill>
        </w:rPr>
        <w:t>数据共享交互</w:t>
      </w:r>
      <w:bookmarkEnd w:id="126"/>
      <w:bookmarkEnd w:id="127"/>
    </w:p>
    <w:p>
      <w:pPr>
        <w:spacing w:before="156" w:beforeLines="50"/>
        <w:ind w:firstLine="560"/>
        <w:rPr>
          <w:rFonts w:cs="宋体" w:asciiTheme="minorEastAsia" w:hAnsiTheme="minorEastAsia" w:eastAsiaTheme="minorEastAsia"/>
          <w:color w:val="000000" w:themeColor="text1"/>
          <w:szCs w:val="28"/>
          <w:lang w:bidi="ar"/>
          <w14:textFill>
            <w14:solidFill>
              <w14:schemeClr w14:val="tx1"/>
            </w14:solidFill>
          </w14:textFill>
        </w:rPr>
      </w:pPr>
      <w:bookmarkStart w:id="128" w:name="_Toc85550712"/>
      <w:r>
        <w:rPr>
          <w:rFonts w:hint="eastAsia" w:cs="宋体" w:asciiTheme="minorEastAsia" w:hAnsiTheme="minorEastAsia" w:eastAsiaTheme="minorEastAsia"/>
          <w:color w:val="000000" w:themeColor="text1"/>
          <w:szCs w:val="28"/>
          <w:lang w:bidi="ar"/>
          <w14:textFill>
            <w14:solidFill>
              <w14:schemeClr w14:val="tx1"/>
            </w14:solidFill>
          </w14:textFill>
        </w:rPr>
        <w:t>实现各民意渠道、各级平台、杭州市公共数据平台的数据归集、交互与共享。</w:t>
      </w:r>
    </w:p>
    <w:p>
      <w:pPr>
        <w:pStyle w:val="6"/>
        <w:rPr>
          <w:rFonts w:asciiTheme="minorEastAsia" w:hAnsiTheme="minorEastAsia" w:eastAsiaTheme="minorEastAsia"/>
          <w:color w:val="000000" w:themeColor="text1"/>
          <w14:textFill>
            <w14:solidFill>
              <w14:schemeClr w14:val="tx1"/>
            </w14:solidFill>
          </w14:textFill>
        </w:rPr>
      </w:pPr>
      <w:bookmarkStart w:id="129" w:name="_Toc4727"/>
      <w:bookmarkStart w:id="130" w:name="_Toc89626317"/>
      <w:r>
        <w:rPr>
          <w:rFonts w:hint="eastAsia" w:asciiTheme="minorEastAsia" w:hAnsiTheme="minorEastAsia" w:eastAsiaTheme="minorEastAsia"/>
          <w:color w:val="000000" w:themeColor="text1"/>
          <w14:textFill>
            <w14:solidFill>
              <w14:schemeClr w14:val="tx1"/>
            </w14:solidFill>
          </w14:textFill>
        </w:rPr>
        <w:t>数据</w:t>
      </w:r>
      <w:bookmarkEnd w:id="128"/>
      <w:r>
        <w:rPr>
          <w:rFonts w:hint="eastAsia" w:asciiTheme="minorEastAsia" w:hAnsiTheme="minorEastAsia" w:eastAsiaTheme="minorEastAsia"/>
          <w:color w:val="000000" w:themeColor="text1"/>
          <w14:textFill>
            <w14:solidFill>
              <w14:schemeClr w14:val="tx1"/>
            </w14:solidFill>
          </w14:textFill>
        </w:rPr>
        <w:t>分类治理</w:t>
      </w:r>
      <w:bookmarkEnd w:id="129"/>
      <w:bookmarkEnd w:id="130"/>
    </w:p>
    <w:p>
      <w:pPr>
        <w:spacing w:before="156" w:beforeLines="50"/>
        <w:ind w:firstLine="560"/>
        <w:rPr>
          <w:rFonts w:asciiTheme="minorEastAsia" w:hAnsiTheme="minorEastAsia" w:eastAsiaTheme="minorEastAsia"/>
          <w:color w:val="000000" w:themeColor="text1"/>
          <w:szCs w:val="28"/>
          <w14:textFill>
            <w14:solidFill>
              <w14:schemeClr w14:val="tx1"/>
            </w14:solidFill>
          </w14:textFill>
        </w:rPr>
      </w:pPr>
      <w:r>
        <w:rPr>
          <w:rFonts w:hint="eastAsia" w:cs="宋体" w:asciiTheme="minorEastAsia" w:hAnsiTheme="minorEastAsia" w:eastAsiaTheme="minorEastAsia"/>
          <w:color w:val="000000" w:themeColor="text1"/>
          <w:szCs w:val="28"/>
          <w:lang w:bidi="ar"/>
          <w14:textFill>
            <w14:solidFill>
              <w14:schemeClr w14:val="tx1"/>
            </w14:solidFill>
          </w14:textFill>
        </w:rPr>
        <w:t>通过数据来源的归集，深化对对民意汇聚数据以及各行业部门知识库进行分类治理，生成数据资源目录，为智能化应用和数据分析、场景应用、数字驾驶舱应用提供必要支撑。</w:t>
      </w:r>
    </w:p>
    <w:p>
      <w:pPr>
        <w:pStyle w:val="6"/>
        <w:rPr>
          <w:rFonts w:asciiTheme="minorEastAsia" w:hAnsiTheme="minorEastAsia" w:eastAsiaTheme="minorEastAsia"/>
          <w:color w:val="000000" w:themeColor="text1"/>
          <w14:textFill>
            <w14:solidFill>
              <w14:schemeClr w14:val="tx1"/>
            </w14:solidFill>
          </w14:textFill>
        </w:rPr>
      </w:pPr>
      <w:bookmarkStart w:id="131" w:name="_Toc89626318"/>
      <w:bookmarkStart w:id="132" w:name="_Toc85550713"/>
      <w:bookmarkStart w:id="133" w:name="_Toc18397"/>
      <w:r>
        <w:rPr>
          <w:rFonts w:hint="eastAsia" w:asciiTheme="minorEastAsia" w:hAnsiTheme="minorEastAsia" w:eastAsiaTheme="minorEastAsia"/>
          <w:color w:val="000000" w:themeColor="text1"/>
          <w14:textFill>
            <w14:solidFill>
              <w14:schemeClr w14:val="tx1"/>
            </w14:solidFill>
          </w14:textFill>
        </w:rPr>
        <w:t>多跨协同办理</w:t>
      </w:r>
      <w:bookmarkEnd w:id="131"/>
      <w:bookmarkEnd w:id="132"/>
      <w:bookmarkEnd w:id="133"/>
    </w:p>
    <w:p>
      <w:pPr>
        <w:pStyle w:val="14"/>
        <w:spacing w:line="480" w:lineRule="auto"/>
        <w:ind w:firstLine="560"/>
        <w:rPr>
          <w:rFonts w:asciiTheme="minorEastAsia" w:hAnsiTheme="minorEastAsia" w:eastAsiaTheme="minorEastAsia"/>
          <w:color w:val="000000" w:themeColor="text1"/>
          <w:sz w:val="28"/>
          <w:szCs w:val="28"/>
          <w14:textFill>
            <w14:solidFill>
              <w14:schemeClr w14:val="tx1"/>
            </w14:solidFill>
          </w14:textFill>
        </w:rPr>
      </w:pPr>
      <w:bookmarkStart w:id="134" w:name="_Toc85550714"/>
      <w:r>
        <w:rPr>
          <w:rFonts w:hint="eastAsia" w:asciiTheme="minorEastAsia" w:hAnsiTheme="minorEastAsia" w:eastAsiaTheme="minorEastAsia"/>
          <w:color w:val="000000" w:themeColor="text1"/>
          <w:sz w:val="28"/>
          <w:szCs w:val="28"/>
          <w14:textFill>
            <w14:solidFill>
              <w14:schemeClr w14:val="tx1"/>
            </w14:solidFill>
          </w14:textFill>
        </w:rPr>
        <w:t>向上与市级做好对接，向下与镇街、村做好协同，建设一呼解忧智治系统，构建统一接收、精准分流、按责办理、回访核实、统一督办、评价反馈、分析研判的工作闭环，一揽子受理、全链条解决。</w:t>
      </w:r>
    </w:p>
    <w:p>
      <w:pPr>
        <w:pStyle w:val="6"/>
        <w:rPr>
          <w:rFonts w:asciiTheme="minorEastAsia" w:hAnsiTheme="minorEastAsia" w:eastAsiaTheme="minorEastAsia"/>
          <w:color w:val="000000" w:themeColor="text1"/>
          <w14:textFill>
            <w14:solidFill>
              <w14:schemeClr w14:val="tx1"/>
            </w14:solidFill>
          </w14:textFill>
        </w:rPr>
      </w:pPr>
      <w:bookmarkStart w:id="135" w:name="_Toc89626319"/>
      <w:bookmarkStart w:id="136" w:name="_Toc6761"/>
      <w:r>
        <w:rPr>
          <w:rFonts w:hint="eastAsia" w:asciiTheme="minorEastAsia" w:hAnsiTheme="minorEastAsia" w:eastAsiaTheme="minorEastAsia"/>
          <w:color w:val="000000" w:themeColor="text1"/>
          <w14:textFill>
            <w14:solidFill>
              <w14:schemeClr w14:val="tx1"/>
            </w14:solidFill>
          </w14:textFill>
        </w:rPr>
        <w:t>处理进度可查</w:t>
      </w:r>
      <w:bookmarkEnd w:id="134"/>
      <w:bookmarkEnd w:id="135"/>
      <w:bookmarkEnd w:id="136"/>
    </w:p>
    <w:p>
      <w:pPr>
        <w:spacing w:before="156" w:beforeLines="50"/>
        <w:ind w:firstLine="560"/>
        <w:rPr>
          <w:rFonts w:asciiTheme="minorEastAsia" w:hAnsiTheme="minorEastAsia" w:eastAsiaTheme="minorEastAsia"/>
          <w:color w:val="000000" w:themeColor="text1"/>
          <w:szCs w:val="28"/>
          <w14:textFill>
            <w14:solidFill>
              <w14:schemeClr w14:val="tx1"/>
            </w14:solidFill>
          </w14:textFill>
        </w:rPr>
      </w:pPr>
      <w:r>
        <w:rPr>
          <w:rFonts w:hint="eastAsia" w:cs="宋体" w:asciiTheme="minorEastAsia" w:hAnsiTheme="minorEastAsia" w:eastAsiaTheme="minorEastAsia"/>
          <w:color w:val="000000" w:themeColor="text1"/>
          <w:szCs w:val="28"/>
          <w:lang w:bidi="ar"/>
          <w14:textFill>
            <w14:solidFill>
              <w14:schemeClr w14:val="tx1"/>
            </w14:solidFill>
          </w14:textFill>
        </w:rPr>
        <w:t>提供统一的处理进度、结果的查询功能，建立群众诉求</w:t>
      </w:r>
      <w:r>
        <w:rPr>
          <w:rFonts w:asciiTheme="minorEastAsia" w:hAnsiTheme="minorEastAsia" w:eastAsiaTheme="minorEastAsia"/>
          <w:color w:val="000000" w:themeColor="text1"/>
          <w:szCs w:val="28"/>
          <w:lang w:bidi="ar"/>
          <w14:textFill>
            <w14:solidFill>
              <w14:schemeClr w14:val="tx1"/>
            </w14:solidFill>
          </w14:textFill>
        </w:rPr>
        <w:t>“</w:t>
      </w:r>
      <w:r>
        <w:rPr>
          <w:rFonts w:hint="eastAsia" w:cs="宋体" w:asciiTheme="minorEastAsia" w:hAnsiTheme="minorEastAsia" w:eastAsiaTheme="minorEastAsia"/>
          <w:color w:val="000000" w:themeColor="text1"/>
          <w:szCs w:val="28"/>
          <w:lang w:bidi="ar"/>
          <w14:textFill>
            <w14:solidFill>
              <w14:schemeClr w14:val="tx1"/>
            </w14:solidFill>
          </w14:textFill>
        </w:rPr>
        <w:t>我的查询</w:t>
      </w:r>
      <w:r>
        <w:rPr>
          <w:rFonts w:asciiTheme="minorEastAsia" w:hAnsiTheme="minorEastAsia" w:eastAsiaTheme="minorEastAsia"/>
          <w:color w:val="000000" w:themeColor="text1"/>
          <w:szCs w:val="28"/>
          <w:lang w:bidi="ar"/>
          <w14:textFill>
            <w14:solidFill>
              <w14:schemeClr w14:val="tx1"/>
            </w14:solidFill>
          </w14:textFill>
        </w:rPr>
        <w:t>”</w:t>
      </w:r>
      <w:r>
        <w:rPr>
          <w:rFonts w:hint="eastAsia" w:cs="宋体" w:asciiTheme="minorEastAsia" w:hAnsiTheme="minorEastAsia" w:eastAsiaTheme="minorEastAsia"/>
          <w:color w:val="000000" w:themeColor="text1"/>
          <w:szCs w:val="28"/>
          <w:lang w:bidi="ar"/>
          <w14:textFill>
            <w14:solidFill>
              <w14:schemeClr w14:val="tx1"/>
            </w14:solidFill>
          </w14:textFill>
        </w:rPr>
        <w:t>清单列表，让群众实时查询诉求办理进度，了解办理情况，提升用户满意度。</w:t>
      </w:r>
    </w:p>
    <w:p>
      <w:pPr>
        <w:pStyle w:val="6"/>
        <w:rPr>
          <w:rFonts w:asciiTheme="minorEastAsia" w:hAnsiTheme="minorEastAsia" w:eastAsiaTheme="minorEastAsia"/>
          <w:color w:val="000000" w:themeColor="text1"/>
          <w14:textFill>
            <w14:solidFill>
              <w14:schemeClr w14:val="tx1"/>
            </w14:solidFill>
          </w14:textFill>
        </w:rPr>
      </w:pPr>
      <w:bookmarkStart w:id="137" w:name="_Toc89626320"/>
      <w:bookmarkStart w:id="138" w:name="_Toc85550715"/>
      <w:bookmarkStart w:id="139" w:name="_Toc29110"/>
      <w:r>
        <w:rPr>
          <w:rFonts w:hint="eastAsia" w:asciiTheme="minorEastAsia" w:hAnsiTheme="minorEastAsia" w:eastAsiaTheme="minorEastAsia"/>
          <w:color w:val="000000" w:themeColor="text1"/>
          <w14:textFill>
            <w14:solidFill>
              <w14:schemeClr w14:val="tx1"/>
            </w14:solidFill>
          </w14:textFill>
        </w:rPr>
        <w:t>满意评价收集</w:t>
      </w:r>
      <w:bookmarkEnd w:id="137"/>
      <w:bookmarkEnd w:id="138"/>
      <w:bookmarkEnd w:id="139"/>
    </w:p>
    <w:p>
      <w:pPr>
        <w:spacing w:before="156" w:beforeLines="50"/>
        <w:ind w:firstLine="560"/>
        <w:rPr>
          <w:rFonts w:asciiTheme="minorEastAsia" w:hAnsiTheme="minorEastAsia" w:eastAsiaTheme="minorEastAsia"/>
          <w:color w:val="000000" w:themeColor="text1"/>
          <w:szCs w:val="28"/>
          <w14:textFill>
            <w14:solidFill>
              <w14:schemeClr w14:val="tx1"/>
            </w14:solidFill>
          </w14:textFill>
        </w:rPr>
      </w:pPr>
      <w:r>
        <w:rPr>
          <w:rFonts w:hint="eastAsia" w:cs="宋体" w:asciiTheme="minorEastAsia" w:hAnsiTheme="minorEastAsia" w:eastAsiaTheme="minorEastAsia"/>
          <w:color w:val="000000" w:themeColor="text1"/>
          <w:szCs w:val="28"/>
          <w:lang w:bidi="ar"/>
          <w14:textFill>
            <w14:solidFill>
              <w14:schemeClr w14:val="tx1"/>
            </w14:solidFill>
          </w14:textFill>
        </w:rPr>
        <w:t>提供统一标准的满意度评价系统，群众根据诉求办理结果、办理过程、响应速度等方面进行评价，提高政务服务质量，实现对工作服务情况的监督。</w:t>
      </w:r>
    </w:p>
    <w:p>
      <w:pPr>
        <w:pStyle w:val="6"/>
        <w:rPr>
          <w:rFonts w:asciiTheme="minorEastAsia" w:hAnsiTheme="minorEastAsia" w:eastAsiaTheme="minorEastAsia"/>
          <w:color w:val="000000" w:themeColor="text1"/>
          <w14:textFill>
            <w14:solidFill>
              <w14:schemeClr w14:val="tx1"/>
            </w14:solidFill>
          </w14:textFill>
        </w:rPr>
      </w:pPr>
      <w:bookmarkStart w:id="140" w:name="_Toc18801"/>
      <w:bookmarkStart w:id="141" w:name="_Toc89626321"/>
      <w:bookmarkStart w:id="142" w:name="_Toc85550716"/>
      <w:r>
        <w:rPr>
          <w:rFonts w:hint="eastAsia" w:asciiTheme="minorEastAsia" w:hAnsiTheme="minorEastAsia" w:eastAsiaTheme="minorEastAsia"/>
          <w:color w:val="000000" w:themeColor="text1"/>
          <w14:textFill>
            <w14:solidFill>
              <w14:schemeClr w14:val="tx1"/>
            </w14:solidFill>
          </w14:textFill>
        </w:rPr>
        <w:t>民意热点预警</w:t>
      </w:r>
      <w:bookmarkEnd w:id="140"/>
      <w:bookmarkEnd w:id="141"/>
      <w:bookmarkEnd w:id="142"/>
    </w:p>
    <w:p>
      <w:pPr>
        <w:spacing w:before="156" w:beforeLines="50"/>
        <w:ind w:firstLine="560"/>
        <w:rPr>
          <w:rFonts w:cs="宋体" w:asciiTheme="minorEastAsia" w:hAnsiTheme="minorEastAsia" w:eastAsiaTheme="minorEastAsia"/>
          <w:color w:val="000000" w:themeColor="text1"/>
          <w:szCs w:val="28"/>
          <w:lang w:bidi="ar"/>
          <w14:textFill>
            <w14:solidFill>
              <w14:schemeClr w14:val="tx1"/>
            </w14:solidFill>
          </w14:textFill>
        </w:rPr>
      </w:pPr>
      <w:r>
        <w:rPr>
          <w:rFonts w:hint="eastAsia" w:cs="宋体" w:asciiTheme="minorEastAsia" w:hAnsiTheme="minorEastAsia" w:eastAsiaTheme="minorEastAsia"/>
          <w:color w:val="000000" w:themeColor="text1"/>
          <w:szCs w:val="28"/>
          <w:lang w:bidi="ar"/>
          <w14:textFill>
            <w14:solidFill>
              <w14:schemeClr w14:val="tx1"/>
            </w14:solidFill>
          </w14:textFill>
        </w:rPr>
        <w:t>通过技术手段以及智能化应用，提升高频民意热点问题实时抓取、统计、分析、预警功能，及时掌握民意动态趋势，及时识别热点问题，设定阈值，预警提示，及时联动属地或事权单位进行处置。</w:t>
      </w:r>
    </w:p>
    <w:p>
      <w:pPr>
        <w:pStyle w:val="6"/>
        <w:rPr>
          <w:rFonts w:asciiTheme="minorEastAsia" w:hAnsiTheme="minorEastAsia" w:eastAsiaTheme="minorEastAsia"/>
          <w:color w:val="000000" w:themeColor="text1"/>
          <w14:textFill>
            <w14:solidFill>
              <w14:schemeClr w14:val="tx1"/>
            </w14:solidFill>
          </w14:textFill>
        </w:rPr>
      </w:pPr>
      <w:bookmarkStart w:id="143" w:name="_Toc2573"/>
      <w:bookmarkStart w:id="144" w:name="_Toc89626322"/>
      <w:r>
        <w:rPr>
          <w:rFonts w:hint="eastAsia" w:asciiTheme="minorEastAsia" w:hAnsiTheme="minorEastAsia" w:eastAsiaTheme="minorEastAsia"/>
          <w:color w:val="000000" w:themeColor="text1"/>
          <w14:textFill>
            <w14:solidFill>
              <w14:schemeClr w14:val="tx1"/>
            </w14:solidFill>
          </w14:textFill>
        </w:rPr>
        <w:t>辅助分析决策</w:t>
      </w:r>
      <w:bookmarkEnd w:id="143"/>
      <w:bookmarkEnd w:id="144"/>
    </w:p>
    <w:p>
      <w:pPr>
        <w:spacing w:before="156" w:beforeLines="50"/>
        <w:ind w:firstLine="560"/>
        <w:rPr>
          <w:rFonts w:cs="宋体" w:asciiTheme="minorEastAsia" w:hAnsiTheme="minorEastAsia" w:eastAsiaTheme="minorEastAsia"/>
          <w:color w:val="000000" w:themeColor="text1"/>
          <w:szCs w:val="28"/>
          <w:lang w:bidi="ar"/>
          <w14:textFill>
            <w14:solidFill>
              <w14:schemeClr w14:val="tx1"/>
            </w14:solidFill>
          </w14:textFill>
        </w:rPr>
      </w:pPr>
      <w:r>
        <w:rPr>
          <w:rFonts w:hint="eastAsia" w:cs="宋体" w:asciiTheme="minorEastAsia" w:hAnsiTheme="minorEastAsia" w:eastAsiaTheme="minorEastAsia"/>
          <w:color w:val="000000" w:themeColor="text1"/>
          <w:szCs w:val="28"/>
          <w:lang w:bidi="ar"/>
          <w14:textFill>
            <w14:solidFill>
              <w14:schemeClr w14:val="tx1"/>
            </w14:solidFill>
          </w14:textFill>
        </w:rPr>
        <w:t>通过数据分析，以驾驶舱形式对热点事件、高频事件、不满意件、民意热力图、民意分布图、民意热度榜、民意趋势预警分析、效能分析、办理分析，提供辅助决策参谋。</w:t>
      </w:r>
    </w:p>
    <w:p>
      <w:pPr>
        <w:pStyle w:val="6"/>
        <w:rPr>
          <w:rFonts w:asciiTheme="minorEastAsia" w:hAnsiTheme="minorEastAsia" w:eastAsiaTheme="minorEastAsia"/>
          <w:color w:val="000000" w:themeColor="text1"/>
          <w14:textFill>
            <w14:solidFill>
              <w14:schemeClr w14:val="tx1"/>
            </w14:solidFill>
          </w14:textFill>
        </w:rPr>
      </w:pPr>
      <w:bookmarkStart w:id="145" w:name="_Toc89626323"/>
      <w:bookmarkStart w:id="146" w:name="_Toc3775"/>
      <w:r>
        <w:rPr>
          <w:rFonts w:hint="eastAsia" w:asciiTheme="minorEastAsia" w:hAnsiTheme="minorEastAsia" w:eastAsiaTheme="minorEastAsia"/>
          <w:color w:val="000000" w:themeColor="text1"/>
          <w14:textFill>
            <w14:solidFill>
              <w14:schemeClr w14:val="tx1"/>
            </w14:solidFill>
          </w14:textFill>
        </w:rPr>
        <w:t>推动党政智治</w:t>
      </w:r>
      <w:bookmarkEnd w:id="145"/>
      <w:bookmarkEnd w:id="146"/>
    </w:p>
    <w:p>
      <w:pPr>
        <w:pStyle w:val="14"/>
        <w:spacing w:line="480" w:lineRule="auto"/>
        <w:ind w:firstLine="56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用</w:t>
      </w:r>
      <w:r>
        <w:rPr>
          <w:rFonts w:hint="eastAsia" w:asciiTheme="minorEastAsia" w:hAnsiTheme="minorEastAsia" w:eastAsiaTheme="minorEastAsia"/>
          <w:color w:val="000000" w:themeColor="text1"/>
          <w:sz w:val="28"/>
          <w:szCs w:val="28"/>
          <w14:textFill>
            <w14:solidFill>
              <w14:schemeClr w14:val="tx1"/>
            </w14:solidFill>
          </w14:textFill>
        </w:rPr>
        <w:t>数字化改革思维和方法，通过建立“一呼解忧”智治系统，确保第一时间掌握民意、第一时间办理回应、第一时间跟进督查,让群众呼声有着落、有回应。借助大数据分析技术，从更深层次、更大范围对民意诉求、人民意见建议进行挖掘研判，及时发现规律性、潜在性、共通性问题，实现从数据看效能，从指数看治理，助力党委政府民主科学决策，不断提升整体智治水平</w:t>
      </w:r>
      <w:r>
        <w:rPr>
          <w:rFonts w:asciiTheme="minorEastAsia" w:hAnsiTheme="minorEastAsia" w:eastAsiaTheme="minorEastAsia"/>
          <w:color w:val="000000" w:themeColor="text1"/>
          <w:sz w:val="28"/>
          <w:szCs w:val="28"/>
          <w14:textFill>
            <w14:solidFill>
              <w14:schemeClr w14:val="tx1"/>
            </w14:solidFill>
          </w14:textFill>
        </w:rPr>
        <w:t>。</w:t>
      </w:r>
    </w:p>
    <w:p>
      <w:pPr>
        <w:pStyle w:val="6"/>
        <w:rPr>
          <w:rFonts w:asciiTheme="minorEastAsia" w:hAnsiTheme="minorEastAsia" w:eastAsiaTheme="minorEastAsia"/>
          <w:color w:val="000000" w:themeColor="text1"/>
          <w14:textFill>
            <w14:solidFill>
              <w14:schemeClr w14:val="tx1"/>
            </w14:solidFill>
          </w14:textFill>
        </w:rPr>
      </w:pPr>
      <w:bookmarkStart w:id="147" w:name="_Toc4942"/>
      <w:bookmarkStart w:id="148" w:name="_Toc89626324"/>
      <w:r>
        <w:rPr>
          <w:rFonts w:hint="eastAsia" w:asciiTheme="minorEastAsia" w:hAnsiTheme="minorEastAsia" w:eastAsiaTheme="minorEastAsia"/>
          <w:color w:val="000000" w:themeColor="text1"/>
          <w14:textFill>
            <w14:solidFill>
              <w14:schemeClr w14:val="tx1"/>
            </w14:solidFill>
          </w14:textFill>
        </w:rPr>
        <w:t>助力基层治理</w:t>
      </w:r>
      <w:bookmarkEnd w:id="147"/>
      <w:bookmarkEnd w:id="148"/>
    </w:p>
    <w:p>
      <w:pPr>
        <w:pStyle w:val="14"/>
        <w:spacing w:line="480" w:lineRule="auto"/>
        <w:ind w:firstLine="56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通过民呼我为工作机制和指数分析，及时发现基层社会治理中的短板和弱项，完善相关政策、制度、机制，通过对各区县、镇街服务能力和服务质量进行指数评估，有效提升基层社会治理能力。</w:t>
      </w:r>
    </w:p>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高效便捷服务</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充分发挥信访数据资源关联性强、耦合度高、覆盖面广、活动性大的特点，紧密围绕萧山12345政务服务热线中心工作，为实现“互联网+热线服务”和“一次不跑”、“最多跑一次”改革提供有效的大数据支撑服务。</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试点打通12345政务服务便民热线和监护人或网格员之间的兜底闭环机制，建立专门针对老年人的智能坐席和人工坐席，为老年人提供人机交互的在线咨询、健康宣教、服务呼叫、应急处置、主动关怀等服务。按照设定的策略理解老年人在12345政务服务便民热线提出的交互诉求，通过智能语音机器人预警模型，监测区域老年人诉求动态。消除“数字鸿沟”，“科技适老”。</w:t>
      </w:r>
    </w:p>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 xml:space="preserve">风险防控预警 </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基于区域信访基础数据资源池，推进信访（“12345”）数字驾驶舱和数字赋能访源治理工作，全景全区实时感知民意态势,推动形成一般常见问题即时处理、重大疑难问题有效解决、风险防范关口主动前移的在线协同办理工作机制。</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对信访态势、社会环境稳定等进行宏观监控，及时发现风险因素的变动趋势，并评估各种风险状态偏离预警线的强弱程度，向决策层发出预警信号比你高提前采取预控对策，自动生成的“体检”报告，有图、有表、有分析、有报告，形象直观，系统全面，使风险可视化</w:t>
      </w:r>
    </w:p>
    <w:p>
      <w:pPr>
        <w:pStyle w:val="5"/>
        <w:rPr>
          <w:rFonts w:asciiTheme="minorEastAsia" w:hAnsiTheme="minorEastAsia" w:eastAsiaTheme="minorEastAsia"/>
          <w:color w:val="000000" w:themeColor="text1"/>
          <w14:textFill>
            <w14:solidFill>
              <w14:schemeClr w14:val="tx1"/>
            </w14:solidFill>
          </w14:textFill>
        </w:rPr>
      </w:pPr>
      <w:bookmarkStart w:id="149" w:name="_Toc118808231"/>
      <w:r>
        <w:rPr>
          <w:rFonts w:hint="eastAsia" w:asciiTheme="minorEastAsia" w:hAnsiTheme="minorEastAsia" w:eastAsiaTheme="minorEastAsia"/>
          <w:color w:val="000000" w:themeColor="text1"/>
          <w14:textFill>
            <w14:solidFill>
              <w14:schemeClr w14:val="tx1"/>
            </w14:solidFill>
          </w14:textFill>
        </w:rPr>
        <w:t>系统总体结构和逻辑结构</w:t>
      </w:r>
      <w:bookmarkEnd w:id="149"/>
    </w:p>
    <w:p>
      <w:pPr>
        <w:pStyle w:val="2"/>
        <w:rPr>
          <w:rFonts w:asciiTheme="minorEastAsia" w:hAnsiTheme="minorEastAsia" w:eastAsiaTheme="minorEastAsia"/>
          <w:color w:val="000000" w:themeColor="text1"/>
          <w14:textFill>
            <w14:solidFill>
              <w14:schemeClr w14:val="tx1"/>
            </w14:solidFill>
          </w14:textFill>
        </w:rPr>
      </w:pPr>
      <w:bookmarkStart w:id="150" w:name="_Toc106118884"/>
      <w:bookmarkStart w:id="151" w:name="_Toc118808232"/>
      <w:r>
        <w:rPr>
          <w:rFonts w:hint="eastAsia" w:asciiTheme="minorEastAsia" w:hAnsiTheme="minorEastAsia" w:eastAsiaTheme="minorEastAsia"/>
          <w:color w:val="000000" w:themeColor="text1"/>
          <w14:textFill>
            <w14:solidFill>
              <w14:schemeClr w14:val="tx1"/>
            </w14:solidFill>
          </w14:textFill>
        </w:rPr>
        <w:t>萧山“一呼解忧”</w:t>
      </w:r>
      <w:bookmarkEnd w:id="150"/>
      <w:r>
        <w:rPr>
          <w:rFonts w:hint="eastAsia" w:asciiTheme="minorEastAsia" w:hAnsiTheme="minorEastAsia" w:eastAsiaTheme="minorEastAsia"/>
          <w:color w:val="000000" w:themeColor="text1"/>
          <w14:textFill>
            <w14:solidFill>
              <w14:schemeClr w14:val="tx1"/>
            </w14:solidFill>
          </w14:textFill>
        </w:rPr>
        <w:t>系统总体结构</w:t>
      </w:r>
      <w:bookmarkEnd w:id="151"/>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系统的建设按照技术先进、业务全面、灵活实用、突出亮点的要求进行开发，遵循以下原则：</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1.标准化和资源共享的原则</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系统平台、技术等选型时，采用符合国际标准、工业标准、行业标准、特别是国家、行业发布的标准和规范。没有现行标准可供参考的，在系统建设过程中逐步形成行业内部的标准，为相关系统建设提供参考依据。同时，注重与同行各种业务系统之间的通信和信息交换，以资源的共享为基本原则。对于原有的设备、网络、软件、数据等现有资源充分加以利用，同时做到在实现系统全部功能基础上实现成本投入的最小化。</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2.安全性原则</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安全保密是信息系统建设的关键，因此，安全性需要放在重要位置进行考虑。系统具备严格的等级访问及授权机制；对于认定的关键及敏感数据，只有经过授权的合法用户才能使用访问及修改，并具有完备的日志及审核功能。系统需具备一套完整的安全机制，保证系统数据不被非法用户非法访问和破坏。同时要具备足够容错能力，以保证合法用户操作时不至于引起系统出错，充分保证系统数据的安全性。</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3.先进性与实用性相结合的原则</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系统建设是一项完整的系统工程，在设计上需要有相当程度的先进性和完善性，选择国内外先进的技术，从而保证系统的正常运行，并对现有的投资进行保护。系统采用业界公认先进的和标准的软件技术，符合信息技术发展的趋势，保证系统在可预见的阶段内有相当强的生命力。同时系统界面友好、易于使用、响应性能高、便于管理维护、数据更新快捷，具有优化的系统结构和完善的数据库系统，具有与其他系统数据共享、协同工作的能力。</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4.开放性和可扩展性原则</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软件架构设计开放程度会直接影响到软件的生命周期，为保证系统具有优异的开放性，建设方需要采用优秀的框架结构来设计本系统。通过基于“平台+应用”的架构，采用“构件模式”来实现系统的各种功能模块。同时，为了应对在系统建设和运行过程中存在数据变动、业务流程变化、软硬件升级等一系列不确定因素，系统需要提供一定的可扩展性来满足实际业务需求的变化。</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微服务架构</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为了使项目系统设计、开发、管理更加灵活和高效，本次引入微服务架构。微服务架构是一种架构模式，提倡单一应用程序划分成一组小的服务，服务之间互相协调、互相配合，为用户提供最终价值。每个服务运行在其独立的进程中，服务与服务间采用轻量级的通信机制互相沟通。每个服务都围绕着具体业务进行构建，并且能够被独立的部署到生产环境、类生产环境等。另外，应当尽量避免统一的、集中式的服务管理机制，对具体的一个服务而言，应根据业务上下文，选择合适的语言、工具对其进行构建。</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微服务架构内涵</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1.微服务是由服务组件组成的系统</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 xml:space="preserve">组件是可被替换和升级的软件单元。组件之间定义清晰，组件内与语言无关，能够独立开发、独立测试、独立部署、独立扩展。 </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2.按照业务而不是技术来组织服务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面向业务，以减少跨团队协作与沟通。</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3.去中心化治理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不必采用统一的语义与技术，每个微服务可以考虑选用最佳工具去完成。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4、去中心化数据管理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分散存储于业务数据自治，提倡多样性持久化，采用不同的技术存储。</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5.自动化运维</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实现自动化构建、自动化部署、弹性扩展。</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6.故障恢复与容错</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熔断机制、自动化监控/告警、日志审计。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7.演化式设计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不断地应对业务的变更，不断地适应技术的更迭。</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微服务优势</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1.每个微服务组件都是简单灵活的，能够独立部署。应用不需要一个庞大的应用服务器来支撑。</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2.可以由一个小团队负责更专注专业，相应的也就更高效可靠。</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3.微服务之间是松耦合的，微服务内部是高内聚的，每个微服务很容易按需扩展。</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4.微服务架构与语言工具无关，自由选择合适的语言和工具，高效的完成业务目标即可。</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构件化的技术架构</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应用系统开发的构建和集成，采用构件化技术路线。基于组件的开发是普通应用程序开发过程的改进，它具有如下特点：</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1.应用程序由各自独立的组件组成，这些组件的开发和部署保持相对的独立性，而且很可能是由不同的团队开发和部署；</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2.通过仅对这种应用程序的某些组件进行升级，从而对其进行小幅度的升级；</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3.组件可以在不同应用程序之间共享，因此可对它们复用，但同时也产生了项目之间的依赖关系；</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4.尽管并非与基于组件完全密不可分，但基于组件的应用程序倾向于分布式结构。</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浏览器跨平台技术路线</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浏览器跨平台设计主要体现在完美支持国产化主流浏览器，并且兼容IE、Firefox等主流浏览器。</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对于主流浏览器跨平台的支持，先进行浏览器适配差异分析，主要在脚本编程时，实现自动检测浏览器类型，为特定浏览器针对性的编写代码，并在渲染模式、HTML标准兼容性、CSS标准兼容性、JavaScript标准兼容性、浏览器插件接口等方面进行浏览器适配。并按照不同浏览器，实现对标准化套件的主动升级。</w:t>
      </w:r>
    </w:p>
    <w:p>
      <w:pPr>
        <w:pStyle w:val="2"/>
        <w:rPr>
          <w:rFonts w:asciiTheme="minorEastAsia" w:hAnsiTheme="minorEastAsia" w:eastAsiaTheme="minorEastAsia"/>
          <w:color w:val="000000" w:themeColor="text1"/>
          <w14:textFill>
            <w14:solidFill>
              <w14:schemeClr w14:val="tx1"/>
            </w14:solidFill>
          </w14:textFill>
        </w:rPr>
      </w:pPr>
      <w:bookmarkStart w:id="152" w:name="_Toc19651"/>
      <w:bookmarkStart w:id="153" w:name="_Toc23179"/>
      <w:bookmarkStart w:id="154" w:name="_Toc22244"/>
      <w:bookmarkStart w:id="155" w:name="_Toc18593"/>
      <w:bookmarkStart w:id="156" w:name="_Toc106118885"/>
      <w:bookmarkStart w:id="157" w:name="_Toc64986428"/>
      <w:bookmarkStart w:id="158" w:name="_Toc118808233"/>
      <w:r>
        <w:rPr>
          <w:rFonts w:hint="eastAsia" w:asciiTheme="minorEastAsia" w:hAnsiTheme="minorEastAsia" w:eastAsiaTheme="minorEastAsia"/>
          <w:color w:val="000000" w:themeColor="text1"/>
          <w14:textFill>
            <w14:solidFill>
              <w14:schemeClr w14:val="tx1"/>
            </w14:solidFill>
          </w14:textFill>
        </w:rPr>
        <w:t>萧山“一呼解忧”</w:t>
      </w:r>
      <w:bookmarkEnd w:id="152"/>
      <w:bookmarkEnd w:id="153"/>
      <w:bookmarkEnd w:id="154"/>
      <w:bookmarkEnd w:id="155"/>
      <w:bookmarkEnd w:id="156"/>
      <w:bookmarkEnd w:id="157"/>
      <w:r>
        <w:rPr>
          <w:rFonts w:hint="eastAsia" w:asciiTheme="minorEastAsia" w:hAnsiTheme="minorEastAsia" w:eastAsiaTheme="minorEastAsia"/>
          <w:color w:val="000000" w:themeColor="text1"/>
          <w14:textFill>
            <w14:solidFill>
              <w14:schemeClr w14:val="tx1"/>
            </w14:solidFill>
          </w14:textFill>
        </w:rPr>
        <w:t>系统逻辑结构</w:t>
      </w:r>
      <w:bookmarkEnd w:id="158"/>
    </w:p>
    <w:p>
      <w:pPr>
        <w:pStyle w:val="14"/>
        <w:spacing w:line="360" w:lineRule="auto"/>
        <w:ind w:firstLine="560" w:firstLineChars="200"/>
        <w:rPr>
          <w:rFonts w:asciiTheme="minorEastAsia" w:hAnsiTheme="minorEastAsia" w:eastAsiaTheme="minorEastAsia"/>
          <w:color w:val="000000" w:themeColor="text1"/>
          <w:sz w:val="28"/>
          <w:lang w:eastAsia="zh-TW"/>
          <w14:textFill>
            <w14:solidFill>
              <w14:schemeClr w14:val="tx1"/>
            </w14:solidFill>
          </w14:textFill>
        </w:rPr>
      </w:pPr>
      <w:r>
        <w:rPr>
          <w:rFonts w:hint="eastAsia" w:asciiTheme="minorEastAsia" w:hAnsiTheme="minorEastAsia" w:eastAsiaTheme="minorEastAsia"/>
          <w:color w:val="000000" w:themeColor="text1"/>
          <w:sz w:val="28"/>
          <w:lang w:eastAsia="zh-TW"/>
          <w14:textFill>
            <w14:solidFill>
              <w14:schemeClr w14:val="tx1"/>
            </w14:solidFill>
          </w14:textFill>
        </w:rPr>
        <w:t>为进一步保障“一呼解忧”综合应用高效顺畅运行，建立科学的考核评价机制，设立“一呼解忧”指数作为评估各单位“一呼解忧”事件处置效能的管理指标。“一呼解忧”指数是各单位在处置“一呼解忧”事件中表现出来的效率</w:t>
      </w:r>
      <w:r>
        <w:rPr>
          <w:rFonts w:hint="eastAsia" w:asciiTheme="minorEastAsia" w:hAnsiTheme="minorEastAsia" w:eastAsiaTheme="minorEastAsia"/>
          <w:color w:val="000000" w:themeColor="text1"/>
          <w:sz w:val="28"/>
          <w14:textFill>
            <w14:solidFill>
              <w14:schemeClr w14:val="tx1"/>
            </w14:solidFill>
          </w14:textFill>
        </w:rPr>
        <w:t>和效果</w:t>
      </w:r>
      <w:r>
        <w:rPr>
          <w:rFonts w:hint="eastAsia" w:asciiTheme="minorEastAsia" w:hAnsiTheme="minorEastAsia" w:eastAsiaTheme="minorEastAsia"/>
          <w:color w:val="000000" w:themeColor="text1"/>
          <w:sz w:val="28"/>
          <w:lang w:eastAsia="zh-TW"/>
          <w14:textFill>
            <w14:solidFill>
              <w14:schemeClr w14:val="tx1"/>
            </w14:solidFill>
          </w14:textFill>
        </w:rPr>
        <w:t>的综合分值， 为充分发挥“一呼解忧”指数评价功效，制定应用规范如下：</w:t>
      </w:r>
    </w:p>
    <w:p>
      <w:pPr>
        <w:pStyle w:val="6"/>
        <w:rPr>
          <w:rFonts w:asciiTheme="minorEastAsia" w:hAnsiTheme="minorEastAsia" w:eastAsiaTheme="minorEastAsia"/>
          <w:color w:val="000000" w:themeColor="text1"/>
          <w14:textFill>
            <w14:solidFill>
              <w14:schemeClr w14:val="tx1"/>
            </w14:solidFill>
          </w14:textFill>
        </w:rPr>
      </w:pPr>
      <w:bookmarkStart w:id="159" w:name="_Toc28601"/>
      <w:bookmarkStart w:id="160" w:name="_Toc30793"/>
      <w:bookmarkStart w:id="161" w:name="_Toc8561"/>
      <w:r>
        <w:rPr>
          <w:rFonts w:asciiTheme="minorEastAsia" w:hAnsiTheme="minorEastAsia" w:eastAsiaTheme="minorEastAsia"/>
          <w:color w:val="000000" w:themeColor="text1"/>
          <w14:textFill>
            <w14:solidFill>
              <w14:schemeClr w14:val="tx1"/>
            </w14:solidFill>
          </w14:textFill>
        </w:rPr>
        <w:t>组成结构</w:t>
      </w:r>
      <w:bookmarkEnd w:id="159"/>
      <w:bookmarkEnd w:id="160"/>
      <w:bookmarkEnd w:id="161"/>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指数构成。“一呼解忧"指数由按期受理率、按期处置率、按期办结率、评价满意率、回访核实率和问题件扣分数组成，以确保群众诉求受理及时、处置高效、办理精准、群众满意，并对群众评价不满意的事件，进行回访核实、查漏补缺和解释沟通。</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2、计算方法。“一呼解忧”指数=按期受理率*15+按期处置率*15+按期办结率*20+评价满意率*30+回访核实率*20-问题件数*0.5。</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（1）按期受理率指各单位收到事件后在30分钟内受理办理的比率。计算方法：1-未按期受理件数÷承办总数；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（2）按期处置率指各单位收到事件后在3小时内到现场处置并作初步反馈的比率。计算方法：1-未按期到现场处置数÷承办总数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（3）按期办结率指各单位收到事件后24小时内反馈并办结的比率。计算方法：1-未按期办结件数÷承办总数；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（4）评价满意率指评价链接让事件发起者对事件办理结果 进行评价的满意率。计算方法：1-评价为非常不满意、不满意事 件总数，已评价总件数；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（5）上报人对事件办理情况的评价意见分为非常不满意、 不满意、一般、满意、非常满意五个等次，其中，评价“非常不满意、不满意”的“一呼解忧”事件自动进入回访核实流程。回访核实率指各单位对不满意件在48小时内进行后续核实及进一步处置反馈的比率。计算方法：1-未回访核实件数÷回访件总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问题件是指在事件处置过程中，发生以下情况的，列入问题件考核：①因情况核实不到位，事件不应流转其他镇(街道)而流转的；②事件处置久拖不决的；③事件处置不到位且未及时跟进整改的；④事件反馈答非所问的；⑤事件答复无实质性内容，敷衍了事的；⑥未按处置反馈意见落实工作的；⑦未按要求落实领导批示的；⑧解释疏导工作不到位引发反复投诉的；⑨ 纪委巡查发现的问题；⑩其他存在明显问题的。</w:t>
      </w:r>
    </w:p>
    <w:p>
      <w:pPr>
        <w:pStyle w:val="6"/>
        <w:rPr>
          <w:rFonts w:asciiTheme="minorEastAsia" w:hAnsiTheme="minorEastAsia" w:eastAsiaTheme="minorEastAsia"/>
          <w:color w:val="000000" w:themeColor="text1"/>
          <w14:textFill>
            <w14:solidFill>
              <w14:schemeClr w14:val="tx1"/>
            </w14:solidFill>
          </w14:textFill>
        </w:rPr>
      </w:pPr>
      <w:bookmarkStart w:id="162" w:name="_Toc29810"/>
      <w:bookmarkStart w:id="163" w:name="_Toc14335"/>
      <w:bookmarkStart w:id="164" w:name="_Toc17870"/>
      <w:r>
        <w:rPr>
          <w:rFonts w:asciiTheme="minorEastAsia" w:hAnsiTheme="minorEastAsia" w:eastAsiaTheme="minorEastAsia"/>
          <w:color w:val="000000" w:themeColor="text1"/>
          <w14:textFill>
            <w14:solidFill>
              <w14:schemeClr w14:val="tx1"/>
            </w14:solidFill>
          </w14:textFill>
        </w:rPr>
        <w:t>考核评定</w:t>
      </w:r>
      <w:bookmarkEnd w:id="162"/>
      <w:bookmarkEnd w:id="163"/>
      <w:bookmarkEnd w:id="164"/>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考核通报。区级数字化综合指挥中心每月根据各镇（街道）处置工作情况，汇总形成“码上”指数在全区范围内进行通报，年底统-进行汇总考核。涉及相关单位协同处置的工作情况，由区级数字化综合指挥中心定期进行通报。</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2、分级管理。“一呼解忧”指数采取百分制考核，90分为达标分，95分以上为优秀，按得分实施四色管理制度，优秀单位纳入绿色管理，达标单位纳入蓝色管理，未达标单位为黄色管理， 连续两次及以上的未达标的纳入红色管理。“一呼解忧”指数年度考核成绩为各月考核成绩的平均值，月度得分达到95分（含）以上优秀等次的在计算年度考核成绩时按100分计算，95分（不含）以下的按实际得分计算。被纳入黄色、红色管理的单位，在年度考核成绩中每次分别扣0.2、0.5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考核核减。针对群众上报事件中的特殊情况，如上报人就某一无理诉求反复投诉、反复差评，或因某些历史原因、特殊情况导致事件确实暂无法办理，但经工作人员解释说明后仍然持续投诉、反复差评等情况，可由承办单位向区数字化综合指挥中心说明情况，申请考核核减</w:t>
      </w:r>
    </w:p>
    <w:p>
      <w:pPr>
        <w:pStyle w:val="3"/>
        <w:rPr>
          <w:rFonts w:asciiTheme="minorEastAsia" w:hAnsiTheme="minorEastAsia" w:eastAsiaTheme="minorEastAsia"/>
          <w:color w:val="000000" w:themeColor="text1"/>
          <w14:textFill>
            <w14:solidFill>
              <w14:schemeClr w14:val="tx1"/>
            </w14:solidFill>
          </w14:textFill>
        </w:rPr>
      </w:pPr>
      <w:bookmarkStart w:id="165" w:name="_Toc118808234"/>
      <w:r>
        <w:rPr>
          <w:rFonts w:asciiTheme="minorEastAsia" w:hAnsiTheme="minorEastAsia" w:eastAsiaTheme="minorEastAsia"/>
          <w:color w:val="000000" w:themeColor="text1"/>
          <w14:textFill>
            <w14:solidFill>
              <w14:schemeClr w14:val="tx1"/>
            </w14:solidFill>
          </w14:textFill>
        </w:rPr>
        <w:t>本期</w:t>
      </w:r>
      <w:r>
        <w:rPr>
          <w:rFonts w:hint="eastAsia" w:asciiTheme="minorEastAsia" w:hAnsiTheme="minorEastAsia" w:eastAsiaTheme="minorEastAsia"/>
          <w:color w:val="000000" w:themeColor="text1"/>
          <w14:textFill>
            <w14:solidFill>
              <w14:schemeClr w14:val="tx1"/>
            </w14:solidFill>
          </w14:textFill>
        </w:rPr>
        <w:t>设计</w:t>
      </w:r>
      <w:r>
        <w:rPr>
          <w:rFonts w:asciiTheme="minorEastAsia" w:hAnsiTheme="minorEastAsia" w:eastAsiaTheme="minorEastAsia"/>
          <w:color w:val="000000" w:themeColor="text1"/>
          <w14:textFill>
            <w14:solidFill>
              <w14:schemeClr w14:val="tx1"/>
            </w14:solidFill>
          </w14:textFill>
        </w:rPr>
        <w:t>方案</w:t>
      </w:r>
      <w:bookmarkEnd w:id="165"/>
    </w:p>
    <w:p>
      <w:pPr>
        <w:pStyle w:val="5"/>
        <w:rPr>
          <w:rFonts w:asciiTheme="minorEastAsia" w:hAnsiTheme="minorEastAsia" w:eastAsiaTheme="minorEastAsia"/>
          <w:color w:val="000000" w:themeColor="text1"/>
          <w14:textFill>
            <w14:solidFill>
              <w14:schemeClr w14:val="tx1"/>
            </w14:solidFill>
          </w14:textFill>
        </w:rPr>
      </w:pPr>
      <w:bookmarkStart w:id="166" w:name="_Toc118808235"/>
      <w:bookmarkStart w:id="167" w:name="_Toc106118871"/>
      <w:r>
        <w:rPr>
          <w:rFonts w:hint="eastAsia" w:asciiTheme="minorEastAsia" w:hAnsiTheme="minorEastAsia" w:eastAsiaTheme="minorEastAsia"/>
          <w:color w:val="000000" w:themeColor="text1"/>
          <w14:textFill>
            <w14:solidFill>
              <w14:schemeClr w14:val="tx1"/>
            </w14:solidFill>
          </w14:textFill>
        </w:rPr>
        <w:t>建设目标与内容</w:t>
      </w:r>
      <w:bookmarkEnd w:id="166"/>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本项目整体建设的数字化改革目的是：以现有浙江省统一建设系统的基础上进行深化开发，拓宽信访渠道，满足镇街受理及业务延伸，解决信访最后一环节，避免重复交办，避免重复建设，为基层减负。</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根据此目标，对萧山区“一呼解忧”多跨场景应用建设重点进行总结：</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1、建设一套具备区县级民呼我为和镇街受理能力的受理模块；</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2、建设一套向下延伸至村社一级（镇街下一级）的处理模块；</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3、整理一张能够区分基层事件与信访事件的事件库清单；</w:t>
      </w:r>
    </w:p>
    <w:p>
      <w:pPr>
        <w:pStyle w:val="14"/>
        <w:ind w:firstLine="560" w:firstLineChars="20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4、建设一张萧山区信访“五色图”，将效能精确到村社，具备研判、分析、调度能力，即研判调度系统。</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具体建设内容如下：</w:t>
      </w:r>
    </w:p>
    <w:p>
      <w:pPr>
        <w:pStyle w:val="2"/>
        <w:rPr>
          <w:rFonts w:asciiTheme="minorEastAsia" w:hAnsiTheme="minorEastAsia" w:eastAsiaTheme="minorEastAsia"/>
          <w:color w:val="000000" w:themeColor="text1"/>
          <w14:textFill>
            <w14:solidFill>
              <w14:schemeClr w14:val="tx1"/>
            </w14:solidFill>
          </w14:textFill>
        </w:rPr>
      </w:pPr>
      <w:bookmarkStart w:id="168" w:name="_Toc118808236"/>
      <w:r>
        <w:rPr>
          <w:rFonts w:hint="eastAsia" w:asciiTheme="minorEastAsia" w:hAnsiTheme="minorEastAsia" w:eastAsiaTheme="minorEastAsia"/>
          <w:color w:val="000000" w:themeColor="text1"/>
          <w14:textFill>
            <w14:solidFill>
              <w14:schemeClr w14:val="tx1"/>
            </w14:solidFill>
          </w14:textFill>
        </w:rPr>
        <w:t>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业务系统适配</w:t>
      </w:r>
      <w:bookmarkEnd w:id="168"/>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本次设计方案将对12345业务系统客平台进行适配建设，接入5G技术,使其具备处理5G多媒体通讯的能力。</w:t>
      </w:r>
    </w:p>
    <w:p>
      <w:pPr>
        <w:pStyle w:val="6"/>
        <w:rPr>
          <w:rFonts w:asciiTheme="minorEastAsia" w:hAnsiTheme="minorEastAsia" w:eastAsiaTheme="minorEastAsia"/>
          <w:color w:val="000000" w:themeColor="text1"/>
          <w14:textFill>
            <w14:solidFill>
              <w14:schemeClr w14:val="tx1"/>
            </w14:solidFill>
          </w14:textFill>
        </w:rPr>
      </w:pPr>
      <w:bookmarkStart w:id="169" w:name="_Toc106118872"/>
      <w:r>
        <w:rPr>
          <w:rFonts w:hint="eastAsia" w:asciiTheme="minorEastAsia" w:hAnsiTheme="minorEastAsia" w:eastAsiaTheme="minorEastAsia"/>
          <w:color w:val="000000" w:themeColor="text1"/>
          <w14:textFill>
            <w14:solidFill>
              <w14:schemeClr w14:val="tx1"/>
            </w14:solidFill>
          </w14:textFill>
        </w:rPr>
        <w:t>业务及</w:t>
      </w:r>
      <w:r>
        <w:rPr>
          <w:rFonts w:asciiTheme="minorEastAsia" w:hAnsiTheme="minorEastAsia" w:eastAsiaTheme="minorEastAsia"/>
          <w:color w:val="000000" w:themeColor="text1"/>
          <w14:textFill>
            <w14:solidFill>
              <w14:schemeClr w14:val="tx1"/>
            </w14:solidFill>
          </w14:textFill>
        </w:rPr>
        <w:t>技术架构</w:t>
      </w:r>
      <w:bookmarkEnd w:id="169"/>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通过利用5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技术，实现客服全渠道统一接入，业务统一处理，数据统一管理。</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业</w:t>
      </w:r>
      <w:r>
        <w:rPr>
          <w:rFonts w:asciiTheme="minorEastAsia" w:hAnsiTheme="minorEastAsia" w:eastAsiaTheme="minorEastAsia"/>
          <w:color w:val="000000" w:themeColor="text1"/>
          <w:szCs w:val="28"/>
          <w14:textFill>
            <w14:solidFill>
              <w14:schemeClr w14:val="tx1"/>
            </w14:solidFill>
          </w14:textFill>
        </w:rPr>
        <w:t>务设计架构图如下图所示：</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481070"/>
            <wp:effectExtent l="0" t="0" r="2540" b="508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188710" cy="3481070"/>
                    </a:xfrm>
                    <a:prstGeom prst="rect">
                      <a:avLst/>
                    </a:prstGeom>
                  </pic:spPr>
                </pic:pic>
              </a:graphicData>
            </a:graphic>
          </wp:inline>
        </w:drawing>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sz w:val="24"/>
          <w:szCs w:val="24"/>
          <w14:textFill>
            <w14:solidFill>
              <w14:schemeClr w14:val="tx1"/>
            </w14:solidFill>
          </w14:textFill>
        </w:rPr>
        <w:drawing>
          <wp:inline distT="0" distB="0" distL="0" distR="0">
            <wp:extent cx="5877560" cy="2953385"/>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
                    <a:stretch>
                      <a:fillRect/>
                    </a:stretch>
                  </pic:blipFill>
                  <pic:spPr>
                    <a:xfrm>
                      <a:off x="0" y="0"/>
                      <a:ext cx="5894229" cy="2961579"/>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bookmarkStart w:id="170" w:name="_Toc106118873"/>
      <w:r>
        <w:rPr>
          <w:rFonts w:hint="eastAsia" w:asciiTheme="minorEastAsia" w:hAnsiTheme="minorEastAsia" w:eastAsiaTheme="minorEastAsia"/>
          <w:color w:val="000000" w:themeColor="text1"/>
          <w14:textFill>
            <w14:solidFill>
              <w14:schemeClr w14:val="tx1"/>
            </w14:solidFill>
          </w14:textFill>
        </w:rPr>
        <w:t>全媒体</w:t>
      </w:r>
      <w:r>
        <w:rPr>
          <w:rFonts w:asciiTheme="minorEastAsia" w:hAnsiTheme="minorEastAsia" w:eastAsiaTheme="minorEastAsia"/>
          <w:color w:val="000000" w:themeColor="text1"/>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G客服人工智能</w:t>
      </w:r>
      <w:bookmarkEnd w:id="170"/>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深化一呼解忧智能客服建设，全维度引入利用提升人工智能技术，在业务各个环节上充分调用现有人工智能能力，优化业务处理流程,</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提高客服效率</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1.客服全渠道入口:智能语音交互+自然语言理解能力+</w:t>
      </w:r>
      <w:r>
        <w:rPr>
          <w:rFonts w:asciiTheme="minorEastAsia" w:hAnsiTheme="minorEastAsia" w:eastAsiaTheme="minorEastAsia"/>
          <w:color w:val="000000" w:themeColor="text1"/>
          <w:szCs w:val="28"/>
          <w14:textFill>
            <w14:solidFill>
              <w14:schemeClr w14:val="tx1"/>
            </w14:solidFill>
          </w14:textFill>
        </w:rPr>
        <w:t>5</w:t>
      </w:r>
      <w:r>
        <w:rPr>
          <w:rFonts w:hint="eastAsia" w:asciiTheme="minorEastAsia" w:hAnsiTheme="minorEastAsia" w:eastAsiaTheme="minorEastAsia"/>
          <w:color w:val="000000" w:themeColor="text1"/>
          <w:szCs w:val="28"/>
          <w14:textFill>
            <w14:solidFill>
              <w14:schemeClr w14:val="tx1"/>
            </w14:solidFill>
          </w14:textFill>
        </w:rPr>
        <w:t>G视频IVR多维度整合智能客服接口,</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群众进入1</w:t>
      </w:r>
      <w:r>
        <w:rPr>
          <w:rFonts w:asciiTheme="minorEastAsia" w:hAnsiTheme="minorEastAsia" w:eastAsiaTheme="minorEastAsia"/>
          <w:color w:val="000000" w:themeColor="text1"/>
          <w:szCs w:val="28"/>
          <w14:textFill>
            <w14:solidFill>
              <w14:schemeClr w14:val="tx1"/>
            </w14:solidFill>
          </w14:textFill>
        </w:rPr>
        <w:t>2345</w:t>
      </w:r>
      <w:r>
        <w:rPr>
          <w:rFonts w:hint="eastAsia" w:asciiTheme="minorEastAsia" w:hAnsiTheme="minorEastAsia" w:eastAsiaTheme="minorEastAsia"/>
          <w:color w:val="000000" w:themeColor="text1"/>
          <w:szCs w:val="28"/>
          <w14:textFill>
            <w14:solidFill>
              <w14:schemeClr w14:val="tx1"/>
            </w14:solidFill>
          </w14:textFill>
        </w:rPr>
        <w:t>开始 ,</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人工智能就开启全程介入 ,</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确保服务质量和群众满意度。</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客服业务受理：全媒体客服+人工智能业务知识流程辅助功能+人工智能实时智能质检监控预警，全维度辅助客服业务处理，人工智能全程监控/预警，辅助提示业务信息，辅助客服定位问题流程，辅助填入工单信息，确保客服高效准确服务群众 ,提升群众满意度，优化业务办理时间。</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3.客服业务提交:</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人工智能自动分析业务数据，并对客服进行业务总结和不足提示，对客服管理层提出优化业务流程建议。</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4.业务完成反馈:</w:t>
      </w:r>
      <w:r>
        <w:rPr>
          <w:rFonts w:asciiTheme="minorEastAsia" w:hAnsiTheme="minorEastAsia" w:eastAsiaTheme="minorEastAsia"/>
          <w:color w:val="000000" w:themeColor="text1"/>
          <w:szCs w:val="28"/>
          <w14:textFill>
            <w14:solidFill>
              <w14:schemeClr w14:val="tx1"/>
            </w14:solidFill>
          </w14:textFill>
        </w:rPr>
        <w:t xml:space="preserve"> </w:t>
      </w:r>
      <w:r>
        <w:rPr>
          <w:rFonts w:hint="eastAsia" w:asciiTheme="minorEastAsia" w:hAnsiTheme="minorEastAsia" w:eastAsiaTheme="minorEastAsia"/>
          <w:color w:val="000000" w:themeColor="text1"/>
          <w:szCs w:val="28"/>
          <w14:textFill>
            <w14:solidFill>
              <w14:schemeClr w14:val="tx1"/>
            </w14:solidFill>
          </w14:textFill>
        </w:rPr>
        <w:t>收到业务完成，人工智能自动通过智能语音/</w:t>
      </w:r>
      <w:r>
        <w:rPr>
          <w:rFonts w:asciiTheme="minorEastAsia" w:hAnsiTheme="minorEastAsia" w:eastAsiaTheme="minorEastAsia"/>
          <w:color w:val="000000" w:themeColor="text1"/>
          <w:szCs w:val="28"/>
          <w14:textFill>
            <w14:solidFill>
              <w14:schemeClr w14:val="tx1"/>
            </w14:solidFill>
          </w14:textFill>
        </w:rPr>
        <w:t>5</w:t>
      </w:r>
      <w:r>
        <w:rPr>
          <w:rFonts w:hint="eastAsia" w:asciiTheme="minorEastAsia" w:hAnsiTheme="minorEastAsia" w:eastAsiaTheme="minorEastAsia"/>
          <w:color w:val="000000" w:themeColor="text1"/>
          <w:szCs w:val="28"/>
          <w14:textFill>
            <w14:solidFill>
              <w14:schemeClr w14:val="tx1"/>
            </w14:solidFill>
          </w14:textFill>
        </w:rPr>
        <w:t>G多媒体/</w:t>
      </w:r>
      <w:r>
        <w:rPr>
          <w:rFonts w:asciiTheme="minorEastAsia" w:hAnsiTheme="minorEastAsia" w:eastAsiaTheme="minorEastAsia"/>
          <w:color w:val="000000" w:themeColor="text1"/>
          <w:szCs w:val="28"/>
          <w14:textFill>
            <w14:solidFill>
              <w14:schemeClr w14:val="tx1"/>
            </w14:solidFill>
          </w14:textFill>
        </w:rPr>
        <w:t>5</w:t>
      </w:r>
      <w:r>
        <w:rPr>
          <w:rFonts w:hint="eastAsia" w:asciiTheme="minorEastAsia" w:hAnsiTheme="minorEastAsia" w:eastAsiaTheme="minorEastAsia"/>
          <w:color w:val="000000" w:themeColor="text1"/>
          <w:szCs w:val="28"/>
          <w14:textFill>
            <w14:solidFill>
              <w14:schemeClr w14:val="tx1"/>
            </w14:solidFill>
          </w14:textFill>
        </w:rPr>
        <w:t>G消息/公众号等渠道向群众及时反馈信息,收集整理分析群众意见，重点案件会通知专项客服人机结合处理，确保人民群众满意度。</w:t>
      </w:r>
    </w:p>
    <w:p>
      <w:pPr>
        <w:pStyle w:val="6"/>
        <w:rPr>
          <w:rFonts w:asciiTheme="minorEastAsia" w:hAnsiTheme="minorEastAsia" w:eastAsiaTheme="minorEastAsia"/>
          <w:color w:val="000000" w:themeColor="text1"/>
          <w14:textFill>
            <w14:solidFill>
              <w14:schemeClr w14:val="tx1"/>
            </w14:solidFill>
          </w14:textFill>
        </w:rPr>
      </w:pPr>
      <w:bookmarkStart w:id="171" w:name="_Toc106118874"/>
      <w:r>
        <w:rPr>
          <w:rFonts w:hint="eastAsia" w:asciiTheme="minorEastAsia" w:hAnsiTheme="minorEastAsia" w:eastAsiaTheme="minorEastAsia"/>
          <w:color w:val="000000" w:themeColor="text1"/>
          <w14:textFill>
            <w14:solidFill>
              <w14:schemeClr w14:val="tx1"/>
            </w14:solidFill>
          </w14:textFill>
        </w:rPr>
        <w:t>云通信租赁服务</w:t>
      </w:r>
      <w:bookmarkEnd w:id="171"/>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本次萧山区1</w:t>
      </w:r>
      <w:r>
        <w:rPr>
          <w:rFonts w:asciiTheme="minorEastAsia" w:hAnsiTheme="minorEastAsia" w:eastAsiaTheme="minorEastAsia"/>
          <w:color w:val="000000" w:themeColor="text1"/>
          <w:sz w:val="28"/>
          <w14:textFill>
            <w14:solidFill>
              <w14:schemeClr w14:val="tx1"/>
            </w14:solidFill>
          </w14:textFill>
        </w:rPr>
        <w:t>2345</w:t>
      </w:r>
      <w:r>
        <w:rPr>
          <w:rFonts w:hint="eastAsia" w:asciiTheme="minorEastAsia" w:hAnsiTheme="minorEastAsia" w:eastAsiaTheme="minorEastAsia"/>
          <w:color w:val="000000" w:themeColor="text1"/>
          <w:sz w:val="28"/>
          <w14:textFill>
            <w14:solidFill>
              <w14:schemeClr w14:val="tx1"/>
            </w14:solidFill>
          </w14:textFill>
        </w:rPr>
        <w:t>业务系统的适配建设将在12345系统中接入</w:t>
      </w:r>
      <w:r>
        <w:rPr>
          <w:rFonts w:asciiTheme="minorEastAsia" w:hAnsiTheme="minorEastAsia" w:eastAsiaTheme="minorEastAsia"/>
          <w:color w:val="000000" w:themeColor="text1"/>
          <w:sz w:val="28"/>
          <w14:textFill>
            <w14:solidFill>
              <w14:schemeClr w14:val="tx1"/>
            </w14:solidFill>
          </w14:textFill>
        </w:rPr>
        <w:t>60</w:t>
      </w:r>
      <w:r>
        <w:rPr>
          <w:rFonts w:hint="eastAsia" w:asciiTheme="minorEastAsia" w:hAnsiTheme="minorEastAsia" w:eastAsiaTheme="minorEastAsia"/>
          <w:color w:val="000000" w:themeColor="text1"/>
          <w:sz w:val="28"/>
          <w14:textFill>
            <w14:solidFill>
              <w14:schemeClr w14:val="tx1"/>
            </w14:solidFill>
          </w14:textFill>
        </w:rPr>
        <w:t>路通信规模的政务云通信服务，此次政务云通信服务采用租赁模式，租赁时限为</w:t>
      </w:r>
      <w:r>
        <w:rPr>
          <w:rFonts w:asciiTheme="minorEastAsia" w:hAnsiTheme="minorEastAsia" w:eastAsiaTheme="minorEastAsia"/>
          <w:color w:val="000000" w:themeColor="text1"/>
          <w:sz w:val="28"/>
          <w14:textFill>
            <w14:solidFill>
              <w14:schemeClr w14:val="tx1"/>
            </w14:solidFill>
          </w14:textFill>
        </w:rPr>
        <w:t>3</w:t>
      </w:r>
      <w:r>
        <w:rPr>
          <w:rFonts w:hint="eastAsia" w:asciiTheme="minorEastAsia" w:hAnsiTheme="minorEastAsia" w:eastAsiaTheme="minorEastAsia"/>
          <w:color w:val="000000" w:themeColor="text1"/>
          <w:sz w:val="28"/>
          <w14:textFill>
            <w14:solidFill>
              <w14:schemeClr w14:val="tx1"/>
            </w14:solidFill>
          </w14:textFill>
        </w:rPr>
        <w:t>年12345云通信租赁。</w:t>
      </w:r>
    </w:p>
    <w:p>
      <w:pPr>
        <w:pStyle w:val="6"/>
        <w:rPr>
          <w:rFonts w:asciiTheme="minorEastAsia" w:hAnsiTheme="minorEastAsia" w:eastAsiaTheme="minorEastAsia"/>
          <w:color w:val="000000" w:themeColor="text1"/>
          <w14:textFill>
            <w14:solidFill>
              <w14:schemeClr w14:val="tx1"/>
            </w14:solidFill>
          </w14:textFill>
        </w:rPr>
      </w:pPr>
      <w:bookmarkStart w:id="172" w:name="_Toc106118875"/>
      <w:r>
        <w:rPr>
          <w:rFonts w:hint="eastAsia" w:asciiTheme="minorEastAsia" w:hAnsiTheme="minorEastAsia" w:eastAsiaTheme="minorEastAsia"/>
          <w:color w:val="000000" w:themeColor="text1"/>
          <w14:textFill>
            <w14:solidFill>
              <w14:schemeClr w14:val="tx1"/>
            </w14:solidFill>
          </w14:textFill>
        </w:rPr>
        <w:t>坐席辅助</w:t>
      </w:r>
      <w:bookmarkEnd w:id="172"/>
      <w:r>
        <w:rPr>
          <w:rFonts w:hint="eastAsia" w:asciiTheme="minorEastAsia" w:hAnsiTheme="minorEastAsia" w:eastAsiaTheme="minorEastAsia"/>
          <w:color w:val="000000" w:themeColor="text1"/>
          <w14:textFill>
            <w14:solidFill>
              <w14:schemeClr w14:val="tx1"/>
            </w14:solidFill>
          </w14:textFill>
        </w:rPr>
        <w:t>适配</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本次萧山区1</w:t>
      </w:r>
      <w:r>
        <w:rPr>
          <w:rFonts w:asciiTheme="minorEastAsia" w:hAnsiTheme="minorEastAsia" w:eastAsiaTheme="minorEastAsia" w:cstheme="minorEastAsia"/>
          <w:color w:val="000000" w:themeColor="text1"/>
          <w:sz w:val="28"/>
          <w14:textFill>
            <w14:solidFill>
              <w14:schemeClr w14:val="tx1"/>
            </w14:solidFill>
          </w14:textFill>
        </w:rPr>
        <w:t>2345</w:t>
      </w:r>
      <w:r>
        <w:rPr>
          <w:rFonts w:hint="eastAsia" w:asciiTheme="minorEastAsia" w:hAnsiTheme="minorEastAsia" w:eastAsiaTheme="minorEastAsia" w:cstheme="minorEastAsia"/>
          <w:color w:val="000000" w:themeColor="text1"/>
          <w:sz w:val="28"/>
          <w14:textFill>
            <w14:solidFill>
              <w14:schemeClr w14:val="tx1"/>
            </w14:solidFill>
          </w14:textFill>
        </w:rPr>
        <w:t>业务系统的适配将建设2</w:t>
      </w:r>
      <w:r>
        <w:rPr>
          <w:rFonts w:asciiTheme="minorEastAsia" w:hAnsiTheme="minorEastAsia" w:eastAsiaTheme="minorEastAsia" w:cstheme="minorEastAsia"/>
          <w:color w:val="000000" w:themeColor="text1"/>
          <w:sz w:val="28"/>
          <w14:textFill>
            <w14:solidFill>
              <w14:schemeClr w14:val="tx1"/>
            </w14:solidFill>
          </w14:textFill>
        </w:rPr>
        <w:t>0</w:t>
      </w:r>
      <w:r>
        <w:rPr>
          <w:rFonts w:hint="eastAsia" w:asciiTheme="minorEastAsia" w:hAnsiTheme="minorEastAsia" w:eastAsiaTheme="minorEastAsia" w:cstheme="minorEastAsia"/>
          <w:color w:val="000000" w:themeColor="text1"/>
          <w:sz w:val="28"/>
          <w14:textFill>
            <w14:solidFill>
              <w14:schemeClr w14:val="tx1"/>
            </w14:solidFill>
          </w14:textFill>
        </w:rPr>
        <w:t>路坐席辅助，进行坐席辅助的适配建设。</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智能坐席辅助系统利用语音识别、语义理解、语音分轨等技术，为座席提供一个智能、高效、便捷的多辅助受理登记助手。该系统能够自动识别坐席与客户的语音信息，将座席与咨询人的语音交流实时在线转换为文本，并通过语义理解及语义分析来确定关注的业务点，关键词及热点词汇，同步的与智能知识库中的知识进行匹配，并显示到坐席的辅助界面中，供坐席进行快速的知识浏览及业务办理，实现知识在线联动，以提升坐席的工作效率，节省沟通成本。</w:t>
      </w:r>
    </w:p>
    <w:p>
      <w:pPr>
        <w:pStyle w:val="2"/>
        <w:rPr>
          <w:rFonts w:asciiTheme="minorEastAsia" w:hAnsiTheme="minorEastAsia" w:eastAsiaTheme="minorEastAsia"/>
          <w:color w:val="000000" w:themeColor="text1"/>
          <w14:textFill>
            <w14:solidFill>
              <w14:schemeClr w14:val="tx1"/>
            </w14:solidFill>
          </w14:textFill>
        </w:rPr>
      </w:pPr>
      <w:bookmarkStart w:id="173" w:name="_Toc96098133"/>
      <w:bookmarkStart w:id="174" w:name="_Toc106118877"/>
      <w:bookmarkStart w:id="175" w:name="_Toc118808237"/>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bookmarkEnd w:id="173"/>
      <w:r>
        <w:rPr>
          <w:rFonts w:hint="eastAsia" w:asciiTheme="minorEastAsia" w:hAnsiTheme="minorEastAsia" w:eastAsiaTheme="minorEastAsia"/>
          <w:color w:val="000000" w:themeColor="text1"/>
          <w14:textFill>
            <w14:solidFill>
              <w14:schemeClr w14:val="tx1"/>
            </w14:solidFill>
          </w14:textFill>
        </w:rPr>
        <w:t>智慧联络中心</w:t>
      </w:r>
      <w:bookmarkEnd w:id="174"/>
      <w:bookmarkEnd w:id="175"/>
    </w:p>
    <w:p>
      <w:pPr>
        <w:pStyle w:val="6"/>
        <w:rPr>
          <w:rFonts w:asciiTheme="minorEastAsia" w:hAnsiTheme="minorEastAsia" w:eastAsiaTheme="minorEastAsia"/>
          <w:color w:val="000000" w:themeColor="text1"/>
          <w14:textFill>
            <w14:solidFill>
              <w14:schemeClr w14:val="tx1"/>
            </w14:solidFill>
          </w14:textFill>
        </w:rPr>
      </w:pPr>
      <w:bookmarkStart w:id="176" w:name="_Toc108020263"/>
      <w:bookmarkEnd w:id="176"/>
      <w:bookmarkStart w:id="177" w:name="_Toc108020274"/>
      <w:bookmarkEnd w:id="177"/>
      <w:bookmarkStart w:id="178" w:name="_Toc108020275"/>
      <w:bookmarkEnd w:id="178"/>
      <w:bookmarkStart w:id="179" w:name="_Toc108020260"/>
      <w:bookmarkEnd w:id="179"/>
      <w:bookmarkStart w:id="180" w:name="_Toc108020266"/>
      <w:bookmarkEnd w:id="180"/>
      <w:bookmarkStart w:id="181" w:name="_Toc108020262"/>
      <w:bookmarkEnd w:id="181"/>
      <w:bookmarkStart w:id="182" w:name="_Toc108020270"/>
      <w:bookmarkEnd w:id="182"/>
      <w:bookmarkStart w:id="183" w:name="_Toc108020259"/>
      <w:bookmarkEnd w:id="183"/>
      <w:bookmarkStart w:id="184" w:name="_Toc108020271"/>
      <w:bookmarkEnd w:id="184"/>
      <w:bookmarkStart w:id="185" w:name="_Toc108020261"/>
      <w:bookmarkEnd w:id="185"/>
      <w:bookmarkStart w:id="186" w:name="_Toc108020268"/>
      <w:bookmarkEnd w:id="186"/>
      <w:bookmarkStart w:id="187" w:name="_Toc108020273"/>
      <w:bookmarkEnd w:id="187"/>
      <w:bookmarkStart w:id="188" w:name="_Toc108020265"/>
      <w:bookmarkEnd w:id="188"/>
      <w:bookmarkStart w:id="189" w:name="_Toc108020269"/>
      <w:bookmarkEnd w:id="189"/>
      <w:bookmarkStart w:id="190" w:name="_Toc108020272"/>
      <w:bookmarkEnd w:id="190"/>
      <w:bookmarkStart w:id="191" w:name="_Toc108020264"/>
      <w:bookmarkEnd w:id="191"/>
      <w:bookmarkStart w:id="192" w:name="_Toc108020267"/>
      <w:bookmarkEnd w:id="192"/>
      <w:bookmarkStart w:id="193" w:name="_Toc96098135"/>
      <w:bookmarkStart w:id="194" w:name="_Toc106118879"/>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智慧联络中心</w:t>
      </w:r>
      <w:bookmarkEnd w:id="193"/>
      <w:r>
        <w:rPr>
          <w:rFonts w:hint="eastAsia" w:asciiTheme="minorEastAsia" w:hAnsiTheme="minorEastAsia" w:eastAsiaTheme="minorEastAsia"/>
          <w:color w:val="000000" w:themeColor="text1"/>
          <w14:textFill>
            <w14:solidFill>
              <w14:schemeClr w14:val="tx1"/>
            </w14:solidFill>
          </w14:textFill>
        </w:rPr>
        <w:t>业务架构</w:t>
      </w:r>
      <w:bookmarkEnd w:id="194"/>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视频客服与</w:t>
      </w:r>
      <w:r>
        <w:rPr>
          <w:rFonts w:cs="华文宋体" w:asciiTheme="minorEastAsia" w:hAnsiTheme="minorEastAsia" w:eastAsiaTheme="minorEastAsia"/>
          <w:color w:val="000000" w:themeColor="text1"/>
          <w14:textFill>
            <w14:solidFill>
              <w14:schemeClr w14:val="tx1"/>
            </w14:solidFill>
          </w14:textFill>
        </w:rPr>
        <w:t>5G</w:t>
      </w:r>
      <w:r>
        <w:rPr>
          <w:rFonts w:hint="eastAsia" w:cs="华文宋体" w:asciiTheme="minorEastAsia" w:hAnsiTheme="minorEastAsia" w:eastAsiaTheme="minorEastAsia"/>
          <w:color w:val="000000" w:themeColor="text1"/>
          <w14:textFill>
            <w14:solidFill>
              <w14:schemeClr w14:val="tx1"/>
            </w14:solidFill>
          </w14:textFill>
        </w:rPr>
        <w:t>消息是以5G技术发展与应用为契机，在传统全媒体联络中心的基础上，基于</w:t>
      </w:r>
      <w:r>
        <w:rPr>
          <w:rFonts w:cs="华文宋体" w:asciiTheme="minorEastAsia" w:hAnsiTheme="minorEastAsia" w:eastAsiaTheme="minorEastAsia"/>
          <w:color w:val="000000" w:themeColor="text1"/>
          <w14:textFill>
            <w14:solidFill>
              <w14:schemeClr w14:val="tx1"/>
            </w14:solidFill>
          </w14:textFill>
        </w:rPr>
        <w:t>VoLTE音视频基础能力，增加实时视频交互功能</w:t>
      </w:r>
      <w:r>
        <w:rPr>
          <w:rFonts w:hint="eastAsia" w:cs="华文宋体" w:asciiTheme="minorEastAsia" w:hAnsiTheme="minorEastAsia" w:eastAsiaTheme="minorEastAsia"/>
          <w:color w:val="000000" w:themeColor="text1"/>
          <w14:textFill>
            <w14:solidFill>
              <w14:schemeClr w14:val="tx1"/>
            </w14:solidFill>
          </w14:textFill>
        </w:rPr>
        <w:t>。视频客服支持市民呼叫的渠道和方式更加丰富，强化萧山区1</w:t>
      </w:r>
      <w:r>
        <w:rPr>
          <w:rFonts w:cs="华文宋体" w:asciiTheme="minorEastAsia" w:hAnsiTheme="minorEastAsia" w:eastAsiaTheme="minorEastAsia"/>
          <w:color w:val="000000" w:themeColor="text1"/>
          <w14:textFill>
            <w14:solidFill>
              <w14:schemeClr w14:val="tx1"/>
            </w14:solidFill>
          </w14:textFill>
        </w:rPr>
        <w:t>2345</w:t>
      </w:r>
      <w:r>
        <w:rPr>
          <w:rFonts w:hint="eastAsia" w:cs="华文宋体" w:asciiTheme="minorEastAsia" w:hAnsiTheme="minorEastAsia" w:eastAsiaTheme="minorEastAsia"/>
          <w:color w:val="000000" w:themeColor="text1"/>
          <w14:textFill>
            <w14:solidFill>
              <w14:schemeClr w14:val="tx1"/>
            </w14:solidFill>
          </w14:textFill>
        </w:rPr>
        <w:t>政务服务热线技术支撑和信访场景应用，优化系统平台和办理流程，提高办理效率和办理质量，提升市民服务体验，推动萧山区1</w:t>
      </w:r>
      <w:r>
        <w:rPr>
          <w:rFonts w:cs="华文宋体" w:asciiTheme="minorEastAsia" w:hAnsiTheme="minorEastAsia" w:eastAsiaTheme="minorEastAsia"/>
          <w:color w:val="000000" w:themeColor="text1"/>
          <w14:textFill>
            <w14:solidFill>
              <w14:schemeClr w14:val="tx1"/>
            </w14:solidFill>
          </w14:textFill>
        </w:rPr>
        <w:t>2345</w:t>
      </w:r>
      <w:r>
        <w:rPr>
          <w:rFonts w:hint="eastAsia" w:cs="华文宋体" w:asciiTheme="minorEastAsia" w:hAnsiTheme="minorEastAsia" w:eastAsiaTheme="minorEastAsia"/>
          <w:color w:val="000000" w:themeColor="text1"/>
          <w14:textFill>
            <w14:solidFill>
              <w14:schemeClr w14:val="tx1"/>
            </w14:solidFill>
          </w14:textFill>
        </w:rPr>
        <w:t>政务服务热线工作继续快速发展。</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drawing>
          <wp:inline distT="0" distB="0" distL="0" distR="0">
            <wp:extent cx="6188710" cy="341249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188710" cy="3412490"/>
                    </a:xfrm>
                    <a:prstGeom prst="rect">
                      <a:avLst/>
                    </a:prstGeom>
                    <a:ln>
                      <a:noFill/>
                    </a:ln>
                  </pic:spPr>
                </pic:pic>
              </a:graphicData>
            </a:graphic>
          </wp:inline>
        </w:drawing>
      </w:r>
    </w:p>
    <w:p>
      <w:pPr>
        <w:pStyle w:val="98"/>
        <w:spacing w:before="156"/>
        <w:ind w:firstLine="56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基于政策要求，迎合便民政策，以</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通信技术为核心，采用机器学习算法、自然语义理解模型等人工智能技术，构建紧扣政务服务行业业务规范和标准的</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智慧联络中心。以“智能</w:t>
      </w:r>
      <w:r>
        <w:rPr>
          <w:rFonts w:asciiTheme="minorEastAsia" w:hAnsiTheme="minorEastAsia" w:eastAsiaTheme="minorEastAsia" w:cstheme="minorEastAsia"/>
          <w:color w:val="000000" w:themeColor="text1"/>
          <w14:textFill>
            <w14:solidFill>
              <w14:schemeClr w14:val="tx1"/>
            </w14:solidFill>
          </w14:textFill>
        </w:rPr>
        <w:t>+</w:t>
      </w:r>
      <w:r>
        <w:rPr>
          <w:rFonts w:hint="eastAsia" w:asciiTheme="minorEastAsia" w:hAnsiTheme="minorEastAsia" w:eastAsiaTheme="minorEastAsia" w:cstheme="minorEastAsia"/>
          <w:color w:val="000000" w:themeColor="text1"/>
          <w14:textFill>
            <w14:solidFill>
              <w14:schemeClr w14:val="tx1"/>
            </w14:solidFill>
          </w14:textFill>
        </w:rPr>
        <w:t>可视”理念模式构建业务流程，实现基础语音呼入与</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热线呼入的统一应用、无缝融合，在原有基础话务平台基础上新增智能知识库、智能资源平台、及</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基础支撑平台等支撑平台功能提供统一、标准化的政务服务支撑，使得市民们的诉求得到一致的专业化的解答。</w:t>
      </w:r>
    </w:p>
    <w:p>
      <w:pPr>
        <w:pStyle w:val="98"/>
        <w:spacing w:before="156"/>
        <w:ind w:firstLine="56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本期计划建设</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可视</w:t>
      </w:r>
      <w:r>
        <w:rPr>
          <w:rFonts w:asciiTheme="minorEastAsia" w:hAnsiTheme="minorEastAsia" w:eastAsiaTheme="minorEastAsia" w:cstheme="minorEastAsia"/>
          <w:color w:val="000000" w:themeColor="text1"/>
          <w14:textFill>
            <w14:solidFill>
              <w14:schemeClr w14:val="tx1"/>
            </w14:solidFill>
          </w14:textFill>
        </w:rPr>
        <w:t>IVR</w:t>
      </w:r>
      <w:r>
        <w:rPr>
          <w:rFonts w:hint="eastAsia" w:asciiTheme="minorEastAsia" w:hAnsiTheme="minorEastAsia" w:eastAsiaTheme="minorEastAsia" w:cstheme="minorEastAsia"/>
          <w:color w:val="000000" w:themeColor="text1"/>
          <w14:textFill>
            <w14:solidFill>
              <w14:schemeClr w14:val="tx1"/>
            </w14:solidFill>
          </w14:textFill>
        </w:rPr>
        <w:t>、5</w:t>
      </w:r>
      <w:r>
        <w:rPr>
          <w:rFonts w:asciiTheme="minorEastAsia" w:hAnsiTheme="minorEastAsia" w:eastAsiaTheme="minorEastAsia" w:cstheme="minorEastAsia"/>
          <w:color w:val="000000" w:themeColor="text1"/>
          <w14:textFill>
            <w14:solidFill>
              <w14:schemeClr w14:val="tx1"/>
            </w14:solidFill>
          </w14:textFill>
        </w:rPr>
        <w:t>G</w:t>
      </w:r>
      <w:r>
        <w:rPr>
          <w:rFonts w:hint="eastAsia" w:asciiTheme="minorEastAsia" w:hAnsiTheme="minorEastAsia" w:eastAsiaTheme="minorEastAsia" w:cstheme="minorEastAsia"/>
          <w:color w:val="000000" w:themeColor="text1"/>
          <w14:textFill>
            <w14:solidFill>
              <w14:schemeClr w14:val="tx1"/>
            </w14:solidFill>
          </w14:textFill>
        </w:rPr>
        <w:t>视频客服、5</w:t>
      </w:r>
      <w:r>
        <w:rPr>
          <w:rFonts w:asciiTheme="minorEastAsia" w:hAnsiTheme="minorEastAsia" w:eastAsiaTheme="minorEastAsia" w:cstheme="minorEastAsia"/>
          <w:color w:val="000000" w:themeColor="text1"/>
          <w14:textFill>
            <w14:solidFill>
              <w14:schemeClr w14:val="tx1"/>
            </w14:solidFill>
          </w14:textFill>
        </w:rPr>
        <w:t>G</w:t>
      </w:r>
      <w:r>
        <w:rPr>
          <w:rFonts w:hint="eastAsia" w:asciiTheme="minorEastAsia" w:hAnsiTheme="minorEastAsia" w:eastAsiaTheme="minorEastAsia" w:cstheme="minorEastAsia"/>
          <w:color w:val="000000" w:themeColor="text1"/>
          <w14:textFill>
            <w14:solidFill>
              <w14:schemeClr w14:val="tx1"/>
            </w14:solidFill>
          </w14:textFill>
        </w:rPr>
        <w:t>消息功能，在话务接入端通过智能化、可视化的音视频服务实现话务分流，对于满足</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视频接入条件的市民提供可视化</w:t>
      </w:r>
      <w:r>
        <w:rPr>
          <w:rFonts w:asciiTheme="minorEastAsia" w:hAnsiTheme="minorEastAsia" w:eastAsiaTheme="minorEastAsia" w:cstheme="minorEastAsia"/>
          <w:color w:val="000000" w:themeColor="text1"/>
          <w14:textFill>
            <w14:solidFill>
              <w14:schemeClr w14:val="tx1"/>
            </w14:solidFill>
          </w14:textFill>
        </w:rPr>
        <w:t>IVR</w:t>
      </w:r>
      <w:r>
        <w:rPr>
          <w:rFonts w:hint="eastAsia" w:asciiTheme="minorEastAsia" w:hAnsiTheme="minorEastAsia" w:eastAsiaTheme="minorEastAsia" w:cstheme="minorEastAsia"/>
          <w:color w:val="000000" w:themeColor="text1"/>
          <w14:textFill>
            <w14:solidFill>
              <w14:schemeClr w14:val="tx1"/>
            </w14:solidFill>
          </w14:textFill>
        </w:rPr>
        <w:t>服务，暂时不满足条件的市民通过识别切换无缝转换至智能语音导航，提供智能化的语音服务。在坐席端提供坐席辅助支撑，通过实时转写、智能集成等功能提升坐席效率，达到对外提升政务服务满意度、对内减轻坐席人员压力的目的。</w:t>
      </w:r>
    </w:p>
    <w:p>
      <w:pPr>
        <w:pStyle w:val="98"/>
        <w:spacing w:before="156"/>
        <w:ind w:firstLine="56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长远来看，在本次建设支撑平台出搭建完成的情况下，后续可进一步升级建设</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视频坐席、</w:t>
      </w:r>
      <w:r>
        <w:rPr>
          <w:rFonts w:asciiTheme="minorEastAsia" w:hAnsiTheme="minorEastAsia" w:eastAsiaTheme="minorEastAsia" w:cstheme="minorEastAsia"/>
          <w:color w:val="000000" w:themeColor="text1"/>
          <w14:textFill>
            <w14:solidFill>
              <w14:schemeClr w14:val="tx1"/>
            </w14:solidFill>
          </w14:textFill>
        </w:rPr>
        <w:t>5G</w:t>
      </w:r>
      <w:r>
        <w:rPr>
          <w:rFonts w:hint="eastAsia" w:asciiTheme="minorEastAsia" w:hAnsiTheme="minorEastAsia" w:eastAsiaTheme="minorEastAsia" w:cstheme="minorEastAsia"/>
          <w:color w:val="000000" w:themeColor="text1"/>
          <w14:textFill>
            <w14:solidFill>
              <w14:schemeClr w14:val="tx1"/>
            </w14:solidFill>
          </w14:textFill>
        </w:rPr>
        <w:t>消息、智能可视外呼等功能，实现全流程可视化、智能化服务，数据全面深度分析、人机协同及经验共享，打造“</w:t>
      </w:r>
      <w:r>
        <w:rPr>
          <w:rFonts w:asciiTheme="minorEastAsia" w:hAnsiTheme="minorEastAsia" w:eastAsiaTheme="minorEastAsia" w:cstheme="minorEastAsia"/>
          <w:color w:val="000000" w:themeColor="text1"/>
          <w14:textFill>
            <w14:solidFill>
              <w14:schemeClr w14:val="tx1"/>
            </w14:solidFill>
          </w14:textFill>
        </w:rPr>
        <w:t>5G+12345</w:t>
      </w:r>
      <w:r>
        <w:rPr>
          <w:rFonts w:hint="eastAsia" w:asciiTheme="minorEastAsia" w:hAnsiTheme="minorEastAsia" w:eastAsiaTheme="minorEastAsia" w:cstheme="minorEastAsia"/>
          <w:color w:val="000000" w:themeColor="text1"/>
          <w14:textFill>
            <w14:solidFill>
              <w14:schemeClr w14:val="tx1"/>
            </w14:solidFill>
          </w14:textFill>
        </w:rPr>
        <w:t>政务服务热线智慧联络中心”，完成政务热线向可视化、智慧化的转变。</w:t>
      </w:r>
    </w:p>
    <w:p>
      <w:pPr>
        <w:pStyle w:val="6"/>
        <w:rPr>
          <w:rFonts w:asciiTheme="minorEastAsia" w:hAnsiTheme="minorEastAsia" w:eastAsiaTheme="minorEastAsia"/>
          <w:color w:val="000000" w:themeColor="text1"/>
          <w14:textFill>
            <w14:solidFill>
              <w14:schemeClr w14:val="tx1"/>
            </w14:solidFill>
          </w14:textFill>
        </w:rPr>
      </w:pPr>
      <w:bookmarkStart w:id="195" w:name="_Toc96098136"/>
      <w:bookmarkStart w:id="196" w:name="_Toc106118880"/>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智慧联络中心功能特性</w:t>
      </w:r>
      <w:bookmarkEnd w:id="195"/>
      <w:bookmarkEnd w:id="196"/>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视频客服与5G消息解决方案，基于5G技术，提供端到端的音视频接入能力，为用户提供丰富的视频特性和功能应用。</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VoLTE</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接入</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VoLTE，voice over LTE，基于LTE网络的语音，属于运营商4G/5G语音通话，基于运营商LTE无线网络承载，基于VoLTE的音视频在运营商IMS网络中有更好的QOS保障。</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1</w:t>
      </w:r>
      <w:r>
        <w:rPr>
          <w:rFonts w:hint="eastAsia" w:cs="华文宋体" w:asciiTheme="minorEastAsia" w:hAnsiTheme="minorEastAsia" w:eastAsiaTheme="minorEastAsia"/>
          <w:color w:val="000000" w:themeColor="text1"/>
          <w14:textFill>
            <w14:solidFill>
              <w14:schemeClr w14:val="tx1"/>
            </w14:solidFill>
          </w14:textFill>
        </w:rPr>
        <w:t>、无需安装</w:t>
      </w:r>
      <w:r>
        <w:rPr>
          <w:rFonts w:cs="华文宋体" w:asciiTheme="minorEastAsia" w:hAnsiTheme="minorEastAsia" w:eastAsiaTheme="minorEastAsia"/>
          <w:color w:val="000000" w:themeColor="text1"/>
          <w14:textFill>
            <w14:solidFill>
              <w14:schemeClr w14:val="tx1"/>
            </w14:solidFill>
          </w14:textFill>
        </w:rPr>
        <w:t>APP</w:t>
      </w:r>
      <w:r>
        <w:rPr>
          <w:rFonts w:hint="eastAsia" w:cs="华文宋体" w:asciiTheme="minorEastAsia" w:hAnsiTheme="minorEastAsia" w:eastAsiaTheme="minorEastAsia"/>
          <w:color w:val="000000" w:themeColor="text1"/>
          <w14:textFill>
            <w14:solidFill>
              <w14:schemeClr w14:val="tx1"/>
            </w14:solidFill>
          </w14:textFill>
        </w:rPr>
        <w:t>应用，用户可直接在智能手机的拨号盘发起</w:t>
      </w:r>
      <w:r>
        <w:rPr>
          <w:rFonts w:cs="华文宋体" w:asciiTheme="minorEastAsia" w:hAnsiTheme="minorEastAsia" w:eastAsiaTheme="minorEastAsia"/>
          <w:color w:val="000000" w:themeColor="text1"/>
          <w14:textFill>
            <w14:solidFill>
              <w14:schemeClr w14:val="tx1"/>
            </w14:solidFill>
          </w14:textFill>
        </w:rPr>
        <w:t>VoLTE</w:t>
      </w:r>
      <w:r>
        <w:rPr>
          <w:rFonts w:hint="eastAsia" w:cs="华文宋体" w:asciiTheme="minorEastAsia" w:hAnsiTheme="minorEastAsia" w:eastAsiaTheme="minorEastAsia"/>
          <w:color w:val="000000" w:themeColor="text1"/>
          <w14:textFill>
            <w14:solidFill>
              <w14:schemeClr w14:val="tx1"/>
            </w14:solidFill>
          </w14:textFill>
        </w:rPr>
        <w:t>音视频呼叫。（需手机开通</w:t>
      </w:r>
      <w:r>
        <w:rPr>
          <w:rFonts w:cs="华文宋体" w:asciiTheme="minorEastAsia" w:hAnsiTheme="minorEastAsia" w:eastAsiaTheme="minorEastAsia"/>
          <w:color w:val="000000" w:themeColor="text1"/>
          <w14:textFill>
            <w14:solidFill>
              <w14:schemeClr w14:val="tx1"/>
            </w14:solidFill>
          </w14:textFill>
        </w:rPr>
        <w:t>VoLTE</w:t>
      </w:r>
      <w:r>
        <w:rPr>
          <w:rFonts w:hint="eastAsia" w:cs="华文宋体" w:asciiTheme="minorEastAsia" w:hAnsiTheme="minorEastAsia" w:eastAsiaTheme="minorEastAsia"/>
          <w:color w:val="000000" w:themeColor="text1"/>
          <w14:textFill>
            <w14:solidFill>
              <w14:schemeClr w14:val="tx1"/>
            </w14:solidFill>
          </w14:textFill>
        </w:rPr>
        <w:t>功能且支持视频彩铃终端标准）。</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2</w:t>
      </w:r>
      <w:r>
        <w:rPr>
          <w:rFonts w:hint="eastAsia" w:cs="华文宋体" w:asciiTheme="minorEastAsia" w:hAnsiTheme="minorEastAsia" w:eastAsiaTheme="minorEastAsia"/>
          <w:color w:val="000000" w:themeColor="text1"/>
          <w14:textFill>
            <w14:solidFill>
              <w14:schemeClr w14:val="tx1"/>
            </w14:solidFill>
          </w14:textFill>
        </w:rPr>
        <w:t>、支持音频起呼后自动切换为视频通话，也可支持视频起呼后自动回落到音频通话（如用户手机终端不支持）。</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3</w:t>
      </w:r>
      <w:r>
        <w:rPr>
          <w:rFonts w:hint="eastAsia" w:cs="华文宋体" w:asciiTheme="minorEastAsia" w:hAnsiTheme="minorEastAsia" w:eastAsiaTheme="minorEastAsia"/>
          <w:color w:val="000000" w:themeColor="text1"/>
          <w14:textFill>
            <w14:solidFill>
              <w14:schemeClr w14:val="tx1"/>
            </w14:solidFill>
          </w14:textFill>
        </w:rPr>
        <w:t>、支持在手机振铃态时播放视频。</w:t>
      </w:r>
    </w:p>
    <w:p>
      <w:pPr>
        <w:jc w:val="center"/>
        <w:rPr>
          <w:rFonts w:cs="华文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2034540"/>
            <wp:effectExtent l="0" t="0" r="254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2034540"/>
                    </a:xfrm>
                    <a:prstGeom prst="rect">
                      <a:avLst/>
                    </a:prstGeom>
                    <a:noFill/>
                    <a:ln>
                      <a:noFill/>
                    </a:ln>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视频I</w:t>
      </w:r>
      <w:r>
        <w:rPr>
          <w:rFonts w:asciiTheme="minorEastAsia" w:hAnsiTheme="minorEastAsia" w:eastAsiaTheme="minorEastAsia"/>
          <w:color w:val="000000" w:themeColor="text1"/>
          <w14:textFill>
            <w14:solidFill>
              <w14:schemeClr w14:val="tx1"/>
            </w14:solidFill>
          </w14:textFill>
        </w:rPr>
        <w:t>VR</w:t>
      </w:r>
    </w:p>
    <w:p>
      <w:pPr>
        <w:ind w:firstLine="56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取代联络中心的传统语音播报导航，采用可视化视频+文字菜单+语音播报方式，本项目将在现有通信平台基础上增加建设6</w:t>
      </w:r>
      <w:r>
        <w:rPr>
          <w:rFonts w:asciiTheme="minorEastAsia" w:hAnsiTheme="minorEastAsia" w:eastAsiaTheme="minorEastAsia" w:cstheme="minorEastAsia"/>
          <w:color w:val="000000" w:themeColor="text1"/>
          <w14:textFill>
            <w14:solidFill>
              <w14:schemeClr w14:val="tx1"/>
            </w14:solidFill>
          </w14:textFill>
        </w:rPr>
        <w:t>0</w:t>
      </w:r>
      <w:r>
        <w:rPr>
          <w:rFonts w:hint="eastAsia" w:asciiTheme="minorEastAsia" w:hAnsiTheme="minorEastAsia" w:eastAsiaTheme="minorEastAsia" w:cstheme="minorEastAsia"/>
          <w:color w:val="000000" w:themeColor="text1"/>
          <w14:textFill>
            <w14:solidFill>
              <w14:schemeClr w14:val="tx1"/>
            </w14:solidFill>
          </w14:textFill>
        </w:rPr>
        <w:t>路视频I</w:t>
      </w:r>
      <w:r>
        <w:rPr>
          <w:rFonts w:asciiTheme="minorEastAsia" w:hAnsiTheme="minorEastAsia" w:eastAsiaTheme="minorEastAsia" w:cstheme="minorEastAsia"/>
          <w:color w:val="000000" w:themeColor="text1"/>
          <w14:textFill>
            <w14:solidFill>
              <w14:schemeClr w14:val="tx1"/>
            </w14:solidFill>
          </w14:textFill>
        </w:rPr>
        <w:t>VR</w:t>
      </w:r>
      <w:r>
        <w:rPr>
          <w:rFonts w:hint="eastAsia" w:asciiTheme="minorEastAsia" w:hAnsiTheme="minorEastAsia" w:eastAsiaTheme="minorEastAsia" w:cstheme="minorEastAsia"/>
          <w:color w:val="000000" w:themeColor="text1"/>
          <w14:textFill>
            <w14:solidFill>
              <w14:schemeClr w14:val="tx1"/>
            </w14:solidFill>
          </w14:textFill>
        </w:rPr>
        <w:t>功能，为市民提供丰富的可视化体验（仅限VoLTE接入方式）。</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4.1.2.2.2.1 </w:t>
      </w:r>
      <w:r>
        <w:rPr>
          <w:rFonts w:hint="eastAsia" w:asciiTheme="minorEastAsia" w:hAnsiTheme="minorEastAsia" w:eastAsiaTheme="minorEastAsia"/>
          <w:color w:val="000000" w:themeColor="text1"/>
          <w14:textFill>
            <w14:solidFill>
              <w14:schemeClr w14:val="tx1"/>
            </w14:solidFill>
          </w14:textFill>
        </w:rPr>
        <w:t>基础能力</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视频IVR具备和支持以下能力</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1、支持</w:t>
      </w:r>
      <w:r>
        <w:rPr>
          <w:rFonts w:cs="华文宋体" w:asciiTheme="minorEastAsia" w:hAnsiTheme="minorEastAsia" w:eastAsiaTheme="minorEastAsia"/>
          <w:color w:val="000000" w:themeColor="text1"/>
          <w14:textFill>
            <w14:solidFill>
              <w14:schemeClr w14:val="tx1"/>
            </w14:solidFill>
          </w14:textFill>
        </w:rPr>
        <w:t>VOLTE</w:t>
      </w:r>
      <w:r>
        <w:rPr>
          <w:rFonts w:hint="eastAsia" w:cs="华文宋体" w:asciiTheme="minorEastAsia" w:hAnsiTheme="minorEastAsia" w:eastAsiaTheme="minorEastAsia"/>
          <w:color w:val="000000" w:themeColor="text1"/>
          <w14:textFill>
            <w14:solidFill>
              <w14:schemeClr w14:val="tx1"/>
            </w14:solidFill>
          </w14:textFill>
        </w:rPr>
        <w:t>（</w:t>
      </w:r>
      <w:r>
        <w:rPr>
          <w:rFonts w:cs="华文宋体" w:asciiTheme="minorEastAsia" w:hAnsiTheme="minorEastAsia" w:eastAsiaTheme="minorEastAsia"/>
          <w:color w:val="000000" w:themeColor="text1"/>
          <w14:textFill>
            <w14:solidFill>
              <w14:schemeClr w14:val="tx1"/>
            </w14:solidFill>
          </w14:textFill>
        </w:rPr>
        <w:t>Voice over LTE</w:t>
      </w:r>
      <w:r>
        <w:rPr>
          <w:rFonts w:hint="eastAsia" w:cs="华文宋体" w:asciiTheme="minorEastAsia" w:hAnsiTheme="minorEastAsia" w:eastAsiaTheme="minorEastAsia"/>
          <w:color w:val="000000" w:themeColor="text1"/>
          <w14:textFill>
            <w14:solidFill>
              <w14:schemeClr w14:val="tx1"/>
            </w14:solidFill>
          </w14:textFill>
        </w:rPr>
        <w:t>）下</w:t>
      </w:r>
      <w:r>
        <w:rPr>
          <w:rFonts w:cs="华文宋体" w:asciiTheme="minorEastAsia" w:hAnsiTheme="minorEastAsia" w:eastAsiaTheme="minorEastAsia"/>
          <w:color w:val="000000" w:themeColor="text1"/>
          <w14:textFill>
            <w14:solidFill>
              <w14:schemeClr w14:val="tx1"/>
            </w14:solidFill>
          </w14:textFill>
        </w:rPr>
        <w:t>RTP</w:t>
      </w:r>
      <w:r>
        <w:rPr>
          <w:rFonts w:hint="eastAsia" w:cs="华文宋体" w:asciiTheme="minorEastAsia" w:hAnsiTheme="minorEastAsia" w:eastAsiaTheme="minorEastAsia"/>
          <w:color w:val="000000" w:themeColor="text1"/>
          <w14:textFill>
            <w14:solidFill>
              <w14:schemeClr w14:val="tx1"/>
            </w14:solidFill>
          </w14:textFill>
        </w:rPr>
        <w:t>流编码类型为</w:t>
      </w:r>
      <w:r>
        <w:rPr>
          <w:rFonts w:cs="华文宋体" w:asciiTheme="minorEastAsia" w:hAnsiTheme="minorEastAsia" w:eastAsiaTheme="minorEastAsia"/>
          <w:color w:val="000000" w:themeColor="text1"/>
          <w14:textFill>
            <w14:solidFill>
              <w14:schemeClr w14:val="tx1"/>
            </w14:solidFill>
          </w14:textFill>
        </w:rPr>
        <w:t>H264</w:t>
      </w:r>
      <w:r>
        <w:rPr>
          <w:rFonts w:hint="eastAsia" w:cs="华文宋体" w:asciiTheme="minorEastAsia" w:hAnsiTheme="minorEastAsia" w:eastAsiaTheme="minorEastAsia"/>
          <w:color w:val="000000" w:themeColor="text1"/>
          <w14:textFill>
            <w14:solidFill>
              <w14:schemeClr w14:val="tx1"/>
            </w14:solidFill>
          </w14:textFill>
        </w:rPr>
        <w:t>无转码的高清视频</w:t>
      </w:r>
      <w:r>
        <w:rPr>
          <w:rFonts w:cs="华文宋体" w:asciiTheme="minorEastAsia" w:hAnsiTheme="minorEastAsia" w:eastAsiaTheme="minorEastAsia"/>
          <w:color w:val="000000" w:themeColor="text1"/>
          <w14:textFill>
            <w14:solidFill>
              <w14:schemeClr w14:val="tx1"/>
            </w14:solidFill>
          </w14:textFill>
        </w:rPr>
        <w:t>IVR</w:t>
      </w:r>
      <w:r>
        <w:rPr>
          <w:rFonts w:hint="eastAsia" w:cs="华文宋体" w:asciiTheme="minorEastAsia" w:hAnsiTheme="minorEastAsia" w:eastAsiaTheme="minorEastAsia"/>
          <w:color w:val="000000" w:themeColor="text1"/>
          <w14:textFill>
            <w14:solidFill>
              <w14:schemeClr w14:val="tx1"/>
            </w14:solidFill>
          </w14:textFill>
        </w:rPr>
        <w:t>。</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2</w:t>
      </w:r>
      <w:r>
        <w:rPr>
          <w:rFonts w:hint="eastAsia" w:cs="华文宋体" w:asciiTheme="minorEastAsia" w:hAnsiTheme="minorEastAsia" w:eastAsiaTheme="minorEastAsia"/>
          <w:color w:val="000000" w:themeColor="text1"/>
          <w14:textFill>
            <w14:solidFill>
              <w14:schemeClr w14:val="tx1"/>
            </w14:solidFill>
          </w14:textFill>
        </w:rPr>
        <w:t>、支持</w:t>
      </w:r>
      <w:r>
        <w:rPr>
          <w:rFonts w:cs="华文宋体" w:asciiTheme="minorEastAsia" w:hAnsiTheme="minorEastAsia" w:eastAsiaTheme="minorEastAsia"/>
          <w:color w:val="000000" w:themeColor="text1"/>
          <w14:textFill>
            <w14:solidFill>
              <w14:schemeClr w14:val="tx1"/>
            </w14:solidFill>
          </w14:textFill>
        </w:rPr>
        <w:t>720P</w:t>
      </w:r>
      <w:r>
        <w:rPr>
          <w:rFonts w:hint="eastAsia" w:cs="华文宋体" w:asciiTheme="minorEastAsia" w:hAnsiTheme="minorEastAsia" w:eastAsiaTheme="minorEastAsia"/>
          <w:color w:val="000000" w:themeColor="text1"/>
          <w14:textFill>
            <w14:solidFill>
              <w14:schemeClr w14:val="tx1"/>
            </w14:solidFill>
          </w14:textFill>
        </w:rPr>
        <w:t>、</w:t>
      </w:r>
      <w:r>
        <w:rPr>
          <w:rFonts w:cs="华文宋体" w:asciiTheme="minorEastAsia" w:hAnsiTheme="minorEastAsia" w:eastAsiaTheme="minorEastAsia"/>
          <w:color w:val="000000" w:themeColor="text1"/>
          <w14:textFill>
            <w14:solidFill>
              <w14:schemeClr w14:val="tx1"/>
            </w14:solidFill>
          </w14:textFill>
        </w:rPr>
        <w:t>480P</w:t>
      </w:r>
      <w:r>
        <w:rPr>
          <w:rFonts w:hint="eastAsia" w:cs="华文宋体" w:asciiTheme="minorEastAsia" w:hAnsiTheme="minorEastAsia" w:eastAsiaTheme="minorEastAsia"/>
          <w:color w:val="000000" w:themeColor="text1"/>
          <w14:textFill>
            <w14:solidFill>
              <w14:schemeClr w14:val="tx1"/>
            </w14:solidFill>
          </w14:textFill>
        </w:rPr>
        <w:t>高清短视频。</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3</w:t>
      </w:r>
      <w:r>
        <w:rPr>
          <w:rFonts w:hint="eastAsia" w:cs="华文宋体" w:asciiTheme="minorEastAsia" w:hAnsiTheme="minorEastAsia" w:eastAsiaTheme="minorEastAsia"/>
          <w:color w:val="000000" w:themeColor="text1"/>
          <w14:textFill>
            <w14:solidFill>
              <w14:schemeClr w14:val="tx1"/>
            </w14:solidFill>
          </w14:textFill>
        </w:rPr>
        <w:t>、支持将语音呼叫协商为视频呼叫。</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4</w:t>
      </w:r>
      <w:r>
        <w:rPr>
          <w:rFonts w:hint="eastAsia" w:cs="华文宋体" w:asciiTheme="minorEastAsia" w:hAnsiTheme="minorEastAsia" w:eastAsiaTheme="minorEastAsia"/>
          <w:color w:val="000000" w:themeColor="text1"/>
          <w14:textFill>
            <w14:solidFill>
              <w14:schemeClr w14:val="tx1"/>
            </w14:solidFill>
          </w14:textFill>
        </w:rPr>
        <w:t>、视频播放和停止。</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5</w:t>
      </w:r>
      <w:r>
        <w:rPr>
          <w:rFonts w:hint="eastAsia" w:cs="华文宋体" w:asciiTheme="minorEastAsia" w:hAnsiTheme="minorEastAsia" w:eastAsiaTheme="minorEastAsia"/>
          <w:color w:val="000000" w:themeColor="text1"/>
          <w14:textFill>
            <w14:solidFill>
              <w14:schemeClr w14:val="tx1"/>
            </w14:solidFill>
          </w14:textFill>
        </w:rPr>
        <w:t>、视频播放过程中支持按键收号。</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6</w:t>
      </w:r>
      <w:r>
        <w:rPr>
          <w:rFonts w:hint="eastAsia" w:cs="华文宋体" w:asciiTheme="minorEastAsia" w:hAnsiTheme="minorEastAsia" w:eastAsiaTheme="minorEastAsia"/>
          <w:color w:val="000000" w:themeColor="text1"/>
          <w14:textFill>
            <w14:solidFill>
              <w14:schemeClr w14:val="tx1"/>
            </w14:solidFill>
          </w14:textFill>
        </w:rPr>
        <w:t>、音频场景下播放视频中的音频。</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7</w:t>
      </w:r>
      <w:r>
        <w:rPr>
          <w:rFonts w:hint="eastAsia" w:cs="华文宋体" w:asciiTheme="minorEastAsia" w:hAnsiTheme="minorEastAsia" w:eastAsiaTheme="minorEastAsia"/>
          <w:color w:val="000000" w:themeColor="text1"/>
          <w14:textFill>
            <w14:solidFill>
              <w14:schemeClr w14:val="tx1"/>
            </w14:solidFill>
          </w14:textFill>
        </w:rPr>
        <w:t>、可根据按键选择切换视频。</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8</w:t>
      </w:r>
      <w:r>
        <w:rPr>
          <w:rFonts w:hint="eastAsia" w:cs="华文宋体" w:asciiTheme="minorEastAsia" w:hAnsiTheme="minorEastAsia" w:eastAsiaTheme="minorEastAsia"/>
          <w:color w:val="000000" w:themeColor="text1"/>
          <w14:textFill>
            <w14:solidFill>
              <w14:schemeClr w14:val="tx1"/>
            </w14:solidFill>
          </w14:textFill>
        </w:rPr>
        <w:t>、支持</w:t>
      </w:r>
      <w:r>
        <w:rPr>
          <w:rFonts w:cs="华文宋体" w:asciiTheme="minorEastAsia" w:hAnsiTheme="minorEastAsia" w:eastAsiaTheme="minorEastAsia"/>
          <w:color w:val="000000" w:themeColor="text1"/>
          <w14:textFill>
            <w14:solidFill>
              <w14:schemeClr w14:val="tx1"/>
            </w14:solidFill>
          </w14:textFill>
        </w:rPr>
        <w:t>ASR</w:t>
      </w:r>
      <w:r>
        <w:rPr>
          <w:rFonts w:hint="eastAsia" w:cs="华文宋体" w:asciiTheme="minorEastAsia" w:hAnsiTheme="minorEastAsia" w:eastAsiaTheme="minorEastAsia"/>
          <w:color w:val="000000" w:themeColor="text1"/>
          <w14:textFill>
            <w14:solidFill>
              <w14:schemeClr w14:val="tx1"/>
            </w14:solidFill>
          </w14:textFill>
        </w:rPr>
        <w:t>语音识别，客户在视频</w:t>
      </w:r>
      <w:r>
        <w:rPr>
          <w:rFonts w:cs="华文宋体" w:asciiTheme="minorEastAsia" w:hAnsiTheme="minorEastAsia" w:eastAsiaTheme="minorEastAsia"/>
          <w:color w:val="000000" w:themeColor="text1"/>
          <w14:textFill>
            <w14:solidFill>
              <w14:schemeClr w14:val="tx1"/>
            </w14:solidFill>
          </w14:textFill>
        </w:rPr>
        <w:t>IVR</w:t>
      </w:r>
      <w:r>
        <w:rPr>
          <w:rFonts w:hint="eastAsia" w:cs="华文宋体" w:asciiTheme="minorEastAsia" w:hAnsiTheme="minorEastAsia" w:eastAsiaTheme="minorEastAsia"/>
          <w:color w:val="000000" w:themeColor="text1"/>
          <w14:textFill>
            <w14:solidFill>
              <w14:schemeClr w14:val="tx1"/>
            </w14:solidFill>
          </w14:textFill>
        </w:rPr>
        <w:t>中可选择语音交互。</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9</w:t>
      </w:r>
      <w:r>
        <w:rPr>
          <w:rFonts w:hint="eastAsia" w:cs="华文宋体" w:asciiTheme="minorEastAsia" w:hAnsiTheme="minorEastAsia" w:eastAsiaTheme="minorEastAsia"/>
          <w:color w:val="000000" w:themeColor="text1"/>
          <w14:textFill>
            <w14:solidFill>
              <w14:schemeClr w14:val="tx1"/>
            </w14:solidFill>
          </w14:textFill>
        </w:rPr>
        <w:t>、视频</w:t>
      </w:r>
      <w:r>
        <w:rPr>
          <w:rFonts w:cs="华文宋体" w:asciiTheme="minorEastAsia" w:hAnsiTheme="minorEastAsia" w:eastAsiaTheme="minorEastAsia"/>
          <w:color w:val="000000" w:themeColor="text1"/>
          <w14:textFill>
            <w14:solidFill>
              <w14:schemeClr w14:val="tx1"/>
            </w14:solidFill>
          </w14:textFill>
        </w:rPr>
        <w:t>IVR</w:t>
      </w:r>
      <w:r>
        <w:rPr>
          <w:rFonts w:hint="eastAsia" w:cs="华文宋体" w:asciiTheme="minorEastAsia" w:hAnsiTheme="minorEastAsia" w:eastAsiaTheme="minorEastAsia"/>
          <w:color w:val="000000" w:themeColor="text1"/>
          <w14:textFill>
            <w14:solidFill>
              <w14:schemeClr w14:val="tx1"/>
            </w14:solidFill>
          </w14:textFill>
        </w:rPr>
        <w:t>可将通话转接给语音坐席或视频坐席。</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10</w:t>
      </w:r>
      <w:r>
        <w:rPr>
          <w:rFonts w:hint="eastAsia" w:cs="华文宋体" w:asciiTheme="minorEastAsia" w:hAnsiTheme="minorEastAsia" w:eastAsiaTheme="minorEastAsia"/>
          <w:color w:val="000000" w:themeColor="text1"/>
          <w14:textFill>
            <w14:solidFill>
              <w14:schemeClr w14:val="tx1"/>
            </w14:solidFill>
          </w14:textFill>
        </w:rPr>
        <w:t>、视频</w:t>
      </w:r>
      <w:r>
        <w:rPr>
          <w:rFonts w:cs="华文宋体" w:asciiTheme="minorEastAsia" w:hAnsiTheme="minorEastAsia" w:eastAsiaTheme="minorEastAsia"/>
          <w:color w:val="000000" w:themeColor="text1"/>
          <w14:textFill>
            <w14:solidFill>
              <w14:schemeClr w14:val="tx1"/>
            </w14:solidFill>
          </w14:textFill>
        </w:rPr>
        <w:t>IVR</w:t>
      </w:r>
      <w:r>
        <w:rPr>
          <w:rFonts w:hint="eastAsia" w:cs="华文宋体" w:asciiTheme="minorEastAsia" w:hAnsiTheme="minorEastAsia" w:eastAsiaTheme="minorEastAsia"/>
          <w:color w:val="000000" w:themeColor="text1"/>
          <w14:textFill>
            <w14:solidFill>
              <w14:schemeClr w14:val="tx1"/>
            </w14:solidFill>
          </w14:textFill>
        </w:rPr>
        <w:t>转人工坐席排队等待期间播放视频。</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4.1.2.2.2.2 </w:t>
      </w:r>
      <w:r>
        <w:rPr>
          <w:rFonts w:asciiTheme="minorEastAsia" w:hAnsiTheme="minorEastAsia" w:eastAsiaTheme="minorEastAsia"/>
          <w:color w:val="000000" w:themeColor="text1"/>
          <w14:textFill>
            <w14:solidFill>
              <w14:schemeClr w14:val="tx1"/>
            </w14:solidFill>
          </w14:textFill>
        </w:rPr>
        <w:t>IVR</w:t>
      </w:r>
      <w:r>
        <w:rPr>
          <w:rFonts w:hint="eastAsia" w:asciiTheme="minorEastAsia" w:hAnsiTheme="minorEastAsia" w:eastAsiaTheme="minorEastAsia"/>
          <w:color w:val="000000" w:themeColor="text1"/>
          <w14:textFill>
            <w14:solidFill>
              <w14:schemeClr w14:val="tx1"/>
            </w14:solidFill>
          </w14:textFill>
        </w:rPr>
        <w:t>功能</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识别切换</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5G</w:t>
      </w:r>
      <w:r>
        <w:rPr>
          <w:rFonts w:hint="eastAsia" w:asciiTheme="minorEastAsia" w:hAnsiTheme="minorEastAsia" w:eastAsiaTheme="minorEastAsia"/>
          <w:color w:val="000000" w:themeColor="text1"/>
          <w14:textFill>
            <w14:solidFill>
              <w14:schemeClr w14:val="tx1"/>
            </w14:solidFill>
          </w14:textFill>
        </w:rPr>
        <w:t>呼入与语音呼入识别，可以切换通讯模块。</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欢迎可视化</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增加可视化的欢迎界面，可以播放政务服务宣传视频，热点推送，最新政策等。</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可视化I</w:t>
      </w:r>
      <w:r>
        <w:rPr>
          <w:rFonts w:cs="华文宋体" w:asciiTheme="minorEastAsia" w:hAnsiTheme="minorEastAsia" w:eastAsiaTheme="minorEastAsia"/>
          <w:b/>
          <w:color w:val="000000" w:themeColor="text1"/>
          <w:sz w:val="28"/>
          <w14:textFill>
            <w14:solidFill>
              <w14:schemeClr w14:val="tx1"/>
            </w14:solidFill>
          </w14:textFill>
        </w:rPr>
        <w:t>VR</w:t>
      </w:r>
      <w:r>
        <w:rPr>
          <w:rFonts w:hint="eastAsia" w:cs="华文宋体" w:asciiTheme="minorEastAsia" w:hAnsiTheme="minorEastAsia" w:eastAsiaTheme="minorEastAsia"/>
          <w:b/>
          <w:color w:val="000000" w:themeColor="text1"/>
          <w:sz w:val="28"/>
          <w14:textFill>
            <w14:solidFill>
              <w14:schemeClr w14:val="tx1"/>
            </w14:solidFill>
          </w14:textFill>
        </w:rPr>
        <w:t>菜单</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在语音IVR菜单的基础上增加可视化界面，在听取语音播报的同时，能精准获取语音信息，通过按键进入下一级菜单。</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排队等待可视化</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在进入人工队列时，增加可播放的视频，视频通常是常见业务，最新政策等。</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ASR服务</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ASR服务是对不限时长的音频流做实时识别，达到“边说边出文字”的效果，内置智能断句，可提供每句话开始结束时间。</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TTS服务</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灵活配置的语音合成产品，打通人机交互的闭环，让应用逼真发声。</w:t>
      </w:r>
    </w:p>
    <w:p>
      <w:pPr>
        <w:pStyle w:val="8"/>
        <w:rPr>
          <w:rFonts w:asciiTheme="minorEastAsia" w:hAnsiTheme="minorEastAsia" w:eastAsiaTheme="minorEastAsia"/>
          <w:color w:val="000000" w:themeColor="text1"/>
          <w14:textFill>
            <w14:solidFill>
              <w14:schemeClr w14:val="tx1"/>
            </w14:solidFill>
          </w14:textFill>
        </w:rPr>
      </w:pPr>
      <w:bookmarkStart w:id="197" w:name="_Toc95315546"/>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4.1.2.2.2.3 </w:t>
      </w:r>
      <w:r>
        <w:rPr>
          <w:rFonts w:hint="eastAsia" w:asciiTheme="minorEastAsia" w:hAnsiTheme="minorEastAsia" w:eastAsiaTheme="minorEastAsia"/>
          <w:color w:val="000000" w:themeColor="text1"/>
          <w14:textFill>
            <w14:solidFill>
              <w14:schemeClr w14:val="tx1"/>
            </w14:solidFill>
          </w14:textFill>
        </w:rPr>
        <w:t>可视化智能交互</w:t>
      </w:r>
      <w:bookmarkEnd w:id="197"/>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可视化智能导航机器人</w:t>
      </w:r>
    </w:p>
    <w:p>
      <w:pPr>
        <w:spacing w:before="12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从传统的语音导航提示，建设和成可视智能导航机器人，并且可通过交互形式，更加友好方便的进行界面功能导航。</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可视化智能问答机器人</w:t>
      </w:r>
    </w:p>
    <w:p>
      <w:pPr>
        <w:spacing w:before="12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从传统的语音一问一答，建设成与智能问答机器人进行交互，并对内容进行可视化，直观的对问答情况进行界面展示，方便溯源，增强体验感。</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可视化回访</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进行业务回访时，通过实现可视化，在智能机器人与回访对象进行交互的同时，将每个级别菜单进行展示，便于精准获取信息。</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可视化满意度</w:t>
      </w:r>
    </w:p>
    <w:p>
      <w:pPr>
        <w:spacing w:before="12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在对业务咨询完结后进行满意度反馈时，实现可视化，通过对满意度填写结果的不同，展示不同的可视化结果。</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可视化问卷调查</w:t>
      </w:r>
    </w:p>
    <w:p>
      <w:pPr>
        <w:spacing w:before="12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在进行问卷调查时，展示可视化问卷，便于问卷填写时精准获取展示信息，准确填写。</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4.1.2.2.2.4 </w:t>
      </w:r>
      <w:r>
        <w:rPr>
          <w:rFonts w:hint="eastAsia" w:asciiTheme="minorEastAsia" w:hAnsiTheme="minorEastAsia" w:eastAsiaTheme="minorEastAsia"/>
          <w:color w:val="000000" w:themeColor="text1"/>
          <w14:textFill>
            <w14:solidFill>
              <w14:schemeClr w14:val="tx1"/>
            </w14:solidFill>
          </w14:textFill>
        </w:rPr>
        <w:t>应用场景</w:t>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可视化热点问题引流</w:t>
      </w:r>
    </w:p>
    <w:p>
      <w:pPr>
        <w:pStyle w:val="14"/>
        <w:spacing w:line="360" w:lineRule="auto"/>
        <w:ind w:firstLine="560" w:firstLineChars="200"/>
        <w:rPr>
          <w:rFonts w:cs="华文宋体" w:asciiTheme="minorEastAsia" w:hAnsiTheme="minorEastAsia" w:eastAsiaTheme="minorEastAsia"/>
          <w:color w:val="000000" w:themeColor="text1"/>
          <w:sz w:val="28"/>
          <w:szCs w:val="24"/>
          <w14:textFill>
            <w14:solidFill>
              <w14:schemeClr w14:val="tx1"/>
            </w14:solidFill>
          </w14:textFill>
        </w:rPr>
      </w:pPr>
      <w:r>
        <w:rPr>
          <w:rFonts w:hint="eastAsia" w:cs="华文宋体" w:asciiTheme="minorEastAsia" w:hAnsiTheme="minorEastAsia" w:eastAsiaTheme="minorEastAsia"/>
          <w:color w:val="000000" w:themeColor="text1"/>
          <w:sz w:val="28"/>
          <w:szCs w:val="24"/>
          <w14:textFill>
            <w14:solidFill>
              <w14:schemeClr w14:val="tx1"/>
            </w14:solidFill>
          </w14:textFill>
        </w:rPr>
        <w:t>政府热线电话，每天产生大量的咨询和投诉电话，后台通过大数据分析，每天可以发现很多热点问题。市民或者企业有大量重复问题，这些问题占用了大量的坐席资源。</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通过大数据获取市民和用户咨询的热点、重复性高的问题，并且维护好标准的答复口径，通过5G技术，将这些用户前置到IVR中，可视化的展现在用户的手机端，市民或者用户可以直接通过按键或者语音的方式，进行选择问题。该问题可以大量的分类话务，减轻坐席的话务压力。</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1</w:t>
      </w:r>
      <w:r>
        <w:rPr>
          <w:rFonts w:hint="eastAsia" w:cs="华文宋体" w:asciiTheme="minorEastAsia" w:hAnsiTheme="minorEastAsia" w:eastAsiaTheme="minorEastAsia"/>
          <w:color w:val="000000" w:themeColor="text1"/>
          <w14:textFill>
            <w14:solidFill>
              <w14:schemeClr w14:val="tx1"/>
            </w14:solidFill>
          </w14:textFill>
        </w:rPr>
        <w:t>、可视化热点问题展示；</w:t>
      </w:r>
    </w:p>
    <w:p>
      <w:pPr>
        <w:jc w:val="center"/>
        <w:rPr>
          <w:rFonts w:cs="华文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318897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9"/>
                    <a:stretch>
                      <a:fillRect/>
                    </a:stretch>
                  </pic:blipFill>
                  <pic:spPr>
                    <a:xfrm>
                      <a:off x="0" y="0"/>
                      <a:ext cx="5274310" cy="3188970"/>
                    </a:xfrm>
                    <a:prstGeom prst="rect">
                      <a:avLst/>
                    </a:prstGeom>
                  </pic:spPr>
                </pic:pic>
              </a:graphicData>
            </a:graphic>
          </wp:inline>
        </w:drawing>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2</w:t>
      </w:r>
      <w:r>
        <w:rPr>
          <w:rFonts w:hint="eastAsia" w:cs="华文宋体" w:asciiTheme="minorEastAsia" w:hAnsiTheme="minorEastAsia" w:eastAsiaTheme="minorEastAsia"/>
          <w:color w:val="000000" w:themeColor="text1"/>
          <w14:textFill>
            <w14:solidFill>
              <w14:schemeClr w14:val="tx1"/>
            </w14:solidFill>
          </w14:textFill>
        </w:rPr>
        <w:t>、可视化热点问题按键或者语音选择；</w:t>
      </w:r>
    </w:p>
    <w:p>
      <w:pPr>
        <w:jc w:val="center"/>
        <w:rPr>
          <w:rFonts w:cs="华文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4511675"/>
            <wp:effectExtent l="0" t="0" r="254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a:stretch>
                      <a:fillRect/>
                    </a:stretch>
                  </pic:blipFill>
                  <pic:spPr>
                    <a:xfrm>
                      <a:off x="0" y="0"/>
                      <a:ext cx="5274310" cy="4511675"/>
                    </a:xfrm>
                    <a:prstGeom prst="rect">
                      <a:avLst/>
                    </a:prstGeom>
                  </pic:spPr>
                </pic:pic>
              </a:graphicData>
            </a:graphic>
          </wp:inline>
        </w:drawing>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3</w:t>
      </w:r>
      <w:r>
        <w:rPr>
          <w:rFonts w:hint="eastAsia" w:cs="华文宋体" w:asciiTheme="minorEastAsia" w:hAnsiTheme="minorEastAsia" w:eastAsiaTheme="minorEastAsia"/>
          <w:color w:val="000000" w:themeColor="text1"/>
          <w14:textFill>
            <w14:solidFill>
              <w14:schemeClr w14:val="tx1"/>
            </w14:solidFill>
          </w14:textFill>
        </w:rPr>
        <w:t>、可视化热点问题答复；</w:t>
      </w:r>
    </w:p>
    <w:p>
      <w:pPr>
        <w:jc w:val="center"/>
        <w:rPr>
          <w:rFonts w:cs="华文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411543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1"/>
                    <a:stretch>
                      <a:fillRect/>
                    </a:stretch>
                  </pic:blipFill>
                  <pic:spPr>
                    <a:xfrm>
                      <a:off x="0" y="0"/>
                      <a:ext cx="5274310" cy="4115435"/>
                    </a:xfrm>
                    <a:prstGeom prst="rect">
                      <a:avLst/>
                    </a:prstGeom>
                  </pic:spPr>
                </pic:pic>
              </a:graphicData>
            </a:graphic>
          </wp:inline>
        </w:drawing>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可视化菜单选择</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传统的IVR菜单比较长，语音播报时间长，用户等待时间长，从而导致体验效果不佳；</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全语音智能交互，解决了语音播报长的问题，但是系统有什么功能，用户关心的功能是否存在，用户无法感知；</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5G视频IVR可以解决传统按键语音播报时间长、全语音智能交互用户不清楚系统有哪些功能的问题。详情如下:</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可视化IVR菜单，用户一目了然，可以直接进行操作，选择自己所需服务；可视化菜单可以依据用户需要制定UI界面以及子菜单选项。</w:t>
      </w:r>
    </w:p>
    <w:p>
      <w:pPr>
        <w:jc w:val="center"/>
        <w:rPr>
          <w:rFonts w:cs="华文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316357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2"/>
                    <a:stretch>
                      <a:fillRect/>
                    </a:stretch>
                  </pic:blipFill>
                  <pic:spPr>
                    <a:xfrm>
                      <a:off x="0" y="0"/>
                      <a:ext cx="5274310" cy="3163570"/>
                    </a:xfrm>
                    <a:prstGeom prst="rect">
                      <a:avLst/>
                    </a:prstGeom>
                  </pic:spPr>
                </pic:pic>
              </a:graphicData>
            </a:graphic>
          </wp:inline>
        </w:drawing>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可视化智能咨询</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目前智能语音导航答复率与互联网智能咨询比较，总体答复率比较低。主要原因为:</w:t>
      </w:r>
    </w:p>
    <w:p>
      <w:pPr>
        <w:ind w:firstLine="560"/>
        <w:rPr>
          <w:rFonts w:asciiTheme="minorEastAsia" w:hAnsiTheme="minorEastAsia" w:eastAsiaTheme="minorEastAsia" w:cs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stheme="minorEastAsia"/>
          <w:color w:val="000000" w:themeColor="text1"/>
          <w14:textFill>
            <w14:solidFill>
              <w14:schemeClr w14:val="tx1"/>
            </w14:solidFill>
          </w14:textFill>
        </w:rPr>
        <w:t>电话端1对1，通过语音进行交互，一对一，如果出现一对多选择，语音播报时间长，用户体验效果差</w:t>
      </w:r>
      <w:r>
        <w:rPr>
          <w:rFonts w:hint="eastAsia" w:cs="华文宋体" w:asciiTheme="minorEastAsia" w:hAnsiTheme="minorEastAsia" w:eastAsiaTheme="minorEastAsia"/>
          <w:color w:val="000000" w:themeColor="text1"/>
          <w14:textFill>
            <w14:solidFill>
              <w14:schemeClr w14:val="tx1"/>
            </w14:solidFill>
          </w14:textFill>
        </w:rPr>
        <w:t>。</w:t>
      </w:r>
    </w:p>
    <w:p>
      <w:pPr>
        <w:ind w:firstLine="560"/>
        <w:rPr>
          <w:rFonts w:asciiTheme="minorEastAsia" w:hAnsiTheme="minorEastAsia" w:eastAsiaTheme="minorEastAsia" w:cstheme="minorEastAsia"/>
          <w:color w:val="000000" w:themeColor="text1"/>
          <w14:textFill>
            <w14:solidFill>
              <w14:schemeClr w14:val="tx1"/>
            </w14:solidFill>
          </w14:textFill>
        </w:rPr>
      </w:pPr>
      <w:r>
        <w:rPr>
          <w:rFonts w:asciiTheme="minorEastAsia" w:hAnsiTheme="minorEastAsia" w:eastAsiaTheme="minorEastAsia" w:cstheme="minorEastAsia"/>
          <w:color w:val="000000" w:themeColor="text1"/>
          <w14:textFill>
            <w14:solidFill>
              <w14:schemeClr w14:val="tx1"/>
            </w14:solidFill>
          </w14:textFill>
        </w:rPr>
        <w:t>2</w:t>
      </w:r>
      <w:r>
        <w:rPr>
          <w:rFonts w:hint="eastAsia" w:asciiTheme="minorEastAsia" w:hAnsiTheme="minorEastAsia" w:eastAsiaTheme="minorEastAsia" w:cstheme="minorEastAsia"/>
          <w:color w:val="000000" w:themeColor="text1"/>
          <w14:textFill>
            <w14:solidFill>
              <w14:schemeClr w14:val="tx1"/>
            </w14:solidFill>
          </w14:textFill>
        </w:rPr>
        <w:t>、互联网端1对多，可以推出多个问题答案选项，市民可依据自身的问题判断，选择符合自身答案的选项</w:t>
      </w:r>
      <w:r>
        <w:rPr>
          <w:rFonts w:hint="eastAsia" w:cs="华文宋体" w:asciiTheme="minorEastAsia" w:hAnsiTheme="minorEastAsia" w:eastAsiaTheme="minorEastAsia"/>
          <w:color w:val="000000" w:themeColor="text1"/>
          <w14:textFill>
            <w14:solidFill>
              <w14:schemeClr w14:val="tx1"/>
            </w14:solidFill>
          </w14:textFill>
        </w:rPr>
        <w:t>。</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可视化智能导航解决电话端目前存在的问题，可以将互联网端可视化交互的功能运用到语音电话端，从而大幅</w:t>
      </w:r>
      <w:r>
        <w:rPr>
          <w:rFonts w:hint="eastAsia" w:cs="华文宋体" w:asciiTheme="minorEastAsia" w:hAnsiTheme="minorEastAsia" w:eastAsiaTheme="minorEastAsia"/>
          <w:color w:val="000000" w:themeColor="text1"/>
          <w14:textFill>
            <w14:solidFill>
              <w14:schemeClr w14:val="tx1"/>
            </w14:solidFill>
          </w14:textFill>
        </w:rPr>
        <w:t>度提升智能交互的体验和答复率。</w:t>
      </w:r>
    </w:p>
    <w:p>
      <w:pPr>
        <w:jc w:val="center"/>
        <w:rPr>
          <w:rFonts w:cs="华文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2888615"/>
            <wp:effectExtent l="0" t="0" r="2540" b="698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3"/>
                    <a:stretch>
                      <a:fillRect/>
                    </a:stretch>
                  </pic:blipFill>
                  <pic:spPr>
                    <a:xfrm>
                      <a:off x="0" y="0"/>
                      <a:ext cx="5274310" cy="2888615"/>
                    </a:xfrm>
                    <a:prstGeom prst="rect">
                      <a:avLst/>
                    </a:prstGeom>
                  </pic:spPr>
                </pic:pic>
              </a:graphicData>
            </a:graphic>
          </wp:inline>
        </w:drawing>
      </w: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可视化视频播放</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可视化视频播放是指为呼叫中心热线提供播放短视频业务，当用户拨打呼叫中心号码时，用户选择指定业务后，系统可以向主叫用户推送短视频内容，不局限于新服务、新业务的宣传，用故事性、业务办理流程等为用户呈现一场声画并茂的“微电影”，方便市民更形象的了解业务办理流程，起到业务宣传、服务推广的作用。</w:t>
      </w:r>
    </w:p>
    <w:p>
      <w:pPr>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274310" cy="295275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4"/>
                    <a:stretch>
                      <a:fillRect/>
                    </a:stretch>
                  </pic:blipFill>
                  <pic:spPr>
                    <a:xfrm>
                      <a:off x="0" y="0"/>
                      <a:ext cx="5274310" cy="2952750"/>
                    </a:xfrm>
                    <a:prstGeom prst="rect">
                      <a:avLst/>
                    </a:prstGeom>
                  </pic:spPr>
                </pic:pic>
              </a:graphicData>
            </a:graphic>
          </wp:inline>
        </w:drawing>
      </w:r>
    </w:p>
    <w:p>
      <w:pPr>
        <w:pStyle w:val="14"/>
        <w:rPr>
          <w:rFonts w:asciiTheme="minorEastAsia" w:hAnsiTheme="minorEastAsia" w:eastAsiaTheme="minorEastAsia"/>
          <w:color w:val="000000" w:themeColor="text1"/>
          <w14:textFill>
            <w14:solidFill>
              <w14:schemeClr w14:val="tx1"/>
            </w14:solidFill>
          </w14:textFill>
        </w:rPr>
      </w:pPr>
    </w:p>
    <w:p>
      <w:pPr>
        <w:pStyle w:val="14"/>
        <w:rPr>
          <w:rFonts w:asciiTheme="minorEastAsia" w:hAnsiTheme="minorEastAsia" w:eastAsiaTheme="minorEastAsia"/>
          <w:color w:val="000000" w:themeColor="text1"/>
          <w14:textFill>
            <w14:solidFill>
              <w14:schemeClr w14:val="tx1"/>
            </w14:solidFill>
          </w14:textFill>
        </w:rPr>
      </w:pPr>
    </w:p>
    <w:p>
      <w:pPr>
        <w:pStyle w:val="89"/>
        <w:widowControl/>
        <w:numPr>
          <w:ilvl w:val="0"/>
          <w:numId w:val="15"/>
        </w:numPr>
        <w:spacing w:line="360" w:lineRule="auto"/>
        <w:ind w:firstLineChars="0"/>
        <w:rPr>
          <w:rFonts w:cs="华文宋体" w:asciiTheme="minorEastAsia" w:hAnsiTheme="minorEastAsia" w:eastAsiaTheme="minorEastAsia"/>
          <w:b/>
          <w:color w:val="000000" w:themeColor="text1"/>
          <w:sz w:val="28"/>
          <w14:textFill>
            <w14:solidFill>
              <w14:schemeClr w14:val="tx1"/>
            </w14:solidFill>
          </w14:textFill>
        </w:rPr>
      </w:pPr>
      <w:r>
        <w:rPr>
          <w:rFonts w:hint="eastAsia" w:cs="华文宋体" w:asciiTheme="minorEastAsia" w:hAnsiTheme="minorEastAsia" w:eastAsiaTheme="minorEastAsia"/>
          <w:b/>
          <w:color w:val="000000" w:themeColor="text1"/>
          <w:sz w:val="28"/>
          <w14:textFill>
            <w14:solidFill>
              <w14:schemeClr w14:val="tx1"/>
            </w14:solidFill>
          </w14:textFill>
        </w:rPr>
        <w:t>实时字幕</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通过ASR服务器的语音识别功能，支持与ASR服务器对接提供实时字幕功能。</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开启实时字幕功能后，在视频通话中可实时将通话内容转变为字幕显示，显示过程中支持智能矫正功能。更加清楚的了解用户的发言内容。</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视频客服</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1 </w:t>
      </w:r>
      <w:r>
        <w:rPr>
          <w:rFonts w:hint="eastAsia" w:asciiTheme="minorEastAsia" w:hAnsiTheme="minorEastAsia" w:eastAsiaTheme="minorEastAsia"/>
          <w:color w:val="000000" w:themeColor="text1"/>
          <w14:textFill>
            <w14:solidFill>
              <w14:schemeClr w14:val="tx1"/>
            </w14:solidFill>
          </w14:textFill>
        </w:rPr>
        <w:t>人像采取权限</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5</w:t>
      </w:r>
      <w:r>
        <w:rPr>
          <w:rFonts w:cs="华文宋体" w:asciiTheme="minorEastAsia" w:hAnsiTheme="minorEastAsia" w:eastAsiaTheme="minorEastAsia"/>
          <w:color w:val="000000" w:themeColor="text1"/>
          <w14:textFill>
            <w14:solidFill>
              <w14:schemeClr w14:val="tx1"/>
            </w14:solidFill>
          </w14:textFill>
        </w:rPr>
        <w:t>G</w:t>
      </w:r>
      <w:r>
        <w:rPr>
          <w:rFonts w:hint="eastAsia" w:cs="华文宋体" w:asciiTheme="minorEastAsia" w:hAnsiTheme="minorEastAsia" w:eastAsiaTheme="minorEastAsia"/>
          <w:color w:val="000000" w:themeColor="text1"/>
          <w14:textFill>
            <w14:solidFill>
              <w14:schemeClr w14:val="tx1"/>
            </w14:solidFill>
          </w14:textFill>
        </w:rPr>
        <w:t>视频客服功能需要市民与人工坐席视频通话，目前信访局为了保障市民的人像等权利，特此规定只能由信访局工作人员进行人像采取并与市民进行视频通话，其他处理部门不具备人像采取权限。</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5</w:t>
      </w:r>
      <w:r>
        <w:rPr>
          <w:rFonts w:cs="华文宋体" w:asciiTheme="minorEastAsia" w:hAnsiTheme="minorEastAsia" w:eastAsiaTheme="minorEastAsia"/>
          <w:color w:val="000000" w:themeColor="text1"/>
          <w14:textFill>
            <w14:solidFill>
              <w14:schemeClr w14:val="tx1"/>
            </w14:solidFill>
          </w14:textFill>
        </w:rPr>
        <w:t>G</w:t>
      </w:r>
      <w:r>
        <w:rPr>
          <w:rFonts w:hint="eastAsia" w:cs="华文宋体" w:asciiTheme="minorEastAsia" w:hAnsiTheme="minorEastAsia" w:eastAsiaTheme="minorEastAsia"/>
          <w:color w:val="000000" w:themeColor="text1"/>
          <w14:textFill>
            <w14:solidFill>
              <w14:schemeClr w14:val="tx1"/>
            </w14:solidFill>
          </w14:textFill>
        </w:rPr>
        <w:t>视频功能是否使用，主动发起权在市民端，由市民端主动发起视频通话，所有的视频通话均会经过市民的同意才会进行，并对市民发起视频通话的授权记录进行保存。</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萧山区1</w:t>
      </w:r>
      <w:r>
        <w:rPr>
          <w:rFonts w:cs="华文宋体" w:asciiTheme="minorEastAsia" w:hAnsiTheme="minorEastAsia" w:eastAsiaTheme="minorEastAsia"/>
          <w:color w:val="000000" w:themeColor="text1"/>
          <w14:textFill>
            <w14:solidFill>
              <w14:schemeClr w14:val="tx1"/>
            </w14:solidFill>
          </w14:textFill>
        </w:rPr>
        <w:t>2345</w:t>
      </w:r>
      <w:r>
        <w:rPr>
          <w:rFonts w:hint="eastAsia" w:cs="华文宋体" w:asciiTheme="minorEastAsia" w:hAnsiTheme="minorEastAsia" w:eastAsiaTheme="minorEastAsia"/>
          <w:color w:val="000000" w:themeColor="text1"/>
          <w14:textFill>
            <w14:solidFill>
              <w14:schemeClr w14:val="tx1"/>
            </w14:solidFill>
          </w14:textFill>
        </w:rPr>
        <w:t>业务在使用5</w:t>
      </w:r>
      <w:r>
        <w:rPr>
          <w:rFonts w:cs="华文宋体" w:asciiTheme="minorEastAsia" w:hAnsiTheme="minorEastAsia" w:eastAsiaTheme="minorEastAsia"/>
          <w:color w:val="000000" w:themeColor="text1"/>
          <w14:textFill>
            <w14:solidFill>
              <w14:schemeClr w14:val="tx1"/>
            </w14:solidFill>
          </w14:textFill>
        </w:rPr>
        <w:t>G</w:t>
      </w:r>
      <w:r>
        <w:rPr>
          <w:rFonts w:hint="eastAsia" w:cs="华文宋体" w:asciiTheme="minorEastAsia" w:hAnsiTheme="minorEastAsia" w:eastAsiaTheme="minorEastAsia"/>
          <w:color w:val="000000" w:themeColor="text1"/>
          <w14:textFill>
            <w14:solidFill>
              <w14:schemeClr w14:val="tx1"/>
            </w14:solidFill>
          </w14:textFill>
        </w:rPr>
        <w:t>视频客服功能时，信访局工作人员可进行人像采取并与市民进行视频通话，坐席将相关诉求总结成工单再转派给其他处理部门，其他处理部门不进行人像的采取，只具备业务办理以及语音通话的权限。</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2 </w:t>
      </w:r>
      <w:r>
        <w:rPr>
          <w:rFonts w:hint="eastAsia" w:asciiTheme="minorEastAsia" w:hAnsiTheme="minorEastAsia" w:eastAsiaTheme="minorEastAsia"/>
          <w:color w:val="000000" w:themeColor="text1"/>
          <w14:textFill>
            <w14:solidFill>
              <w14:schemeClr w14:val="tx1"/>
            </w14:solidFill>
          </w14:textFill>
        </w:rPr>
        <w:t>基础能力</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用户可通过5</w:t>
      </w:r>
      <w:r>
        <w:rPr>
          <w:rFonts w:cs="华文宋体" w:asciiTheme="minorEastAsia" w:hAnsiTheme="minorEastAsia" w:eastAsiaTheme="minorEastAsia"/>
          <w:color w:val="000000" w:themeColor="text1"/>
          <w14:textFill>
            <w14:solidFill>
              <w14:schemeClr w14:val="tx1"/>
            </w14:solidFill>
          </w14:textFill>
        </w:rPr>
        <w:t>G</w:t>
      </w:r>
      <w:r>
        <w:rPr>
          <w:rFonts w:hint="eastAsia" w:cs="华文宋体" w:asciiTheme="minorEastAsia" w:hAnsiTheme="minorEastAsia" w:eastAsiaTheme="minorEastAsia"/>
          <w:color w:val="000000" w:themeColor="text1"/>
          <w14:textFill>
            <w14:solidFill>
              <w14:schemeClr w14:val="tx1"/>
            </w14:solidFill>
          </w14:textFill>
        </w:rPr>
        <w:t>或VoLTE两种方式接入视频客服平台，与人工坐席视频通话。</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视频坐席功能主要包括：</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1</w:t>
      </w:r>
      <w:r>
        <w:rPr>
          <w:rFonts w:hint="eastAsia" w:cs="华文宋体" w:asciiTheme="minorEastAsia" w:hAnsiTheme="minorEastAsia" w:eastAsiaTheme="minorEastAsia"/>
          <w:color w:val="000000" w:themeColor="text1"/>
          <w14:textFill>
            <w14:solidFill>
              <w14:schemeClr w14:val="tx1"/>
            </w14:solidFill>
          </w14:textFill>
        </w:rPr>
        <w:t>、视频坐席签入</w:t>
      </w:r>
      <w:r>
        <w:rPr>
          <w:rFonts w:cs="华文宋体" w:asciiTheme="minorEastAsia" w:hAnsiTheme="minorEastAsia" w:eastAsiaTheme="minorEastAsia"/>
          <w:color w:val="000000" w:themeColor="text1"/>
          <w14:textFill>
            <w14:solidFill>
              <w14:schemeClr w14:val="tx1"/>
            </w14:solidFill>
          </w14:textFill>
        </w:rPr>
        <w:t>/</w:t>
      </w:r>
      <w:r>
        <w:rPr>
          <w:rFonts w:hint="eastAsia" w:cs="华文宋体" w:asciiTheme="minorEastAsia" w:hAnsiTheme="minorEastAsia" w:eastAsiaTheme="minorEastAsia"/>
          <w:color w:val="000000" w:themeColor="text1"/>
          <w14:textFill>
            <w14:solidFill>
              <w14:schemeClr w14:val="tx1"/>
            </w14:solidFill>
          </w14:textFill>
        </w:rPr>
        <w:t>签出，可选择</w:t>
      </w:r>
      <w:r>
        <w:rPr>
          <w:rFonts w:cs="华文宋体" w:asciiTheme="minorEastAsia" w:hAnsiTheme="minorEastAsia" w:eastAsiaTheme="minorEastAsia"/>
          <w:color w:val="000000" w:themeColor="text1"/>
          <w14:textFill>
            <w14:solidFill>
              <w14:schemeClr w14:val="tx1"/>
            </w14:solidFill>
          </w14:textFill>
        </w:rPr>
        <w:tab/>
      </w:r>
      <w:r>
        <w:rPr>
          <w:rFonts w:hint="eastAsia" w:cs="华文宋体" w:asciiTheme="minorEastAsia" w:hAnsiTheme="minorEastAsia" w:eastAsiaTheme="minorEastAsia"/>
          <w:color w:val="000000" w:themeColor="text1"/>
          <w14:textFill>
            <w14:solidFill>
              <w14:schemeClr w14:val="tx1"/>
            </w14:solidFill>
          </w14:textFill>
        </w:rPr>
        <w:t>签入视频技能队列。</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2</w:t>
      </w:r>
      <w:r>
        <w:rPr>
          <w:rFonts w:hint="eastAsia" w:cs="华文宋体" w:asciiTheme="minorEastAsia" w:hAnsiTheme="minorEastAsia" w:eastAsiaTheme="minorEastAsia"/>
          <w:color w:val="000000" w:themeColor="text1"/>
          <w14:textFill>
            <w14:solidFill>
              <w14:schemeClr w14:val="tx1"/>
            </w14:solidFill>
          </w14:textFill>
        </w:rPr>
        <w:t>、视频呼叫应答，开始视频通话。</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3</w:t>
      </w:r>
      <w:r>
        <w:rPr>
          <w:rFonts w:hint="eastAsia" w:cs="华文宋体" w:asciiTheme="minorEastAsia" w:hAnsiTheme="minorEastAsia" w:eastAsiaTheme="minorEastAsia"/>
          <w:color w:val="000000" w:themeColor="text1"/>
          <w14:textFill>
            <w14:solidFill>
              <w14:schemeClr w14:val="tx1"/>
            </w14:solidFill>
          </w14:textFill>
        </w:rPr>
        <w:t>、视频坐席状态切换，如示忙、示闲、小休等，状态同普通语音坐席。</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4</w:t>
      </w:r>
      <w:r>
        <w:rPr>
          <w:rFonts w:hint="eastAsia" w:cs="华文宋体" w:asciiTheme="minorEastAsia" w:hAnsiTheme="minorEastAsia" w:eastAsiaTheme="minorEastAsia"/>
          <w:color w:val="000000" w:themeColor="text1"/>
          <w14:textFill>
            <w14:solidFill>
              <w14:schemeClr w14:val="tx1"/>
            </w14:solidFill>
          </w14:textFill>
        </w:rPr>
        <w:t>、视频通话释放。</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5</w:t>
      </w:r>
      <w:r>
        <w:rPr>
          <w:rFonts w:hint="eastAsia" w:cs="华文宋体" w:asciiTheme="minorEastAsia" w:hAnsiTheme="minorEastAsia" w:eastAsiaTheme="minorEastAsia"/>
          <w:color w:val="000000" w:themeColor="text1"/>
          <w14:textFill>
            <w14:solidFill>
              <w14:schemeClr w14:val="tx1"/>
            </w14:solidFill>
          </w14:textFill>
        </w:rPr>
        <w:t>、视频呼叫转移，将当前视频通话转移到其它视频技能队列或指定视频坐席，也可转接给传统语音技能队列或语音坐席。</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6</w:t>
      </w:r>
      <w:r>
        <w:rPr>
          <w:rFonts w:hint="eastAsia" w:cs="华文宋体" w:asciiTheme="minorEastAsia" w:hAnsiTheme="minorEastAsia" w:eastAsiaTheme="minorEastAsia"/>
          <w:color w:val="000000" w:themeColor="text1"/>
          <w14:textFill>
            <w14:solidFill>
              <w14:schemeClr w14:val="tx1"/>
            </w14:solidFill>
          </w14:textFill>
        </w:rPr>
        <w:t>、视频通话转视频</w:t>
      </w:r>
      <w:r>
        <w:rPr>
          <w:rFonts w:cs="华文宋体" w:asciiTheme="minorEastAsia" w:hAnsiTheme="minorEastAsia" w:eastAsiaTheme="minorEastAsia"/>
          <w:color w:val="000000" w:themeColor="text1"/>
          <w14:textFill>
            <w14:solidFill>
              <w14:schemeClr w14:val="tx1"/>
            </w14:solidFill>
          </w14:textFill>
        </w:rPr>
        <w:t>IVR</w:t>
      </w:r>
      <w:r>
        <w:rPr>
          <w:rFonts w:hint="eastAsia" w:cs="华文宋体" w:asciiTheme="minorEastAsia" w:hAnsiTheme="minorEastAsia" w:eastAsiaTheme="minorEastAsia"/>
          <w:color w:val="000000" w:themeColor="text1"/>
          <w14:textFill>
            <w14:solidFill>
              <w14:schemeClr w14:val="tx1"/>
            </w14:solidFill>
          </w14:textFill>
        </w:rPr>
        <w:t>。</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7</w:t>
      </w:r>
      <w:r>
        <w:rPr>
          <w:rFonts w:hint="eastAsia" w:cs="华文宋体" w:asciiTheme="minorEastAsia" w:hAnsiTheme="minorEastAsia" w:eastAsiaTheme="minorEastAsia"/>
          <w:color w:val="000000" w:themeColor="text1"/>
          <w14:textFill>
            <w14:solidFill>
              <w14:schemeClr w14:val="tx1"/>
            </w14:solidFill>
          </w14:textFill>
        </w:rPr>
        <w:t>、静视频</w:t>
      </w:r>
      <w:r>
        <w:rPr>
          <w:rFonts w:cs="华文宋体" w:asciiTheme="minorEastAsia" w:hAnsiTheme="minorEastAsia" w:eastAsiaTheme="minorEastAsia"/>
          <w:color w:val="000000" w:themeColor="text1"/>
          <w14:textFill>
            <w14:solidFill>
              <w14:schemeClr w14:val="tx1"/>
            </w14:solidFill>
          </w14:textFill>
        </w:rPr>
        <w:t>/</w:t>
      </w:r>
      <w:r>
        <w:rPr>
          <w:rFonts w:hint="eastAsia" w:cs="华文宋体" w:asciiTheme="minorEastAsia" w:hAnsiTheme="minorEastAsia" w:eastAsiaTheme="minorEastAsia"/>
          <w:color w:val="000000" w:themeColor="text1"/>
          <w14:textFill>
            <w14:solidFill>
              <w14:schemeClr w14:val="tx1"/>
            </w14:solidFill>
          </w14:textFill>
        </w:rPr>
        <w:t>结束静视频，在视频通话过程中可选择静视频操作，即可用户无法看到坐席的视频图像或者听见坐席的声音，但坐席可以看到用户的视频图像和听到用户的声音，包括如下两种模式：</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8</w:t>
      </w:r>
      <w:r>
        <w:rPr>
          <w:rFonts w:hint="eastAsia" w:cs="华文宋体" w:asciiTheme="minorEastAsia" w:hAnsiTheme="minorEastAsia" w:eastAsiaTheme="minorEastAsia"/>
          <w:color w:val="000000" w:themeColor="text1"/>
          <w14:textFill>
            <w14:solidFill>
              <w14:schemeClr w14:val="tx1"/>
            </w14:solidFill>
          </w14:textFill>
        </w:rPr>
        <w:t>、静像：坐席可以看到用户的视频图像，用户看黑屏，用户和坐席可以交谈。</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9</w:t>
      </w:r>
      <w:r>
        <w:rPr>
          <w:rFonts w:hint="eastAsia" w:cs="华文宋体" w:asciiTheme="minorEastAsia" w:hAnsiTheme="minorEastAsia" w:eastAsiaTheme="minorEastAsia"/>
          <w:color w:val="000000" w:themeColor="text1"/>
          <w14:textFill>
            <w14:solidFill>
              <w14:schemeClr w14:val="tx1"/>
            </w14:solidFill>
          </w14:textFill>
        </w:rPr>
        <w:t>、静音</w:t>
      </w:r>
      <w:r>
        <w:rPr>
          <w:rFonts w:cs="华文宋体" w:asciiTheme="minorEastAsia" w:hAnsiTheme="minorEastAsia" w:eastAsiaTheme="minorEastAsia"/>
          <w:color w:val="000000" w:themeColor="text1"/>
          <w14:textFill>
            <w14:solidFill>
              <w14:schemeClr w14:val="tx1"/>
            </w14:solidFill>
          </w14:textFill>
        </w:rPr>
        <w:t>&amp;</w:t>
      </w:r>
      <w:r>
        <w:rPr>
          <w:rFonts w:hint="eastAsia" w:cs="华文宋体" w:asciiTheme="minorEastAsia" w:hAnsiTheme="minorEastAsia" w:eastAsiaTheme="minorEastAsia"/>
          <w:color w:val="000000" w:themeColor="text1"/>
          <w14:textFill>
            <w14:solidFill>
              <w14:schemeClr w14:val="tx1"/>
            </w14:solidFill>
          </w14:textFill>
        </w:rPr>
        <w:t>静像：坐席可以听到和看到用户，用户看黑屏，听不到坐席声音。</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10</w:t>
      </w:r>
      <w:r>
        <w:rPr>
          <w:rFonts w:hint="eastAsia" w:cs="华文宋体" w:asciiTheme="minorEastAsia" w:hAnsiTheme="minorEastAsia" w:eastAsiaTheme="minorEastAsia"/>
          <w:color w:val="000000" w:themeColor="text1"/>
          <w14:textFill>
            <w14:solidFill>
              <w14:schemeClr w14:val="tx1"/>
            </w14:solidFill>
          </w14:textFill>
        </w:rPr>
        <w:t>、在视频通话过程中，视频坐席可发起三方视频通话。</w:t>
      </w:r>
    </w:p>
    <w:p>
      <w:pPr>
        <w:ind w:firstLine="560"/>
        <w:rPr>
          <w:rFonts w:cs="华文宋体" w:asciiTheme="minorEastAsia" w:hAnsiTheme="minorEastAsia" w:eastAsiaTheme="minorEastAsia"/>
          <w:color w:val="000000" w:themeColor="text1"/>
          <w14:textFill>
            <w14:solidFill>
              <w14:schemeClr w14:val="tx1"/>
            </w14:solidFill>
          </w14:textFill>
        </w:rPr>
      </w:pPr>
      <w:r>
        <w:rPr>
          <w:rFonts w:cs="华文宋体" w:asciiTheme="minorEastAsia" w:hAnsiTheme="minorEastAsia" w:eastAsiaTheme="minorEastAsia"/>
          <w:color w:val="000000" w:themeColor="text1"/>
          <w14:textFill>
            <w14:solidFill>
              <w14:schemeClr w14:val="tx1"/>
            </w14:solidFill>
          </w14:textFill>
        </w:rPr>
        <w:t>11</w:t>
      </w:r>
      <w:r>
        <w:rPr>
          <w:rFonts w:hint="eastAsia" w:cs="华文宋体" w:asciiTheme="minorEastAsia" w:hAnsiTheme="minorEastAsia" w:eastAsiaTheme="minorEastAsia"/>
          <w:color w:val="000000" w:themeColor="text1"/>
          <w14:textFill>
            <w14:solidFill>
              <w14:schemeClr w14:val="tx1"/>
            </w14:solidFill>
          </w14:textFill>
        </w:rPr>
        <w:t>、视频坐席可实时进行画面抓取，截图拍照。对访客视频画面进行留存。</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3 </w:t>
      </w:r>
      <w:r>
        <w:rPr>
          <w:rFonts w:hint="eastAsia" w:asciiTheme="minorEastAsia" w:hAnsiTheme="minorEastAsia" w:eastAsiaTheme="minorEastAsia"/>
          <w:color w:val="000000" w:themeColor="text1"/>
          <w14:textFill>
            <w14:solidFill>
              <w14:schemeClr w14:val="tx1"/>
            </w14:solidFill>
          </w14:textFill>
        </w:rPr>
        <w:t>可视化功能</w:t>
      </w:r>
    </w:p>
    <w:p>
      <w:pPr>
        <w:pStyle w:val="14"/>
        <w:numPr>
          <w:ilvl w:val="0"/>
          <w:numId w:val="1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音视频通话</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市民在通话中若不希望进行视频互动时可以选择关闭视频。关闭视频下，本地将不显示关闭视频方视频，其他第三方交流者也不能看到关闭视频方的视频。但关闭视频方可以看到其他未关闭视频方的视频。</w:t>
      </w:r>
    </w:p>
    <w:p>
      <w:pPr>
        <w:pStyle w:val="14"/>
        <w:numPr>
          <w:ilvl w:val="0"/>
          <w:numId w:val="1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音视频开关</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市民在通话中不希望进行视频互动时可以选择语音模式。语音模式下，本地将不显示其他参会者视频，其他参会者也不能看到当前市民的视频，只可进行语音通话。</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4 </w:t>
      </w:r>
      <w:r>
        <w:rPr>
          <w:rFonts w:hint="eastAsia" w:asciiTheme="minorEastAsia" w:hAnsiTheme="minorEastAsia" w:eastAsiaTheme="minorEastAsia"/>
          <w:color w:val="000000" w:themeColor="text1"/>
          <w14:textFill>
            <w14:solidFill>
              <w14:schemeClr w14:val="tx1"/>
            </w14:solidFill>
          </w14:textFill>
        </w:rPr>
        <w:t>内容提取</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视频客服解决方案提供内容提取功能，可在视频通话过程中提供语音转文本的功能。语音转文本后，将自动提取文本中的关键词并高亮展示，支持回填至工单，方便坐席快速定位诉求信息，提高坐席工作效率。。</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5 </w:t>
      </w:r>
      <w:r>
        <w:rPr>
          <w:rFonts w:hint="eastAsia" w:asciiTheme="minorEastAsia" w:hAnsiTheme="minorEastAsia" w:eastAsiaTheme="minorEastAsia"/>
          <w:color w:val="000000" w:themeColor="text1"/>
          <w14:textFill>
            <w14:solidFill>
              <w14:schemeClr w14:val="tx1"/>
            </w14:solidFill>
          </w14:textFill>
        </w:rPr>
        <w:t>知识库联动</w:t>
      </w:r>
    </w:p>
    <w:p>
      <w:pPr>
        <w:ind w:firstLine="560"/>
        <w:rPr>
          <w:rFonts w:cs="华文宋体" w:asciiTheme="minorEastAsia" w:hAnsiTheme="minorEastAsia" w:eastAsiaTheme="minorEastAsia"/>
          <w:color w:val="000000" w:themeColor="text1"/>
          <w14:textFill>
            <w14:solidFill>
              <w14:schemeClr w14:val="tx1"/>
            </w14:solidFill>
          </w14:textFill>
        </w:rPr>
      </w:pPr>
      <w:r>
        <w:rPr>
          <w:rFonts w:hint="eastAsia" w:cs="华文宋体" w:asciiTheme="minorEastAsia" w:hAnsiTheme="minorEastAsia" w:eastAsiaTheme="minorEastAsia"/>
          <w:color w:val="000000" w:themeColor="text1"/>
          <w14:textFill>
            <w14:solidFill>
              <w14:schemeClr w14:val="tx1"/>
            </w14:solidFill>
          </w14:textFill>
        </w:rPr>
        <w:t>视频客服解决方案提供系统知识库联动功能，可在视频通话过程中提供语音转文本的功能。语音转文本后，根据提取出的关键词内容，可以自动匹配知识库中的问答内容，方便坐席进行诉求解答。</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6 </w:t>
      </w:r>
      <w:r>
        <w:rPr>
          <w:rFonts w:hint="eastAsia" w:asciiTheme="minorEastAsia" w:hAnsiTheme="minorEastAsia" w:eastAsiaTheme="minorEastAsia"/>
          <w:color w:val="000000" w:themeColor="text1"/>
          <w14:textFill>
            <w14:solidFill>
              <w14:schemeClr w14:val="tx1"/>
            </w14:solidFill>
          </w14:textFill>
        </w:rPr>
        <w:t>坐席辅助实时转写</w:t>
      </w:r>
    </w:p>
    <w:p>
      <w:pPr>
        <w:pStyle w:val="14"/>
        <w:numPr>
          <w:ilvl w:val="0"/>
          <w:numId w:val="1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实时转写</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可以在通话过程中，实时将通话双方的语音对话内容进行文本的转换，并展示出来，供对话方查看。</w:t>
      </w:r>
    </w:p>
    <w:p>
      <w:pPr>
        <w:pStyle w:val="14"/>
        <w:numPr>
          <w:ilvl w:val="0"/>
          <w:numId w:val="1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智能集成</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与智能知识库做联动，提供常见提问类型及解答，实时根据来电意图或对话关键词，智能推荐坐席相关业务办理流程或政策解读。</w:t>
      </w:r>
    </w:p>
    <w:p>
      <w:pPr>
        <w:pStyle w:val="8"/>
        <w:rPr>
          <w:rFonts w:asciiTheme="minorEastAsia" w:hAnsiTheme="minorEastAsia" w:eastAsiaTheme="minorEastAsia"/>
          <w:color w:val="000000" w:themeColor="text1"/>
          <w14:textFill>
            <w14:solidFill>
              <w14:schemeClr w14:val="tx1"/>
            </w14:solidFill>
          </w14:textFill>
        </w:rPr>
      </w:pPr>
      <w:bookmarkStart w:id="198" w:name="_Toc95315552"/>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7 </w:t>
      </w:r>
      <w:r>
        <w:rPr>
          <w:rFonts w:hint="eastAsia" w:asciiTheme="minorEastAsia" w:hAnsiTheme="minorEastAsia" w:eastAsiaTheme="minorEastAsia"/>
          <w:color w:val="000000" w:themeColor="text1"/>
          <w14:textFill>
            <w14:solidFill>
              <w14:schemeClr w14:val="tx1"/>
            </w14:solidFill>
          </w14:textFill>
        </w:rPr>
        <w:t>5G视频管理功能</w:t>
      </w:r>
      <w:bookmarkEnd w:id="198"/>
    </w:p>
    <w:p>
      <w:pPr>
        <w:pStyle w:val="89"/>
        <w:widowControl/>
        <w:numPr>
          <w:ilvl w:val="0"/>
          <w:numId w:val="15"/>
        </w:numPr>
        <w:spacing w:line="360" w:lineRule="auto"/>
        <w:ind w:firstLineChars="0"/>
        <w:rPr>
          <w:rFonts w:cs="华文宋体" w:asciiTheme="minorEastAsia" w:hAnsiTheme="minorEastAsia" w:eastAsiaTheme="minorEastAsia"/>
          <w:color w:val="000000" w:themeColor="text1"/>
          <w:sz w:val="28"/>
          <w:szCs w:val="28"/>
          <w14:textFill>
            <w14:solidFill>
              <w14:schemeClr w14:val="tx1"/>
            </w14:solidFill>
          </w14:textFill>
        </w:rPr>
      </w:pPr>
      <w:r>
        <w:rPr>
          <w:rFonts w:hint="eastAsia" w:cs="华文宋体" w:asciiTheme="minorEastAsia" w:hAnsiTheme="minorEastAsia" w:eastAsiaTheme="minorEastAsia"/>
          <w:color w:val="000000" w:themeColor="text1"/>
          <w:sz w:val="28"/>
          <w:szCs w:val="28"/>
          <w14:textFill>
            <w14:solidFill>
              <w14:schemeClr w14:val="tx1"/>
            </w14:solidFill>
          </w14:textFill>
        </w:rPr>
        <w:t>坐席管理</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通过坐席管理页面，可管理当前呼叫中心中</w:t>
      </w:r>
      <w:r>
        <w:rPr>
          <w:rFonts w:hint="eastAsia" w:asciiTheme="minorEastAsia" w:hAnsiTheme="minorEastAsia" w:eastAsiaTheme="minorEastAsia"/>
          <w:color w:val="000000" w:themeColor="text1"/>
          <w14:textFill>
            <w14:solidFill>
              <w14:schemeClr w14:val="tx1"/>
            </w14:solidFill>
          </w14:textFill>
        </w:rPr>
        <w:t>视频坐席</w:t>
      </w:r>
      <w:r>
        <w:rPr>
          <w:rFonts w:asciiTheme="minorEastAsia" w:hAnsiTheme="minorEastAsia" w:eastAsiaTheme="minorEastAsia"/>
          <w:color w:val="000000" w:themeColor="text1"/>
          <w14:textFill>
            <w14:solidFill>
              <w14:schemeClr w14:val="tx1"/>
            </w14:solidFill>
          </w14:textFill>
        </w:rPr>
        <w:t>，包括坐席和管理员，</w:t>
      </w:r>
      <w:r>
        <w:rPr>
          <w:rFonts w:hint="eastAsia" w:asciiTheme="minorEastAsia" w:hAnsiTheme="minorEastAsia" w:eastAsiaTheme="minorEastAsia"/>
          <w:color w:val="000000" w:themeColor="text1"/>
          <w14:textFill>
            <w14:solidFill>
              <w14:schemeClr w14:val="tx1"/>
            </w14:solidFill>
          </w14:textFill>
        </w:rPr>
        <w:t>并</w:t>
      </w:r>
      <w:r>
        <w:rPr>
          <w:rFonts w:asciiTheme="minorEastAsia" w:hAnsiTheme="minorEastAsia" w:eastAsiaTheme="minorEastAsia"/>
          <w:color w:val="000000" w:themeColor="text1"/>
          <w14:textFill>
            <w14:solidFill>
              <w14:schemeClr w14:val="tx1"/>
            </w14:solidFill>
          </w14:textFill>
        </w:rPr>
        <w:t>可在此进行人员的增、删、改、查等基本操作。</w:t>
      </w:r>
    </w:p>
    <w:p>
      <w:pPr>
        <w:pStyle w:val="89"/>
        <w:widowControl/>
        <w:numPr>
          <w:ilvl w:val="0"/>
          <w:numId w:val="15"/>
        </w:numPr>
        <w:spacing w:line="360" w:lineRule="auto"/>
        <w:ind w:firstLineChars="0"/>
        <w:rPr>
          <w:rFonts w:cs="华文宋体" w:asciiTheme="minorEastAsia" w:hAnsiTheme="minorEastAsia" w:eastAsiaTheme="minorEastAsia"/>
          <w:color w:val="000000" w:themeColor="text1"/>
          <w:sz w:val="28"/>
          <w:szCs w:val="28"/>
          <w14:textFill>
            <w14:solidFill>
              <w14:schemeClr w14:val="tx1"/>
            </w14:solidFill>
          </w14:textFill>
        </w:rPr>
      </w:pPr>
      <w:r>
        <w:rPr>
          <w:rFonts w:hint="eastAsia" w:cs="华文宋体" w:asciiTheme="minorEastAsia" w:hAnsiTheme="minorEastAsia" w:eastAsiaTheme="minorEastAsia"/>
          <w:color w:val="000000" w:themeColor="text1"/>
          <w:sz w:val="28"/>
          <w:szCs w:val="28"/>
          <w14:textFill>
            <w14:solidFill>
              <w14:schemeClr w14:val="tx1"/>
            </w14:solidFill>
          </w14:textFill>
        </w:rPr>
        <w:t>视频存储管理</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会议结束后，可对所有的会议视频进行保存，支持后期查询、回看和下载。</w:t>
      </w:r>
    </w:p>
    <w:p>
      <w:pPr>
        <w:pStyle w:val="89"/>
        <w:widowControl/>
        <w:numPr>
          <w:ilvl w:val="0"/>
          <w:numId w:val="15"/>
        </w:numPr>
        <w:spacing w:line="360" w:lineRule="auto"/>
        <w:ind w:firstLineChars="0"/>
        <w:rPr>
          <w:rFonts w:cs="华文宋体" w:asciiTheme="minorEastAsia" w:hAnsiTheme="minorEastAsia" w:eastAsiaTheme="minorEastAsia"/>
          <w:color w:val="000000" w:themeColor="text1"/>
          <w:sz w:val="28"/>
          <w:szCs w:val="28"/>
          <w14:textFill>
            <w14:solidFill>
              <w14:schemeClr w14:val="tx1"/>
            </w14:solidFill>
          </w14:textFill>
        </w:rPr>
      </w:pPr>
      <w:r>
        <w:rPr>
          <w:rFonts w:hint="eastAsia" w:cs="华文宋体" w:asciiTheme="minorEastAsia" w:hAnsiTheme="minorEastAsia" w:eastAsiaTheme="minorEastAsia"/>
          <w:color w:val="000000" w:themeColor="text1"/>
          <w:sz w:val="28"/>
          <w:szCs w:val="28"/>
          <w14:textFill>
            <w14:solidFill>
              <w14:schemeClr w14:val="tx1"/>
            </w14:solidFill>
          </w14:textFill>
        </w:rPr>
        <w:t>日志管理</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视频交互列表记录视频通话信息日志，可通过视频通话时间、视频通话状态、坐席工号等进行筛选，查看通话详细信息。</w:t>
      </w:r>
    </w:p>
    <w:p>
      <w:pPr>
        <w:pStyle w:val="89"/>
        <w:widowControl/>
        <w:numPr>
          <w:ilvl w:val="0"/>
          <w:numId w:val="15"/>
        </w:numPr>
        <w:spacing w:line="360" w:lineRule="auto"/>
        <w:ind w:firstLineChars="0"/>
        <w:rPr>
          <w:rFonts w:cs="华文宋体" w:asciiTheme="minorEastAsia" w:hAnsiTheme="minorEastAsia" w:eastAsiaTheme="minorEastAsia"/>
          <w:color w:val="000000" w:themeColor="text1"/>
          <w:sz w:val="28"/>
          <w:szCs w:val="28"/>
          <w14:textFill>
            <w14:solidFill>
              <w14:schemeClr w14:val="tx1"/>
            </w14:solidFill>
          </w14:textFill>
        </w:rPr>
      </w:pPr>
      <w:r>
        <w:rPr>
          <w:rFonts w:hint="eastAsia" w:cs="华文宋体" w:asciiTheme="minorEastAsia" w:hAnsiTheme="minorEastAsia" w:eastAsiaTheme="minorEastAsia"/>
          <w:color w:val="000000" w:themeColor="text1"/>
          <w:sz w:val="28"/>
          <w:szCs w:val="28"/>
          <w14:textFill>
            <w14:solidFill>
              <w14:schemeClr w14:val="tx1"/>
            </w14:solidFill>
          </w14:textFill>
        </w:rPr>
        <w:t>统计分析</w:t>
      </w:r>
    </w:p>
    <w:p>
      <w:pPr>
        <w:spacing w:before="120"/>
        <w:ind w:firstLine="56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数据报表按照坐席维度、</w:t>
      </w:r>
      <w:r>
        <w:rPr>
          <w:rFonts w:hint="eastAsia" w:asciiTheme="minorEastAsia" w:hAnsiTheme="minorEastAsia" w:eastAsiaTheme="minorEastAsia"/>
          <w:color w:val="000000" w:themeColor="text1"/>
          <w14:textFill>
            <w14:solidFill>
              <w14:schemeClr w14:val="tx1"/>
            </w14:solidFill>
          </w14:textFill>
        </w:rPr>
        <w:t>视频交互</w:t>
      </w:r>
      <w:r>
        <w:rPr>
          <w:rFonts w:asciiTheme="minorEastAsia" w:hAnsiTheme="minorEastAsia" w:eastAsiaTheme="minorEastAsia"/>
          <w:color w:val="000000" w:themeColor="text1"/>
          <w14:textFill>
            <w14:solidFill>
              <w14:schemeClr w14:val="tx1"/>
            </w14:solidFill>
          </w14:textFill>
        </w:rPr>
        <w:t>维度分别展示了相关指标数据，</w:t>
      </w:r>
    </w:p>
    <w:p>
      <w:pPr>
        <w:spacing w:before="12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可进行如下统计分析：</w:t>
      </w:r>
    </w:p>
    <w:p>
      <w:pPr>
        <w:adjustRightInd w:val="0"/>
        <w:snapToGrid w:val="0"/>
        <w:spacing w:before="156" w:beforeLines="5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1、服务满意度。</w:t>
      </w:r>
    </w:p>
    <w:p>
      <w:pPr>
        <w:adjustRightInd w:val="0"/>
        <w:snapToGrid w:val="0"/>
        <w:spacing w:before="156" w:beforeLines="50"/>
        <w:ind w:firstLine="56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r>
        <w:rPr>
          <w:rFonts w:hint="eastAsia" w:asciiTheme="minorEastAsia" w:hAnsiTheme="minorEastAsia" w:eastAsiaTheme="minorEastAsia"/>
          <w:color w:val="000000" w:themeColor="text1"/>
          <w14:textFill>
            <w14:solidFill>
              <w14:schemeClr w14:val="tx1"/>
            </w14:solidFill>
          </w14:textFill>
        </w:rPr>
        <w:t>、视频通话时长。</w:t>
      </w:r>
    </w:p>
    <w:p>
      <w:pPr>
        <w:adjustRightInd w:val="0"/>
        <w:snapToGrid w:val="0"/>
        <w:spacing w:before="156" w:beforeLines="50"/>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3、视频完结情况。</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消息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2021年11月，工业和信息化部发布《「十四五」信息通信行业发展规划》（以下简称《规划》）。《规划》包括4大部分、26条发展重点、近3万字，描绘了信息通信行业的发展蓝图，是未来五年加快建设网络强国和数字中国、推进信息通信行业高质量发展、引导市场主体行为、配置政府公共资源的指导性文件。</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其中，坚持新发展理念和坚持系统观念的规划重点使得5G消息推广与全面部署势在必行。5</w:t>
      </w:r>
      <w:r>
        <w:rPr>
          <w:rFonts w:asciiTheme="minorEastAsia" w:hAnsiTheme="minorEastAsia" w:eastAsiaTheme="minorEastAsia"/>
          <w:color w:val="000000" w:themeColor="text1"/>
          <w:sz w:val="28"/>
          <w14:textFill>
            <w14:solidFill>
              <w14:schemeClr w14:val="tx1"/>
            </w14:solidFill>
          </w14:textFill>
        </w:rPr>
        <w:t>G</w:t>
      </w:r>
      <w:r>
        <w:rPr>
          <w:rFonts w:hint="eastAsia" w:asciiTheme="minorEastAsia" w:hAnsiTheme="minorEastAsia" w:eastAsiaTheme="minorEastAsia"/>
          <w:color w:val="000000" w:themeColor="text1"/>
          <w:sz w:val="28"/>
          <w14:textFill>
            <w14:solidFill>
              <w14:schemeClr w14:val="tx1"/>
            </w14:solidFill>
          </w14:textFill>
        </w:rPr>
        <w:t>消息也进一步凸显了信息通信行业为战略性、基础性和先导性行业的功能和定位，同时也进一步强化了坚持新发展理念、坚持系统观念方面的有关要求。</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1 </w:t>
      </w: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消息介绍</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2020年4月8日，中国移动、中国电信、中国联通联合发布《5G消息白皮书》，宣布共同启动5G消息业务。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5G消息将带来全新的人机交互模式，构建起一种全新的信息服务入口：</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1、用户无需下载任何客户端，在手机等终端的原生消息入口即可接收5G消息；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2</w:t>
      </w:r>
      <w:r>
        <w:rPr>
          <w:rFonts w:hint="eastAsia" w:asciiTheme="minorEastAsia" w:hAnsiTheme="minorEastAsia" w:eastAsiaTheme="minorEastAsia"/>
          <w:color w:val="000000" w:themeColor="text1"/>
          <w:sz w:val="28"/>
          <w14:textFill>
            <w14:solidFill>
              <w14:schemeClr w14:val="tx1"/>
            </w14:solidFill>
          </w14:textFill>
        </w:rPr>
        <w:t>、无需链接至任何网页即可支持包括文本、图片、音视频在内的内容形式，用户在消息本身的界面窗口就能完成搜索发现、内容交互、充值缴费等一系列体验。</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同时，终端同声：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华为、中兴分别表示，将与运营商共同做大5G消息市场，推动5G消息成为最快落地的5G+业务应用；小米承诺将积极推动5G消息产品商用，后续所有5G机型都将支持5G消息；三星则透露正基于运营商最新规范开发5G消息业务，计划今年内对5G手机实现全面支持。</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5G消息，是首个5G行业应用的重要方面，也是提升政务服务、增加市民信访体验、扩大政府信息宣传能力的重要工具。</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5G消息，将包括邮件、短信、通知、提醒、即时消息等消息类统一入口，融合政务服务，改变市民使用习惯，便捷高效地进行信访业务办理。</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255010"/>
            <wp:effectExtent l="0" t="0" r="254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5"/>
                    <a:stretch>
                      <a:fillRect/>
                    </a:stretch>
                  </pic:blipFill>
                  <pic:spPr>
                    <a:xfrm>
                      <a:off x="0" y="0"/>
                      <a:ext cx="6188710" cy="3255010"/>
                    </a:xfrm>
                    <a:prstGeom prst="rect">
                      <a:avLst/>
                    </a:prstGeom>
                  </pic:spPr>
                </pic:pic>
              </a:graphicData>
            </a:graphic>
          </wp:inline>
        </w:drawing>
      </w:r>
    </w:p>
    <w:p>
      <w:pPr>
        <w:pStyle w:val="115"/>
        <w:ind w:firstLine="198" w:firstLineChars="71"/>
        <w:jc w:val="center"/>
        <w:rPr>
          <w:rFonts w:hint="default" w:asciiTheme="minorEastAsia" w:hAnsiTheme="minorEastAsia" w:eastAsiaTheme="minorEastAsia"/>
          <w:color w:val="000000" w:themeColor="text1"/>
          <w:kern w:val="2"/>
          <w14:textFill>
            <w14:solidFill>
              <w14:schemeClr w14:val="tx1"/>
            </w14:solidFill>
          </w14:textFill>
        </w:rPr>
      </w:pPr>
      <w:r>
        <w:rPr>
          <w:rFonts w:hint="default" w:asciiTheme="minorEastAsia" w:hAnsiTheme="minorEastAsia" w:eastAsiaTheme="minorEastAsia"/>
          <w:color w:val="000000" w:themeColor="text1"/>
          <w:kern w:val="2"/>
          <w:lang w:eastAsia="zh-Hans"/>
          <w14:textFill>
            <w14:solidFill>
              <w14:schemeClr w14:val="tx1"/>
            </w14:solidFill>
          </w14:textFill>
        </w:rPr>
        <w:t>图</w:t>
      </w:r>
      <w:r>
        <w:rPr>
          <w:rFonts w:hint="default" w:asciiTheme="minorEastAsia" w:hAnsiTheme="minorEastAsia" w:eastAsiaTheme="minorEastAsia"/>
          <w:color w:val="000000" w:themeColor="text1"/>
          <w:kern w:val="2"/>
          <w14:textFill>
            <w14:solidFill>
              <w14:schemeClr w14:val="tx1"/>
            </w14:solidFill>
          </w14:textFill>
        </w:rPr>
        <w:t>：</w:t>
      </w:r>
      <w:r>
        <w:rPr>
          <w:rFonts w:asciiTheme="minorEastAsia" w:hAnsiTheme="minorEastAsia" w:eastAsiaTheme="minorEastAsia"/>
          <w:color w:val="000000" w:themeColor="text1"/>
          <w:kern w:val="2"/>
          <w14:textFill>
            <w14:solidFill>
              <w14:schemeClr w14:val="tx1"/>
            </w14:solidFill>
          </w14:textFill>
        </w:rPr>
        <w:t>5</w:t>
      </w:r>
      <w:r>
        <w:rPr>
          <w:rFonts w:hint="default" w:asciiTheme="minorEastAsia" w:hAnsiTheme="minorEastAsia" w:eastAsiaTheme="minorEastAsia"/>
          <w:color w:val="000000" w:themeColor="text1"/>
          <w:kern w:val="2"/>
          <w14:textFill>
            <w14:solidFill>
              <w14:schemeClr w14:val="tx1"/>
            </w14:solidFill>
          </w14:textFill>
        </w:rPr>
        <w:t>G</w:t>
      </w:r>
      <w:r>
        <w:rPr>
          <w:rFonts w:asciiTheme="minorEastAsia" w:hAnsiTheme="minorEastAsia" w:eastAsiaTheme="minorEastAsia"/>
          <w:color w:val="000000" w:themeColor="text1"/>
          <w:kern w:val="2"/>
          <w14:textFill>
            <w14:solidFill>
              <w14:schemeClr w14:val="tx1"/>
            </w14:solidFill>
          </w14:textFill>
        </w:rPr>
        <w:t>消息短信展现形式</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2 </w:t>
      </w: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消息基础功能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本次所建设的5</w:t>
      </w:r>
      <w:r>
        <w:rPr>
          <w:rFonts w:asciiTheme="minorEastAsia" w:hAnsiTheme="minorEastAsia" w:eastAsiaTheme="minorEastAsia"/>
          <w:color w:val="000000" w:themeColor="text1"/>
          <w:sz w:val="28"/>
          <w14:textFill>
            <w14:solidFill>
              <w14:schemeClr w14:val="tx1"/>
            </w14:solidFill>
          </w14:textFill>
        </w:rPr>
        <w:t>G</w:t>
      </w:r>
      <w:r>
        <w:rPr>
          <w:rFonts w:hint="eastAsia" w:asciiTheme="minorEastAsia" w:hAnsiTheme="minorEastAsia" w:eastAsiaTheme="minorEastAsia"/>
          <w:color w:val="000000" w:themeColor="text1"/>
          <w:sz w:val="28"/>
          <w14:textFill>
            <w14:solidFill>
              <w14:schemeClr w14:val="tx1"/>
            </w14:solidFill>
          </w14:textFill>
        </w:rPr>
        <w:t>消息模块将具备以下功能：</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消息发送</w:t>
      </w:r>
    </w:p>
    <w:p>
      <w:pPr>
        <w:spacing w:before="120"/>
        <w:ind w:firstLine="560" w:firstLineChars="200"/>
        <w:rPr>
          <w:rFonts w:cs="仿宋" w:asciiTheme="minorEastAsia" w:hAnsiTheme="minorEastAsia" w:eastAsiaTheme="minorEastAsia"/>
          <w:color w:val="000000" w:themeColor="text1"/>
          <w:szCs w:val="28"/>
          <w14:textFill>
            <w14:solidFill>
              <w14:schemeClr w14:val="tx1"/>
            </w14:solidFill>
          </w14:textFill>
        </w:rPr>
      </w:pPr>
      <w:r>
        <w:rPr>
          <w:rFonts w:hint="eastAsia" w:cs="仿宋" w:asciiTheme="minorEastAsia" w:hAnsiTheme="minorEastAsia" w:eastAsiaTheme="minorEastAsia"/>
          <w:color w:val="000000" w:themeColor="text1"/>
          <w:szCs w:val="28"/>
          <w14:textFill>
            <w14:solidFill>
              <w14:schemeClr w14:val="tx1"/>
            </w14:solidFill>
          </w14:textFill>
        </w:rPr>
        <w:t>完成与短信网关、短信运营商的短信交互，保证相关处理信息能发送给对应市民，主要包括信息接收和信息发布功能。</w:t>
      </w:r>
    </w:p>
    <w:p>
      <w:pPr>
        <w:pStyle w:val="14"/>
        <w:ind w:firstLine="560" w:firstLineChars="200"/>
        <w:rPr>
          <w:rFonts w:asciiTheme="minorEastAsia" w:hAnsiTheme="minorEastAsia" w:eastAsiaTheme="minorEastAsia"/>
          <w:color w:val="000000" w:themeColor="text1"/>
          <w14:textFill>
            <w14:solidFill>
              <w14:schemeClr w14:val="tx1"/>
            </w14:solidFill>
          </w14:textFill>
        </w:rPr>
      </w:pPr>
      <w:r>
        <w:rPr>
          <w:rFonts w:hint="eastAsia" w:cs="仿宋" w:asciiTheme="minorEastAsia" w:hAnsiTheme="minorEastAsia" w:eastAsiaTheme="minorEastAsia"/>
          <w:color w:val="000000" w:themeColor="text1"/>
          <w:sz w:val="28"/>
          <w:szCs w:val="28"/>
          <w14:textFill>
            <w14:solidFill>
              <w14:schemeClr w14:val="tx1"/>
            </w14:solidFill>
          </w14:textFill>
        </w:rPr>
        <w:t>初步规划5G消息20万条,短信超出部分业主单位承担。</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智能回落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视终端支持情况，智能回落多种消息。</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单位实名</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继承电信业务的码号体系、消息发送时具有单位实名，保证政务消息传递安全性、权威性。</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富媒体消息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支持单卡片和多卡片样式，高清图片、音频、视频、位置、文件等富媒体内容，带来更高的点击率。</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消息菜单</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定制化的菜单按钮和底部、悬浮菜单，支持自定义H5，有效提升转换率。</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消息智能交互</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聊天式的智能交互，语音识别、语意识别、智能识图等AI能力加持，服务更便捷。</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精准推送</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根据用户画像信息，精准推送政策热点、问卷调查、业务情况等消息内容。</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3 </w:t>
      </w: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消息服务功能</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业务回访</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根据业务需求的具体情况，通过工单类型、单号等信息生成具体的业务回访模板，5G消息平台可以发送该回访问卷至用户手机端进行业务办理回访调查。</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满意度评价</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cs="仿宋" w:asciiTheme="minorEastAsia" w:hAnsiTheme="minorEastAsia" w:eastAsiaTheme="minorEastAsia"/>
          <w:color w:val="000000" w:themeColor="text1"/>
          <w:szCs w:val="28"/>
          <w14:textFill>
            <w14:solidFill>
              <w14:schemeClr w14:val="tx1"/>
            </w14:solidFill>
          </w14:textFill>
        </w:rPr>
        <w:t>根据业务需求的具体情况，通过工单类型、单号等信息生成具体的</w:t>
      </w:r>
      <w:r>
        <w:rPr>
          <w:rFonts w:hint="eastAsia" w:cs="仿宋" w:asciiTheme="minorEastAsia" w:hAnsiTheme="minorEastAsia" w:eastAsiaTheme="minorEastAsia"/>
          <w:color w:val="000000" w:themeColor="text1"/>
          <w:szCs w:val="28"/>
          <w14:textFill>
            <w14:solidFill>
              <w14:schemeClr w14:val="tx1"/>
            </w14:solidFill>
          </w14:textFill>
        </w:rPr>
        <w:t>满意度评价</w:t>
      </w:r>
      <w:r>
        <w:rPr>
          <w:rFonts w:cs="仿宋" w:asciiTheme="minorEastAsia" w:hAnsiTheme="minorEastAsia" w:eastAsiaTheme="minorEastAsia"/>
          <w:color w:val="000000" w:themeColor="text1"/>
          <w:szCs w:val="28"/>
          <w14:textFill>
            <w14:solidFill>
              <w14:schemeClr w14:val="tx1"/>
            </w14:solidFill>
          </w14:textFill>
        </w:rPr>
        <w:t>模板，评价内容包括12345</w:t>
      </w:r>
      <w:r>
        <w:rPr>
          <w:rFonts w:hint="eastAsia" w:cs="仿宋" w:asciiTheme="minorEastAsia" w:hAnsiTheme="minorEastAsia" w:eastAsiaTheme="minorEastAsia"/>
          <w:color w:val="000000" w:themeColor="text1"/>
          <w:szCs w:val="28"/>
          <w14:textFill>
            <w14:solidFill>
              <w14:schemeClr w14:val="tx1"/>
            </w14:solidFill>
          </w14:textFill>
        </w:rPr>
        <w:t>畅通程度、坐席业务熟练度、坐席服务规范性等，</w:t>
      </w:r>
      <w:r>
        <w:rPr>
          <w:rFonts w:asciiTheme="minorEastAsia" w:hAnsiTheme="minorEastAsia" w:eastAsiaTheme="minorEastAsia"/>
          <w:color w:val="000000" w:themeColor="text1"/>
          <w:szCs w:val="28"/>
          <w14:textFill>
            <w14:solidFill>
              <w14:schemeClr w14:val="tx1"/>
            </w14:solidFill>
          </w14:textFill>
        </w:rPr>
        <w:t>5G</w:t>
      </w:r>
      <w:r>
        <w:rPr>
          <w:rFonts w:hint="eastAsia" w:cs="仿宋" w:asciiTheme="minorEastAsia" w:hAnsiTheme="minorEastAsia" w:eastAsiaTheme="minorEastAsia"/>
          <w:color w:val="000000" w:themeColor="text1"/>
          <w:szCs w:val="28"/>
          <w14:textFill>
            <w14:solidFill>
              <w14:schemeClr w14:val="tx1"/>
            </w14:solidFill>
          </w14:textFill>
        </w:rPr>
        <w:t>消息平台可以发送该评价问卷至市民手机端进行满意度调查。</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问卷调查</w:t>
      </w:r>
    </w:p>
    <w:p>
      <w:pPr>
        <w:pStyle w:val="33"/>
        <w:widowControl/>
        <w:spacing w:before="120" w:beforeAutospacing="0"/>
        <w:ind w:firstLine="560"/>
        <w:rPr>
          <w:rFonts w:asciiTheme="minorEastAsia" w:hAnsiTheme="minorEastAsia" w:eastAsiaTheme="minorEastAsia"/>
          <w:color w:val="000000" w:themeColor="text1"/>
          <w14:textFill>
            <w14:solidFill>
              <w14:schemeClr w14:val="tx1"/>
            </w14:solidFill>
          </w14:textFill>
        </w:rPr>
      </w:pPr>
      <w:r>
        <w:rPr>
          <w:rFonts w:cs="仿宋" w:asciiTheme="minorEastAsia" w:hAnsiTheme="minorEastAsia" w:eastAsiaTheme="minorEastAsia"/>
          <w:color w:val="000000" w:themeColor="text1"/>
          <w:szCs w:val="28"/>
          <w14:textFill>
            <w14:solidFill>
              <w14:schemeClr w14:val="tx1"/>
            </w14:solidFill>
          </w14:textFill>
        </w:rPr>
        <w:t>根据业务需求的具体情况，通过工单类型、单号等信息生成具体的调查问卷模板，</w:t>
      </w:r>
      <w:r>
        <w:rPr>
          <w:rFonts w:hint="eastAsia" w:cs="仿宋" w:asciiTheme="minorEastAsia" w:hAnsiTheme="minorEastAsia" w:eastAsiaTheme="minorEastAsia"/>
          <w:color w:val="000000" w:themeColor="text1"/>
          <w:szCs w:val="28"/>
          <w14:textFill>
            <w14:solidFill>
              <w14:schemeClr w14:val="tx1"/>
            </w14:solidFill>
          </w14:textFill>
        </w:rPr>
        <w:t>5G消息平台可以发送该问卷至市民手机端进行问卷调查。</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精准推送</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根据用户画像信息，精准推送政策热点、问卷调查、业务情况等消息内容。</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4.1.2.2.4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4 </w:t>
      </w: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消息管理功能</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发送名录</w:t>
      </w:r>
    </w:p>
    <w:p>
      <w:pPr>
        <w:pStyle w:val="33"/>
        <w:widowControl/>
        <w:spacing w:before="120" w:beforeAutospacing="0"/>
        <w:ind w:firstLine="560"/>
        <w:rPr>
          <w:rFonts w:asciiTheme="minorEastAsia" w:hAnsiTheme="minorEastAsia" w:eastAsiaTheme="minorEastAsia"/>
          <w:color w:val="000000" w:themeColor="text1"/>
          <w14:textFill>
            <w14:solidFill>
              <w14:schemeClr w14:val="tx1"/>
            </w14:solidFill>
          </w14:textFill>
        </w:rPr>
      </w:pPr>
      <w:r>
        <w:rPr>
          <w:rFonts w:cs="仿宋" w:asciiTheme="minorEastAsia" w:hAnsiTheme="minorEastAsia" w:eastAsiaTheme="minorEastAsia"/>
          <w:color w:val="000000" w:themeColor="text1"/>
          <w:szCs w:val="28"/>
          <w14:textFill>
            <w14:solidFill>
              <w14:schemeClr w14:val="tx1"/>
            </w14:solidFill>
          </w14:textFill>
        </w:rPr>
        <w:t>对</w:t>
      </w:r>
      <w:r>
        <w:rPr>
          <w:rFonts w:hint="eastAsia" w:cs="仿宋" w:asciiTheme="minorEastAsia" w:hAnsiTheme="minorEastAsia" w:eastAsiaTheme="minorEastAsia"/>
          <w:color w:val="000000" w:themeColor="text1"/>
          <w:szCs w:val="28"/>
          <w14:textFill>
            <w14:solidFill>
              <w14:schemeClr w14:val="tx1"/>
            </w14:solidFill>
          </w14:textFill>
        </w:rPr>
        <w:t>5G消息接收的群众信息进行管理。</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模板管理</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消息视频、文本、菜单进行管理审核。</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发送日志</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cs="仿宋" w:asciiTheme="minorEastAsia" w:hAnsiTheme="minorEastAsia" w:eastAsiaTheme="minorEastAsia"/>
          <w:color w:val="000000" w:themeColor="text1"/>
          <w:szCs w:val="28"/>
          <w14:textFill>
            <w14:solidFill>
              <w14:schemeClr w14:val="tx1"/>
            </w14:solidFill>
          </w14:textFill>
        </w:rPr>
        <w:t>用于查询短信发送日志，并对日志进行相应管理操作。</w:t>
      </w:r>
    </w:p>
    <w:p>
      <w:pPr>
        <w:pStyle w:val="14"/>
        <w:numPr>
          <w:ilvl w:val="0"/>
          <w:numId w:val="15"/>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统计分析</w:t>
      </w:r>
    </w:p>
    <w:p>
      <w:pPr>
        <w:pStyle w:val="98"/>
        <w:spacing w:before="156"/>
        <w:ind w:firstLine="560"/>
        <w:rPr>
          <w:rFonts w:cs="仿宋" w:asciiTheme="minorEastAsia" w:hAnsiTheme="minorEastAsia" w:eastAsiaTheme="minorEastAsia"/>
          <w:color w:val="000000" w:themeColor="text1"/>
          <w:szCs w:val="28"/>
          <w14:textFill>
            <w14:solidFill>
              <w14:schemeClr w14:val="tx1"/>
            </w14:solidFill>
          </w14:textFill>
        </w:rPr>
      </w:pPr>
      <w:r>
        <w:rPr>
          <w:rFonts w:cs="仿宋" w:asciiTheme="minorEastAsia" w:hAnsiTheme="minorEastAsia" w:eastAsiaTheme="minorEastAsia"/>
          <w:color w:val="000000" w:themeColor="text1"/>
          <w:szCs w:val="28"/>
          <w14:textFill>
            <w14:solidFill>
              <w14:schemeClr w14:val="tx1"/>
            </w14:solidFill>
          </w14:textFill>
        </w:rPr>
        <w:t>统计分析功能用于统计平台</w:t>
      </w:r>
      <w:r>
        <w:rPr>
          <w:rFonts w:hint="eastAsia" w:cs="仿宋" w:asciiTheme="minorEastAsia" w:hAnsiTheme="minorEastAsia" w:eastAsiaTheme="minorEastAsia"/>
          <w:color w:val="000000" w:themeColor="text1"/>
          <w:szCs w:val="28"/>
          <w14:textFill>
            <w14:solidFill>
              <w14:schemeClr w14:val="tx1"/>
            </w14:solidFill>
          </w14:textFill>
        </w:rPr>
        <w:t>5G消息的收发情况，主要包括信息发送的类别、数量、时间和接收人等相关信息统计查询。</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遵循的协议和标准</w:t>
      </w:r>
    </w:p>
    <w:tbl>
      <w:tblPr>
        <w:tblStyle w:val="38"/>
        <w:tblpPr w:leftFromText="180" w:rightFromText="180" w:vertAnchor="text" w:horzAnchor="margin" w:tblpXSpec="center" w:tblpY="-28"/>
        <w:tblW w:w="793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8"/>
        <w:gridCol w:w="643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auto" w:sz="6" w:space="0"/>
              <w:bottom w:val="single" w:color="000000" w:sz="6" w:space="0"/>
              <w:right w:val="single" w:color="000000" w:sz="6" w:space="0"/>
            </w:tcBorders>
            <w:shd w:val="clear" w:color="auto" w:fill="D9D9D9"/>
          </w:tcPr>
          <w:p>
            <w:pPr>
              <w:pStyle w:val="168"/>
              <w:jc w:val="center"/>
              <w:rPr>
                <w:rFonts w:asciiTheme="minorEastAsia" w:hAnsiTheme="minorEastAsia" w:eastAsiaTheme="minorEastAsia"/>
                <w:b/>
                <w:bCs w:val="0"/>
                <w:color w:val="000000" w:themeColor="text1"/>
                <w:szCs w:val="28"/>
                <w14:textFill>
                  <w14:solidFill>
                    <w14:schemeClr w14:val="tx1"/>
                  </w14:solidFill>
                </w14:textFill>
              </w:rPr>
            </w:pPr>
            <w:r>
              <w:rPr>
                <w:rFonts w:hint="eastAsia" w:asciiTheme="minorEastAsia" w:hAnsiTheme="minorEastAsia" w:eastAsiaTheme="minorEastAsia"/>
                <w:b/>
                <w:color w:val="000000" w:themeColor="text1"/>
                <w:szCs w:val="28"/>
                <w14:textFill>
                  <w14:solidFill>
                    <w14:schemeClr w14:val="tx1"/>
                  </w14:solidFill>
                </w14:textFill>
              </w:rPr>
              <w:t>类型</w:t>
            </w:r>
          </w:p>
        </w:tc>
        <w:tc>
          <w:tcPr>
            <w:tcW w:w="6430" w:type="dxa"/>
            <w:tcBorders>
              <w:top w:val="single" w:color="000000" w:sz="6" w:space="0"/>
              <w:left w:val="nil"/>
              <w:bottom w:val="single" w:color="000000" w:sz="6" w:space="0"/>
              <w:right w:val="single" w:color="auto" w:sz="6" w:space="0"/>
            </w:tcBorders>
            <w:shd w:val="clear" w:color="auto" w:fill="D9D9D9"/>
          </w:tcPr>
          <w:p>
            <w:pPr>
              <w:pStyle w:val="168"/>
              <w:jc w:val="center"/>
              <w:rPr>
                <w:rFonts w:asciiTheme="minorEastAsia" w:hAnsiTheme="minorEastAsia" w:eastAsiaTheme="minorEastAsia"/>
                <w:b/>
                <w:bCs w:val="0"/>
                <w:color w:val="000000" w:themeColor="text1"/>
                <w:szCs w:val="28"/>
                <w14:textFill>
                  <w14:solidFill>
                    <w14:schemeClr w14:val="tx1"/>
                  </w14:solidFill>
                </w14:textFill>
              </w:rPr>
            </w:pPr>
            <w:r>
              <w:rPr>
                <w:rFonts w:hint="eastAsia" w:asciiTheme="minorEastAsia" w:hAnsiTheme="minorEastAsia" w:eastAsiaTheme="minorEastAsia"/>
                <w:b/>
                <w:color w:val="000000" w:themeColor="text1"/>
                <w:szCs w:val="28"/>
                <w14:textFill>
                  <w14:solidFill>
                    <w14:schemeClr w14:val="tx1"/>
                  </w14:solidFill>
                </w14:textFill>
              </w:rPr>
              <w:t>遵循的协议和标准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通信框架协议</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ITU-T H.323、</w:t>
            </w:r>
            <w:r>
              <w:rPr>
                <w:rFonts w:hint="eastAsia" w:cs="Times New Roman" w:asciiTheme="minorEastAsia" w:hAnsiTheme="minorEastAsia" w:eastAsiaTheme="minorEastAsia"/>
                <w:color w:val="000000" w:themeColor="text1"/>
                <w:sz w:val="28"/>
                <w:szCs w:val="28"/>
                <w14:textFill>
                  <w14:solidFill>
                    <w14:schemeClr w14:val="tx1"/>
                  </w14:solidFill>
                </w14:textFill>
              </w:rPr>
              <w:t>SIP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H.460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视频协议</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H.264、</w:t>
            </w:r>
            <w:r>
              <w:rPr>
                <w:rFonts w:hint="eastAsia" w:cs="Times New Roman" w:asciiTheme="minorEastAsia" w:hAnsiTheme="minorEastAsia" w:eastAsiaTheme="minorEastAsia"/>
                <w:color w:val="000000" w:themeColor="text1"/>
                <w:sz w:val="28"/>
                <w:szCs w:val="28"/>
                <w14:textFill>
                  <w14:solidFill>
                    <w14:schemeClr w14:val="tx1"/>
                  </w14:solidFill>
                </w14:textFill>
              </w:rPr>
              <w:t>H.264 HP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H.264 SVC</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H.263</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H.263+</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H.265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音频</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G.711、</w:t>
            </w:r>
            <w:r>
              <w:rPr>
                <w:rFonts w:hint="eastAsia" w:cs="Times New Roman" w:asciiTheme="minorEastAsia" w:hAnsiTheme="minorEastAsia" w:eastAsiaTheme="minorEastAsia"/>
                <w:color w:val="000000" w:themeColor="text1"/>
                <w:sz w:val="28"/>
                <w:szCs w:val="28"/>
                <w14:textFill>
                  <w14:solidFill>
                    <w14:schemeClr w14:val="tx1"/>
                  </w14:solidFill>
                </w14:textFill>
              </w:rPr>
              <w:t>G.719</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G.722</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G.722.1</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G.722.1C</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G.728</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G.729</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iLBC</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AAC_LD</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HWA_LD</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AAC_LC</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Opus</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数据会议</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数据会议</w:t>
            </w:r>
            <w:r>
              <w:rPr>
                <w:rFonts w:hint="eastAsia" w:cs="Times New Roman" w:asciiTheme="minorEastAsia" w:hAnsiTheme="minorEastAsia" w:eastAsiaTheme="minorEastAsia"/>
                <w:color w:val="000000" w:themeColor="text1"/>
                <w:sz w:val="28"/>
                <w:szCs w:val="28"/>
                <w14:textFill>
                  <w14:solidFill>
                    <w14:schemeClr w14:val="tx1"/>
                  </w14:solidFill>
                </w14:textFill>
              </w:rPr>
              <w:t>1.0/2.0/3.0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双流</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H.239、</w:t>
            </w:r>
            <w:r>
              <w:rPr>
                <w:rFonts w:hint="eastAsia" w:cs="Times New Roman" w:asciiTheme="minorEastAsia" w:hAnsiTheme="minorEastAsia" w:eastAsiaTheme="minorEastAsia"/>
                <w:color w:val="000000" w:themeColor="text1"/>
                <w:sz w:val="28"/>
                <w:szCs w:val="28"/>
                <w14:textFill>
                  <w14:solidFill>
                    <w14:schemeClr w14:val="tx1"/>
                  </w14:solidFill>
                </w14:textFill>
              </w:rPr>
              <w:t>BFCP</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传输</w:t>
            </w:r>
            <w:r>
              <w:rPr>
                <w:rFonts w:hint="eastAsia" w:cs="Times New Roman" w:asciiTheme="minorEastAsia" w:hAnsiTheme="minorEastAsia" w:eastAsiaTheme="minorEastAsia"/>
                <w:color w:val="000000" w:themeColor="text1"/>
                <w:sz w:val="28"/>
                <w:szCs w:val="28"/>
                <w14:textFill>
                  <w14:solidFill>
                    <w14:schemeClr w14:val="tx1"/>
                  </w14:solidFill>
                </w14:textFill>
              </w:rPr>
              <w:t>/</w:t>
            </w:r>
            <w:r>
              <w:rPr>
                <w:rFonts w:hint="eastAsia" w:asciiTheme="minorEastAsia" w:hAnsiTheme="minorEastAsia" w:eastAsiaTheme="minorEastAsia"/>
                <w:color w:val="000000" w:themeColor="text1"/>
                <w:sz w:val="28"/>
                <w:szCs w:val="28"/>
                <w14:textFill>
                  <w14:solidFill>
                    <w14:schemeClr w14:val="tx1"/>
                  </w14:solidFill>
                </w14:textFill>
              </w:rPr>
              <w:t>业务</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TCP/IP、</w:t>
            </w:r>
            <w:r>
              <w:rPr>
                <w:rFonts w:hint="eastAsia" w:cs="Times New Roman" w:asciiTheme="minorEastAsia" w:hAnsiTheme="minorEastAsia" w:eastAsiaTheme="minorEastAsia"/>
                <w:color w:val="000000" w:themeColor="text1"/>
                <w:sz w:val="28"/>
                <w:szCs w:val="28"/>
                <w14:textFill>
                  <w14:solidFill>
                    <w14:schemeClr w14:val="tx1"/>
                  </w14:solidFill>
                </w14:textFill>
              </w:rPr>
              <w:t>FTP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FTPS</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RTP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RTCP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HTTP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HTTPS</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SNMP V2/V3</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Telnet</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SSH</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SOAP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LDAP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DNS/DDNS</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加密</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H.235、</w:t>
            </w:r>
            <w:r>
              <w:rPr>
                <w:rFonts w:hint="eastAsia" w:cs="Times New Roman" w:asciiTheme="minorEastAsia" w:hAnsiTheme="minorEastAsia" w:eastAsiaTheme="minorEastAsia"/>
                <w:color w:val="000000" w:themeColor="text1"/>
                <w:sz w:val="28"/>
                <w:szCs w:val="28"/>
                <w14:textFill>
                  <w14:solidFill>
                    <w14:schemeClr w14:val="tx1"/>
                  </w14:solidFill>
                </w14:textFill>
              </w:rPr>
              <w:t>AES</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TLS/SRTP</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HTTPS</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HLS</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RTMPS</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508" w:type="dxa"/>
            <w:tcBorders>
              <w:top w:val="single" w:color="000000" w:sz="6" w:space="0"/>
              <w:left w:val="single" w:color="000000" w:sz="6" w:space="0"/>
              <w:bottom w:val="single" w:color="000000" w:sz="6" w:space="0"/>
              <w:right w:val="single" w:color="000000" w:sz="6" w:space="0"/>
            </w:tcBorders>
            <w:vAlign w:val="center"/>
          </w:tcPr>
          <w:p>
            <w:pPr>
              <w:pStyle w:val="17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视频分辨率</w:t>
            </w:r>
          </w:p>
        </w:tc>
        <w:tc>
          <w:tcPr>
            <w:tcW w:w="6430" w:type="dxa"/>
            <w:tcBorders>
              <w:top w:val="single" w:color="000000" w:sz="6" w:space="0"/>
              <w:left w:val="nil"/>
              <w:bottom w:val="single" w:color="000000" w:sz="6" w:space="0"/>
              <w:right w:val="single" w:color="000000" w:sz="6" w:space="0"/>
            </w:tcBorders>
          </w:tcPr>
          <w:p>
            <w:pPr>
              <w:pStyle w:val="17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1080P60、</w:t>
            </w:r>
            <w:r>
              <w:rPr>
                <w:rFonts w:hint="eastAsia" w:cs="Times New Roman" w:asciiTheme="minorEastAsia" w:hAnsiTheme="minorEastAsia" w:eastAsiaTheme="minorEastAsia"/>
                <w:color w:val="000000" w:themeColor="text1"/>
                <w:sz w:val="28"/>
                <w:szCs w:val="28"/>
                <w14:textFill>
                  <w14:solidFill>
                    <w14:schemeClr w14:val="tx1"/>
                  </w14:solidFill>
                </w14:textFill>
              </w:rPr>
              <w:t>1080P30</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720P30</w:t>
            </w:r>
            <w:r>
              <w:rPr>
                <w:rFonts w:hint="eastAsia" w:asciiTheme="minorEastAsia" w:hAnsiTheme="minorEastAsia" w:eastAsiaTheme="minorEastAsia"/>
                <w:color w:val="000000" w:themeColor="text1"/>
                <w:sz w:val="28"/>
                <w:szCs w:val="28"/>
                <w14:textFill>
                  <w14:solidFill>
                    <w14:schemeClr w14:val="tx1"/>
                  </w14:solidFill>
                </w14:textFill>
              </w:rPr>
              <w:t>、</w:t>
            </w:r>
            <w:r>
              <w:rPr>
                <w:rFonts w:hint="eastAsia" w:cs="Times New Roman" w:asciiTheme="minorEastAsia" w:hAnsiTheme="minorEastAsia" w:eastAsiaTheme="minorEastAsia"/>
                <w:color w:val="000000" w:themeColor="text1"/>
                <w:sz w:val="28"/>
                <w:szCs w:val="28"/>
                <w14:textFill>
                  <w14:solidFill>
                    <w14:schemeClr w14:val="tx1"/>
                  </w14:solidFill>
                </w14:textFill>
              </w:rPr>
              <w:t>4CIF</w:t>
            </w:r>
          </w:p>
        </w:tc>
      </w:tr>
    </w:tbl>
    <w:p>
      <w:pPr>
        <w:pStyle w:val="14"/>
        <w:ind w:firstLine="0"/>
        <w:rPr>
          <w:rFonts w:asciiTheme="minorEastAsia" w:hAnsiTheme="minorEastAsia" w:eastAsiaTheme="minorEastAsia"/>
          <w:color w:val="000000" w:themeColor="text1"/>
          <w14:textFill>
            <w14:solidFill>
              <w14:schemeClr w14:val="tx1"/>
            </w14:solidFill>
          </w14:textFill>
        </w:rPr>
      </w:pPr>
    </w:p>
    <w:p>
      <w:pPr>
        <w:pStyle w:val="6"/>
        <w:rPr>
          <w:rFonts w:asciiTheme="minorEastAsia" w:hAnsiTheme="minorEastAsia" w:eastAsiaTheme="minorEastAsia"/>
          <w:color w:val="000000" w:themeColor="text1"/>
          <w14:textFill>
            <w14:solidFill>
              <w14:schemeClr w14:val="tx1"/>
            </w14:solidFill>
          </w14:textFill>
        </w:rPr>
      </w:pPr>
      <w:bookmarkStart w:id="199" w:name="_Toc106118881"/>
      <w:r>
        <w:rPr>
          <w:rFonts w:hint="eastAsia" w:asciiTheme="minorEastAsia" w:hAnsiTheme="minorEastAsia" w:eastAsiaTheme="minorEastAsia"/>
          <w:color w:val="000000" w:themeColor="text1"/>
          <w14:textFill>
            <w14:solidFill>
              <w14:schemeClr w14:val="tx1"/>
            </w14:solidFill>
          </w14:textFill>
        </w:rPr>
        <w:t>与1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系统融合开发</w:t>
      </w:r>
      <w:bookmarkEnd w:id="199"/>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5G智慧联络中心与</w:t>
      </w:r>
      <w:r>
        <w:rPr>
          <w:rFonts w:asciiTheme="minorEastAsia" w:hAnsiTheme="minorEastAsia" w:eastAsiaTheme="minorEastAsia"/>
          <w:color w:val="000000" w:themeColor="text1"/>
          <w:sz w:val="28"/>
          <w14:textFill>
            <w14:solidFill>
              <w14:schemeClr w14:val="tx1"/>
            </w14:solidFill>
          </w14:textFill>
        </w:rPr>
        <w:t>12345</w:t>
      </w:r>
      <w:r>
        <w:rPr>
          <w:rFonts w:hint="eastAsia" w:asciiTheme="minorEastAsia" w:hAnsiTheme="minorEastAsia" w:eastAsiaTheme="minorEastAsia"/>
          <w:color w:val="000000" w:themeColor="text1"/>
          <w:sz w:val="28"/>
          <w14:textFill>
            <w14:solidFill>
              <w14:schemeClr w14:val="tx1"/>
            </w14:solidFill>
          </w14:textFill>
        </w:rPr>
        <w:t>热线深度融合，创新智能政务热线服务，将5G可视IVR、5G视频坐席、5G消息等产品与业务深度融合，结合政务服务热线话务流程、受理办理等业务场景进行功能设计，达到完美契合实际业务、丰富政务热线服务模式，提升政民互动体验的目的。同时，集成智能知识库、智能语音问答机器人、智能坐席辅助及智能外呼等智能化产品功能，将“人工+智能”的热线服务理念应用其中，进一步提高热线服务效率和质量，对外确保群众问题及时解答、电话服务优质高效，对内减负政务服务工作人员的压力、提升中心运营效能。</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I</w:t>
      </w:r>
      <w:r>
        <w:rPr>
          <w:rFonts w:asciiTheme="minorEastAsia" w:hAnsiTheme="minorEastAsia" w:eastAsiaTheme="minorEastAsia"/>
          <w:color w:val="000000" w:themeColor="text1"/>
          <w14:textFill>
            <w14:solidFill>
              <w14:schemeClr w14:val="tx1"/>
            </w14:solidFill>
          </w14:textFill>
        </w:rPr>
        <w:t>VR</w:t>
      </w:r>
      <w:r>
        <w:rPr>
          <w:rFonts w:hint="eastAsia" w:asciiTheme="minorEastAsia" w:hAnsiTheme="minorEastAsia" w:eastAsiaTheme="minorEastAsia"/>
          <w:color w:val="000000" w:themeColor="text1"/>
          <w14:textFill>
            <w14:solidFill>
              <w14:schemeClr w14:val="tx1"/>
            </w14:solidFill>
          </w14:textFill>
        </w:rPr>
        <w:t>集成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语音IVR的基础上增加视频能力，视频IVR支持将业务选项展示在视频中，将可视化IVR系统与原有语音IVR系统进行集成，对IVR流程进行规划设计，实现IVR流程切换过程的平滑过渡。在话务开启阶段，对来电人方是否支持可视化IVR进行智能判定：</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来电人方支持可视化</w:t>
      </w:r>
      <w:r>
        <w:rPr>
          <w:rFonts w:asciiTheme="minorEastAsia" w:hAnsiTheme="minorEastAsia" w:eastAsiaTheme="minorEastAsia"/>
          <w:color w:val="000000" w:themeColor="text1"/>
          <w:sz w:val="28"/>
          <w14:textFill>
            <w14:solidFill>
              <w14:schemeClr w14:val="tx1"/>
            </w14:solidFill>
          </w14:textFill>
        </w:rPr>
        <w:t>IVR</w:t>
      </w:r>
      <w:r>
        <w:rPr>
          <w:rFonts w:hint="eastAsia" w:asciiTheme="minorEastAsia" w:hAnsiTheme="minorEastAsia" w:eastAsiaTheme="minorEastAsia"/>
          <w:color w:val="000000" w:themeColor="text1"/>
          <w:sz w:val="28"/>
          <w14:textFill>
            <w14:solidFill>
              <w14:schemeClr w14:val="tx1"/>
            </w14:solidFill>
          </w14:textFill>
        </w:rPr>
        <w:t>的情况下，自动接入可视化</w:t>
      </w:r>
      <w:r>
        <w:rPr>
          <w:rFonts w:asciiTheme="minorEastAsia" w:hAnsiTheme="minorEastAsia" w:eastAsiaTheme="minorEastAsia"/>
          <w:color w:val="000000" w:themeColor="text1"/>
          <w:sz w:val="28"/>
          <w14:textFill>
            <w14:solidFill>
              <w14:schemeClr w14:val="tx1"/>
            </w14:solidFill>
          </w14:textFill>
        </w:rPr>
        <w:t>IVR</w:t>
      </w:r>
      <w:r>
        <w:rPr>
          <w:rFonts w:hint="eastAsia" w:asciiTheme="minorEastAsia" w:hAnsiTheme="minorEastAsia" w:eastAsiaTheme="minorEastAsia"/>
          <w:color w:val="000000" w:themeColor="text1"/>
          <w:sz w:val="28"/>
          <w14:textFill>
            <w14:solidFill>
              <w14:schemeClr w14:val="tx1"/>
            </w14:solidFill>
          </w14:textFill>
        </w:rPr>
        <w:t>流程；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来电人方不支持可视化</w:t>
      </w:r>
      <w:r>
        <w:rPr>
          <w:rFonts w:asciiTheme="minorEastAsia" w:hAnsiTheme="minorEastAsia" w:eastAsiaTheme="minorEastAsia"/>
          <w:color w:val="000000" w:themeColor="text1"/>
          <w:sz w:val="28"/>
          <w14:textFill>
            <w14:solidFill>
              <w14:schemeClr w14:val="tx1"/>
            </w14:solidFill>
          </w14:textFill>
        </w:rPr>
        <w:t>IVR</w:t>
      </w:r>
      <w:r>
        <w:rPr>
          <w:rFonts w:hint="eastAsia" w:asciiTheme="minorEastAsia" w:hAnsiTheme="minorEastAsia" w:eastAsiaTheme="minorEastAsia"/>
          <w:color w:val="000000" w:themeColor="text1"/>
          <w:sz w:val="28"/>
          <w14:textFill>
            <w14:solidFill>
              <w14:schemeClr w14:val="tx1"/>
            </w14:solidFill>
          </w14:textFill>
        </w:rPr>
        <w:t>的情况下，自动接入原有语音</w:t>
      </w:r>
      <w:r>
        <w:rPr>
          <w:rFonts w:asciiTheme="minorEastAsia" w:hAnsiTheme="minorEastAsia" w:eastAsiaTheme="minorEastAsia"/>
          <w:color w:val="000000" w:themeColor="text1"/>
          <w:sz w:val="28"/>
          <w14:textFill>
            <w14:solidFill>
              <w14:schemeClr w14:val="tx1"/>
            </w14:solidFill>
          </w14:textFill>
        </w:rPr>
        <w:t>IVR</w:t>
      </w:r>
      <w:r>
        <w:rPr>
          <w:rFonts w:hint="eastAsia" w:asciiTheme="minorEastAsia" w:hAnsiTheme="minorEastAsia" w:eastAsiaTheme="minorEastAsia"/>
          <w:color w:val="000000" w:themeColor="text1"/>
          <w:sz w:val="28"/>
          <w14:textFill>
            <w14:solidFill>
              <w14:schemeClr w14:val="tx1"/>
            </w14:solidFill>
          </w14:textFill>
        </w:rPr>
        <w:t>流程；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可以有效避免用户漏听、错听、反复听，提升用户体验，规避传统语音IVR需要用户听完整段语音、获取到有效信息耗时长、业务选项复杂等问题。</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bookmarkStart w:id="200" w:name="_Toc95315559"/>
      <w:r>
        <w:rPr>
          <w:rFonts w:hint="eastAsia" w:asciiTheme="minorEastAsia" w:hAnsiTheme="minorEastAsia" w:eastAsiaTheme="minorEastAsia"/>
          <w:color w:val="000000" w:themeColor="text1"/>
          <w14:textFill>
            <w14:solidFill>
              <w14:schemeClr w14:val="tx1"/>
            </w14:solidFill>
          </w14:textFill>
        </w:rPr>
        <w:t>业务系统集成</w:t>
      </w:r>
      <w:bookmarkEnd w:id="200"/>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传统语音坐席系统的基础上，结合5G技术提供5G视频坐席平台的集成建设功能，实现语音坐席与视频坐席平滑切换，主要功能包含IVR、IVVR、软电话、接续、坐席签入签出、统一调度、视频采集、视频传输、视频通话、视频录像及视频回放等核心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G视频坐席与业务系统的集成，有力夯实热线系统基础功能，通过可视化的技术手段，为实操类业务咨询精准定位问题，准确解答提供保障，极大程度提高实操类咨询问题的沟通效率。坐席人员通过共享市民操作界面，快速精准的定位问题焦点，实现工作人员与市民可视连线、多部门远程线上协同、情况实时了解、人机协同及经验共享，最大限度减少群众跑腿次数，快速解决群众难题。</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bookmarkStart w:id="201" w:name="_Toc95315560"/>
      <w:r>
        <w:rPr>
          <w:rFonts w:hint="eastAsia" w:asciiTheme="minorEastAsia" w:hAnsiTheme="minorEastAsia" w:eastAsiaTheme="minorEastAsia"/>
          <w:color w:val="000000" w:themeColor="text1"/>
          <w14:textFill>
            <w14:solidFill>
              <w14:schemeClr w14:val="tx1"/>
            </w14:solidFill>
          </w14:textFill>
        </w:rPr>
        <w:t>知识库集成</w:t>
      </w:r>
      <w:bookmarkEnd w:id="201"/>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5G智慧联络中心与原有知识库系统进行集成，在各产品场景使用过程中可统一调用知识库内知识作为应用支撑，多渠道受理市民需求的同时，保证对外口径的统一化、标准化。</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bookmarkStart w:id="202" w:name="_Toc95315561"/>
      <w:r>
        <w:rPr>
          <w:rFonts w:hint="eastAsia" w:asciiTheme="minorEastAsia" w:hAnsiTheme="minorEastAsia" w:eastAsiaTheme="minorEastAsia"/>
          <w:color w:val="000000" w:themeColor="text1"/>
          <w14:textFill>
            <w14:solidFill>
              <w14:schemeClr w14:val="tx1"/>
            </w14:solidFill>
          </w14:textFill>
        </w:rPr>
        <w:t>智能化集成</w:t>
      </w:r>
      <w:bookmarkEnd w:id="202"/>
    </w:p>
    <w:p>
      <w:pPr>
        <w:pStyle w:val="98"/>
        <w:numPr>
          <w:ilvl w:val="0"/>
          <w:numId w:val="17"/>
        </w:numPr>
        <w:spacing w:before="156"/>
        <w:ind w:firstLineChars="0"/>
        <w:rPr>
          <w:rFonts w:asciiTheme="minorEastAsia" w:hAnsiTheme="minorEastAsia" w:eastAsiaTheme="minorEastAsia"/>
          <w:color w:val="000000" w:themeColor="text1"/>
          <w14:textFill>
            <w14:solidFill>
              <w14:schemeClr w14:val="tx1"/>
            </w14:solidFill>
          </w14:textFill>
        </w:rPr>
      </w:pPr>
      <w:bookmarkStart w:id="203" w:name="_Toc95315562"/>
      <w:r>
        <w:rPr>
          <w:rFonts w:hint="eastAsia" w:asciiTheme="minorEastAsia" w:hAnsiTheme="minorEastAsia" w:eastAsiaTheme="minorEastAsia"/>
          <w:color w:val="000000" w:themeColor="text1"/>
          <w14:textFill>
            <w14:solidFill>
              <w14:schemeClr w14:val="tx1"/>
            </w14:solidFill>
          </w14:textFill>
        </w:rPr>
        <w:t>智能语音问答机器人</w:t>
      </w:r>
      <w:bookmarkEnd w:id="203"/>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G智慧联络中心与智能语音问答机器人集成，针对热线话务各环节，植入智能语音问答技术，建设全链路智能语音服务，将智能语音问答机器人视频化、菜单可视化、问答过程文字化，从根本上降低坐席压力，提升服务效率。</w:t>
      </w:r>
      <w:bookmarkStart w:id="204" w:name="_Toc95315563"/>
    </w:p>
    <w:p>
      <w:pPr>
        <w:pStyle w:val="98"/>
        <w:numPr>
          <w:ilvl w:val="0"/>
          <w:numId w:val="17"/>
        </w:numPr>
        <w:spacing w:before="156"/>
        <w:ind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智能坐席辅助</w:t>
      </w:r>
      <w:bookmarkEnd w:id="204"/>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G智慧联络中心与智能坐席辅助集成，为坐席提供便捷的辅助功能，协助进行日常工作的完成，与业务深度融合，结合业务场景、完美契合业务，对业务进行强有力的协助。实现语音、5G视频话务坐席的统一智能坐席工作界面，在对话过程中通过人工智能的辅助，极大提高坐席人员服务效率和业务水平，降低坐席人员的业务门槛，实时检测坐席人员的服务质量，从根本上提升热线中心的服务效能</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与4</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网络的兼容性设计</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5G组网模式介绍——SA与NSA</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SA和NSA是全球最通用的两种5G组网模式。</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SA是 Standaloner的缩写，是一种5G组网模式，意为“独立组网”即一个核心网配一种基站。可以理解为从核心网到基站均使用5G技术，低延时体验更佳。SA“独立组网模式”图例说明如下所示：</w:t>
      </w:r>
    </w:p>
    <w:p>
      <w:pPr>
        <w:pStyle w:val="98"/>
        <w:spacing w:before="156"/>
        <w:ind w:firstLine="0" w:firstLineChars="0"/>
        <w:jc w:val="center"/>
        <w:rPr>
          <w:rFonts w:asciiTheme="minorEastAsia" w:hAnsiTheme="minorEastAsia" w:eastAsiaTheme="minorEastAsia"/>
          <w:color w:val="000000" w:themeColor="text1"/>
          <w14:textFill>
            <w14:solidFill>
              <w14:schemeClr w14:val="tx1"/>
            </w14:solidFill>
          </w14:textFill>
        </w:rPr>
      </w:pPr>
      <w:r>
        <w:drawing>
          <wp:inline distT="0" distB="0" distL="0" distR="0">
            <wp:extent cx="2590800" cy="436245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6"/>
                    <a:stretch>
                      <a:fillRect/>
                    </a:stretch>
                  </pic:blipFill>
                  <pic:spPr>
                    <a:xfrm>
                      <a:off x="0" y="0"/>
                      <a:ext cx="2590800" cy="4362450"/>
                    </a:xfrm>
                    <a:prstGeom prst="rect">
                      <a:avLst/>
                    </a:prstGeom>
                  </pic:spPr>
                </pic:pic>
              </a:graphicData>
            </a:graphic>
          </wp:inline>
        </w:drawing>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NSA是5G组网模式之一，也叫做“非独立组网” NSA是一对多的组网模式，即一个核心网带两种基站。5G组网安置在4G基础设施中，基站侧4G基站和5G基站共存。可以理解为保持4G核心网不变，通过将基站变更为5G基站来实现5G网络。NSA“非独立组网模式”图例说明如下所示：</w:t>
      </w:r>
    </w:p>
    <w:p>
      <w:pPr>
        <w:pStyle w:val="98"/>
        <w:spacing w:before="156"/>
        <w:ind w:firstLine="0" w:firstLineChars="0"/>
        <w:jc w:val="center"/>
        <w:rPr>
          <w:rFonts w:asciiTheme="minorEastAsia" w:hAnsiTheme="minorEastAsia" w:eastAsiaTheme="minorEastAsia"/>
          <w:color w:val="000000" w:themeColor="text1"/>
          <w14:textFill>
            <w14:solidFill>
              <w14:schemeClr w14:val="tx1"/>
            </w14:solidFill>
          </w14:textFill>
        </w:rPr>
      </w:pPr>
      <w:r>
        <w:drawing>
          <wp:inline distT="0" distB="0" distL="0" distR="0">
            <wp:extent cx="2514600" cy="4429125"/>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7"/>
                    <a:stretch>
                      <a:fillRect/>
                    </a:stretch>
                  </pic:blipFill>
                  <pic:spPr>
                    <a:xfrm>
                      <a:off x="0" y="0"/>
                      <a:ext cx="2514600" cy="4429125"/>
                    </a:xfrm>
                    <a:prstGeom prst="rect">
                      <a:avLst/>
                    </a:prstGeom>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5G</w:t>
      </w:r>
      <w:r>
        <w:rPr>
          <w:rFonts w:hint="eastAsia" w:asciiTheme="minorEastAsia" w:hAnsiTheme="minorEastAsia" w:eastAsiaTheme="minorEastAsia"/>
          <w:color w:val="000000" w:themeColor="text1"/>
          <w14:textFill>
            <w14:solidFill>
              <w14:schemeClr w14:val="tx1"/>
            </w14:solidFill>
          </w14:textFill>
        </w:rPr>
        <w:t>与</w:t>
      </w:r>
      <w:r>
        <w:rPr>
          <w:rFonts w:asciiTheme="minorEastAsia" w:hAnsiTheme="minorEastAsia" w:eastAsiaTheme="minorEastAsia"/>
          <w:color w:val="000000" w:themeColor="text1"/>
          <w14:textFill>
            <w14:solidFill>
              <w14:schemeClr w14:val="tx1"/>
            </w14:solidFill>
          </w14:textFill>
        </w:rPr>
        <w:t>4G</w:t>
      </w:r>
      <w:r>
        <w:rPr>
          <w:rFonts w:hint="eastAsia" w:asciiTheme="minorEastAsia" w:hAnsiTheme="minorEastAsia" w:eastAsiaTheme="minorEastAsia"/>
          <w:color w:val="000000" w:themeColor="text1"/>
          <w14:textFill>
            <w14:solidFill>
              <w14:schemeClr w14:val="tx1"/>
            </w14:solidFill>
          </w14:textFill>
        </w:rPr>
        <w:t>网络兼容性介绍</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如上所示，NSA采用双连接方式。而SA模式下，5G NR直接接入5G核心网（NG Core），它不再依赖4G，是完整独立的5G网络。</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对比以上架构，NSA和SA主要存在三大区别：</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1）NSA没有5G核心网，SA有5G核心网，这是一个关键区别。</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2）在NSA组网下，5G与4G在接入网级互通，互连复杂；在SA组网下，5G网络独立于4G网络，5G与4G仅在核心网级互通，互连简单。</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3）NSA与SA理论速率对比：SA模式下行速率略高于NSA模式，上行方面SA模式优势更加明显。如下所示：</w:t>
      </w:r>
    </w:p>
    <w:p>
      <w:pPr>
        <w:pStyle w:val="98"/>
        <w:spacing w:before="156"/>
        <w:ind w:firstLine="56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 xml:space="preserve"> </w:t>
      </w:r>
    </w:p>
    <w:p>
      <w:pPr>
        <w:pStyle w:val="98"/>
        <w:spacing w:before="0" w:beforeLines="0"/>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简单的讲，相比SA，NSA缺少了5G核心网，虽然速率会变慢，但在5G与4G互连上更具兼容性。</w:t>
      </w:r>
    </w:p>
    <w:p>
      <w:pPr>
        <w:pStyle w:val="98"/>
        <w:spacing w:before="0" w:beforeLines="0"/>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本项目将考虑5</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与4</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网络的兼容性，照顾目前使用较多的4</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中断，照顾4</w:t>
      </w:r>
      <w:r>
        <w:rPr>
          <w:rFonts w:asciiTheme="minorEastAsia" w:hAnsiTheme="minorEastAsia" w:eastAsiaTheme="minorEastAsia"/>
          <w:color w:val="000000" w:themeColor="text1"/>
          <w14:textFill>
            <w14:solidFill>
              <w14:schemeClr w14:val="tx1"/>
            </w14:solidFill>
          </w14:textFill>
        </w:rPr>
        <w:t>G</w:t>
      </w:r>
      <w:r>
        <w:rPr>
          <w:rFonts w:hint="eastAsia" w:asciiTheme="minorEastAsia" w:hAnsiTheme="minorEastAsia" w:eastAsiaTheme="minorEastAsia"/>
          <w:color w:val="000000" w:themeColor="text1"/>
          <w14:textFill>
            <w14:solidFill>
              <w14:schemeClr w14:val="tx1"/>
            </w14:solidFill>
          </w14:textFill>
        </w:rPr>
        <w:t>网络的普遍性，在NSA组网下，5G与4G满足接入网络互通。</w:t>
      </w:r>
    </w:p>
    <w:p>
      <w:pPr>
        <w:pStyle w:val="6"/>
        <w:rPr>
          <w:rFonts w:asciiTheme="minorEastAsia" w:hAnsiTheme="minorEastAsia" w:eastAsiaTheme="minorEastAsia"/>
          <w:color w:val="000000" w:themeColor="text1"/>
          <w14:textFill>
            <w14:solidFill>
              <w14:schemeClr w14:val="tx1"/>
            </w14:solidFill>
          </w14:textFill>
        </w:rPr>
      </w:pPr>
      <w:bookmarkStart w:id="205" w:name="_Toc106118882"/>
      <w:r>
        <w:rPr>
          <w:rFonts w:hint="eastAsia" w:asciiTheme="minorEastAsia" w:hAnsiTheme="minorEastAsia" w:eastAsiaTheme="minorEastAsia"/>
          <w:color w:val="000000" w:themeColor="text1"/>
          <w14:textFill>
            <w14:solidFill>
              <w14:schemeClr w14:val="tx1"/>
            </w14:solidFill>
          </w14:textFill>
        </w:rPr>
        <w:t>系统成效</w:t>
      </w:r>
      <w:bookmarkEnd w:id="205"/>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1、实现服务人民群众的全媒体全渠道服务能力 ,覆盖目前已知绝大部分常用渠道 ,实现任意时间,</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任意渠道,</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任意方式 ,人民群众都能跟1</w:t>
      </w:r>
      <w:r>
        <w:rPr>
          <w:rFonts w:asciiTheme="minorEastAsia" w:hAnsiTheme="minorEastAsia" w:eastAsiaTheme="minorEastAsia"/>
          <w:color w:val="000000" w:themeColor="text1"/>
          <w14:textFill>
            <w14:solidFill>
              <w14:schemeClr w14:val="tx1"/>
            </w14:solidFill>
          </w14:textFill>
        </w:rPr>
        <w:t>2345</w:t>
      </w:r>
      <w:r>
        <w:rPr>
          <w:rFonts w:hint="eastAsia" w:asciiTheme="minorEastAsia" w:hAnsiTheme="minorEastAsia" w:eastAsiaTheme="minorEastAsia"/>
          <w:color w:val="000000" w:themeColor="text1"/>
          <w14:textFill>
            <w14:solidFill>
              <w14:schemeClr w14:val="tx1"/>
            </w14:solidFill>
          </w14:textFill>
        </w:rPr>
        <w:t>客服联系上，提高人民群众服务满意度和感受。</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2、多样丰富的实时沟通方式，</w:t>
      </w:r>
      <w:r>
        <w:rPr>
          <w:rFonts w:asciiTheme="minorEastAsia" w:hAnsiTheme="minorEastAsia" w:eastAsiaTheme="minorEastAsia"/>
          <w:color w:val="000000" w:themeColor="text1"/>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G技术能实现以往传统通讯模式更多不能触及的角落 ,让客服能更高效的服务群众。</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3、优化集成调用现有人工智能能力应用未来将扩展智能客服辅助,智能培训等新人工智能应用 , 达到人协作覆盖服务全流程，深入到客服运营每个环节。</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r>
        <w:rPr>
          <w:rFonts w:hint="eastAsia" w:asciiTheme="minorEastAsia" w:hAnsiTheme="minorEastAsia" w:eastAsiaTheme="minorEastAsia"/>
          <w:color w:val="000000" w:themeColor="text1"/>
          <w14:textFill>
            <w14:solidFill>
              <w14:schemeClr w14:val="tx1"/>
            </w14:solidFill>
          </w14:textFill>
        </w:rPr>
        <w:t>、业务全局统一协作，实现群众入口统一，业务受理分配统一，信息反馈统一 ,数据管理统一，运营管理监控统一的全局统一协作。</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系统建设场景：</w:t>
      </w:r>
    </w:p>
    <w:p>
      <w:pPr>
        <w:jc w:val="center"/>
        <w:rPr>
          <w:rFonts w:asciiTheme="minorEastAsia" w:hAnsiTheme="minorEastAsia" w:eastAsiaTheme="minorEastAsia"/>
          <w:color w:val="000000" w:themeColor="text1"/>
          <w:sz w:val="24"/>
          <w14:textFill>
            <w14:solidFill>
              <w14:schemeClr w14:val="tx1"/>
            </w14:solidFill>
          </w14:textFill>
        </w:rPr>
      </w:pPr>
      <w:r>
        <w:rPr>
          <w:rFonts w:asciiTheme="minorEastAsia" w:hAnsiTheme="minorEastAsia" w:eastAsiaTheme="minorEastAsia"/>
          <w:color w:val="000000" w:themeColor="text1"/>
          <w:sz w:val="24"/>
          <w14:textFill>
            <w14:solidFill>
              <w14:schemeClr w14:val="tx1"/>
            </w14:solidFill>
          </w14:textFill>
        </w:rPr>
        <w:drawing>
          <wp:inline distT="0" distB="0" distL="0" distR="0">
            <wp:extent cx="2665095" cy="3286125"/>
            <wp:effectExtent l="0" t="0" r="190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8"/>
                    <a:stretch>
                      <a:fillRect/>
                    </a:stretch>
                  </pic:blipFill>
                  <pic:spPr>
                    <a:xfrm>
                      <a:off x="0" y="0"/>
                      <a:ext cx="2703924" cy="3333897"/>
                    </a:xfrm>
                    <a:prstGeom prst="rect">
                      <a:avLst/>
                    </a:prstGeom>
                  </pic:spPr>
                </pic:pic>
              </a:graphicData>
            </a:graphic>
          </wp:inline>
        </w:drawing>
      </w:r>
      <w:r>
        <w:rPr>
          <w:rFonts w:asciiTheme="minorEastAsia" w:hAnsiTheme="minorEastAsia" w:eastAsiaTheme="minorEastAsia"/>
          <w:color w:val="000000" w:themeColor="text1"/>
          <w:sz w:val="24"/>
          <w14:textFill>
            <w14:solidFill>
              <w14:schemeClr w14:val="tx1"/>
            </w14:solidFill>
          </w14:textFill>
        </w:rPr>
        <w:drawing>
          <wp:inline distT="0" distB="0" distL="0" distR="0">
            <wp:extent cx="2666365" cy="3293745"/>
            <wp:effectExtent l="0" t="0" r="635"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9"/>
                    <a:stretch>
                      <a:fillRect/>
                    </a:stretch>
                  </pic:blipFill>
                  <pic:spPr>
                    <a:xfrm>
                      <a:off x="0" y="0"/>
                      <a:ext cx="2712003" cy="3349778"/>
                    </a:xfrm>
                    <a:prstGeom prst="rect">
                      <a:avLst/>
                    </a:prstGeom>
                  </pic:spPr>
                </pic:pic>
              </a:graphicData>
            </a:graphic>
          </wp:inline>
        </w:drawing>
      </w:r>
    </w:p>
    <w:p>
      <w:pPr>
        <w:jc w:val="center"/>
        <w:rPr>
          <w:rFonts w:asciiTheme="minorEastAsia" w:hAnsiTheme="minorEastAsia" w:eastAsiaTheme="minorEastAsia"/>
          <w:color w:val="000000" w:themeColor="text1"/>
          <w:sz w:val="24"/>
          <w14:textFill>
            <w14:solidFill>
              <w14:schemeClr w14:val="tx1"/>
            </w14:solidFill>
          </w14:textFill>
        </w:rPr>
      </w:pPr>
      <w:r>
        <w:rPr>
          <w:rFonts w:asciiTheme="minorEastAsia" w:hAnsiTheme="minorEastAsia" w:eastAsiaTheme="minorEastAsia"/>
          <w:color w:val="000000" w:themeColor="text1"/>
          <w:sz w:val="24"/>
          <w14:textFill>
            <w14:solidFill>
              <w14:schemeClr w14:val="tx1"/>
            </w14:solidFill>
          </w14:textFill>
        </w:rPr>
        <w:drawing>
          <wp:inline distT="0" distB="0" distL="0" distR="0">
            <wp:extent cx="2793365" cy="3152140"/>
            <wp:effectExtent l="0" t="0" r="698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0"/>
                    <a:stretch>
                      <a:fillRect/>
                    </a:stretch>
                  </pic:blipFill>
                  <pic:spPr>
                    <a:xfrm>
                      <a:off x="0" y="0"/>
                      <a:ext cx="2798218" cy="3158184"/>
                    </a:xfrm>
                    <a:prstGeom prst="rect">
                      <a:avLst/>
                    </a:prstGeom>
                  </pic:spPr>
                </pic:pic>
              </a:graphicData>
            </a:graphic>
          </wp:inline>
        </w:drawing>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整体场景设计：</w:t>
      </w:r>
    </w:p>
    <w:p>
      <w:pPr>
        <w:rPr>
          <w:rFonts w:asciiTheme="minorEastAsia" w:hAnsiTheme="minorEastAsia" w:eastAsiaTheme="minorEastAsia"/>
          <w:color w:val="000000" w:themeColor="text1"/>
          <w:sz w:val="24"/>
          <w14:textFill>
            <w14:solidFill>
              <w14:schemeClr w14:val="tx1"/>
            </w14:solidFill>
          </w14:textFill>
        </w:rPr>
      </w:pPr>
      <w:r>
        <w:rPr>
          <w:rFonts w:asciiTheme="minorEastAsia" w:hAnsiTheme="minorEastAsia" w:eastAsiaTheme="minorEastAsia"/>
          <w:color w:val="000000" w:themeColor="text1"/>
          <w:sz w:val="24"/>
          <w14:textFill>
            <w14:solidFill>
              <w14:schemeClr w14:val="tx1"/>
            </w14:solidFill>
          </w14:textFill>
        </w:rPr>
        <w:drawing>
          <wp:inline distT="0" distB="0" distL="0" distR="0">
            <wp:extent cx="6170930" cy="3116580"/>
            <wp:effectExtent l="0" t="0" r="127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1"/>
                    <a:stretch>
                      <a:fillRect/>
                    </a:stretch>
                  </pic:blipFill>
                  <pic:spPr>
                    <a:xfrm>
                      <a:off x="0" y="0"/>
                      <a:ext cx="6191264" cy="3126985"/>
                    </a:xfrm>
                    <a:prstGeom prst="rect">
                      <a:avLst/>
                    </a:prstGeom>
                  </pic:spPr>
                </pic:pic>
              </a:graphicData>
            </a:graphic>
          </wp:inline>
        </w:drawing>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更多场景应用：</w:t>
      </w:r>
    </w:p>
    <w:p>
      <w:pPr>
        <w:ind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5G消息-用户无需安装APP, 老年人群体手机操作不熟也没关系, 通过短信即可办理相关业务。</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337810" cy="4206875"/>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2"/>
                    <a:stretch>
                      <a:fillRect/>
                    </a:stretch>
                  </pic:blipFill>
                  <pic:spPr>
                    <a:xfrm>
                      <a:off x="0" y="0"/>
                      <a:ext cx="5337810" cy="4206875"/>
                    </a:xfrm>
                    <a:prstGeom prst="rect">
                      <a:avLst/>
                    </a:prstGeom>
                  </pic:spPr>
                </pic:pic>
              </a:graphicData>
            </a:graphic>
          </wp:inline>
        </w:drawing>
      </w:r>
    </w:p>
    <w:p>
      <w:pPr>
        <w:pStyle w:val="14"/>
        <w:ind w:firstLine="560"/>
        <w:rPr>
          <w:rFonts w:asciiTheme="minorEastAsia" w:hAnsiTheme="minorEastAsia" w:eastAsiaTheme="minorEastAsia"/>
          <w:color w:val="000000" w:themeColor="text1"/>
          <w:sz w:val="28"/>
          <w:szCs w:val="24"/>
          <w14:textFill>
            <w14:solidFill>
              <w14:schemeClr w14:val="tx1"/>
            </w14:solidFill>
          </w14:textFill>
        </w:rPr>
      </w:pPr>
      <w:r>
        <w:rPr>
          <w:rFonts w:hint="eastAsia" w:asciiTheme="minorEastAsia" w:hAnsiTheme="minorEastAsia" w:eastAsiaTheme="minorEastAsia"/>
          <w:color w:val="000000" w:themeColor="text1"/>
          <w:sz w:val="28"/>
          <w:szCs w:val="24"/>
          <w14:textFill>
            <w14:solidFill>
              <w14:schemeClr w14:val="tx1"/>
            </w14:solidFill>
          </w14:textFill>
        </w:rPr>
        <w:t>通过5G</w:t>
      </w:r>
      <w:r>
        <w:rPr>
          <w:rFonts w:asciiTheme="minorEastAsia" w:hAnsiTheme="minorEastAsia" w:eastAsiaTheme="minorEastAsia"/>
          <w:color w:val="000000" w:themeColor="text1"/>
          <w:sz w:val="28"/>
          <w:szCs w:val="24"/>
          <w14:textFill>
            <w14:solidFill>
              <w14:schemeClr w14:val="tx1"/>
            </w14:solidFill>
          </w14:textFill>
        </w:rPr>
        <w:t xml:space="preserve"> v</w:t>
      </w:r>
      <w:r>
        <w:rPr>
          <w:rFonts w:hint="eastAsia" w:asciiTheme="minorEastAsia" w:hAnsiTheme="minorEastAsia" w:eastAsiaTheme="minorEastAsia"/>
          <w:color w:val="000000" w:themeColor="text1"/>
          <w:sz w:val="28"/>
          <w:szCs w:val="24"/>
          <w14:textFill>
            <w14:solidFill>
              <w14:schemeClr w14:val="tx1"/>
            </w14:solidFill>
          </w14:textFill>
        </w:rPr>
        <w:t>olte实时视频通话应用场景：</w:t>
      </w:r>
    </w:p>
    <w:p>
      <w:pPr>
        <w:pStyle w:val="14"/>
        <w:ind w:firstLine="56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333365" cy="3919855"/>
            <wp:effectExtent l="0" t="0" r="635" b="444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3"/>
                    <a:stretch>
                      <a:fillRect/>
                    </a:stretch>
                  </pic:blipFill>
                  <pic:spPr>
                    <a:xfrm>
                      <a:off x="0" y="0"/>
                      <a:ext cx="5333930" cy="3920117"/>
                    </a:xfrm>
                    <a:prstGeom prst="rect">
                      <a:avLst/>
                    </a:prstGeom>
                  </pic:spPr>
                </pic:pic>
              </a:graphicData>
            </a:graphic>
          </wp:inline>
        </w:drawing>
      </w:r>
    </w:p>
    <w:p>
      <w:pPr>
        <w:pStyle w:val="14"/>
        <w:ind w:firstLine="560"/>
        <w:rPr>
          <w:rFonts w:asciiTheme="minorEastAsia" w:hAnsiTheme="minorEastAsia" w:eastAsiaTheme="minorEastAsia"/>
          <w:color w:val="000000" w:themeColor="text1"/>
          <w:sz w:val="28"/>
          <w:szCs w:val="24"/>
          <w14:textFill>
            <w14:solidFill>
              <w14:schemeClr w14:val="tx1"/>
            </w14:solidFill>
          </w14:textFill>
        </w:rPr>
      </w:pPr>
      <w:r>
        <w:rPr>
          <w:rFonts w:hint="eastAsia" w:asciiTheme="minorEastAsia" w:hAnsiTheme="minorEastAsia" w:eastAsiaTheme="minorEastAsia"/>
          <w:color w:val="000000" w:themeColor="text1"/>
          <w:sz w:val="28"/>
          <w:szCs w:val="24"/>
          <w14:textFill>
            <w14:solidFill>
              <w14:schemeClr w14:val="tx1"/>
            </w14:solidFill>
          </w14:textFill>
        </w:rPr>
        <w:t>更多实时视频场景：</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337810" cy="4112260"/>
            <wp:effectExtent l="0" t="0" r="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4"/>
                    <a:stretch>
                      <a:fillRect/>
                    </a:stretch>
                  </pic:blipFill>
                  <pic:spPr>
                    <a:xfrm>
                      <a:off x="0" y="0"/>
                      <a:ext cx="5337810" cy="4112260"/>
                    </a:xfrm>
                    <a:prstGeom prst="rect">
                      <a:avLst/>
                    </a:prstGeom>
                  </pic:spPr>
                </pic:pic>
              </a:graphicData>
            </a:graphic>
          </wp:inline>
        </w:drawing>
      </w:r>
    </w:p>
    <w:p>
      <w:pPr>
        <w:pStyle w:val="14"/>
        <w:spacing w:line="360" w:lineRule="auto"/>
        <w:ind w:firstLine="560" w:firstLineChars="200"/>
        <w:rPr>
          <w:rFonts w:asciiTheme="minorEastAsia" w:hAnsiTheme="minorEastAsia" w:eastAsiaTheme="minorEastAsia"/>
          <w:color w:val="000000" w:themeColor="text1"/>
          <w:sz w:val="28"/>
          <w:szCs w:val="24"/>
          <w14:textFill>
            <w14:solidFill>
              <w14:schemeClr w14:val="tx1"/>
            </w14:solidFill>
          </w14:textFill>
        </w:rPr>
      </w:pPr>
      <w:r>
        <w:rPr>
          <w:rFonts w:hint="eastAsia" w:asciiTheme="minorEastAsia" w:hAnsiTheme="minorEastAsia" w:eastAsiaTheme="minorEastAsia"/>
          <w:color w:val="000000" w:themeColor="text1"/>
          <w:sz w:val="28"/>
          <w:szCs w:val="24"/>
          <w14:textFill>
            <w14:solidFill>
              <w14:schemeClr w14:val="tx1"/>
            </w14:solidFill>
          </w14:textFill>
        </w:rPr>
        <w:t>客服端整合人工智能，实现人工客服服务，必要场景可以用智能客服替代客服视频。</w:t>
      </w:r>
    </w:p>
    <w:p>
      <w:pPr>
        <w:pStyle w:val="14"/>
        <w:spacing w:line="360" w:lineRule="auto"/>
        <w:ind w:firstLine="560" w:firstLineChars="200"/>
        <w:rPr>
          <w:rFonts w:asciiTheme="minorEastAsia" w:hAnsiTheme="minorEastAsia" w:eastAsiaTheme="minorEastAsia"/>
          <w:color w:val="000000" w:themeColor="text1"/>
          <w:sz w:val="28"/>
          <w:szCs w:val="24"/>
          <w14:textFill>
            <w14:solidFill>
              <w14:schemeClr w14:val="tx1"/>
            </w14:solidFill>
          </w14:textFill>
        </w:rPr>
      </w:pPr>
      <w:r>
        <w:rPr>
          <w:rFonts w:hint="eastAsia" w:asciiTheme="minorEastAsia" w:hAnsiTheme="minorEastAsia" w:eastAsiaTheme="minorEastAsia"/>
          <w:color w:val="000000" w:themeColor="text1"/>
          <w:sz w:val="28"/>
          <w:szCs w:val="24"/>
          <w14:textFill>
            <w14:solidFill>
              <w14:schemeClr w14:val="tx1"/>
            </w14:solidFill>
          </w14:textFill>
        </w:rPr>
        <w:t>视频IVR和语音/视频客服结合服务群众场景：</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337810" cy="3498215"/>
            <wp:effectExtent l="0" t="0" r="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5"/>
                    <a:stretch>
                      <a:fillRect/>
                    </a:stretch>
                  </pic:blipFill>
                  <pic:spPr>
                    <a:xfrm>
                      <a:off x="0" y="0"/>
                      <a:ext cx="5337810" cy="3498215"/>
                    </a:xfrm>
                    <a:prstGeom prst="rect">
                      <a:avLst/>
                    </a:prstGeom>
                  </pic:spPr>
                </pic:pic>
              </a:graphicData>
            </a:graphic>
          </wp:inline>
        </w:drawing>
      </w:r>
    </w:p>
    <w:p>
      <w:pPr>
        <w:pStyle w:val="14"/>
        <w:spacing w:line="360" w:lineRule="auto"/>
        <w:ind w:firstLine="560" w:firstLineChars="200"/>
        <w:rPr>
          <w:rFonts w:asciiTheme="minorEastAsia" w:hAnsiTheme="minorEastAsia" w:eastAsiaTheme="minorEastAsia"/>
          <w:color w:val="000000" w:themeColor="text1"/>
          <w:sz w:val="28"/>
          <w:szCs w:val="24"/>
          <w14:textFill>
            <w14:solidFill>
              <w14:schemeClr w14:val="tx1"/>
            </w14:solidFill>
          </w14:textFill>
        </w:rPr>
      </w:pPr>
      <w:r>
        <w:rPr>
          <w:rFonts w:hint="eastAsia" w:asciiTheme="minorEastAsia" w:hAnsiTheme="minorEastAsia" w:eastAsiaTheme="minorEastAsia"/>
          <w:color w:val="000000" w:themeColor="text1"/>
          <w:sz w:val="28"/>
          <w:szCs w:val="24"/>
          <w14:textFill>
            <w14:solidFill>
              <w14:schemeClr w14:val="tx1"/>
            </w14:solidFill>
          </w14:textFill>
        </w:rPr>
        <w:t>5G视频通话结合视频IVR+</w:t>
      </w:r>
      <w:r>
        <w:rPr>
          <w:rFonts w:asciiTheme="minorEastAsia" w:hAnsiTheme="minorEastAsia" w:eastAsiaTheme="minorEastAsia"/>
          <w:color w:val="000000" w:themeColor="text1"/>
          <w:sz w:val="28"/>
          <w:szCs w:val="24"/>
          <w14:textFill>
            <w14:solidFill>
              <w14:schemeClr w14:val="tx1"/>
            </w14:solidFill>
          </w14:textFill>
        </w:rPr>
        <w:t>5</w:t>
      </w:r>
      <w:r>
        <w:rPr>
          <w:rFonts w:hint="eastAsia" w:asciiTheme="minorEastAsia" w:hAnsiTheme="minorEastAsia" w:eastAsiaTheme="minorEastAsia"/>
          <w:color w:val="000000" w:themeColor="text1"/>
          <w:sz w:val="28"/>
          <w:szCs w:val="24"/>
          <w14:textFill>
            <w14:solidFill>
              <w14:schemeClr w14:val="tx1"/>
            </w14:solidFill>
          </w14:textFill>
        </w:rPr>
        <w:t>G消息</w:t>
      </w:r>
      <w:r>
        <w:rPr>
          <w:rFonts w:asciiTheme="minorEastAsia" w:hAnsiTheme="minorEastAsia" w:eastAsiaTheme="minorEastAsia"/>
          <w:color w:val="000000" w:themeColor="text1"/>
          <w:sz w:val="28"/>
          <w:szCs w:val="24"/>
          <w14:textFill>
            <w14:solidFill>
              <w14:schemeClr w14:val="tx1"/>
            </w14:solidFill>
          </w14:textFill>
        </w:rPr>
        <w:t xml:space="preserve"> </w:t>
      </w:r>
      <w:r>
        <w:rPr>
          <w:rFonts w:hint="eastAsia" w:asciiTheme="minorEastAsia" w:hAnsiTheme="minorEastAsia" w:eastAsiaTheme="minorEastAsia"/>
          <w:color w:val="000000" w:themeColor="text1"/>
          <w:sz w:val="28"/>
          <w:szCs w:val="24"/>
          <w14:textFill>
            <w14:solidFill>
              <w14:schemeClr w14:val="tx1"/>
            </w14:solidFill>
          </w14:textFill>
        </w:rPr>
        <w:t>对群众办理业务进行回访：</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5337810" cy="3405505"/>
            <wp:effectExtent l="0" t="0" r="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6"/>
                    <a:stretch>
                      <a:fillRect/>
                    </a:stretch>
                  </pic:blipFill>
                  <pic:spPr>
                    <a:xfrm>
                      <a:off x="0" y="0"/>
                      <a:ext cx="5337810" cy="3405505"/>
                    </a:xfrm>
                    <a:prstGeom prst="rect">
                      <a:avLst/>
                    </a:prstGeom>
                  </pic:spPr>
                </pic:pic>
              </a:graphicData>
            </a:graphic>
          </wp:inline>
        </w:drawing>
      </w:r>
    </w:p>
    <w:p>
      <w:pPr>
        <w:pStyle w:val="2"/>
        <w:rPr>
          <w:rFonts w:asciiTheme="minorEastAsia" w:hAnsiTheme="minorEastAsia" w:eastAsiaTheme="minorEastAsia"/>
          <w:color w:val="000000" w:themeColor="text1"/>
          <w14:textFill>
            <w14:solidFill>
              <w14:schemeClr w14:val="tx1"/>
            </w14:solidFill>
          </w14:textFill>
        </w:rPr>
      </w:pPr>
      <w:bookmarkStart w:id="206" w:name="_Toc118808238"/>
      <w:bookmarkStart w:id="207" w:name="_Toc30947"/>
      <w:bookmarkStart w:id="208" w:name="_Toc15759"/>
      <w:bookmarkStart w:id="209" w:name="_Toc2810"/>
      <w:bookmarkStart w:id="210" w:name="_Toc32275"/>
      <w:r>
        <w:rPr>
          <w:rFonts w:hint="eastAsia" w:asciiTheme="minorEastAsia" w:hAnsiTheme="minorEastAsia" w:eastAsiaTheme="minorEastAsia"/>
          <w:color w:val="000000" w:themeColor="text1"/>
          <w14:textFill>
            <w14:solidFill>
              <w14:schemeClr w14:val="tx1"/>
            </w14:solidFill>
          </w14:textFill>
        </w:rPr>
        <w:t>“一呼解忧”</w:t>
      </w:r>
      <w:r>
        <w:rPr>
          <w:rFonts w:asciiTheme="minorEastAsia" w:hAnsiTheme="minorEastAsia" w:eastAsiaTheme="minorEastAsia"/>
          <w:color w:val="000000" w:themeColor="text1"/>
          <w14:textFill>
            <w14:solidFill>
              <w14:schemeClr w14:val="tx1"/>
            </w14:solidFill>
          </w14:textFill>
        </w:rPr>
        <w:t>服务端设计与开发</w:t>
      </w:r>
      <w:bookmarkEnd w:id="206"/>
      <w:bookmarkEnd w:id="207"/>
      <w:bookmarkEnd w:id="208"/>
      <w:bookmarkEnd w:id="209"/>
      <w:bookmarkEnd w:id="210"/>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市民服务端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第一步：手机登录浙里办进入“一呼解忧”</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图1：业务受理页面；</w:t>
      </w:r>
    </w:p>
    <w:p>
      <w:pPr>
        <w:pStyle w:val="14"/>
        <w:spacing w:line="360" w:lineRule="auto"/>
        <w:ind w:firstLine="0"/>
        <w:jc w:val="center"/>
        <w:rPr>
          <w:rFonts w:asciiTheme="minorEastAsia" w:hAnsiTheme="minorEastAsia" w:eastAsiaTheme="minor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750185" cy="4640580"/>
            <wp:effectExtent l="0" t="0" r="0" b="762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37"/>
                    <a:stretch>
                      <a:fillRect/>
                    </a:stretch>
                  </pic:blipFill>
                  <pic:spPr>
                    <a:xfrm>
                      <a:off x="0" y="0"/>
                      <a:ext cx="2750185" cy="4640580"/>
                    </a:xfrm>
                    <a:prstGeom prst="rect">
                      <a:avLst/>
                    </a:prstGeom>
                  </pic:spPr>
                </pic:pic>
              </a:graphicData>
            </a:graphic>
          </wp:inline>
        </w:drawing>
      </w:r>
      <w:r>
        <w:rPr>
          <w:color w:val="000000" w:themeColor="text1"/>
          <w14:textFill>
            <w14:solidFill>
              <w14:schemeClr w14:val="tx1"/>
            </w14:solidFill>
          </w14:textFill>
        </w:rPr>
        <w:drawing>
          <wp:inline distT="0" distB="0" distL="0" distR="0">
            <wp:extent cx="2680335" cy="4610100"/>
            <wp:effectExtent l="0" t="0" r="5715"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38"/>
                    <a:stretch>
                      <a:fillRect/>
                    </a:stretch>
                  </pic:blipFill>
                  <pic:spPr>
                    <a:xfrm>
                      <a:off x="0" y="0"/>
                      <a:ext cx="2688058" cy="4623384"/>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智能</w:t>
      </w:r>
      <w:r>
        <w:rPr>
          <w:rFonts w:hint="eastAsia" w:asciiTheme="minorEastAsia" w:hAnsiTheme="minorEastAsia" w:eastAsiaTheme="minorEastAsia"/>
          <w:color w:val="000000" w:themeColor="text1"/>
          <w14:textFill>
            <w14:solidFill>
              <w14:schemeClr w14:val="tx1"/>
            </w14:solidFill>
          </w14:textFill>
        </w:rPr>
        <w:t>解答</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以智能问答知识库作为支撑，提供移动端渠道，为社会公众提供7*24小时的智能化解答服务，更好聆听社会民众民意，提供都通渠道桥梁。</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智能机器人根据不同场的景实际情况智能解答多元化问题，以语义理解算法模型为技术支撑，基于“一呼解忧”业务场景提供各类民生业务场景。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为更好提供便民服务，提升用户满意度，系统支持人工托底策略，遇到个别问题机器人助理无法解答时，系统提供转人工服务功能。页面会自动提示跳转人工进行登记，页面会自动跳转到通用赋能页面。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基于海量场景数据、 专家知识，利用自然语言处理、符号系统、 深度学习、知识图谱等人工智能技术，打造集智能咨询、投诉建议、网站导航、智能推送等功能于一体的智能客服，为公众提供在线业务咨询、查询、办理等服务。</w:t>
      </w:r>
    </w:p>
    <w:p>
      <w:pPr>
        <w:pStyle w:val="14"/>
        <w:spacing w:line="360" w:lineRule="auto"/>
        <w:ind w:firstLineChars="200"/>
        <w:jc w:val="center"/>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2628900" cy="433387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9"/>
                    <a:stretch>
                      <a:fillRect/>
                    </a:stretch>
                  </pic:blipFill>
                  <pic:spPr>
                    <a:xfrm>
                      <a:off x="0" y="0"/>
                      <a:ext cx="2628900" cy="4333875"/>
                    </a:xfrm>
                    <a:prstGeom prst="rect">
                      <a:avLst/>
                    </a:prstGeom>
                  </pic:spPr>
                </pic:pic>
              </a:graphicData>
            </a:graphic>
          </wp:inline>
        </w:drawing>
      </w:r>
      <w:r>
        <w:rPr>
          <w:rFonts w:asciiTheme="minorEastAsia" w:hAnsiTheme="minorEastAsia" w:eastAsiaTheme="minorEastAsia"/>
          <w:color w:val="000000" w:themeColor="text1"/>
          <w14:textFill>
            <w14:solidFill>
              <w14:schemeClr w14:val="tx1"/>
            </w14:solidFill>
          </w14:textFill>
        </w:rPr>
        <w:drawing>
          <wp:inline distT="0" distB="0" distL="0" distR="0">
            <wp:extent cx="2629535" cy="435229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0"/>
                    <a:stretch>
                      <a:fillRect/>
                    </a:stretch>
                  </pic:blipFill>
                  <pic:spPr>
                    <a:xfrm>
                      <a:off x="0" y="0"/>
                      <a:ext cx="2632268" cy="4356857"/>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政策速递</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系统提供不同政策目录结构后，展示相应的政策/热点问答功能。为方便用户查找所需内容，提供全文检索功能，用户输入关键字，可快速查找定位所需内容。</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为方便使用灵活功能配置，系统提供后端二级菜单功能添加配置功能，根据用户需求自定义添加配置功能。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 xml:space="preserve"> </w:t>
      </w:r>
      <w:r>
        <w:rPr>
          <w:rFonts w:asciiTheme="minorEastAsia" w:hAnsiTheme="minorEastAsia" w:eastAsiaTheme="minorEastAsia"/>
          <w:color w:val="000000" w:themeColor="text1"/>
          <w:sz w:val="28"/>
          <w14:textFill>
            <w14:solidFill>
              <w14:schemeClr w14:val="tx1"/>
            </w14:solidFill>
          </w14:textFill>
        </w:rPr>
        <w:t xml:space="preserve">             </w:t>
      </w:r>
      <w:r>
        <w:rPr>
          <w:rFonts w:asciiTheme="minorEastAsia" w:hAnsiTheme="minorEastAsia" w:eastAsiaTheme="minorEastAsia"/>
          <w:color w:val="000000" w:themeColor="text1"/>
          <w14:textFill>
            <w14:solidFill>
              <w14:schemeClr w14:val="tx1"/>
            </w14:solidFill>
          </w14:textFill>
        </w:rPr>
        <w:drawing>
          <wp:inline distT="0" distB="0" distL="0" distR="0">
            <wp:extent cx="2531745" cy="5372100"/>
            <wp:effectExtent l="0" t="0" r="190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1"/>
                    <a:stretch>
                      <a:fillRect/>
                    </a:stretch>
                  </pic:blipFill>
                  <pic:spPr>
                    <a:xfrm>
                      <a:off x="0" y="0"/>
                      <a:ext cx="2531745" cy="5372100"/>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我的查询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我的查询包括待受理、已受理、已回复、已评价四个模块。</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1、待受理模块：查询用户已提交代办理的事件工单列表，可点击查看具体工单事件内容。显示受理编号、工单代办类型、姓名、电话、处理状态、反应内容、紧急程度等相应信息。</w:t>
      </w: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ab/>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已受理模块：查询统计用户提交已经办理后的内容列表，点击单个信息科查看具体工单的受理编号、工单类型、姓名、电话、处理状态、反应内容、紧急程度、回复信息、回复单位、处理结果等。点击立即评价，可提供对已回复的事件提供立即评价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3、已回复模块：提供为用户提供已回复的模块查询列表。通过点击可逐条查看具体内容以及已回复内容信息提供立即评价功能。</w:t>
      </w: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ab/>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4、已评价模块： 提供为用户提供已评价的模块查询列表。通过点击可逐条查看具体内容以及已评价内容信息。</w:t>
      </w:r>
    </w:p>
    <w:p>
      <w:pPr>
        <w:pStyle w:val="14"/>
        <w:spacing w:line="360" w:lineRule="auto"/>
        <w:ind w:firstLine="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asciiTheme="minorEastAsia" w:hAnsiTheme="minorEastAsia" w:eastAsiaTheme="minorEastAsia"/>
          <w:color w:val="000000" w:themeColor="text1"/>
          <w14:textFill>
            <w14:solidFill>
              <w14:schemeClr w14:val="tx1"/>
            </w14:solidFill>
          </w14:textFill>
        </w:rPr>
        <w:drawing>
          <wp:inline distT="0" distB="0" distL="0" distR="0">
            <wp:extent cx="2724150" cy="49815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2"/>
                    <a:stretch>
                      <a:fillRect/>
                    </a:stretch>
                  </pic:blipFill>
                  <pic:spPr>
                    <a:xfrm>
                      <a:off x="0" y="0"/>
                      <a:ext cx="2724150" cy="4981575"/>
                    </a:xfrm>
                    <a:prstGeom prst="rect">
                      <a:avLst/>
                    </a:prstGeom>
                  </pic:spPr>
                </pic:pic>
              </a:graphicData>
            </a:graphic>
          </wp:inline>
        </w:drawing>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cs="宋体" w:asciiTheme="minorEastAsia" w:hAnsiTheme="minorEastAsia" w:eastAsiaTheme="minorEastAsia"/>
          <w:color w:val="000000" w:themeColor="text1"/>
          <w:spacing w:val="20"/>
          <w:kern w:val="6"/>
          <w:sz w:val="28"/>
          <w:szCs w:val="36"/>
          <w14:textFill>
            <w14:solidFill>
              <w14:schemeClr w14:val="tx1"/>
            </w14:solidFill>
          </w14:textFill>
        </w:rPr>
        <w:drawing>
          <wp:inline distT="0" distB="0" distL="114300" distR="114300">
            <wp:extent cx="2015490" cy="7853045"/>
            <wp:effectExtent l="0" t="0" r="3810" b="8255"/>
            <wp:docPr id="34" name="图片 34" descr="我的-二级页面-未评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我的-二级页面-未评价"/>
                    <pic:cNvPicPr>
                      <a:picLocks noChangeAspect="1"/>
                    </pic:cNvPicPr>
                  </pic:nvPicPr>
                  <pic:blipFill>
                    <a:blip r:embed="rId43"/>
                    <a:stretch>
                      <a:fillRect/>
                    </a:stretch>
                  </pic:blipFill>
                  <pic:spPr>
                    <a:xfrm>
                      <a:off x="0" y="0"/>
                      <a:ext cx="2015490" cy="7853045"/>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一键呼</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萧山“一呼解忧”服务端设计与开发包含萧山区1</w:t>
      </w:r>
      <w:r>
        <w:rPr>
          <w:rFonts w:asciiTheme="minorEastAsia" w:hAnsiTheme="minorEastAsia" w:eastAsiaTheme="minorEastAsia"/>
          <w:color w:val="000000" w:themeColor="text1"/>
          <w:sz w:val="28"/>
          <w14:textFill>
            <w14:solidFill>
              <w14:schemeClr w14:val="tx1"/>
            </w14:solidFill>
          </w14:textFill>
        </w:rPr>
        <w:t>2345</w:t>
      </w:r>
      <w:r>
        <w:rPr>
          <w:rFonts w:hint="eastAsia" w:asciiTheme="minorEastAsia" w:hAnsiTheme="minorEastAsia" w:eastAsiaTheme="minorEastAsia"/>
          <w:color w:val="000000" w:themeColor="text1"/>
          <w:sz w:val="28"/>
          <w14:textFill>
            <w14:solidFill>
              <w14:schemeClr w14:val="tx1"/>
            </w14:solidFill>
          </w14:textFill>
        </w:rPr>
        <w:t>热线一键呼叫服务功能，可依据自动地理定位技术，精准呼转至镇街的话务坐席，增强属地化的及时响应能力和社会治理能力。</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通信系统集成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同时，通信系统也会与话务系统集成改造，保证热线能够一键呼入。系统支持</w:t>
      </w:r>
      <w:r>
        <w:rPr>
          <w:rFonts w:asciiTheme="minorEastAsia" w:hAnsiTheme="minorEastAsia" w:eastAsiaTheme="minorEastAsia"/>
          <w:color w:val="000000" w:themeColor="text1"/>
          <w:sz w:val="28"/>
          <w14:textFill>
            <w14:solidFill>
              <w14:schemeClr w14:val="tx1"/>
            </w14:solidFill>
          </w14:textFill>
        </w:rPr>
        <w:t>20</w:t>
      </w:r>
      <w:r>
        <w:rPr>
          <w:rFonts w:hint="eastAsia" w:asciiTheme="minorEastAsia" w:hAnsiTheme="minorEastAsia" w:eastAsiaTheme="minorEastAsia"/>
          <w:color w:val="000000" w:themeColor="text1"/>
          <w:sz w:val="28"/>
          <w14:textFill>
            <w14:solidFill>
              <w14:schemeClr w14:val="tx1"/>
            </w14:solidFill>
          </w14:textFill>
        </w:rPr>
        <w:t>路镇街坐席。</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其中所包含的通信系统集成建设内容：</w:t>
      </w:r>
    </w:p>
    <w:p>
      <w:pPr>
        <w:pStyle w:val="14"/>
        <w:numPr>
          <w:ilvl w:val="0"/>
          <w:numId w:val="18"/>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话务一键呼入</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即萧山“一呼解忧”服务端一键呼叫功能，可精准呼转至镇街的话务坐席，增强属地化的及时响应能力和社会治理能力。</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话务功能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包括号码显示、签入/签出示忙/示闲、资料整理、话路保持、静音/取消静音、话路保持、三方通话等功能，共同支持通信系统的话务功能集成。</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直接呼出</w:t>
      </w:r>
    </w:p>
    <w:p>
      <w:pPr>
        <w:ind w:firstLine="56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系统授权的普通坐席可以在本机拨号或PC上点击直接发起呼叫，系统提供的自动呼出管理系统用于设置、管理呼出的任务，系统根据设置的参数自动呼出，以便为坐席人员提供服务。</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智能外呼</w:t>
      </w:r>
    </w:p>
    <w:p>
      <w:pPr>
        <w:ind w:firstLine="561"/>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系统通过智能外呼功能模块对受理业务记录按照自动生成的调查模板进行自动化外呼，并按照设定的调查模板与社会公众进行交流，收集社会公众对相关政府与承办单位办理情况的满意度评价意见。</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满意度回访</w:t>
      </w:r>
    </w:p>
    <w:p>
      <w:pPr>
        <w:pStyle w:val="14"/>
        <w:spacing w:line="360" w:lineRule="auto"/>
        <w:ind w:firstLine="561"/>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办理结果回访，即案件办理结束后，系统及时向反映人进行反馈，系统通过短信、自动电话等方式对处理结果征求意见，并对回访结果进行记录。</w:t>
      </w:r>
    </w:p>
    <w:p>
      <w:pPr>
        <w:pStyle w:val="14"/>
        <w:spacing w:line="360" w:lineRule="auto"/>
        <w:ind w:firstLine="561"/>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被设定为采用自动语音回访的案件，系统先进行自动电话语音回访，语音未接通可通过短信发送回访短信，询问事件办理结果是否满意。办理结果回访应遵循以下原则：</w:t>
      </w:r>
    </w:p>
    <w:p>
      <w:pPr>
        <w:pStyle w:val="14"/>
        <w:spacing w:line="360" w:lineRule="auto"/>
        <w:ind w:firstLine="561"/>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w:t>
      </w: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对处理后的来电问题应定期回访，了解相关情况。</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w:t>
      </w: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对较为复杂的来电问题，重点进行回访。</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w:t>
      </w: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回访时要注意发现问题，调高工作质量，巩固调解成果。</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w:t>
      </w: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做好对回访来电问题的登记。</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呼叫转移（呼转）</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IVR路由转队列/坐席：呼叫在自动流转中完成收号后请求路由转移到对应技能的坐席或者队列；</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坐席转IVR：呼叫在人工坐席受理后转移到IVR服务，包括两种方式，一种是挂起转，IVR服务完成后再转移回坐席。另外一种是释放转，呼叫从坐席转IVR后，坐席释放，呼叫不再转回；</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坐席转队列/坐席：呼叫可以在人工坐席受理后转移到其它坐席台（同业务台、不同业务台、班长台）等。</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排队情况查询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对有权限的坐席可以查看当前呼叫的排队情况如排队总数、主叫号码等。</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监听功能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监听坐席：监听普通坐席与用户的通话，用会议电话方式实现；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监听中继：监听指定入中继的放音与通话；</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插入功能：插入与监听比较类似，只不过班长坐席由听者变成说者，实现三方通话。</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插话功能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坐席在振铃或其它接触媒体呼叫到达等待应答时，同组的另一业务代表（有插话权限）可将此呼叫转移至自己的坐席。原有呼叫相关数据、用户信息等可与呼叫同步转移，处于协作状态的多种接触媒体呼叫可以同步转移。</w:t>
      </w:r>
    </w:p>
    <w:p>
      <w:pPr>
        <w:pStyle w:val="14"/>
        <w:numPr>
          <w:ilvl w:val="0"/>
          <w:numId w:val="19"/>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话务控制及监控管理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实时监控各子系统、各坐席、各语音通道的工作状态，便于系统管理员进行直观的管理。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坐席状态：可以实时监控坐席的登录时间、当前状态（空闲、忙于外线或内线、正在振铃、免打扰、限制时间、报警、退出等）、当前状态的起始时间、持续时间、与谁连接等。同时班长席可以监听各个坐席的通话，必要时可以插话或直接将通话接管过来，由班长席直接为用户服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队列状态：包括呼叫队列和坐席队列，可以监视呼叫队列中的等待人数和放弃人数，坐席队列中在服务的坐席数和空闲的坐席数。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服务组状态：如投诉组中等待呼叫数、放弃的呼叫数、在服务的坐席数、空闲的坐席数等。</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质检操作：可对某一普通坐席进行监视、插入、内部呼叫、释放来话、取消保持、拦截来话、强制示闲、强制示忙、强制签出等。为了了解系统的工作情况，监控设备可以显示录音起始时间，录音次数，以及磁盘容量等信息，通话结束，系统自动将录音内容以日期时间方式存入硬盘相应的路径，以备日后查询。</w:t>
      </w:r>
    </w:p>
    <w:p>
      <w:pPr>
        <w:pStyle w:val="2"/>
        <w:rPr>
          <w:rFonts w:asciiTheme="minorEastAsia" w:hAnsiTheme="minorEastAsia" w:eastAsiaTheme="minorEastAsia"/>
          <w:color w:val="000000" w:themeColor="text1"/>
          <w14:textFill>
            <w14:solidFill>
              <w14:schemeClr w14:val="tx1"/>
            </w14:solidFill>
          </w14:textFill>
        </w:rPr>
      </w:pPr>
      <w:bookmarkStart w:id="211" w:name="_Toc118808239"/>
      <w:r>
        <w:rPr>
          <w:rFonts w:hint="eastAsia" w:asciiTheme="minorEastAsia" w:hAnsiTheme="minorEastAsia" w:eastAsiaTheme="minorEastAsia"/>
          <w:color w:val="000000" w:themeColor="text1"/>
          <w14:textFill>
            <w14:solidFill>
              <w14:schemeClr w14:val="tx1"/>
            </w14:solidFill>
          </w14:textFill>
        </w:rPr>
        <w:t>“一呼解忧”移动治理端设计与开发</w:t>
      </w:r>
      <w:bookmarkEnd w:id="211"/>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萧山“一呼解忧”可使用移动治理端功能，组织内人员可从移动端接入，进行移动办公，可适配浙政钉改造。具体功能如下：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1、工单签收功能：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手机端在线实时工单签收，随时随地可移动高效响应服务和工单处理。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2、审核功能：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内部坐席人员可在移动端进行工单的审核。</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3、审批功能：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内部坐席人员可在移动端使用工单的线上审批功能。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4、督办功能：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内部坐席人员可在移动端使用工单的线上督办功能。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5、查询功能：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内部坐席人员可在移动端使用线上工单查询功能、进度查询功能、办理结果查询等功能。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6、预警提示功能：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可在移动端进行预警信息的提示，针对各类监测预警场景设定提供移动端预警服务。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7、应急预案功能：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预警提示后，提供应急预案参考信息，可以弹窗或详情页，内容可在“一呼解忧”智治系统进行模板自定义设置和知识库维护。</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8</w:t>
      </w:r>
      <w:r>
        <w:rPr>
          <w:rFonts w:hint="eastAsia" w:asciiTheme="minorEastAsia" w:hAnsiTheme="minorEastAsia" w:eastAsiaTheme="minorEastAsia"/>
          <w:color w:val="000000" w:themeColor="text1"/>
          <w:sz w:val="28"/>
          <w14:textFill>
            <w14:solidFill>
              <w14:schemeClr w14:val="tx1"/>
            </w14:solidFill>
          </w14:textFill>
        </w:rPr>
        <w:t>、分享推送功能：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向手机端推送分享信息，及时掌握相关信息。</w:t>
      </w:r>
    </w:p>
    <w:p>
      <w:pPr>
        <w:pStyle w:val="2"/>
        <w:rPr>
          <w:rFonts w:asciiTheme="minorEastAsia" w:hAnsiTheme="minorEastAsia" w:eastAsiaTheme="minorEastAsia"/>
          <w:color w:val="000000" w:themeColor="text1"/>
          <w14:textFill>
            <w14:solidFill>
              <w14:schemeClr w14:val="tx1"/>
            </w14:solidFill>
          </w14:textFill>
        </w:rPr>
      </w:pPr>
      <w:bookmarkStart w:id="212" w:name="_Toc118808240"/>
      <w:r>
        <w:rPr>
          <w:rFonts w:hint="eastAsia" w:asciiTheme="minorEastAsia" w:hAnsiTheme="minorEastAsia" w:eastAsiaTheme="minorEastAsia"/>
          <w:color w:val="000000" w:themeColor="text1"/>
          <w14:textFill>
            <w14:solidFill>
              <w14:schemeClr w14:val="tx1"/>
            </w14:solidFill>
          </w14:textFill>
        </w:rPr>
        <w:t>“一呼解忧”智治系统</w:t>
      </w:r>
      <w:bookmarkEnd w:id="212"/>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首页开发与设计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业务协同管理平台的页面UI设计以及功能的开发，包含：通知公告、办结事件、业务记录、案件满意度、案件分析等快捷模块设计。</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44"/>
                    <a:stretch>
                      <a:fillRect/>
                    </a:stretch>
                  </pic:blipFill>
                  <pic:spPr>
                    <a:xfrm>
                      <a:off x="0" y="0"/>
                      <a:ext cx="6188710" cy="2927985"/>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镇街坐席租赁及业务流转</w:t>
      </w:r>
    </w:p>
    <w:p>
      <w:pPr>
        <w:pStyle w:val="14"/>
        <w:spacing w:line="360" w:lineRule="auto"/>
        <w:ind w:firstLine="562" w:firstLineChars="200"/>
        <w:rPr>
          <w:rFonts w:asciiTheme="minorEastAsia" w:hAnsiTheme="minorEastAsia" w:eastAsiaTheme="minorEastAsia"/>
          <w:b/>
          <w:color w:val="000000" w:themeColor="text1"/>
          <w:sz w:val="28"/>
          <w14:textFill>
            <w14:solidFill>
              <w14:schemeClr w14:val="tx1"/>
            </w14:solidFill>
          </w14:textFill>
        </w:rPr>
      </w:pPr>
      <w:r>
        <w:rPr>
          <w:rFonts w:hint="eastAsia" w:asciiTheme="minorEastAsia" w:hAnsiTheme="minorEastAsia" w:eastAsiaTheme="minorEastAsia"/>
          <w:b/>
          <w:color w:val="000000" w:themeColor="text1"/>
          <w:sz w:val="28"/>
          <w14:textFill>
            <w14:solidFill>
              <w14:schemeClr w14:val="tx1"/>
            </w14:solidFill>
          </w14:textFill>
        </w:rPr>
        <w:t>镇街坐席改造包含：</w:t>
      </w:r>
    </w:p>
    <w:p>
      <w:pPr>
        <w:pStyle w:val="14"/>
        <w:numPr>
          <w:ilvl w:val="0"/>
          <w:numId w:val="20"/>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三级业务流转</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萧山区12345业务流程调整为业务三级流转，即“区——镇街——村、社区”，准确将办件派发到社区、对应部门，使工单真正落实到具体的下级处理单位和办事部门，解决市民诉求。</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896235"/>
            <wp:effectExtent l="0" t="0" r="254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45"/>
                    <a:stretch>
                      <a:fillRect/>
                    </a:stretch>
                  </pic:blipFill>
                  <pic:spPr>
                    <a:xfrm>
                      <a:off x="0" y="0"/>
                      <a:ext cx="6188710" cy="2896235"/>
                    </a:xfrm>
                    <a:prstGeom prst="rect">
                      <a:avLst/>
                    </a:prstGeom>
                  </pic:spPr>
                </pic:pic>
              </a:graphicData>
            </a:graphic>
          </wp:inline>
        </w:drawing>
      </w:r>
    </w:p>
    <w:p>
      <w:pPr>
        <w:pStyle w:val="14"/>
        <w:numPr>
          <w:ilvl w:val="0"/>
          <w:numId w:val="20"/>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坐席租赁</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各镇街将设立通信规模为</w:t>
      </w:r>
      <w:r>
        <w:rPr>
          <w:rFonts w:asciiTheme="minorEastAsia" w:hAnsiTheme="minorEastAsia" w:eastAsiaTheme="minorEastAsia"/>
          <w:color w:val="000000" w:themeColor="text1"/>
          <w:sz w:val="28"/>
          <w14:textFill>
            <w14:solidFill>
              <w14:schemeClr w14:val="tx1"/>
            </w14:solidFill>
          </w14:textFill>
        </w:rPr>
        <w:t>20</w:t>
      </w:r>
      <w:r>
        <w:rPr>
          <w:rFonts w:hint="eastAsia" w:asciiTheme="minorEastAsia" w:hAnsiTheme="minorEastAsia" w:eastAsiaTheme="minorEastAsia"/>
          <w:color w:val="000000" w:themeColor="text1"/>
          <w:sz w:val="28"/>
          <w14:textFill>
            <w14:solidFill>
              <w14:schemeClr w14:val="tx1"/>
            </w14:solidFill>
          </w14:textFill>
        </w:rPr>
        <w:t>路的镇街坐席，租赁</w:t>
      </w:r>
      <w:r>
        <w:rPr>
          <w:rFonts w:asciiTheme="minorEastAsia" w:hAnsiTheme="minorEastAsia" w:eastAsiaTheme="minorEastAsia"/>
          <w:color w:val="000000" w:themeColor="text1"/>
          <w:sz w:val="28"/>
          <w14:textFill>
            <w14:solidFill>
              <w14:schemeClr w14:val="tx1"/>
            </w14:solidFill>
          </w14:textFill>
        </w:rPr>
        <w:t>3年。</w:t>
      </w:r>
      <w:r>
        <w:rPr>
          <w:rFonts w:hint="eastAsia" w:asciiTheme="minorEastAsia" w:hAnsiTheme="minorEastAsia" w:eastAsiaTheme="minorEastAsia"/>
          <w:color w:val="000000" w:themeColor="text1"/>
          <w:sz w:val="28"/>
          <w14:textFill>
            <w14:solidFill>
              <w14:schemeClr w14:val="tx1"/>
            </w14:solidFill>
          </w14:textFill>
        </w:rPr>
        <w:t>给予系统三级账号，将区一级派发的工单进行相应的业务流转，使工单精准派发到村、社区的对应部门进行办件处理。</w:t>
      </w:r>
    </w:p>
    <w:p>
      <w:pPr>
        <w:pStyle w:val="14"/>
        <w:numPr>
          <w:ilvl w:val="0"/>
          <w:numId w:val="20"/>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智能坐席辅助</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在各镇街设立通信规模为</w:t>
      </w:r>
      <w:r>
        <w:rPr>
          <w:rFonts w:asciiTheme="minorEastAsia" w:hAnsiTheme="minorEastAsia" w:eastAsiaTheme="minorEastAsia"/>
          <w:color w:val="000000" w:themeColor="text1"/>
          <w:sz w:val="28"/>
          <w14:textFill>
            <w14:solidFill>
              <w14:schemeClr w14:val="tx1"/>
            </w14:solidFill>
          </w14:textFill>
        </w:rPr>
        <w:t>20</w:t>
      </w:r>
      <w:r>
        <w:rPr>
          <w:rFonts w:hint="eastAsia" w:asciiTheme="minorEastAsia" w:hAnsiTheme="minorEastAsia" w:eastAsiaTheme="minorEastAsia"/>
          <w:color w:val="000000" w:themeColor="text1"/>
          <w:sz w:val="28"/>
          <w14:textFill>
            <w14:solidFill>
              <w14:schemeClr w14:val="tx1"/>
            </w14:solidFill>
          </w14:textFill>
        </w:rPr>
        <w:t>路镇街坐席的基础上，为提升服务效率，各镇街将建立</w:t>
      </w:r>
      <w:r>
        <w:rPr>
          <w:rFonts w:asciiTheme="minorEastAsia" w:hAnsiTheme="minorEastAsia" w:eastAsiaTheme="minorEastAsia"/>
          <w:color w:val="000000" w:themeColor="text1"/>
          <w:sz w:val="28"/>
          <w14:textFill>
            <w14:solidFill>
              <w14:schemeClr w14:val="tx1"/>
            </w14:solidFill>
          </w14:textFill>
        </w:rPr>
        <w:t>20</w:t>
      </w:r>
      <w:r>
        <w:rPr>
          <w:rFonts w:hint="eastAsia" w:asciiTheme="minorEastAsia" w:hAnsiTheme="minorEastAsia" w:eastAsiaTheme="minorEastAsia"/>
          <w:color w:val="000000" w:themeColor="text1"/>
          <w:sz w:val="28"/>
          <w14:textFill>
            <w14:solidFill>
              <w14:schemeClr w14:val="tx1"/>
            </w14:solidFill>
          </w14:textFill>
        </w:rPr>
        <w:t>路智能坐席辅助。</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智能坐席辅助系统利用语音识别、语义理解、语音分轨等技术，为座席提供一个智能、高效、便捷的多辅助受理登记助手。该系统能够自动识别坐席与客户的语音信息，将座席与咨询人的语音交流实时在线转换为文本，并通过语义理解及语义分析来确定关注的业务点，关键词及热点词汇，同步的与智能知识库中的知识进行匹配，并显示到坐席的辅助界面中，供坐席进行快速的知识浏览及业务办理，实现知识在线联动，以提升坐席的工作效率，节省沟通成本。</w:t>
      </w:r>
    </w:p>
    <w:p>
      <w:pPr>
        <w:pStyle w:val="14"/>
        <w:numPr>
          <w:ilvl w:val="0"/>
          <w:numId w:val="20"/>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话务报表</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针对镇街话务业务，结合各镇街具体需求，进行统计报表的开发。</w:t>
      </w:r>
    </w:p>
    <w:p>
      <w:pPr>
        <w:pStyle w:val="14"/>
        <w:spacing w:line="360" w:lineRule="auto"/>
        <w:ind w:firstLine="562" w:firstLineChars="200"/>
        <w:rPr>
          <w:rFonts w:asciiTheme="minorEastAsia" w:hAnsiTheme="minorEastAsia" w:eastAsiaTheme="minorEastAsia"/>
          <w:b/>
          <w:color w:val="000000" w:themeColor="text1"/>
          <w:sz w:val="28"/>
          <w14:textFill>
            <w14:solidFill>
              <w14:schemeClr w14:val="tx1"/>
            </w14:solidFill>
          </w14:textFill>
        </w:rPr>
      </w:pPr>
      <w:r>
        <w:rPr>
          <w:rFonts w:hint="eastAsia" w:asciiTheme="minorEastAsia" w:hAnsiTheme="minorEastAsia" w:eastAsiaTheme="minorEastAsia"/>
          <w:b/>
          <w:color w:val="000000" w:themeColor="text1"/>
          <w:sz w:val="28"/>
          <w14:textFill>
            <w14:solidFill>
              <w14:schemeClr w14:val="tx1"/>
            </w14:solidFill>
          </w14:textFill>
        </w:rPr>
        <w:t>业务流转内容包含：</w:t>
      </w:r>
    </w:p>
    <w:p>
      <w:pPr>
        <w:pStyle w:val="14"/>
        <w:numPr>
          <w:ilvl w:val="0"/>
          <w:numId w:val="20"/>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镇街自建系统对接</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对接具备自建能力的镇街一级自建系统，实现萧山区工单业务流转功能和数据同步。</w:t>
      </w:r>
    </w:p>
    <w:p>
      <w:pPr>
        <w:pStyle w:val="14"/>
        <w:numPr>
          <w:ilvl w:val="0"/>
          <w:numId w:val="20"/>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增设“浙里访”平台流转</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根据调研，一网统管平台给出的一些答复意见过于简单，不符合信访答复要求。</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于此，各镇街工单增加浙里访平台流转，即建设为一网统管、浙里访“双平台流转”，使给出的答复意见满足信访的答复要求。</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业务流程改造</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业务流程改造包含三个部分：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（1）依据平台的实际需求，完成“一呼解忧”平台的实际业务流程需求梳理；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（2）根据需求梳理成果，完成业务流程重构；</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（3）平台业务流程开发。</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业务流程图如下：</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drawing>
          <wp:inline distT="0" distB="0" distL="0" distR="0">
            <wp:extent cx="5498465" cy="8668385"/>
            <wp:effectExtent l="0" t="0" r="698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507439" cy="8682272"/>
                    </a:xfrm>
                    <a:prstGeom prst="rect">
                      <a:avLst/>
                    </a:prstGeom>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业务协同管理功能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系统支持对受理问题的流转路径与处理情况的查询跟踪。对每个工单在流转过程中的流转岗位路径、处理人、处理方式、处理时间、处理意见都能查询跟踪，以便及时发现问题。</w:t>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hint="eastAsia" w:asciiTheme="minorEastAsia" w:hAnsiTheme="minorEastAsia" w:eastAsiaTheme="minorEastAsia"/>
          <w:b/>
          <w:color w:val="000000" w:themeColor="text1"/>
          <w:sz w:val="28"/>
          <w14:textFill>
            <w14:solidFill>
              <w14:schemeClr w14:val="tx1"/>
            </w14:solidFill>
          </w14:textFill>
        </w:rPr>
        <w:t>工单来源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支持扫码填单，并将工单进行统一汇聚受理。</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289810"/>
            <wp:effectExtent l="0" t="0" r="254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47"/>
                    <a:stretch>
                      <a:fillRect/>
                    </a:stretch>
                  </pic:blipFill>
                  <pic:spPr>
                    <a:xfrm>
                      <a:off x="0" y="0"/>
                      <a:ext cx="6188710" cy="2289810"/>
                    </a:xfrm>
                    <a:prstGeom prst="rect">
                      <a:avLst/>
                    </a:prstGeom>
                  </pic:spPr>
                </pic:pic>
              </a:graphicData>
            </a:graphic>
          </wp:inline>
        </w:drawing>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asciiTheme="minorEastAsia" w:hAnsiTheme="minorEastAsia" w:eastAsiaTheme="minorEastAsia"/>
          <w:b/>
          <w:color w:val="000000" w:themeColor="text1"/>
          <w:sz w:val="28"/>
          <w14:textFill>
            <w14:solidFill>
              <w14:schemeClr w14:val="tx1"/>
            </w14:solidFill>
          </w14:textFill>
        </w:rPr>
        <w:t>业务受理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1、多媒体受理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包括直接答复、网络交办、案件暂存、设为无效件等功能。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48"/>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多媒体受理界面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2、退回件受理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对于退回件可以进行直接答复、网络交办、案件暂存、设为无效件。</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退回件具体办理操作界面如下所示：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49"/>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退回件处理界面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3、办理流程辅助</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系统支持部门推荐、政策推荐和关联案件推荐，为工作人员提供辅助。</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（1）部门推荐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根据历史工单交办部门，结合案件信息形成案件部门匹配模型，新受理案件通过匹配模型进行匹配，形成相关部门推荐信息。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选择相应的内容分类后，系统会自动获取并显示责任部门，如下所示：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50"/>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责任部门推荐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（2）政策推荐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工作人员在处理案件时，系统会根据案件描述提取关键字并进行建模，将关键字模型和描述相结合与政策库中知识进行特征匹配，将匹配度最高的结果推荐给工作人员。</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根据内容分类，系统自动获取并显示相关政策推荐，如下所示：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51"/>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政策法规推荐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（3）关联案件推荐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根据历史工单信息，反映人信息与案件信息，提取相应关键字，匹配相似度较高的工单进行推荐，新受理案件可与历史案件相关联。</w:t>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asciiTheme="minorEastAsia" w:hAnsiTheme="minorEastAsia" w:eastAsiaTheme="minorEastAsia"/>
          <w:b/>
          <w:color w:val="000000" w:themeColor="text1"/>
          <w:sz w:val="28"/>
          <w14:textFill>
            <w14:solidFill>
              <w14:schemeClr w14:val="tx1"/>
            </w14:solidFill>
          </w14:textFill>
        </w:rPr>
        <w:t>待办事项</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待办事项包括以下功能：</w:t>
      </w:r>
    </w:p>
    <w:tbl>
      <w:tblPr>
        <w:tblStyle w:val="38"/>
        <w:tblW w:w="8003" w:type="dxa"/>
        <w:tblInd w:w="631" w:type="dxa"/>
        <w:tblLayout w:type="fixed"/>
        <w:tblCellMar>
          <w:top w:w="0" w:type="dxa"/>
          <w:left w:w="108" w:type="dxa"/>
          <w:bottom w:w="0" w:type="dxa"/>
          <w:right w:w="108" w:type="dxa"/>
        </w:tblCellMar>
      </w:tblPr>
      <w:tblGrid>
        <w:gridCol w:w="644"/>
        <w:gridCol w:w="1923"/>
        <w:gridCol w:w="2157"/>
        <w:gridCol w:w="3279"/>
      </w:tblGrid>
      <w:tr>
        <w:tblPrEx>
          <w:tblCellMar>
            <w:top w:w="0" w:type="dxa"/>
            <w:left w:w="108" w:type="dxa"/>
            <w:bottom w:w="0" w:type="dxa"/>
            <w:right w:w="108" w:type="dxa"/>
          </w:tblCellMar>
        </w:tblPrEx>
        <w:trPr>
          <w:trHeight w:val="561" w:hRule="atLeast"/>
        </w:trPr>
        <w:tc>
          <w:tcPr>
            <w:tcW w:w="64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待办事项</w:t>
            </w:r>
          </w:p>
        </w:tc>
        <w:tc>
          <w:tcPr>
            <w:tcW w:w="192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中心分流</w:t>
            </w: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工单交办</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针对需交办给镇街处理的工单，可交办</w:t>
            </w:r>
          </w:p>
        </w:tc>
      </w:tr>
      <w:tr>
        <w:tblPrEx>
          <w:tblCellMar>
            <w:top w:w="0" w:type="dxa"/>
            <w:left w:w="108" w:type="dxa"/>
            <w:bottom w:w="0" w:type="dxa"/>
            <w:right w:w="108" w:type="dxa"/>
          </w:tblCellMar>
        </w:tblPrEx>
        <w:trPr>
          <w:trHeight w:val="636"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工单退回</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针对描述不清或信息补充错误的工单，可退回</w:t>
            </w:r>
          </w:p>
        </w:tc>
      </w:tr>
      <w:tr>
        <w:tblPrEx>
          <w:tblCellMar>
            <w:top w:w="0" w:type="dxa"/>
            <w:left w:w="108" w:type="dxa"/>
            <w:bottom w:w="0" w:type="dxa"/>
            <w:right w:w="108" w:type="dxa"/>
          </w:tblCellMar>
        </w:tblPrEx>
        <w:trPr>
          <w:trHeight w:val="696"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继续受理</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针对需交办给多个镇街的工单，可继续受理交办</w:t>
            </w:r>
          </w:p>
        </w:tc>
      </w:tr>
      <w:tr>
        <w:tblPrEx>
          <w:tblCellMar>
            <w:top w:w="0" w:type="dxa"/>
            <w:left w:w="108" w:type="dxa"/>
            <w:bottom w:w="0" w:type="dxa"/>
            <w:right w:w="108" w:type="dxa"/>
          </w:tblCellMar>
        </w:tblPrEx>
        <w:trPr>
          <w:trHeight w:val="600"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新接收件</w:t>
            </w:r>
          </w:p>
        </w:tc>
        <w:tc>
          <w:tcPr>
            <w:tcW w:w="543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签收</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未办理件</w:t>
            </w: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工单反馈</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针对镇街能解答的工单，可看反馈给中心</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工单退回</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针对中心交办错的工单，可退回。</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延期申请</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针对期限内无法办理的工单，可向中心申请延期</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已反馈件</w:t>
            </w:r>
          </w:p>
        </w:tc>
        <w:tc>
          <w:tcPr>
            <w:tcW w:w="543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办结</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735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已退回件</w:t>
            </w:r>
          </w:p>
        </w:tc>
      </w:tr>
      <w:tr>
        <w:tblPrEx>
          <w:tblCellMar>
            <w:top w:w="0" w:type="dxa"/>
            <w:left w:w="108" w:type="dxa"/>
            <w:bottom w:w="0" w:type="dxa"/>
            <w:right w:w="108" w:type="dxa"/>
          </w:tblCellMar>
        </w:tblPrEx>
        <w:trPr>
          <w:trHeight w:val="804"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08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延期申请审核</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针对镇街提交的延期申请，中心可通过或驳回</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新收督办件</w:t>
            </w: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督办反馈</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镇街可反馈中心的督办。</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详情</w:t>
            </w: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基本信息</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展示该件基本信息</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业务流转信息</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展示该件业务流转信息</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审核信息</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展示该件的所有延期申请审核信息</w:t>
            </w:r>
          </w:p>
        </w:tc>
      </w:tr>
      <w:tr>
        <w:tblPrEx>
          <w:tblCellMar>
            <w:top w:w="0" w:type="dxa"/>
            <w:left w:w="108" w:type="dxa"/>
            <w:bottom w:w="0" w:type="dxa"/>
            <w:right w:w="108" w:type="dxa"/>
          </w:tblCellMar>
        </w:tblPrEx>
        <w:trPr>
          <w:trHeight w:val="561" w:hRule="atLeast"/>
        </w:trPr>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21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督查办理</w:t>
            </w:r>
          </w:p>
        </w:tc>
        <w:tc>
          <w:tcPr>
            <w:tcW w:w="32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展示该件的所有的督办信息</w:t>
            </w:r>
          </w:p>
        </w:tc>
      </w:tr>
    </w:tbl>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中心分流办理界面如下所示：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52"/>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中心分流办理界面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延期申请审核界面将展示业务登记信息、延期申请信息、处理意见三部分内容。其中延期申请将展示申请天数、原办理以及新办理期限、申请时间、申请内容等关键信息，如下所示：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53"/>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延期申请审核界面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已反馈件主界面将展示工单受理编号、诉求人姓名、联系电话、反映内容、反映日期等，并支持多条件搜索，如下所示：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54"/>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已反馈件主界面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具体案件信息可进入已反馈件办理界面进行业务登记信息和办结信息的查看与填写，如下所示：</w:t>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2927985"/>
            <wp:effectExtent l="0" t="0" r="2540" b="5715"/>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55"/>
                    <a:stretch>
                      <a:fillRect/>
                    </a:stretch>
                  </pic:blipFill>
                  <pic:spPr>
                    <a:xfrm>
                      <a:off x="0" y="0"/>
                      <a:ext cx="6188710" cy="2927985"/>
                    </a:xfrm>
                    <a:prstGeom prst="rect">
                      <a:avLst/>
                    </a:prstGeom>
                  </pic:spPr>
                </pic:pic>
              </a:graphicData>
            </a:graphic>
          </wp:inline>
        </w:drawing>
      </w: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已反馈件办理界面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已退回件主界面将显示受理编号、反映内容、反映日期、退回机构等关键信息，并支持多条件搜索，如下所示：</w:t>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2927985"/>
            <wp:effectExtent l="0" t="0" r="2540" b="5715"/>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56"/>
                    <a:stretch>
                      <a:fillRect/>
                    </a:stretch>
                  </pic:blipFill>
                  <pic:spPr>
                    <a:xfrm>
                      <a:off x="0" y="0"/>
                      <a:ext cx="6188710" cy="2927985"/>
                    </a:xfrm>
                    <a:prstGeom prst="rect">
                      <a:avLst/>
                    </a:prstGeom>
                  </pic:spPr>
                </pic:pic>
              </a:graphicData>
            </a:graphic>
          </wp:inline>
        </w:drawing>
      </w: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已退回件主界面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在已退回件办理页面，可展示业务登记的基本信息和退回意见，退回意见包含退回机构、退回时间、退回原因的说明，页面下方可进行办结、交办以及协办处理方式，具体页面如下所示：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57"/>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已退回件办理界面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工单详情界面，可展示工单的基本信息、业务流转信息、审核信息、督察办理信息内容，可在工单【操作】项中点击【详情】进行具体信息查看，具体页面如下所示：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1764030"/>
            <wp:effectExtent l="0" t="0" r="2540" b="762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58"/>
                    <a:stretch>
                      <a:fillRect/>
                    </a:stretch>
                  </pic:blipFill>
                  <pic:spPr>
                    <a:xfrm>
                      <a:off x="0" y="0"/>
                      <a:ext cx="6188710" cy="1764030"/>
                    </a:xfrm>
                    <a:prstGeom prst="rect">
                      <a:avLst/>
                    </a:prstGeom>
                  </pic:spPr>
                </pic:pic>
              </a:graphicData>
            </a:graphic>
          </wp:inline>
        </w:drawing>
      </w:r>
    </w:p>
    <w:p>
      <w:pPr>
        <w:pStyle w:val="111"/>
        <w:spacing w:before="156" w:beforeLines="50" w:after="156" w:afterLines="50"/>
        <w:ind w:firstLine="0"/>
        <w:jc w:val="center"/>
        <w:rPr>
          <w:rFonts w:cs="Times New Roman" w:asciiTheme="minorEastAsia" w:hAnsiTheme="minorEastAsia" w:eastAsiaTheme="minorEastAsia"/>
          <w:color w:val="000000" w:themeColor="text1"/>
          <w:sz w:val="28"/>
          <w:szCs w:val="28"/>
          <w:lang w:val="en-US" w:eastAsia="zh-CN"/>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工单详情界面</w:t>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asciiTheme="minorEastAsia" w:hAnsiTheme="minorEastAsia" w:eastAsiaTheme="minorEastAsia"/>
          <w:b/>
          <w:color w:val="000000" w:themeColor="text1"/>
          <w:sz w:val="28"/>
          <w14:textFill>
            <w14:solidFill>
              <w14:schemeClr w14:val="tx1"/>
            </w14:solidFill>
          </w14:textFill>
        </w:rPr>
        <w:t>已办事项</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已办事项包括已交办件、已督办件、已协办件等功能。针对已交办的工单，中心可填写备注。针对重要的工单，中心可查看已督办的件并选择是否督办。已办理件是指镇街单位已协同办理的件。</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已交办件界面如下所示：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59"/>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已交办件界面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新增督办单界面如下所示：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60"/>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督办界面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已督办件界面如下所示：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61"/>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已督办件界面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已协办件界面如下所示</w:t>
      </w:r>
      <w:r>
        <w:rPr>
          <w:rFonts w:asciiTheme="minorEastAsia" w:hAnsiTheme="minorEastAsia" w:eastAsiaTheme="minorEastAsia"/>
          <w:color w:val="000000" w:themeColor="text1"/>
          <w:sz w:val="28"/>
          <w14:textFill>
            <w14:solidFill>
              <w14:schemeClr w14:val="tx1"/>
            </w14:solidFill>
          </w14:textFill>
        </w:rPr>
        <w:t>:</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62"/>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已协办件界面</w:t>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asciiTheme="minorEastAsia" w:hAnsiTheme="minorEastAsia" w:eastAsiaTheme="minorEastAsia"/>
          <w:b/>
          <w:color w:val="000000" w:themeColor="text1"/>
          <w:sz w:val="28"/>
          <w14:textFill>
            <w14:solidFill>
              <w14:schemeClr w14:val="tx1"/>
            </w14:solidFill>
          </w14:textFill>
        </w:rPr>
        <w:t>办结事项</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办结事项包括已办结件和不满意件，皆可进行回访跟踪。针对已办结的件，中心可抽查回访。针对不满意的件，中心必须回访。</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已办结件界面如下所示：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63"/>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已办结件界面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已办结件回访界面如下所示：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2752" name="图片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 name="图片 2752"/>
                    <pic:cNvPicPr>
                      <a:picLocks noChangeAspect="1"/>
                    </pic:cNvPicPr>
                  </pic:nvPicPr>
                  <pic:blipFill>
                    <a:blip r:embed="rId64"/>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已办结件回访界面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不满意件界面如下所示：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2753" name="图片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图片 2753"/>
                    <pic:cNvPicPr>
                      <a:picLocks noChangeAspect="1"/>
                    </pic:cNvPicPr>
                  </pic:nvPicPr>
                  <pic:blipFill>
                    <a:blip r:embed="rId65"/>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不满意件界面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不满意件回访界面如下所示：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2754" name="图片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 name="图片 2754"/>
                    <pic:cNvPicPr>
                      <a:picLocks noChangeAspect="1"/>
                    </pic:cNvPicPr>
                  </pic:nvPicPr>
                  <pic:blipFill>
                    <a:blip r:embed="rId66"/>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不满意件回访界面</w:t>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asciiTheme="minorEastAsia" w:hAnsiTheme="minorEastAsia" w:eastAsiaTheme="minorEastAsia"/>
          <w:b/>
          <w:color w:val="000000" w:themeColor="text1"/>
          <w:sz w:val="28"/>
          <w14:textFill>
            <w14:solidFill>
              <w14:schemeClr w14:val="tx1"/>
            </w14:solidFill>
          </w14:textFill>
        </w:rPr>
        <w:t>综合查询</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asciiTheme="minorEastAsia" w:hAnsiTheme="minorEastAsia" w:eastAsiaTheme="minorEastAsia"/>
          <w:color w:val="000000" w:themeColor="text1"/>
          <w:kern w:val="2"/>
          <w:szCs w:val="21"/>
          <w14:textFill>
            <w14:solidFill>
              <w14:schemeClr w14:val="tx1"/>
            </w14:solidFill>
          </w14:textFill>
        </w:rPr>
        <w:t>综合查询模块包括业务记录查询、扬言件查询、重点信访人查询</w:t>
      </w:r>
      <w:r>
        <w:rPr>
          <w:rFonts w:hint="eastAsia" w:asciiTheme="minorEastAsia" w:hAnsiTheme="minorEastAsia" w:eastAsiaTheme="minorEastAsia"/>
          <w:color w:val="000000" w:themeColor="text1"/>
          <w:kern w:val="2"/>
          <w:szCs w:val="21"/>
          <w14:textFill>
            <w14:solidFill>
              <w14:schemeClr w14:val="tx1"/>
            </w14:solidFill>
          </w14:textFill>
        </w:rPr>
        <w:t>、无效件查询</w:t>
      </w:r>
      <w:r>
        <w:rPr>
          <w:rFonts w:asciiTheme="minorEastAsia" w:hAnsiTheme="minorEastAsia" w:eastAsiaTheme="minorEastAsia"/>
          <w:color w:val="000000" w:themeColor="text1"/>
          <w:kern w:val="2"/>
          <w:szCs w:val="21"/>
          <w14:textFill>
            <w14:solidFill>
              <w14:schemeClr w14:val="tx1"/>
            </w14:solidFill>
          </w14:textFill>
        </w:rPr>
        <w:t>。</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业务记录查询界面如下所示：</w:t>
      </w:r>
    </w:p>
    <w:p>
      <w:pPr>
        <w:pStyle w:val="33"/>
        <w:spacing w:beforeAutospacing="0" w:after="120" w:afterAutospacing="0"/>
        <w:jc w:val="center"/>
        <w:rPr>
          <w:rFonts w:asciiTheme="minorEastAsia" w:hAnsiTheme="minorEastAsia" w:eastAsiaTheme="minorEastAsia"/>
          <w:color w:val="000000" w:themeColor="text1"/>
          <w:kern w:val="2"/>
          <w:szCs w:val="21"/>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2755" name="图片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图片 2755"/>
                    <pic:cNvPicPr>
                      <a:picLocks noChangeAspect="1"/>
                    </pic:cNvPicPr>
                  </pic:nvPicPr>
                  <pic:blipFill>
                    <a:blip r:embed="rId67"/>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业务记录查询</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扬言件查询界面如下所示：</w:t>
      </w:r>
    </w:p>
    <w:p>
      <w:pPr>
        <w:pStyle w:val="33"/>
        <w:spacing w:beforeAutospacing="0" w:after="120" w:afterAutospacing="0"/>
        <w:jc w:val="center"/>
        <w:rPr>
          <w:rFonts w:asciiTheme="minorEastAsia" w:hAnsiTheme="minorEastAsia" w:eastAsiaTheme="minorEastAsia"/>
          <w:color w:val="000000" w:themeColor="text1"/>
          <w:kern w:val="2"/>
          <w:szCs w:val="21"/>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2756" name="图片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 name="图片 2756"/>
                    <pic:cNvPicPr>
                      <a:picLocks noChangeAspect="1"/>
                    </pic:cNvPicPr>
                  </pic:nvPicPr>
                  <pic:blipFill>
                    <a:blip r:embed="rId68"/>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 w:val="28"/>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扬言件查询</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重点信访人查询界面如下所示：</w:t>
      </w:r>
    </w:p>
    <w:p>
      <w:pPr>
        <w:pStyle w:val="33"/>
        <w:spacing w:beforeAutospacing="0" w:after="120" w:afterAutospacing="0"/>
        <w:jc w:val="center"/>
        <w:rPr>
          <w:rFonts w:asciiTheme="minorEastAsia" w:hAnsiTheme="minorEastAsia" w:eastAsiaTheme="minorEastAsia"/>
          <w:color w:val="000000" w:themeColor="text1"/>
          <w:kern w:val="2"/>
          <w:szCs w:val="21"/>
          <w14:textFill>
            <w14:solidFill>
              <w14:schemeClr w14:val="tx1"/>
            </w14:solidFill>
          </w14:textFill>
        </w:rPr>
      </w:pPr>
      <w:r>
        <w:rPr>
          <w:color w:val="000000" w:themeColor="text1"/>
          <w14:textFill>
            <w14:solidFill>
              <w14:schemeClr w14:val="tx1"/>
            </w14:solidFill>
          </w14:textFill>
        </w:rPr>
        <w:drawing>
          <wp:inline distT="0" distB="0" distL="0" distR="0">
            <wp:extent cx="6188710" cy="2927985"/>
            <wp:effectExtent l="0" t="0" r="2540" b="5715"/>
            <wp:docPr id="2757" name="图片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 name="图片 2757"/>
                    <pic:cNvPicPr>
                      <a:picLocks noChangeAspect="1"/>
                    </pic:cNvPicPr>
                  </pic:nvPicPr>
                  <pic:blipFill>
                    <a:blip r:embed="rId69"/>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重点信访人查询</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无效件查询界面如下所示：</w:t>
      </w:r>
    </w:p>
    <w:p>
      <w:pPr>
        <w:pStyle w:val="111"/>
        <w:spacing w:before="156" w:beforeLines="50" w:after="156" w:afterLines="50"/>
        <w:ind w:firstLine="0"/>
        <w:jc w:val="center"/>
        <w:rPr>
          <w:rFonts w:asciiTheme="minorEastAsia" w:hAnsiTheme="minorEastAsia" w:eastAsiaTheme="minorEastAsia"/>
          <w:color w:val="000000" w:themeColor="text1"/>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2927985"/>
            <wp:effectExtent l="0" t="0" r="2540" b="5715"/>
            <wp:docPr id="2758" name="图片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 name="图片 2758"/>
                    <pic:cNvPicPr>
                      <a:picLocks noChangeAspect="1"/>
                    </pic:cNvPicPr>
                  </pic:nvPicPr>
                  <pic:blipFill>
                    <a:blip r:embed="rId70"/>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无效件查询</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工单详情展示界面如下所示：</w:t>
      </w:r>
    </w:p>
    <w:p>
      <w:pPr>
        <w:pStyle w:val="111"/>
        <w:spacing w:before="156" w:beforeLines="50" w:after="156" w:afterLines="50"/>
        <w:ind w:firstLine="0"/>
        <w:jc w:val="center"/>
        <w:rPr>
          <w:rFonts w:asciiTheme="minorEastAsia" w:hAnsiTheme="minorEastAsia" w:eastAsiaTheme="minorEastAsia"/>
          <w:color w:val="000000" w:themeColor="text1"/>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1775460"/>
            <wp:effectExtent l="0" t="0" r="2540" b="0"/>
            <wp:docPr id="2759" name="图片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图片 2759"/>
                    <pic:cNvPicPr>
                      <a:picLocks noChangeAspect="1"/>
                    </pic:cNvPicPr>
                  </pic:nvPicPr>
                  <pic:blipFill>
                    <a:blip r:embed="rId71"/>
                    <a:stretch>
                      <a:fillRect/>
                    </a:stretch>
                  </pic:blipFill>
                  <pic:spPr>
                    <a:xfrm>
                      <a:off x="0" y="0"/>
                      <a:ext cx="6188710" cy="1775460"/>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Cs w:val="28"/>
          <w14:textFill>
            <w14:solidFill>
              <w14:schemeClr w14:val="tx1"/>
            </w14:solidFill>
          </w14:textFill>
        </w:rPr>
      </w:pPr>
      <w:r>
        <w:rPr>
          <w:color w:val="000000" w:themeColor="text1"/>
          <w:lang w:val="en-US" w:eastAsia="zh-CN" w:bidi="ar-SA"/>
          <w14:textFill>
            <w14:solidFill>
              <w14:schemeClr w14:val="tx1"/>
            </w14:solidFill>
          </w14:textFill>
        </w:rPr>
        <w:drawing>
          <wp:inline distT="0" distB="0" distL="0" distR="0">
            <wp:extent cx="6188710" cy="2927985"/>
            <wp:effectExtent l="0" t="0" r="2540" b="5715"/>
            <wp:docPr id="2760" name="图片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 name="图片 2760"/>
                    <pic:cNvPicPr>
                      <a:picLocks noChangeAspect="1"/>
                    </pic:cNvPicPr>
                  </pic:nvPicPr>
                  <pic:blipFill>
                    <a:blip r:embed="rId72"/>
                    <a:stretch>
                      <a:fillRect/>
                    </a:stretch>
                  </pic:blipFill>
                  <pic:spPr>
                    <a:xfrm>
                      <a:off x="0" y="0"/>
                      <a:ext cx="6188710" cy="2927985"/>
                    </a:xfrm>
                    <a:prstGeom prst="rect">
                      <a:avLst/>
                    </a:prstGeom>
                  </pic:spPr>
                </pic:pic>
              </a:graphicData>
            </a:graphic>
          </wp:inline>
        </w:drawing>
      </w:r>
    </w:p>
    <w:p>
      <w:pPr>
        <w:pStyle w:val="111"/>
        <w:spacing w:before="156" w:beforeLines="50" w:after="156" w:afterLines="50"/>
        <w:ind w:firstLine="0"/>
        <w:jc w:val="center"/>
        <w:rPr>
          <w:rFonts w:asciiTheme="minorEastAsia" w:hAnsiTheme="minorEastAsia" w:eastAsiaTheme="minorEastAsia"/>
          <w:color w:val="000000" w:themeColor="text1"/>
          <w:szCs w:val="28"/>
          <w14:textFill>
            <w14:solidFill>
              <w14:schemeClr w14:val="tx1"/>
            </w14:solidFill>
          </w14:textFill>
        </w:rPr>
      </w:pPr>
      <w:r>
        <w:rPr>
          <w:rFonts w:hint="eastAsia" w:cs="Times New Roman" w:asciiTheme="minorEastAsia" w:hAnsiTheme="minorEastAsia" w:eastAsiaTheme="minorEastAsia"/>
          <w:color w:val="000000" w:themeColor="text1"/>
          <w:sz w:val="28"/>
          <w:szCs w:val="28"/>
          <w:lang w:val="en-US" w:eastAsia="zh-CN"/>
          <w14:textFill>
            <w14:solidFill>
              <w14:schemeClr w14:val="tx1"/>
            </w14:solidFill>
          </w14:textFill>
        </w:rPr>
        <w:t>图 工单详情展示</w:t>
      </w:r>
    </w:p>
    <w:p>
      <w:pPr>
        <w:pStyle w:val="14"/>
        <w:numPr>
          <w:ilvl w:val="0"/>
          <w:numId w:val="21"/>
        </w:numPr>
        <w:spacing w:line="360" w:lineRule="auto"/>
        <w:rPr>
          <w:rFonts w:asciiTheme="minorEastAsia" w:hAnsiTheme="minorEastAsia" w:eastAsiaTheme="minorEastAsia"/>
          <w:b/>
          <w:color w:val="000000" w:themeColor="text1"/>
          <w:sz w:val="28"/>
          <w14:textFill>
            <w14:solidFill>
              <w14:schemeClr w14:val="tx1"/>
            </w14:solidFill>
          </w14:textFill>
        </w:rPr>
      </w:pPr>
      <w:r>
        <w:rPr>
          <w:rFonts w:hint="eastAsia" w:asciiTheme="minorEastAsia" w:hAnsiTheme="minorEastAsia" w:eastAsiaTheme="minorEastAsia"/>
          <w:b/>
          <w:color w:val="000000" w:themeColor="text1"/>
          <w:sz w:val="28"/>
          <w14:textFill>
            <w14:solidFill>
              <w14:schemeClr w14:val="tx1"/>
            </w14:solidFill>
          </w14:textFill>
        </w:rPr>
        <w:t>应急预警功能</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系统支持提供扬言件预警，若市民有意说出要采取某些行动以达到威胁目的的话，系统可进行相应标记，预警展示指定查询条件下的扬言件。</w:t>
      </w:r>
    </w:p>
    <w:p>
      <w:pPr>
        <w:pStyle w:val="33"/>
        <w:spacing w:beforeAutospacing="0" w:after="120" w:afterAutospacing="0"/>
        <w:ind w:firstLine="560" w:firstLineChars="200"/>
        <w:jc w:val="both"/>
        <w:rPr>
          <w:rFonts w:asciiTheme="minorEastAsia" w:hAnsiTheme="minorEastAsia" w:eastAsiaTheme="minorEastAsia"/>
          <w:color w:val="000000" w:themeColor="text1"/>
          <w:kern w:val="2"/>
          <w:szCs w:val="21"/>
          <w14:textFill>
            <w14:solidFill>
              <w14:schemeClr w14:val="tx1"/>
            </w14:solidFill>
          </w14:textFill>
        </w:rPr>
      </w:pPr>
      <w:r>
        <w:rPr>
          <w:rFonts w:hint="eastAsia" w:asciiTheme="minorEastAsia" w:hAnsiTheme="minorEastAsia" w:eastAsiaTheme="minorEastAsia"/>
          <w:color w:val="000000" w:themeColor="text1"/>
          <w:kern w:val="2"/>
          <w:szCs w:val="21"/>
          <w14:textFill>
            <w14:solidFill>
              <w14:schemeClr w14:val="tx1"/>
            </w14:solidFill>
          </w14:textFill>
        </w:rPr>
        <w:t>同时，系统支持提供突发事件预警，若出现群体事件或突然爆发激增的事件，系统可进行相应标记，预警展示指定查询条件下的数量增幅异常的事件。</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统计报表系统</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根据需求，整合数据完成“一呼解忧”平台数据报表系统开发工作，将一呼解忧系统数据进行图形化列表等进行直观展示。</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扩展支持区（县）、镇（街）协同数据的统计。统计报表包括：</w:t>
      </w:r>
    </w:p>
    <w:tbl>
      <w:tblPr>
        <w:tblStyle w:val="38"/>
        <w:tblW w:w="8307" w:type="dxa"/>
        <w:tblInd w:w="619" w:type="dxa"/>
        <w:tblLayout w:type="fixed"/>
        <w:tblCellMar>
          <w:top w:w="0" w:type="dxa"/>
          <w:left w:w="108" w:type="dxa"/>
          <w:bottom w:w="0" w:type="dxa"/>
          <w:right w:w="108" w:type="dxa"/>
        </w:tblCellMar>
      </w:tblPr>
      <w:tblGrid>
        <w:gridCol w:w="601"/>
        <w:gridCol w:w="1017"/>
        <w:gridCol w:w="1759"/>
        <w:gridCol w:w="4930"/>
      </w:tblGrid>
      <w:tr>
        <w:tblPrEx>
          <w:tblCellMar>
            <w:top w:w="0" w:type="dxa"/>
            <w:left w:w="108" w:type="dxa"/>
            <w:bottom w:w="0" w:type="dxa"/>
            <w:right w:w="108" w:type="dxa"/>
          </w:tblCellMar>
        </w:tblPrEx>
        <w:trPr>
          <w:trHeight w:val="330" w:hRule="atLeast"/>
        </w:trPr>
        <w:tc>
          <w:tcPr>
            <w:tcW w:w="6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统计报表</w:t>
            </w:r>
          </w:p>
        </w:tc>
        <w:tc>
          <w:tcPr>
            <w:tcW w:w="101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hint="eastAsia" w:asciiTheme="minorEastAsia" w:hAnsiTheme="minorEastAsia" w:eastAsiaTheme="minorEastAsia"/>
                <w:color w:val="000000" w:themeColor="text1"/>
                <w:kern w:val="0"/>
                <w:szCs w:val="28"/>
                <w:lang w:bidi="ar"/>
                <w14:textFill>
                  <w14:solidFill>
                    <w14:schemeClr w14:val="tx1"/>
                  </w14:solidFill>
                </w14:textFill>
              </w:rPr>
              <w:t>受理报表</w:t>
            </w:r>
          </w:p>
        </w:tc>
        <w:tc>
          <w:tcPr>
            <w:tcW w:w="175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受理量类</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hint="eastAsia" w:asciiTheme="minorEastAsia" w:hAnsiTheme="minorEastAsia" w:eastAsiaTheme="minorEastAsia"/>
                <w:color w:val="000000" w:themeColor="text1"/>
                <w:kern w:val="0"/>
                <w:szCs w:val="28"/>
                <w:lang w:bidi="ar"/>
                <w14:textFill>
                  <w14:solidFill>
                    <w14:schemeClr w14:val="tx1"/>
                  </w14:solidFill>
                </w14:textFill>
              </w:rPr>
              <w:t>萧山</w:t>
            </w:r>
            <w:r>
              <w:rPr>
                <w:rFonts w:asciiTheme="minorEastAsia" w:hAnsiTheme="minorEastAsia" w:eastAsiaTheme="minorEastAsia"/>
                <w:color w:val="000000" w:themeColor="text1"/>
                <w:kern w:val="0"/>
                <w:szCs w:val="28"/>
                <w:lang w:bidi="ar"/>
                <w14:textFill>
                  <w14:solidFill>
                    <w14:schemeClr w14:val="tx1"/>
                  </w14:solidFill>
                </w14:textFill>
              </w:rPr>
              <w:t>一呼解忧总体受理情况统计报表（反映类型）</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hint="eastAsia" w:asciiTheme="minorEastAsia" w:hAnsiTheme="minorEastAsia" w:eastAsiaTheme="minorEastAsia"/>
                <w:color w:val="000000" w:themeColor="text1"/>
                <w:kern w:val="0"/>
                <w:szCs w:val="28"/>
                <w:lang w:bidi="ar"/>
                <w14:textFill>
                  <w14:solidFill>
                    <w14:schemeClr w14:val="tx1"/>
                  </w14:solidFill>
                </w14:textFill>
              </w:rPr>
              <w:t>萧山</w:t>
            </w:r>
            <w:r>
              <w:rPr>
                <w:rFonts w:asciiTheme="minorEastAsia" w:hAnsiTheme="minorEastAsia" w:eastAsiaTheme="minorEastAsia"/>
                <w:color w:val="000000" w:themeColor="text1"/>
                <w:kern w:val="0"/>
                <w:szCs w:val="28"/>
                <w:lang w:bidi="ar"/>
                <w14:textFill>
                  <w14:solidFill>
                    <w14:schemeClr w14:val="tx1"/>
                  </w14:solidFill>
                </w14:textFill>
              </w:rPr>
              <w:t>一呼解忧总体受理情况统计报表（镇街）</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各反映类型受理总量统计报表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在线服务类</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一呼解忧受理量明细统计报表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内容分类</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业务受理内容分类统计表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处理报表</w:t>
            </w:r>
          </w:p>
        </w:tc>
        <w:tc>
          <w:tcPr>
            <w:tcW w:w="175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回访量报表</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抽查回访统计报表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交办处理报表</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重复交办件报表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镇街处理情况统计报表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综合报表</w:t>
            </w:r>
          </w:p>
        </w:tc>
        <w:tc>
          <w:tcPr>
            <w:tcW w:w="175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效能考核类</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受理人员工作量明细统计报表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满意度统计报表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综合报表类</w:t>
            </w: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月度工作统计表（一）</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月度工作统计表（二）</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hint="eastAsia" w:asciiTheme="minorEastAsia" w:hAnsiTheme="minorEastAsia" w:eastAsiaTheme="minorEastAsia"/>
                <w:color w:val="000000" w:themeColor="text1"/>
                <w:kern w:val="0"/>
                <w:szCs w:val="28"/>
                <w:lang w:bidi="ar"/>
                <w14:textFill>
                  <w14:solidFill>
                    <w14:schemeClr w14:val="tx1"/>
                  </w14:solidFill>
                </w14:textFill>
              </w:rPr>
              <w:t>萧山</w:t>
            </w:r>
            <w:r>
              <w:rPr>
                <w:rFonts w:asciiTheme="minorEastAsia" w:hAnsiTheme="minorEastAsia" w:eastAsiaTheme="minorEastAsia"/>
                <w:color w:val="000000" w:themeColor="text1"/>
                <w:kern w:val="0"/>
                <w:szCs w:val="28"/>
                <w:lang w:bidi="ar"/>
                <w14:textFill>
                  <w14:solidFill>
                    <w14:schemeClr w14:val="tx1"/>
                  </w14:solidFill>
                </w14:textFill>
              </w:rPr>
              <w:t>一呼解忧工单办理统计报表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效能指数统计分析表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网络单位交办排名统计表</w:t>
            </w:r>
          </w:p>
        </w:tc>
      </w:tr>
      <w:tr>
        <w:tblPrEx>
          <w:tblCellMar>
            <w:top w:w="0" w:type="dxa"/>
            <w:left w:w="108" w:type="dxa"/>
            <w:bottom w:w="0" w:type="dxa"/>
            <w:right w:w="108" w:type="dxa"/>
          </w:tblCellMar>
        </w:tblPrEx>
        <w:trPr>
          <w:trHeight w:val="330" w:hRule="atLeast"/>
        </w:trPr>
        <w:tc>
          <w:tcPr>
            <w:tcW w:w="6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01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5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493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内容分类排名统计表</w:t>
            </w:r>
          </w:p>
        </w:tc>
      </w:tr>
    </w:tbl>
    <w:p>
      <w:pPr>
        <w:pStyle w:val="6"/>
        <w:rPr>
          <w:rFonts w:asciiTheme="minorEastAsia" w:hAnsiTheme="minorEastAsia" w:eastAsiaTheme="minorEastAsia"/>
          <w:color w:val="000000" w:themeColor="text1"/>
          <w14:textFill>
            <w14:solidFill>
              <w14:schemeClr w14:val="tx1"/>
            </w14:solidFill>
          </w14:textFill>
        </w:rPr>
      </w:pPr>
      <w:bookmarkStart w:id="213" w:name="_Toc106118876"/>
      <w:r>
        <w:rPr>
          <w:rFonts w:hint="eastAsia" w:asciiTheme="minorEastAsia" w:hAnsiTheme="minorEastAsia" w:eastAsiaTheme="minorEastAsia"/>
          <w:color w:val="000000" w:themeColor="text1"/>
          <w14:textFill>
            <w14:solidFill>
              <w14:schemeClr w14:val="tx1"/>
            </w14:solidFill>
          </w14:textFill>
        </w:rPr>
        <w:t>“智慧信访”</w:t>
      </w:r>
      <w:r>
        <w:rPr>
          <w:rFonts w:asciiTheme="minorEastAsia" w:hAnsiTheme="minorEastAsia" w:eastAsiaTheme="minorEastAsia"/>
          <w:color w:val="000000" w:themeColor="text1"/>
          <w14:textFill>
            <w14:solidFill>
              <w14:schemeClr w14:val="tx1"/>
            </w14:solidFill>
          </w14:textFill>
        </w:rPr>
        <w:t>智能</w:t>
      </w:r>
      <w:r>
        <w:rPr>
          <w:rFonts w:hint="eastAsia" w:asciiTheme="minorEastAsia" w:hAnsiTheme="minorEastAsia" w:eastAsiaTheme="minorEastAsia"/>
          <w:color w:val="000000" w:themeColor="text1"/>
          <w14:textFill>
            <w14:solidFill>
              <w14:schemeClr w14:val="tx1"/>
            </w14:solidFill>
          </w14:textFill>
        </w:rPr>
        <w:t>派单</w:t>
      </w:r>
      <w:bookmarkEnd w:id="213"/>
      <w:r>
        <w:rPr>
          <w:rFonts w:hint="eastAsia" w:asciiTheme="minorEastAsia" w:hAnsiTheme="minorEastAsia" w:eastAsiaTheme="minorEastAsia"/>
          <w:color w:val="000000" w:themeColor="text1"/>
          <w14:textFill>
            <w14:solidFill>
              <w14:schemeClr w14:val="tx1"/>
            </w14:solidFill>
          </w14:textFill>
        </w:rPr>
        <w:t>模块</w:t>
      </w:r>
    </w:p>
    <w:p>
      <w:pPr>
        <w:spacing w:before="96" w:after="96"/>
        <w:ind w:firstLine="560" w:firstLineChars="20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智能派单功能基于文本分析技术</w:t>
      </w:r>
      <w:r>
        <w:rPr>
          <w:rFonts w:asciiTheme="minorEastAsia" w:hAnsiTheme="minorEastAsia" w:eastAsiaTheme="minorEastAsia" w:cstheme="minorEastAsia"/>
          <w:color w:val="000000" w:themeColor="text1"/>
          <w:szCs w:val="28"/>
          <w14:textFill>
            <w14:solidFill>
              <w14:schemeClr w14:val="tx1"/>
            </w14:solidFill>
          </w14:textFill>
        </w:rPr>
        <w:t>和意图识别技术</w:t>
      </w:r>
      <w:r>
        <w:rPr>
          <w:rFonts w:hint="eastAsia" w:asciiTheme="minorEastAsia" w:hAnsiTheme="minorEastAsia" w:eastAsiaTheme="minorEastAsia" w:cstheme="minorEastAsia"/>
          <w:color w:val="000000" w:themeColor="text1"/>
          <w:szCs w:val="28"/>
          <w14:textFill>
            <w14:solidFill>
              <w14:schemeClr w14:val="tx1"/>
            </w14:solidFill>
          </w14:textFill>
        </w:rPr>
        <w:t>，对工单内容进行</w:t>
      </w:r>
      <w:r>
        <w:rPr>
          <w:rFonts w:asciiTheme="minorEastAsia" w:hAnsiTheme="minorEastAsia" w:eastAsiaTheme="minorEastAsia" w:cstheme="minorEastAsia"/>
          <w:color w:val="000000" w:themeColor="text1"/>
          <w:szCs w:val="28"/>
          <w14:textFill>
            <w14:solidFill>
              <w14:schemeClr w14:val="tx1"/>
            </w14:solidFill>
          </w14:textFill>
        </w:rPr>
        <w:t>意图</w:t>
      </w:r>
      <w:r>
        <w:rPr>
          <w:rFonts w:hint="eastAsia" w:asciiTheme="minorEastAsia" w:hAnsiTheme="minorEastAsia" w:eastAsiaTheme="minorEastAsia" w:cstheme="minorEastAsia"/>
          <w:color w:val="000000" w:themeColor="text1"/>
          <w:szCs w:val="28"/>
          <w14:textFill>
            <w14:solidFill>
              <w14:schemeClr w14:val="tx1"/>
            </w14:solidFill>
          </w14:textFill>
        </w:rPr>
        <w:t>识别</w:t>
      </w:r>
      <w:r>
        <w:rPr>
          <w:rFonts w:asciiTheme="minorEastAsia" w:hAnsiTheme="minorEastAsia" w:eastAsiaTheme="minorEastAsia" w:cstheme="minorEastAsia"/>
          <w:color w:val="000000" w:themeColor="text1"/>
          <w:szCs w:val="28"/>
          <w14:textFill>
            <w14:solidFill>
              <w14:schemeClr w14:val="tx1"/>
            </w14:solidFill>
          </w14:textFill>
        </w:rPr>
        <w:t>，构建公共服务问题类别识别模型，识别市民诉求所属问题</w:t>
      </w:r>
      <w:r>
        <w:rPr>
          <w:rFonts w:hint="eastAsia" w:asciiTheme="minorEastAsia" w:hAnsiTheme="minorEastAsia" w:eastAsiaTheme="minorEastAsia" w:cstheme="minorEastAsia"/>
          <w:color w:val="000000" w:themeColor="text1"/>
          <w:szCs w:val="28"/>
          <w14:textFill>
            <w14:solidFill>
              <w14:schemeClr w14:val="tx1"/>
            </w14:solidFill>
          </w14:textFill>
        </w:rPr>
        <w:t>，</w:t>
      </w:r>
      <w:r>
        <w:rPr>
          <w:rFonts w:asciiTheme="minorEastAsia" w:hAnsiTheme="minorEastAsia" w:eastAsiaTheme="minorEastAsia" w:cstheme="minorEastAsia"/>
          <w:color w:val="000000" w:themeColor="text1"/>
          <w:szCs w:val="28"/>
          <w14:textFill>
            <w14:solidFill>
              <w14:schemeClr w14:val="tx1"/>
            </w14:solidFill>
          </w14:textFill>
        </w:rPr>
        <w:t>实现对工单中事件信息的自动提取、分类等功能，通过问题-部门映射表，自动将工单</w:t>
      </w:r>
      <w:r>
        <w:rPr>
          <w:rFonts w:hint="eastAsia" w:asciiTheme="minorEastAsia" w:hAnsiTheme="minorEastAsia" w:eastAsiaTheme="minorEastAsia" w:cstheme="minorEastAsia"/>
          <w:color w:val="000000" w:themeColor="text1"/>
          <w:szCs w:val="28"/>
          <w14:textFill>
            <w14:solidFill>
              <w14:schemeClr w14:val="tx1"/>
            </w14:solidFill>
          </w14:textFill>
        </w:rPr>
        <w:t>自动</w:t>
      </w:r>
      <w:r>
        <w:rPr>
          <w:rFonts w:asciiTheme="minorEastAsia" w:hAnsiTheme="minorEastAsia" w:eastAsiaTheme="minorEastAsia" w:cstheme="minorEastAsia"/>
          <w:color w:val="000000" w:themeColor="text1"/>
          <w:szCs w:val="28"/>
          <w14:textFill>
            <w14:solidFill>
              <w14:schemeClr w14:val="tx1"/>
            </w14:solidFill>
          </w14:textFill>
        </w:rPr>
        <w:t>分派至对应职能部门，提升坐席人员工单分派工作效率和事件处理效率</w:t>
      </w:r>
      <w:r>
        <w:rPr>
          <w:rFonts w:hint="eastAsia" w:asciiTheme="minorEastAsia" w:hAnsiTheme="minorEastAsia" w:eastAsiaTheme="minorEastAsia" w:cstheme="minorEastAsia"/>
          <w:color w:val="000000" w:themeColor="text1"/>
          <w:szCs w:val="28"/>
          <w14:textFill>
            <w14:solidFill>
              <w14:schemeClr w14:val="tx1"/>
            </w14:solidFill>
          </w14:textFill>
        </w:rPr>
        <w:t>。</w:t>
      </w:r>
    </w:p>
    <w:p>
      <w:pPr>
        <w:spacing w:before="96" w:after="96"/>
        <w:ind w:firstLine="560" w:firstLineChars="20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其技术原理是：通过各种渠道</w:t>
      </w:r>
      <w:r>
        <w:rPr>
          <w:rFonts w:asciiTheme="minorEastAsia" w:hAnsiTheme="minorEastAsia" w:eastAsiaTheme="minorEastAsia" w:cstheme="minorEastAsia"/>
          <w:color w:val="000000" w:themeColor="text1"/>
          <w:szCs w:val="28"/>
          <w14:textFill>
            <w14:solidFill>
              <w14:schemeClr w14:val="tx1"/>
            </w14:solidFill>
          </w14:textFill>
        </w:rPr>
        <w:t>进来的工单，通过充分运用大数据技术和智能推荐引擎，</w:t>
      </w:r>
      <w:r>
        <w:rPr>
          <w:rFonts w:hint="eastAsia" w:asciiTheme="minorEastAsia" w:hAnsiTheme="minorEastAsia" w:eastAsiaTheme="minorEastAsia" w:cstheme="minorEastAsia"/>
          <w:color w:val="000000" w:themeColor="text1"/>
          <w:szCs w:val="28"/>
          <w14:textFill>
            <w14:solidFill>
              <w14:schemeClr w14:val="tx1"/>
            </w14:solidFill>
          </w14:textFill>
        </w:rPr>
        <w:t>对工单内容进行文本提取、处理、对应关系建立，将工单</w:t>
      </w:r>
      <w:r>
        <w:rPr>
          <w:rFonts w:asciiTheme="minorEastAsia" w:hAnsiTheme="minorEastAsia" w:eastAsiaTheme="minorEastAsia" w:cstheme="minorEastAsia"/>
          <w:color w:val="000000" w:themeColor="text1"/>
          <w:szCs w:val="28"/>
          <w14:textFill>
            <w14:solidFill>
              <w14:schemeClr w14:val="tx1"/>
            </w14:solidFill>
          </w14:textFill>
        </w:rPr>
        <w:t>内容</w:t>
      </w:r>
      <w:r>
        <w:rPr>
          <w:rFonts w:hint="eastAsia" w:asciiTheme="minorEastAsia" w:hAnsiTheme="minorEastAsia" w:eastAsiaTheme="minorEastAsia" w:cstheme="minorEastAsia"/>
          <w:color w:val="000000" w:themeColor="text1"/>
          <w:szCs w:val="28"/>
          <w14:textFill>
            <w14:solidFill>
              <w14:schemeClr w14:val="tx1"/>
            </w14:solidFill>
          </w14:textFill>
        </w:rPr>
        <w:t>与数据库中信息</w:t>
      </w:r>
      <w:r>
        <w:rPr>
          <w:rFonts w:asciiTheme="minorEastAsia" w:hAnsiTheme="minorEastAsia" w:eastAsiaTheme="minorEastAsia" w:cstheme="minorEastAsia"/>
          <w:color w:val="000000" w:themeColor="text1"/>
          <w:szCs w:val="28"/>
          <w14:textFill>
            <w14:solidFill>
              <w14:schemeClr w14:val="tx1"/>
            </w14:solidFill>
          </w14:textFill>
        </w:rPr>
        <w:t>利用相似度算法模型进行</w:t>
      </w:r>
      <w:r>
        <w:rPr>
          <w:rFonts w:hint="eastAsia" w:asciiTheme="minorEastAsia" w:hAnsiTheme="minorEastAsia" w:eastAsiaTheme="minorEastAsia" w:cstheme="minorEastAsia"/>
          <w:color w:val="000000" w:themeColor="text1"/>
          <w:szCs w:val="28"/>
          <w14:textFill>
            <w14:solidFill>
              <w14:schemeClr w14:val="tx1"/>
            </w14:solidFill>
          </w14:textFill>
        </w:rPr>
        <w:t>特征比对，以“智能派单”的模式</w:t>
      </w:r>
      <w:r>
        <w:rPr>
          <w:rFonts w:asciiTheme="minorEastAsia" w:hAnsiTheme="minorEastAsia" w:eastAsiaTheme="minorEastAsia" w:cstheme="minorEastAsia"/>
          <w:color w:val="000000" w:themeColor="text1"/>
          <w:szCs w:val="28"/>
          <w14:textFill>
            <w14:solidFill>
              <w14:schemeClr w14:val="tx1"/>
            </w14:solidFill>
          </w14:textFill>
        </w:rPr>
        <w:t>实现对各类事件的自动识别和匹配</w:t>
      </w:r>
      <w:r>
        <w:rPr>
          <w:rFonts w:hint="eastAsia" w:asciiTheme="minorEastAsia" w:hAnsiTheme="minorEastAsia" w:eastAsiaTheme="minorEastAsia" w:cstheme="minorEastAsia"/>
          <w:color w:val="000000" w:themeColor="text1"/>
          <w:szCs w:val="28"/>
          <w14:textFill>
            <w14:solidFill>
              <w14:schemeClr w14:val="tx1"/>
            </w14:solidFill>
          </w14:textFill>
        </w:rPr>
        <w:t>，将工单准确推荐到相关部门。在工单内容为常规无明显错误的情况下，分派准确率达</w:t>
      </w:r>
      <w:r>
        <w:rPr>
          <w:rFonts w:asciiTheme="minorEastAsia" w:hAnsiTheme="minorEastAsia" w:eastAsiaTheme="minorEastAsia" w:cstheme="minorEastAsia"/>
          <w:color w:val="000000" w:themeColor="text1"/>
          <w:szCs w:val="28"/>
          <w14:textFill>
            <w14:solidFill>
              <w14:schemeClr w14:val="tx1"/>
            </w14:solidFill>
          </w14:textFill>
        </w:rPr>
        <w:t>95%以上。分派的基本流程如下：</w:t>
      </w:r>
    </w:p>
    <w:p>
      <w:pPr>
        <w:spacing w:before="96" w:after="96"/>
        <w:ind w:firstLine="480"/>
        <w:rPr>
          <w:rFonts w:asciiTheme="minorEastAsia" w:hAnsiTheme="minorEastAsia" w:eastAsia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根据以前的</w:t>
      </w:r>
      <w:r>
        <w:rPr>
          <w:rFonts w:hint="eastAsia" w:asciiTheme="minorEastAsia" w:hAnsiTheme="minorEastAsia" w:eastAsiaTheme="minorEastAsia" w:cstheme="minorEastAsia"/>
          <w:color w:val="000000" w:themeColor="text1"/>
          <w:szCs w:val="28"/>
          <w14:textFill>
            <w14:solidFill>
              <w14:schemeClr w14:val="tx1"/>
            </w14:solidFill>
          </w14:textFill>
        </w:rPr>
        <w:t>工单</w:t>
      </w:r>
      <w:r>
        <w:rPr>
          <w:rFonts w:asciiTheme="minorEastAsia" w:hAnsiTheme="minorEastAsia" w:eastAsiaTheme="minorEastAsia" w:cstheme="minorEastAsia"/>
          <w:color w:val="000000" w:themeColor="text1"/>
          <w:szCs w:val="28"/>
          <w14:textFill>
            <w14:solidFill>
              <w14:schemeClr w14:val="tx1"/>
            </w14:solidFill>
          </w14:textFill>
        </w:rPr>
        <w:t>转交处理记录</w:t>
      </w:r>
      <w:r>
        <w:rPr>
          <w:rFonts w:hint="eastAsia" w:asciiTheme="minorEastAsia" w:hAnsiTheme="minorEastAsia" w:eastAsiaTheme="minorEastAsia" w:cstheme="minorEastAsia"/>
          <w:color w:val="000000" w:themeColor="text1"/>
          <w:szCs w:val="28"/>
          <w14:textFill>
            <w14:solidFill>
              <w14:schemeClr w14:val="tx1"/>
            </w14:solidFill>
          </w14:textFill>
        </w:rPr>
        <w:t>，</w:t>
      </w:r>
      <w:r>
        <w:rPr>
          <w:rFonts w:asciiTheme="minorEastAsia" w:hAnsiTheme="minorEastAsia" w:eastAsiaTheme="minorEastAsia" w:cstheme="minorEastAsia"/>
          <w:color w:val="000000" w:themeColor="text1"/>
          <w:szCs w:val="28"/>
          <w14:textFill>
            <w14:solidFill>
              <w14:schemeClr w14:val="tx1"/>
            </w14:solidFill>
          </w14:textFill>
        </w:rPr>
        <w:t>自动分析待处理的业务部门，按照计算概率排序列出前N个部门，在用户一次点击的基础上自动在树形控件中定位到部门。</w:t>
      </w:r>
    </w:p>
    <w:p>
      <w:pPr>
        <w:spacing w:before="96" w:after="96"/>
        <w:ind w:firstLine="480"/>
        <w:rPr>
          <w:rFonts w:asciiTheme="minorEastAsia" w:hAnsiTheme="minorEastAsia" w:eastAsia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系统管理员对每个部门维护关键字，关键字由工作人员调整。</w:t>
      </w:r>
    </w:p>
    <w:p>
      <w:pPr>
        <w:spacing w:before="96" w:after="96"/>
        <w:ind w:firstLine="480"/>
        <w:rPr>
          <w:rFonts w:asciiTheme="minorEastAsia" w:hAnsiTheme="minorEastAsia" w:eastAsia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受理页面选择“交办”，系统自动根据填写的反映内容获取到关键字，然后根据关键字自动推荐最接近的承办部门。</w:t>
      </w:r>
    </w:p>
    <w:p>
      <w:pPr>
        <w:ind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意识识别智能派单架构图和智能部门推荐图如下：</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drawing>
          <wp:inline distT="0" distB="0" distL="0" distR="0">
            <wp:extent cx="5274310" cy="2932430"/>
            <wp:effectExtent l="0" t="0" r="2540" b="1270"/>
            <wp:docPr id="16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0"/>
                    <pic:cNvPicPr>
                      <a:picLocks noChangeAspect="1"/>
                    </pic:cNvPicPr>
                  </pic:nvPicPr>
                  <pic:blipFill>
                    <a:blip r:embed="rId73"/>
                    <a:srcRect l="44518" t="35377"/>
                    <a:stretch>
                      <a:fillRect/>
                    </a:stretch>
                  </pic:blipFill>
                  <pic:spPr>
                    <a:xfrm>
                      <a:off x="0" y="0"/>
                      <a:ext cx="5274310" cy="2932430"/>
                    </a:xfrm>
                    <a:prstGeom prst="rect">
                      <a:avLst/>
                    </a:prstGeom>
                  </pic:spPr>
                </pic:pic>
              </a:graphicData>
            </a:graphic>
          </wp:inline>
        </w:drawing>
      </w:r>
    </w:p>
    <w:p>
      <w:pPr>
        <w:jc w:val="center"/>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图：自动分派流程</w:t>
      </w:r>
    </w:p>
    <w:p>
      <w:pPr>
        <w:spacing w:before="96" w:after="96"/>
        <w:ind w:firstLine="48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系统还可以利用柱状图、圆形图、城市地图等方式来直观反映派单部门的分布情况。在数据分析过程中，派单数据分析图是很直观的可视化的表达形式，通过数据比对、分析和归纳，及时、准确地反映总量分布、热点部门比例等情况，帮助管理部门客观分析现状，辅助宏观决策和调控。示例如下：</w:t>
      </w:r>
    </w:p>
    <w:p>
      <w:pPr>
        <w:spacing w:before="96" w:after="96"/>
        <w:jc w:val="center"/>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4396105" cy="3143250"/>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4"/>
                    <a:stretch>
                      <a:fillRect/>
                    </a:stretch>
                  </pic:blipFill>
                  <pic:spPr>
                    <a:xfrm>
                      <a:off x="0" y="0"/>
                      <a:ext cx="4470276" cy="3195822"/>
                    </a:xfrm>
                    <a:prstGeom prst="rect">
                      <a:avLst/>
                    </a:prstGeom>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建设依据与落地指标</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政策支撑：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2020年《国务院办公厅关于加快推进政务服务“跨省通办”的指导意见》中提出: 从高频政务服务事项入手，2020年底前实现第一批事项“跨省通办”，2021年底前基本实现高频政务服务事项“跨省通办”，同步建立清单化管理制度和更新机制，逐步纳入其他办事事项，有效满足各类市场主体和广大人民群众异地办事需求。</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2021年《中华人民共和国国民经济和社会发展第十四个五年规划和2035年远景目标纲要》中指出适应数字技术全面融入社会交往和日常生活新趋势，促进公共服务和社会运行方式创新，构筑全民畅享的数字生活。将数字技术广泛应用于政府管理服务，推动政府治理流程再造和模式优化，不断提高决策科学性和服务效率。</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学术支撑：</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基于人工智能技术实现银行工单智能派单》中作者也提到：通过智能派单系统，可以提高工单的派单准确率并有效提高工单处理效率，最终提升客户满意度，同时替代人工派单模式可以一定程度减少人力成本及重复的培训成本。</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过去在接到12345工单后，工作人员必须全面了解各个部门的具体工作职责及范围，并仔细阅读每件工单的诉求，才能在70个单位中准确选出相对应的承办部门进行派单。而开发智能化的派单功能，则可以根据系统推荐的辅助指导选项进行快速判断，工单流转更科学、精准、高效。该功能上线后，可以压缩12345热线工单内部流转时长，市民的诉求也可以在短时间内快速派发至相应承办部门，大大提高了“接诉即办” 效率。此外，由于生活种面临处置的案件种类繁多，而且权责划分较为复杂。12345热线信息员需要进行超过1个月培训才能进行准确派单。而智能派单的使用可以辅助新人快速熟悉业务，快速上手工作。若出现智能派单交办错误的情况，智能派单系统存在回退机制，若接收部门审核不通过，相关操作人员可将工单回退，系统通过容错机制将进行打标签操作，后续进行训练提高派单准确率。</w:t>
      </w:r>
    </w:p>
    <w:p>
      <w:pPr>
        <w:pStyle w:val="14"/>
        <w:numPr>
          <w:ilvl w:val="0"/>
          <w:numId w:val="22"/>
        </w:numPr>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交付评价指标</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推荐交办部门的准确率（Accuracy）</w:t>
      </w:r>
    </w:p>
    <w:p>
      <w:pPr>
        <w:pStyle w:val="14"/>
        <w:numPr>
          <w:ilvl w:val="0"/>
          <w:numId w:val="22"/>
        </w:numPr>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准确率计算公式</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Accuracy=推荐正确的交办部门的数量/用于测试的总的样本量</w:t>
      </w:r>
    </w:p>
    <w:p>
      <w:pPr>
        <w:pStyle w:val="14"/>
        <w:numPr>
          <w:ilvl w:val="0"/>
          <w:numId w:val="22"/>
        </w:numPr>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落地标准（第一阶段）</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68%&lt;Accuracy&lt;73%</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原因：基于杭电派单数据，做了交办部门推荐实验，实验室最优结果为75%，但是实际多地可能存有数据分布不一致的情况。初步估计准确率会有5%的浮动。</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注：算法是一个持续优化的过程，上述标准只是基于部分数据进行实验得到的初步结果。</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AI算法模型设计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信息智能分发应用包括算法模型开发、机器人流程定制化开发以及接口开发等三方面功能，以下详细介绍。</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1、数据样本选样设计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【1】数据汇总</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将萧山区信访局三年以来的历史信访数据按照所需要的字段分别进行抽取，再进行汇总。</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【2】数据整理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按照规则，对进入算法模型的信访信息进行初步整理。对于不符合预置数据编码规范、命名规范、字段规范的数据，系统拒绝其入库。</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【3】数据清洗</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需要对整理完成的数据进行清洗和预处理，之后再开始模型训练与计算。系统需支持多种数据清洗规则，能够在线清洗数据并及时得到清洗结果。数据清洗规则主要指对字符串进行处理，具体规则包括：大小写转换及删除空格等。</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【4】数据检查</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检查是否存在异常值、文本过短、过长等，以及检查是否是目标领域（电话领域）的数据，确保数据质量满足算法模型对于数据质量方面的要求。</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【5】样本筛选</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有监督的学习分类需要建立特征向量,对特征进行预处理。其中对于有监督的训练时,需要进行样本的筛选，以确保样本数据的合格、有效。当无效或者不符合规范的样本进入训练集后，将会给训练过程带来噪声，严重降低训练质量，直接影响到后续处理环节的精确度。</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【6】数据切分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将所有历史信访信息按照比例切分成为训练集和测试集。训练集用于模型训练，而测试集用于测试模型指标。</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【7】模型架构设计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本项目将使用基于字形信息的预训练语言模型作为基础模型，并在此基础上综合考虑文本自身标签、标签触发词、语言模型微调三个任务，实现多任务的文本分类模型。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【8】模型训练</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传统工作模式下，萧山区信访局工作人员接到上级交办的信访信息后，需要人工地对其内容进行阅读和理解，然后根据信访信息涉及到的类别进行手动分发。但是，每件信访信息所涉及到的主题类别都有所不同，而信访信息的阅读人员的业务背景也不尽相同，因此在这种工作模式下一方面需要花费较多的时间，另一方面标准也难以统一。</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在这种情况下，需要通过模型训练对历史信访信息进行分析处理。通过模型训练，使模型学习到每一个分类标签出现的概率分布，以此来建模出符合信访信息自动分发实际业务场景的模型。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【9】模型调参优化</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当算法模型初始效果不是很好时,可以通过调整算法参数的方式，尝试各种参数组合,返回最好的得分值的参数组合，进而提升深度学习质量。</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【10】模型后处理优化</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对于模型后处理优化环节提供各类优化手段，形成测试-评估-优化的模型迭代闭环。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【11】模型指标测试</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提供模型指标测试方法，针对错误率、召回率、精确率、混淆矩阵和分类报告、P-R曲线、准确率、f1分值等模型指标提供测试方法。</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【12】模型实际效果评估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算法模型需要提供模型实际效果评估方法，能够推导得出在不同数据输入条件下的算法模型准确率、召回率等效果指标。</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R</w:t>
      </w:r>
      <w:r>
        <w:rPr>
          <w:rFonts w:asciiTheme="minorEastAsia" w:hAnsiTheme="minorEastAsia" w:eastAsiaTheme="minorEastAsia"/>
          <w:color w:val="000000" w:themeColor="text1"/>
          <w14:textFill>
            <w14:solidFill>
              <w14:schemeClr w14:val="tx1"/>
            </w14:solidFill>
          </w14:textFill>
        </w:rPr>
        <w:t>PA</w:t>
      </w:r>
      <w:r>
        <w:rPr>
          <w:rFonts w:hint="eastAsia" w:asciiTheme="minorEastAsia" w:hAnsiTheme="minorEastAsia" w:eastAsiaTheme="minorEastAsia"/>
          <w:color w:val="000000" w:themeColor="text1"/>
          <w14:textFill>
            <w14:solidFill>
              <w14:schemeClr w14:val="tx1"/>
            </w14:solidFill>
          </w14:textFill>
        </w:rPr>
        <w:t>流程自动化设计</w:t>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4.1.5.6.3.1 RPA流程自动化技术简介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计算机视觉、机器学习、自然语言处理、机器人和语音识别是人工智能的五大核心技术，本次项目将基于人工智能技术+RPA技术，打造符合信访业务的智能分发机器人。</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机器人流程自动化(robotic process automation，RPA)是一种通过模拟人与应用软件系统的交互过程，实现由软件机器人自动化执行工作流程的技术应用，简单说，RPA 是一款基于桌面记录的自动化软件，它通过使用用户界面层中的技术，模拟人类行为，记录键盘鼠标动作并自动回放，从而代替人工执行计算机的批量化操作，出色完成大量重复性、定义清晰、有固定逻辑的工作。更重要的是，对于异构系统互联，RPA是一种外挂式的、从用户界面层面进行“非侵人式”的系统打通，无需修改原有系统架构、不改变现有业务系统处理逻辑地连接不同系统，实现“虚拟”的系统集成。同时，支持低代码开发，部署快速灵活。</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AI）人工智能技术，在过去10年，是一个从0到1的探索过程，科技创新之路已经悄然兴起，国内人工智能应用层面创新加速的条件已经成熟。全球正在从“互联网+”向“AI+垂直细分领域”转型。“AI+”让人工智能逐渐融入各个传统行业，对行业进行改造。“AI+”时代，以深度学习等关键技术为核心，以云计算、生物识别、视频识别等数据或计算能力为基础支撑，推动人工智能在金融、医疗、交通、安防、文娱、农业、教育等领域将应用场景落地生根，创造出更大价值。本次项目将利用人工智能技术中的NLP（自然语言处理）、NLU（自然语义理解）等技术，智能判断填报内容是否准确合理。</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人工智能结合RPA技术实现业务流程自动化、智能化，实现业务中的智能催报、智能审核、智能测算。RPA的全称为：Robotic Process Automation，即机器人流程自动化。该项技术的核心作用是将工作信息流与业务交互通过机器人来按照设定的流程去执行，从而将业务需求被执行的过程变得自动化且标准化。RPA技术发展已经历了四个过程：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【1】RPA 1.0阶段：辅助性RPA(Assisted RPA)</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在RPA 1.0阶段，作为“虚拟助手”出现的RPA，几乎涵盖了机器人自动化的主要功能，以及现有桌面自动化软件的全部操作。部署在员工PC机上，用于提高工作效率。缺点是难以实现端到端的自动化，做不到成规模应用。不过辅助RPA已能够有效减少业务平均处理时间，可有效改善客户体验并节省成本。</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【2】RPA 2.0阶段：非辅助性RPA(Unassisted RPA)</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在RPA 2.0阶段，被称为“虚拟劳动力”的RPA，主要目标即实现端到端的自动化，以及虚拟员工分级。主要部署在VMS虚拟机上，能够编排工作内容，集中化管理机器人、分析机器人的表现等。缺点是对于RPA软件机器人的工作仍然需要人工的控制和管理。非辅助性RPA机器人可以全天候工作24 * 7，并用业务流程代替了人机交互，释放了更大的增效降本可能性。</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【3】RPA 3.0阶段：自主性RPA(Autonomous RPA)</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在RPA 3.0阶段，RPA的主要目标是实现端到端的自动化和成规模多功能虚拟劳动力。通常部署在云服务器和SaaS上，特点是实现自动分级、动态负载平衡、情景感知、高级分析和工作流。缺点是处理非结构化数据仍较为困难。但更多技术的融合，使得自主性RPA可从根本上提升业务价值并为用户带来更多优势。</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【4】RPA 4.0阶段：认知性RPA(Cognitive RPA)</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 4.0将是未来RPA发展的方向。开始运用人工智能、机器学习以及自然语言处理等技术，以实现非结构化数据的处理、预测规范分析、自动任务接受处理等功能。借助认知性RPA，决策过程全都由机器人执行，从而可以将所有漫长而复杂的任务自动化。</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 技术自 2012-2015 年后在国外开始商业落地，中国从2019年开始火热掀起商业落地潮，目前市场上已具备大量成熟的应用案例。</w:t>
      </w:r>
    </w:p>
    <w:p>
      <w:pPr>
        <w:pStyle w:val="8"/>
        <w:rPr>
          <w:rFonts w:asciiTheme="minorEastAsia" w:hAnsiTheme="minorEastAsia" w:eastAsiaTheme="minorEastAsia"/>
          <w:b w:val="0"/>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4.1.5.6.3.2 </w:t>
      </w:r>
      <w:r>
        <w:rPr>
          <w:rFonts w:asciiTheme="minorEastAsia" w:hAnsiTheme="minorEastAsia" w:eastAsiaTheme="minorEastAsia"/>
          <w:color w:val="000000" w:themeColor="text1"/>
          <w14:textFill>
            <w14:solidFill>
              <w14:schemeClr w14:val="tx1"/>
            </w14:solidFill>
          </w14:textFill>
        </w:rPr>
        <w:t>RPA流程自动化技术应用价值</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通过人工智能+流程自动化技术，构建信访智能分发机器人，以自动化软件作为虚拟劳动力，依据预先设定的程序与现有系统进行交互并完成预期的任务。通过智能分发机器人捕捉并模拟日常的键盘、鼠标操作等人机交互行为，完成信访工作中所涉及的识别、触发、通信、文本生成等任务，自动执行重复性的业务流程。通过AI能力平台赋能，让智能分发机器人具备复杂场景的判断能力。解决信访内部重复、低效的事务性工作，为信访效能管理提供数字化改革方向，实现信访事务性工作提质、增效，基层减负。</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1、打通数据壁垒，实现数据流通共享</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目前，各系统平台大多基于已有的网络基础设施、业务系统和数据资源，基本采用独立模式建设，跨地区、跨部门、跨层级、跨业务的信息资源共享共用和业务协同力度不够，各单位由于平台开发公司不同、开发底层结构差异、数据对接过程不配合等客观存在问题，导致数据接口互通的难点，信息孤岛仍然存在。同时，各单位网上数据开放共享进度参差不齐，信息共享供需矛盾较为突出，这造成各部门、各层级间出现信息孤岛与部门壁垒，给数字政府建设产生了一定阻力。</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采用“AI+RPA”技术能够全面解决各单位由于平台开发公司不同、开发底层结构差异、数据对接过程不配合等客观存在问题，避开数据接口互通的难点，高效解决数据难以共享的痛点。可通过智能分发机器人智能查询、识别、记录各单位平台数据，并进行有序梳理归类和分析，在不依赖平台开发公司的情况下实现跨单位、全领域的数据融通共享，为数据治理提供新路径。</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2、梳理标准工作流程，提升业务部门工作效能。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业务部门在重复性工作上需耗费大量时间。业务部门的较多日常工作具有重复性与反复性，例如材料整理、事项审核、数据统计、要素填写、内容转录、信息通知等，牵扯了工作人员大量时间。在当前行政环境下，公务员编制受限，一人多岗的情况普遍存在，花费大量时间用以处理不复杂的、重复性工作，对本就紧张的行政资源“雪上加霜”。</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通过业务规则梳理，全面规范业务流程，基于“AI+RPA”技术研发的“智能分发机器人”，能够协助信访局业务人员处理日常重复性工作，甚至通过“AI”的大数据运算加持，在部分业务上形成完全脱离人工的独立智能化处理流程，解放劳动力，实现工作人员由“办事员”到“审核员”的转变，极大程度节约人力资源、提升部门内部工作效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3、采集分析关键数据，智能辅助决策管理。</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对精准数据实时掌握的需求日益提升。如今在进行重大决策时已不再是拍脑袋的方式，而是充分依据关键数据、分析模型结论等开展决策。然而数据采集、记录、归档、分析是一项耗时耗力的工作，当涉及横向（区域）、纵向（时间）对比时则工作复杂程度呈几何数增长。在决策制定过程中有50%-70%的时间是用于数据采集和分析上。此两环节工作以人工方式进行往往力有不逮，且易出现数据统计不全面、分析不精准等情况，导致决策判断受到影响。</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利用“AI+RPA”技术可搭建智能辅助决策管理系统。充分发挥智能分发机器人7*24H不间断的优势，通过数字大屏实时展示决策关键数据和分析模型，再以AI模拟人的主观能动判断，为领导层提供智能辅助决策建议，真正使得“数据走在决策前、智能分析重实践”，构建起人机交互的和谐生态。</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4.1.5.6.3.3 </w:t>
      </w:r>
      <w:r>
        <w:rPr>
          <w:rFonts w:asciiTheme="minorEastAsia" w:hAnsiTheme="minorEastAsia" w:eastAsiaTheme="minorEastAsia"/>
          <w:color w:val="000000" w:themeColor="text1"/>
          <w14:textFill>
            <w14:solidFill>
              <w14:schemeClr w14:val="tx1"/>
            </w14:solidFill>
          </w14:textFill>
        </w:rPr>
        <w:t>RPA架构及技术功能需求</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rFonts w:cs="仿宋" w:asciiTheme="minorEastAsia" w:hAnsiTheme="minorEastAsia" w:eastAsiaTheme="minorEastAsia"/>
          <w:color w:val="000000" w:themeColor="text1"/>
          <w:sz w:val="28"/>
          <w14:textFill>
            <w14:solidFill>
              <w14:schemeClr w14:val="tx1"/>
            </w14:solidFill>
          </w14:textFill>
        </w:rPr>
        <w:drawing>
          <wp:inline distT="0" distB="0" distL="0" distR="0">
            <wp:extent cx="5486400" cy="3303905"/>
            <wp:effectExtent l="0" t="0" r="0" b="0"/>
            <wp:docPr id="13" name="图片 13"/>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499147" cy="3311708"/>
                    </a:xfrm>
                    <a:prstGeom prst="rect">
                      <a:avLst/>
                    </a:prstGeom>
                    <a:noFill/>
                    <a:ln>
                      <a:noFill/>
                    </a:ln>
                  </pic:spPr>
                </pic:pic>
              </a:graphicData>
            </a:graphic>
          </wp:inline>
        </w:drawing>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RPA平台核心架构包含三个部分，分别是设计器、控制中心和客户端：</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设计器：也称作RPA集成开发环境或设计工厂，开发人员或实施工程师可根据具体的业务场景需求利用RPA设计器制定特定的任务机器人（一系列流程指令）。RPA设计器内置RPA机器人运行环境，支持流程设计、参数设置、调试、运行、打包发布等功能。RPA设计器支持可视化和代码模式等设计模式，非IT专业开发人员通过短期培训，也能快速掌握使用。</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RPA控制中心： 也称作RPA服务器，是负责管理RPA机器人的“机器人”，其主要职责包括：RPA功能版本管理、RPA客户端（机器人）运行监控、任务分配、运行结果展示及日志分析等。</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ab/>
      </w:r>
      <w:r>
        <w:rPr>
          <w:rFonts w:hint="eastAsia" w:asciiTheme="minorEastAsia" w:hAnsiTheme="minorEastAsia" w:eastAsiaTheme="minorEastAsia"/>
          <w:color w:val="000000" w:themeColor="text1"/>
          <w:sz w:val="28"/>
          <w14:textFill>
            <w14:solidFill>
              <w14:schemeClr w14:val="tx1"/>
            </w14:solidFill>
          </w14:textFill>
        </w:rPr>
        <w:t>RPA客户端：运行在终端机器环境的机器人容器。可加载由设计器设计并编译后的一系列流程指令。可分为“交互式”和“非交互式”两种，其中非交互式不需要人参与。而交互式RPA的“交互”可以理解为“人机交互”，判断机器人的启动是否需要人工触发，必须由人工触发启动的机器人也称为前台机器人，需要RPA前台用户处理RPA无法处理的数据。</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软件一般包含三大组件，由控制台、设计器、终端机器人组成，本着经济性、高可用性原则，考虑到我部门自身技术条件限制，及项目成功的质量因素，本次项目只采购终流程设计、运维保障等服务，项目涉及的终端机器人及设计器使用由萧山区数据资源管理局提供，整体项目满足低投入，高回报原则，符合国家、省、市关于政务数字化、智能化转型长远规划。</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本次项目只需涉及机器人工厂（RPA 设计器）和终端机器人（RPA 客户端），RPA设计器用于业务流程梳理，设计，RPA终端机器人做为最终交付成果，部署在日常办公电脑中，加载设计器所开发的流程，实现业务流程自动运行。</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1、设计器</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（1）常用模块收藏：提供设计器中常用模块收藏功能。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（2）元素识别架构支持：提供对各类界面元素的识别、定位、操作的功能，支持B/S和C/S架构界面元素拾取 。</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（3）办公软件套件支持：支持 excel、word的操作能力，能够新建、读取、修改、保存相关文件。</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（4）浏览器操作支持：支持IE、Chrome的基本操作功能，需支持新建和关闭标签、加载网页、读取源码等。需具备在浏览器环境执行Javascript的能力。</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（5）开发模式：提供拖拽式和代码编辑两种模式的开发环境。</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（6）编程扩展：支持第三方语言，Python语言编写扩展的功能。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（7）开发便捷性：流程设计过程中支持代码折叠，便于设计开发。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（8）验证码识别：支持验证码数字、英文等以及简单计算。图片验证类型扩展（普通、滑块，数学）：组件支持验证码识别功能，包括普通验证码、滑块验证码、算术验证码等识别。</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（9）python包导入：支持导入python包，支持在编码模式下使用第三方python包。</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（10）锁屏运行：提供锁屏解锁组件，支持在锁屏的情况下，鼠标键盘正常运行，流程正常执行。</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 xml:space="preserve">（11）组件搜索：支持组件全拼及首字母搜索功能。 </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（12）elseif组件：支持通过“if条件”、“elseif”、“else”三个组件的组合实现多层判断的逻辑。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（13）鼠标拖拽组件：支持相对位置、起点录入、鼠标点击、辅助按键、鼠标定位功能，可实现满足多种场景鼠标拖拽需求。</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（14）流程块操作：流程编辑的操作需支持多样化，支持流程块的复制ctrl+c、粘贴ctrl+v、撤回ctrl+z快捷键操作。</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（15）系统支持：支持Windows7 SP1及以上操作系统。</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2、终端机器人</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（1）流程监控：提供锁屏运行流程功能，在锁屏运行过程中提供日志记录和录屏的功能。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（2）任务管理：提供流程的定时执行、分组执行功能。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（3）任务并非：支持多任务并行，单机器人可同时执行多个任务。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（4）执行模式：支持手工执行和按计划任务自动执行两种模式选择。</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（5）中枢控制任务接收：支持接收来自管理平台的控制按周期执行任务。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（6）离线运行：支持离线状态下，终端机器人支持独立导入流程任务。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（7）运行状态：支持本地运行数据统计，可视化直观展示。</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（8）日志管理：提供自动化流程执行后记录运行日志并可供查看功能。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（9）计划管理：、支持内置计划任务功能，可查看和设置本地任务计划。</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（10）异常反馈：提供执行过程反馈，执行状态实时查看。</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（11）系统支持：支持Windows7 SP1及以上操作系统。</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4.1.5.6.3.4 </w:t>
      </w:r>
      <w:r>
        <w:rPr>
          <w:rFonts w:asciiTheme="minorEastAsia" w:hAnsiTheme="minorEastAsia" w:eastAsiaTheme="minorEastAsia"/>
          <w:color w:val="000000" w:themeColor="text1"/>
          <w14:textFill>
            <w14:solidFill>
              <w14:schemeClr w14:val="tx1"/>
            </w14:solidFill>
          </w14:textFill>
        </w:rPr>
        <w:t>RPA实施方法</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RPA机器人流程取决于政府各部门的业务需求和信息系统成熟度，智能分发机器人的实施工作通常包括以下几个步骤:评估与策略咨询、分析与方案设计、 POC 验证、开发与部署、上线与运营、维护与支持。</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不同政府部门的业务流程复杂度、人员统筹配合度等有所不同，在智能分发机器人的实施步骤会有差别，应结合自身业务流程运营现状，确定最优的实施步骤。</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(一)评估与策略咨询</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智能分发机器人实施的第一步是确定智能分发机器人的实施策略，并且对整体实施工作进行评估，它决定了智能分发机器人的实施能否成功地为政府部门提供有效的解决方案。</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 咨询工程师与政府业务人员充分沟通，根据实际业务需求，明确其中适用于 RPA 的应用场景，优先进行自动化方案设计，并帮助用户了解自动化效果预期。以目标需求为导向，对政府各部门业务流程进行梳理，挖掘各流程的业务特性，进而选择适合实施智能分发机器人的业务流程。适用于RPA场景的基本原则如下。</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1.体量和规模要求</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智能分发机器人可替代部分人工，7x24 小时不间断工作，适合处理体量和规模较大的业务。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2.劳动密度和劳动重复性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流程中需要人工处理的部分占比越大，就意味着流程中劳动重复性越高差错率越大，这也意味着 RPA 机器人施展的机会越大，如政务各系统间二次录人场景即为典型的劳动重复性高。</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3.数字化程度</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智能分发机器人并非严格意义上的人工智能，机器人对文件的处理须建立在文件已经数字化、流程已经信息化的基础上。因此，数字化、信息化程度越高的政府部门越适合实施智能分发机器人。</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4.流程是否贯通异构系统</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机器人可分别登录多个系统自动执行任务，无须对有数据交互需求的多个系统进行改造和开发。因此，在政府异构系统之间对接存在困难的前提下，可考虑使用智能分发机器人，不会改变各部门原有的信息系统架构。</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5.短期内是否存在系统建设的可能性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对于短期内有系统建设或更换底层架构的部门，智能分发机器人不适用。</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(二)分析与方案设计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针对政务实际业务需求，进行需求调研和分析，梳理出工作流程，制订具体的自动化实施方案。智能分发机器人的方案设计包括四个步骤:确定方案整体设计、确定现有流程细节逻辑、确定基于 RPA 模式的新业务流程、确定机器人软件配置及开发工作量。</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1.确定方案整体设计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智能分发机器人实施方案整体设计依据部门实际业务流程而制订，在智能分发机器人前期流程评估、中期开发测试、后期优化升级的实施过程中起着至关重要的指导作用。</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(1)明确实施目标。</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应将 RPA 机器人的功能与政府部门的业务流程相结合，从而确定业务部门实施 RPA 的目标，如 RPA 将被用于哪个流程上，解决何种痛点。</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(2)明确实施框架。</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实施框架即实施的步骤与安排。智能分发机器人的实施从宏观上可分为三个步骤:首先是前期评估，包括对政府部门业务流程的评估;其次是中期开发测试并上线，包括确定基于 RPA 的新的业务流程、软件配置与开发、RPA 试点上线;最后是后期运营与优化，包括 RPA 的日常维护、运营阶段反馈的优化解决。可依次制定适合政府部门的实施框架，框架应尽可能地详尽。</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(3)明确开发规范。</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确保 RPA 顺利落地和后期运维的便利性，需要设立一套 RPA 开发规范与标准，从注释、日志、排版、目录、版本、命名等多个维度出发，应用在整个实施进程中，从而提高实施效率和质量。</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(4)明确安全机制。</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在整个 RPA 的设计和开发环节中，需要考虑参数配置安全、信息存储安全、信息传输安全、网络端口与访问安全、物理环境安全、日志安全、代码安全、账号密码试用和储存的安全等问题，来保证 RPA 实际运行过程中的安全性。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2.确定现有流程细节逻辑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 机器人是基于计算机编码以及基于规则的软件，是通过执行重复的基于规则的任务来将手动活动进行自动化的一种技术。在确定流程细节逻辑之前首先应明确 RPA 的基础功能，判断现有业务流程中每一步骤是否能运用 RPA 机器人实现替代。</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在部署 RPA 的过程中，内部的流程梳理是首要动作。基于政务 RPA 机器人的适用场景，对现有业务流程进行优化再造，需要确定业务流程的每个步骤运用 RPA 进行替换的细节逻辑。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3.确定基于 RPA 模式的新业务流程</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政府部门在确定了业务流程每个环节的 RPA 替换逻辑后，需对业务环节连点成线，确定新的基于 RPA 模式的业务流程。RPA 业务流程无须与人工业务流程环节完全一致，在保证业务流程完整的基础上，可考虑 RPA 自身优势，进行环节的合并或拆分。</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4.确定 RPA 机器人软件配置与开发工作量</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(1)软件配置。</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确定了基于 RPA 模式的新业务流程之后，需对新流程中的信息系统进行相应的软件配置，并确定软件开发的工作量。</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(2)人员配置。</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 的实施上线需要政府业务人员、信息主管部门以及 RPA 供应商共同协调完成。实现 RPA实施过程中人员配置主要包括项目经理、流程合规专家、 RPA 咨询工程师、RPA 实施工程师、自动化管理员等。</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(三)POC 验证</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POC 测试即 Proof of Concept，是针对客户具体应用的验证性测试。基于 RPA 模式的新业务流程确定后，将开展对新流程的 POC 验证性测试。根据政府用户对 RPA 提出的性能要求和扩展需求指标，在指定服务器上进行真实或模拟数据的运行，从真实业务的实践到战略意图的实现，来验证 RPA 实施方案是否能满足政府用户的需求，从而作出更客观、更准确的判断。</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POC 测试是智能分发机器人的实战演练。流程测试阶段，需要制订完备的《POC 测试方案》，以保证基于 RPA 的新业务流程正常工作，业务正常进行。主要工作内容包括:</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(1)确定 POC 测试的时间、范围。</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(2)与配合部门、其他业务流程的测试分工和沟通机制。(3)确定 POC 测试人员组成和分工。(4)测试工作计划和内容。</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(四)开发与部署</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在政务实际业务场景中，按照已制定的自动化实施方案，进行智能分发机器人开发、调试和部署。</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1.制定编码规范</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良好的编码规范可以提高团队编码的效率，避免很多不必要的问题。</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2.统一代码存储</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通过 SVN 等工具对代码进行统一管理和存储，便于版本控制和追溯。所有的代码需要统一存储到服务器上，特别是对于框架和通用代码的管理，需要按照完整的流程进行操作。</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3.配备专用框架</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稳定的框架有利于解决开发人员的后顾之忧，开发人员只需要关注在业务本身的开发上即可，不需要把精力投入到搭建和优化框架的事情上。</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4.完善组件库</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完善的组件库有利于提高开发效率，缩短开发周期。在开发过程中，既</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可以做到即插即用，也可以将各个单独的组件包串连成完整的业务流。</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5.重视测试环节</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测试是项目上线之前的关键环节，要重视和认真对待。完整、系统的测试有利于验证开发结果，覆盖业务场景和业务规则，规避潜在的功能性的或业务性的风险，保障项目的正常上线。</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6.形成部署规范</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完善的部署规范可以避免在进行环境转换时出现低级错误。RPA 项目基本存在三种环境:开发环境、测试环境和正式环境。各个环境中的地址、账号等配置信息可能存在不同，就需要在部署时严格按照部署手册进行相关的操作。</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总之，只有遵守开发规则和不断地完善这些规则，才能提高开发效率，缩短开发周期、减少出错概率，促进团队合作和降低维护成本，进而可以在最短的时间内，高质量地完成 RPA 项目。</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(五)上线与运营</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当智能分发机器人开始运行，工作人员需要关注和追踪机器人的工作效果，充分使用 RPA 机器人发挥价值，并对收益进行评估。</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智能分发机器人全场景、全流程、全范围上线后，需全面定义业务目标，进行流程自动化的重新评估及部分流程设计，建立完整的部署路线图，完善 RPA 的管理模型，同时培训政府业务人员具备 RPA 的发现、设计、管理及维护能力。</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(六)维护与支持</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在智能分发机器人上线后，需持续关注机器人的运行情况，进行系统日常维护，对 RPA 机器人的运行效果评估，针对收集到运营阶段的反馈问题，进行调整和优化，使智能分发机器人成长性不断增强、性能不断优化;同时继续挖掘其他自动化需求场景，推进政府部门自动化能力的发展和提升。</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进行智能分发机器人软件的日常维护，有助于减少软件运行中的突发性故障，保障智能分发机器人的正常运行。智能分发机器人软件的日常维护由政府业务部门、信息主管部门和 RPA 供应商共同完成，记录每次维护时发现的异常，并给出解决方法。</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4.1.5.6.3.5 </w:t>
      </w:r>
      <w:r>
        <w:rPr>
          <w:rFonts w:asciiTheme="minorEastAsia" w:hAnsiTheme="minorEastAsia" w:eastAsiaTheme="minorEastAsia"/>
          <w:color w:val="000000" w:themeColor="text1"/>
          <w14:textFill>
            <w14:solidFill>
              <w14:schemeClr w14:val="tx1"/>
            </w14:solidFill>
          </w14:textFill>
        </w:rPr>
        <w:t>RPA实施过程注意事项</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1.不合适部署 RPA 的流程</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第一类是非常复杂的流程。针对复杂的流程做 RPA 规划将会产生高额的费用。复杂程度中低等的流程或子流程是 RPA 项目初期的最佳目标，政府部门可在 RPA 成熟之后再着眼于复杂的流程，从价值最高或构架简单的部分开始，逐步增加该流程的自动化程度。</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第二类则是经常变化的流程。RPA 不适合被部署到经常变化的系统中去，频繁升级或变更会导致 RPA 项目维护难度直线上升。</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2.流程过度自动化</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看待 RPA 的最佳视角是将其当作辅助工具，用来完成基础流程的操作，使人力有更多时间完成其他工作。将一个流程的 70% 低价值部分自动化。30% 高价值部分人为处理是一个良好的初期目标。项目应尝试通过一系列简易的变革，逐步增加流程自动化的比例。</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3.采取传统方法实施 RPA</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通常用户采取过于工程化的软件实施方法来部署 RPA，其中包括低价值文档和阶段性划分，使通常只需要几周实施周期的 RPA 项目延长至几个月。大多数软件实施方法对 RPA 来说都太过于工程化，尤其是 RPA 较少改变现有系统且新流程已存档在RPA 工具中。用户应依据自身面临的挑战，简化传统实施方法，通过灵活的手段分阶段实施 RPA。</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4.POC 过程、资源及经验不足</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一个 RPA 常见的陷阱是只需短短一两天的培训，大多数的业务用户就可以自动化一个简单的流程。然而实际上，创建一个可以灵活扩展的 RPA 流程所需要的技能远远不止这些。因此通常情况下，POC 需要经过长期的测试和修改过程后才能实施，甚至是重建。</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5.忽略 IT 系统设施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绝大多数的 RPA 工具，最好是在一个虚拟的桌面环境里，通过适当地扩展和业务持续性设置，进行操作工作。RPA 流程可以很快地实施，但 IT 却不能够在如此短暂的时间内搭建完善的生产设施，并因此成为实施 RPA 的主要绊脚石。</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4.1.5.6.3.6 </w:t>
      </w:r>
      <w:r>
        <w:rPr>
          <w:rFonts w:asciiTheme="minorEastAsia" w:hAnsiTheme="minorEastAsia" w:eastAsiaTheme="minorEastAsia"/>
          <w:color w:val="000000" w:themeColor="text1"/>
          <w14:textFill>
            <w14:solidFill>
              <w14:schemeClr w14:val="tx1"/>
            </w14:solidFill>
          </w14:textFill>
        </w:rPr>
        <w:t>RPA业务需求</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RPA流程自动化机器人是政府部门顺应数字化变革，通过在政务工作中应用 RPA 技术，政务工作效率大幅提升，智能分发机器人模拟人类操作和基于明确规则的判断，能够将政务人员从简单复的低附加值工作中解放出来，不但降低了此类工作中投入的人力成本，更使得政务人员转型从事更具创造性、更有价值的工作，政务人员不再是简单的办事人员，而是参与服务改革的业务，从而为政务转型发展提供有效支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基于业务需求及技术可行性，拟采用人工智能技术构建信访“智能分发”机器人，为信访局提供科技助力，为政务工作提质增效、基层减负。主要业务需求如下：</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1、信访件智能导出：需实现自动从“浙里访”系统中导出省市下发信访事件，进行汇总归类。</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2、智能推送及接收：需自动把归类信访事件推送给AI能力平台，进行算法模型分析，并自动从AI能力平台获取分析后的数据。</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2、信访件智能分派：需自动从AI能力平台中获取到的数据，在“浙里访”平台中进行逐一事件查询，并自动根据信访事件归属类型进行部门人员分发派单。</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3、个人待办查询导出：针对于分发错误信访件，机器人需自动从个人待办中查询数据，并导出归类。</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4、异常数据对比：机器人需自动从个人待办查询导出数据并与信访件签收导出数据对比，找到同一信访件，并归类。</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5、分发错误人工通知：机器人需自动分辨出错误派单情况，并通知工作人员。</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6、错误分发数据统计：机器人能够自动按时间端统计分发错误数据统计。</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7、优化训练：机器人需能够准确识别错发内容，并自动把错误分发事件，推送至AI能力平台，进行算法模型优化训练。</w:t>
      </w:r>
    </w:p>
    <w:p>
      <w:pPr>
        <w:pStyle w:val="14"/>
        <w:numPr>
          <w:ilvl w:val="0"/>
          <w:numId w:val="23"/>
        </w:numPr>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接口开发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完成机器人流程与算法模型之间的信息互通交换接口开发工作。</w:t>
      </w:r>
    </w:p>
    <w:p>
      <w:pPr>
        <w:pStyle w:val="14"/>
        <w:numPr>
          <w:ilvl w:val="0"/>
          <w:numId w:val="23"/>
        </w:numPr>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与全区性基础平台应用整合设计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智能分发应用系统为信访信息分发业务提供智能化支撑服务，未涉及与数字证书、统一认证、公共服务等全区统一的平台资源的对接。</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智能分派流程</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4.1.5.6.4.1 </w:t>
      </w:r>
      <w:r>
        <w:rPr>
          <w:rFonts w:hint="eastAsia" w:asciiTheme="minorEastAsia" w:hAnsiTheme="minorEastAsia" w:eastAsiaTheme="minorEastAsia"/>
          <w:color w:val="000000" w:themeColor="text1"/>
          <w14:textFill>
            <w14:solidFill>
              <w14:schemeClr w14:val="tx1"/>
            </w14:solidFill>
          </w14:textFill>
        </w:rPr>
        <w:t>数据透视</w:t>
      </w:r>
    </w:p>
    <w:p>
      <w:pPr>
        <w:ind w:right="240" w:firstLine="48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通过统计用户工单数据，将工单数据中的所有可用字段整理如下，其中关键字段是可能与用户反映内容分类任务、交办部门推荐任务最为相关的属性。</w:t>
      </w:r>
    </w:p>
    <w:p>
      <w:pPr>
        <w:ind w:right="240" w:firstLine="48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提供字段:[序号，受理编号，等级日期，反映日期，反映人联系方式，发生地，反映内容，信访途径，是否扬言，是否保密，目的，内容分类，紧急程度，工作状态，办理方式，截至日期，签收日期，办理单位，办结信息，办结时间，评价满意度，是否回访成功，回访满意度，回访情况，是否督办，督办单位，督办日期，督办意见，督办反馈，是否延期申请，延期申请日期，新办理期限，延期申请内容，延期申请结果，延期处理意见]</w:t>
      </w:r>
    </w:p>
    <w:p>
      <w:pPr>
        <w:ind w:right="240" w:firstLine="48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关键字段：[发生地，反映内容，目的，内容分类，紧急程度，办理单位]</w:t>
      </w:r>
    </w:p>
    <w:p>
      <w:pPr>
        <w:ind w:right="240" w:firstLine="48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对已由工单数据统计可知，用户反映内容的类别一共有1572个</w:t>
      </w:r>
    </w:p>
    <w:p>
      <w:pPr>
        <w:ind w:right="240" w:firstLine="480"/>
        <w:rPr>
          <w:rFonts w:asciiTheme="minorEastAsia" w:hAnsiTheme="minorEastAsia" w:eastAsia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下图展示了前350个类别下样本的数量分布，可以观察出，用户反映出的问题的分布是很不均衡的。部分类别下的样本数可以达到5万，而绝大数的类别仅有几条数据。表明用户反映的问题存在有严重的分化性，反映的问题大部分一致，特殊问题占少数。类别分布统计图如下所示：</w:t>
      </w:r>
    </w:p>
    <w:p>
      <w:pPr>
        <w:ind w:right="240"/>
        <w:jc w:val="center"/>
        <w:rPr>
          <w:rFonts w:asciiTheme="minorEastAsia" w:hAnsiTheme="minorEastAsia" w:eastAsiaTheme="minorEastAsia" w:cstheme="minorEastAsia"/>
          <w:color w:val="000000" w:themeColor="text1"/>
          <w:szCs w:val="28"/>
          <w14:textFill>
            <w14:solidFill>
              <w14:schemeClr w14:val="tx1"/>
            </w14:solidFill>
          </w14:textFill>
        </w:rPr>
      </w:pPr>
      <w:r>
        <w:rPr>
          <w:rFonts w:ascii="华文宋体" w:hAnsi="华文宋体" w:eastAsia="华文宋体"/>
        </w:rPr>
        <w:drawing>
          <wp:inline distT="0" distB="0" distL="0" distR="0">
            <wp:extent cx="5273040" cy="2809875"/>
            <wp:effectExtent l="0" t="0" r="381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76"/>
                    <a:stretch>
                      <a:fillRect/>
                    </a:stretch>
                  </pic:blipFill>
                  <pic:spPr>
                    <a:xfrm>
                      <a:off x="0" y="0"/>
                      <a:ext cx="5284005" cy="2815390"/>
                    </a:xfrm>
                    <a:prstGeom prst="rect">
                      <a:avLst/>
                    </a:prstGeom>
                  </pic:spPr>
                </pic:pic>
              </a:graphicData>
            </a:graphic>
          </wp:inline>
        </w:drawing>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4.1.5.6.4.2 </w:t>
      </w:r>
      <w:r>
        <w:rPr>
          <w:rFonts w:hint="eastAsia" w:asciiTheme="minorEastAsia" w:hAnsiTheme="minorEastAsia" w:eastAsiaTheme="minorEastAsia"/>
          <w:color w:val="000000" w:themeColor="text1"/>
          <w14:textFill>
            <w14:solidFill>
              <w14:schemeClr w14:val="tx1"/>
            </w14:solidFill>
          </w14:textFill>
        </w:rPr>
        <w:t>数据清洗</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工单数据中，用户反映内容的句子中通常包含一些不重要的信息，这些信息如对分类器而言是噪声，可能会影响模型的最终效果。因此对用户反映内容做数据预处理是很重要的一步。数据清洗的主要工作如下：</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（1）</w:t>
      </w:r>
      <w:r>
        <w:rPr>
          <w:rFonts w:hint="eastAsia" w:asciiTheme="minorEastAsia" w:hAnsiTheme="minorEastAsia" w:eastAsiaTheme="minorEastAsia" w:cstheme="minorEastAsia"/>
          <w:color w:val="000000" w:themeColor="text1"/>
          <w14:textFill>
            <w14:solidFill>
              <w14:schemeClr w14:val="tx1"/>
            </w14:solidFill>
          </w14:textFill>
        </w:rPr>
        <w:tab/>
      </w:r>
      <w:r>
        <w:rPr>
          <w:rFonts w:hint="eastAsia" w:asciiTheme="minorEastAsia" w:hAnsiTheme="minorEastAsia" w:eastAsiaTheme="minorEastAsia" w:cstheme="minorEastAsia"/>
          <w:color w:val="000000" w:themeColor="text1"/>
          <w14:textFill>
            <w14:solidFill>
              <w14:schemeClr w14:val="tx1"/>
            </w14:solidFill>
          </w14:textFill>
        </w:rPr>
        <w:t>清洗语气词。如:哎、嗯、额等。</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（2）</w:t>
      </w:r>
      <w:r>
        <w:rPr>
          <w:rFonts w:hint="eastAsia" w:asciiTheme="minorEastAsia" w:hAnsiTheme="minorEastAsia" w:eastAsiaTheme="minorEastAsia" w:cstheme="minorEastAsia"/>
          <w:color w:val="000000" w:themeColor="text1"/>
          <w14:textFill>
            <w14:solidFill>
              <w14:schemeClr w14:val="tx1"/>
            </w14:solidFill>
          </w14:textFill>
        </w:rPr>
        <w:tab/>
      </w:r>
      <w:r>
        <w:rPr>
          <w:rFonts w:hint="eastAsia" w:asciiTheme="minorEastAsia" w:hAnsiTheme="minorEastAsia" w:eastAsiaTheme="minorEastAsia" w:cstheme="minorEastAsia"/>
          <w:color w:val="000000" w:themeColor="text1"/>
          <w14:textFill>
            <w14:solidFill>
              <w14:schemeClr w14:val="tx1"/>
            </w14:solidFill>
          </w14:textFill>
        </w:rPr>
        <w:t>清洗身份证号码、手机号码：二者对于识别用户想要表达的核心思想并不能提供有价值的信息，甚至会起到反面作用。</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（3）</w:t>
      </w:r>
      <w:r>
        <w:rPr>
          <w:rFonts w:hint="eastAsia" w:asciiTheme="minorEastAsia" w:hAnsiTheme="minorEastAsia" w:eastAsiaTheme="minorEastAsia" w:cstheme="minorEastAsia"/>
          <w:color w:val="000000" w:themeColor="text1"/>
          <w14:textFill>
            <w14:solidFill>
              <w14:schemeClr w14:val="tx1"/>
            </w14:solidFill>
          </w14:textFill>
        </w:rPr>
        <w:tab/>
      </w:r>
      <w:r>
        <w:rPr>
          <w:rFonts w:hint="eastAsia" w:asciiTheme="minorEastAsia" w:hAnsiTheme="minorEastAsia" w:eastAsiaTheme="minorEastAsia" w:cstheme="minorEastAsia"/>
          <w:color w:val="000000" w:themeColor="text1"/>
          <w14:textFill>
            <w14:solidFill>
              <w14:schemeClr w14:val="tx1"/>
            </w14:solidFill>
          </w14:textFill>
        </w:rPr>
        <w:t>清洗某先生、某女士等称呼短语。</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（4）</w:t>
      </w:r>
      <w:r>
        <w:rPr>
          <w:rFonts w:hint="eastAsia" w:asciiTheme="minorEastAsia" w:hAnsiTheme="minorEastAsia" w:eastAsiaTheme="minorEastAsia" w:cstheme="minorEastAsia"/>
          <w:color w:val="000000" w:themeColor="text1"/>
          <w14:textFill>
            <w14:solidFill>
              <w14:schemeClr w14:val="tx1"/>
            </w14:solidFill>
          </w14:textFill>
        </w:rPr>
        <w:tab/>
      </w:r>
      <w:r>
        <w:rPr>
          <w:rFonts w:hint="eastAsia" w:asciiTheme="minorEastAsia" w:hAnsiTheme="minorEastAsia" w:eastAsiaTheme="minorEastAsia" w:cstheme="minorEastAsia"/>
          <w:color w:val="000000" w:themeColor="text1"/>
          <w14:textFill>
            <w14:solidFill>
              <w14:schemeClr w14:val="tx1"/>
            </w14:solidFill>
          </w14:textFill>
        </w:rPr>
        <w:t>清洗对话常用的客套话。如：非常感谢、不客气，您稍等一下，一会儿联系你等。</w:t>
      </w:r>
    </w:p>
    <w:p>
      <w:pPr>
        <w:pStyle w:val="8"/>
        <w:rPr>
          <w:rFonts w:asciiTheme="minorEastAsia" w:hAnsiTheme="minorEastAsia" w:eastAsiaTheme="minorEastAsia"/>
          <w:color w:val="000000" w:themeColor="text1"/>
          <w14:textFill>
            <w14:solidFill>
              <w14:schemeClr w14:val="tx1"/>
            </w14:solidFill>
          </w14:textFill>
        </w:rPr>
      </w:pPr>
      <w:bookmarkStart w:id="214" w:name="_Toc77790002"/>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4.1.5.6.4.3 </w:t>
      </w:r>
      <w:r>
        <w:rPr>
          <w:rFonts w:hint="eastAsia" w:asciiTheme="minorEastAsia" w:hAnsiTheme="minorEastAsia" w:eastAsiaTheme="minorEastAsia"/>
          <w:color w:val="000000" w:themeColor="text1"/>
          <w14:textFill>
            <w14:solidFill>
              <w14:schemeClr w14:val="tx1"/>
            </w14:solidFill>
          </w14:textFill>
        </w:rPr>
        <w:t>特征工程</w:t>
      </w:r>
      <w:bookmarkEnd w:id="214"/>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经过无用词剔除后的用户反映内容较为干净，但是在一句话中，每个词对用户想表达的意思的贡献的程度是不一样的。特征工程就是通过使用数学统计的方法，找到那些对识别用户意图最有效的词和短语。特征工程就是找出对核心思想贡献较多的一部分词，用作计算机识别用户反映内容类别和推交办部门推荐的特征。</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如下展示了用户反映内容和特征工程处理后的结果，虽然句子有一部分信息丢失了，但是其表达的信息高度凝练：</w:t>
      </w:r>
    </w:p>
    <w:p>
      <w:pPr>
        <w:pStyle w:val="89"/>
        <w:numPr>
          <w:ilvl w:val="0"/>
          <w:numId w:val="24"/>
        </w:numPr>
        <w:ind w:right="240" w:firstLineChars="0"/>
        <w:rPr>
          <w:rFonts w:asciiTheme="minorEastAsia" w:hAnsiTheme="minorEastAsia" w:eastAsiaTheme="minorEastAsia" w:cstheme="minorEastAsia"/>
          <w:color w:val="000000" w:themeColor="text1"/>
          <w:sz w:val="28"/>
          <w:szCs w:val="28"/>
          <w14:textFill>
            <w14:solidFill>
              <w14:schemeClr w14:val="tx1"/>
            </w14:solidFill>
          </w14:textFill>
        </w:rPr>
      </w:pPr>
      <w:r>
        <w:rPr>
          <w:rFonts w:hint="eastAsia" w:asciiTheme="minorEastAsia" w:hAnsiTheme="minorEastAsia" w:eastAsiaTheme="minorEastAsia" w:cstheme="minorEastAsia"/>
          <w:color w:val="000000" w:themeColor="text1"/>
          <w:sz w:val="28"/>
          <w:szCs w:val="28"/>
          <w14:textFill>
            <w14:solidFill>
              <w14:schemeClr w14:val="tx1"/>
            </w14:solidFill>
          </w14:textFill>
        </w:rPr>
        <w:t>用户反映内容：</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来电咨询：其（沈*</w:t>
      </w:r>
      <w:r>
        <w:rPr>
          <w:rFonts w:asciiTheme="minorEastAsia" w:hAnsiTheme="minorEastAsia" w:eastAsiaTheme="minorEastAsia" w:cstheme="minorEastAsia"/>
          <w:color w:val="000000" w:themeColor="text1"/>
          <w14:textFill>
            <w14:solidFill>
              <w14:schemeClr w14:val="tx1"/>
            </w14:solidFill>
          </w14:textFill>
        </w:rPr>
        <w:t>*</w:t>
      </w:r>
      <w:r>
        <w:rPr>
          <w:rFonts w:hint="eastAsia" w:asciiTheme="minorEastAsia" w:hAnsiTheme="minorEastAsia" w:eastAsiaTheme="minorEastAsia" w:cstheme="minorEastAsia"/>
          <w:color w:val="000000" w:themeColor="text1"/>
          <w14:textFill>
            <w14:solidFill>
              <w14:schemeClr w14:val="tx1"/>
            </w14:solidFill>
          </w14:textFill>
        </w:rPr>
        <w:t>，电话：153</w:t>
      </w:r>
      <w:r>
        <w:rPr>
          <w:rFonts w:asciiTheme="minorEastAsia" w:hAnsiTheme="minorEastAsia" w:eastAsiaTheme="minorEastAsia" w:cstheme="minorEastAsia"/>
          <w:color w:val="000000" w:themeColor="text1"/>
          <w14:textFill>
            <w14:solidFill>
              <w14:schemeClr w14:val="tx1"/>
            </w14:solidFill>
          </w14:textFill>
        </w:rPr>
        <w:t>****</w:t>
      </w:r>
      <w:r>
        <w:rPr>
          <w:rFonts w:hint="eastAsia" w:asciiTheme="minorEastAsia" w:hAnsiTheme="minorEastAsia" w:eastAsiaTheme="minorEastAsia" w:cstheme="minorEastAsia"/>
          <w:color w:val="000000" w:themeColor="text1"/>
          <w14:textFill>
            <w14:solidFill>
              <w14:schemeClr w14:val="tx1"/>
            </w14:solidFill>
          </w14:textFill>
        </w:rPr>
        <w:t>5292，身份证号：330125</w:t>
      </w:r>
      <w:r>
        <w:rPr>
          <w:rFonts w:asciiTheme="minorEastAsia" w:hAnsiTheme="minorEastAsia" w:eastAsiaTheme="minorEastAsia" w:cstheme="minorEastAsia"/>
          <w:color w:val="000000" w:themeColor="text1"/>
          <w14:textFill>
            <w14:solidFill>
              <w14:schemeClr w14:val="tx1"/>
            </w14:solidFill>
          </w14:textFill>
        </w:rPr>
        <w:t>********</w:t>
      </w:r>
      <w:r>
        <w:rPr>
          <w:rFonts w:hint="eastAsia" w:asciiTheme="minorEastAsia" w:hAnsiTheme="minorEastAsia" w:eastAsiaTheme="minorEastAsia" w:cstheme="minorEastAsia"/>
          <w:color w:val="000000" w:themeColor="text1"/>
          <w14:textFill>
            <w14:solidFill>
              <w14:schemeClr w14:val="tx1"/>
            </w14:solidFill>
          </w14:textFill>
        </w:rPr>
        <w:t>6118）前往灵源村绿汀路3号仓前卫生院办理健康证，卫生院不给其开具发票，要求开具发票，请相关部门帮助处理。</w:t>
      </w:r>
    </w:p>
    <w:p>
      <w:pPr>
        <w:pStyle w:val="89"/>
        <w:numPr>
          <w:ilvl w:val="0"/>
          <w:numId w:val="24"/>
        </w:numPr>
        <w:ind w:right="240" w:firstLineChars="0"/>
        <w:rPr>
          <w:rFonts w:asciiTheme="minorEastAsia" w:hAnsiTheme="minorEastAsia" w:eastAsiaTheme="minorEastAsia" w:cstheme="minorEastAsia"/>
          <w:color w:val="000000" w:themeColor="text1"/>
          <w:sz w:val="28"/>
          <w:szCs w:val="28"/>
          <w14:textFill>
            <w14:solidFill>
              <w14:schemeClr w14:val="tx1"/>
            </w14:solidFill>
          </w14:textFill>
        </w:rPr>
      </w:pPr>
      <w:r>
        <w:rPr>
          <w:rFonts w:hint="eastAsia" w:asciiTheme="minorEastAsia" w:hAnsiTheme="minorEastAsia" w:eastAsiaTheme="minorEastAsia" w:cstheme="minorEastAsia"/>
          <w:color w:val="000000" w:themeColor="text1"/>
          <w:sz w:val="28"/>
          <w:szCs w:val="28"/>
          <w14:textFill>
            <w14:solidFill>
              <w14:schemeClr w14:val="tx1"/>
            </w14:solidFill>
          </w14:textFill>
        </w:rPr>
        <w:t>特征工程结果：</w:t>
      </w:r>
    </w:p>
    <w:p>
      <w:pPr>
        <w:ind w:right="240" w:firstLine="48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沈*</w:t>
      </w:r>
      <w:r>
        <w:rPr>
          <w:rFonts w:asciiTheme="minorEastAsia" w:hAnsiTheme="minorEastAsia" w:eastAsiaTheme="minorEastAsia" w:cstheme="minorEastAsia"/>
          <w:color w:val="000000" w:themeColor="text1"/>
          <w14:textFill>
            <w14:solidFill>
              <w14:schemeClr w14:val="tx1"/>
            </w14:solidFill>
          </w14:textFill>
        </w:rPr>
        <w:t>*</w:t>
      </w:r>
      <w:r>
        <w:rPr>
          <w:rFonts w:hint="eastAsia" w:asciiTheme="minorEastAsia" w:hAnsiTheme="minorEastAsia" w:eastAsiaTheme="minorEastAsia" w:cstheme="minorEastAsia"/>
          <w:color w:val="000000" w:themeColor="text1"/>
          <w14:textFill>
            <w14:solidFill>
              <w14:schemeClr w14:val="tx1"/>
            </w14:solidFill>
          </w14:textFill>
        </w:rPr>
        <w:t xml:space="preserve"> 前往 灵源村  绿汀路 仓前 卫生院 办理  健康证  卫生院  不给  开具  发票  相关部门  帮助 处理</w:t>
      </w:r>
    </w:p>
    <w:p>
      <w:pPr>
        <w:pStyle w:val="8"/>
        <w:rPr>
          <w:rFonts w:asciiTheme="minorEastAsia" w:hAnsiTheme="minorEastAsia" w:eastAsiaTheme="minorEastAsia"/>
          <w:color w:val="000000" w:themeColor="text1"/>
          <w14:textFill>
            <w14:solidFill>
              <w14:schemeClr w14:val="tx1"/>
            </w14:solidFill>
          </w14:textFill>
        </w:rPr>
      </w:pPr>
      <w:bookmarkStart w:id="215" w:name="_Toc77790003"/>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4.1.5.6.4.4 </w:t>
      </w:r>
      <w:bookmarkEnd w:id="215"/>
      <w:r>
        <w:rPr>
          <w:rFonts w:hint="eastAsia" w:asciiTheme="minorEastAsia" w:hAnsiTheme="minorEastAsia" w:eastAsiaTheme="minorEastAsia"/>
          <w:color w:val="000000" w:themeColor="text1"/>
          <w14:textFill>
            <w14:solidFill>
              <w14:schemeClr w14:val="tx1"/>
            </w14:solidFill>
          </w14:textFill>
        </w:rPr>
        <w:t>内容类别分类设计</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智能派单任务AI算法设计任务一: 根据用户的反映内容，进行内容类别分类。</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根据对用户反映内容的类别分析，用户反映内容的类别存在有以下两个问题：</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（1）样本分布不均衡。</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（2）用户反映的内容的类别较多。</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根据以上两个问题预采用TextCNN+Focal_Loss的分类方案：</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TextCNN：在小样本、类别不平衡、多类别的文本分类问题上效果优异，且具有结构简单、训练快速的优点。TextCNN更有训练和推理性能上的优势，合适在低延时场景使用。</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Focal_Loss：从样本难易分类角度出发，使得loss聚焦于难分样本，解决了样本少的类别分类准确率不高的问题。</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不论是识别用户的意图还是为用户推荐交办部门，于AI领域而言，本质上都属于分类任务。通过用户反映内容、发生地、反映内容、信访途径、是否扬言、目的、内容分类、办理方式、办结信息、回访情况等特征，用深度学习模型构建反映内容分类器。</w:t>
      </w:r>
    </w:p>
    <w:p>
      <w:pPr>
        <w:pStyle w:val="8"/>
        <w:rPr>
          <w:rFonts w:asciiTheme="minorEastAsia" w:hAnsiTheme="minorEastAsia" w:eastAsiaTheme="minorEastAsia"/>
          <w:color w:val="000000" w:themeColor="text1"/>
          <w14:textFill>
            <w14:solidFill>
              <w14:schemeClr w14:val="tx1"/>
            </w14:solidFill>
          </w14:textFill>
        </w:rPr>
      </w:pPr>
      <w:bookmarkStart w:id="216" w:name="_Toc77790004"/>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 xml:space="preserve">4.1.5.6.4.5 </w:t>
      </w:r>
      <w:bookmarkEnd w:id="216"/>
      <w:r>
        <w:rPr>
          <w:rFonts w:hint="eastAsia" w:asciiTheme="minorEastAsia" w:hAnsiTheme="minorEastAsia" w:eastAsiaTheme="minorEastAsia"/>
          <w:color w:val="000000" w:themeColor="text1"/>
          <w14:textFill>
            <w14:solidFill>
              <w14:schemeClr w14:val="tx1"/>
            </w14:solidFill>
          </w14:textFill>
        </w:rPr>
        <w:t>交办部门推荐设计</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交办部门推荐任务，是根据用户的反应内容为用户推荐合理的交办部门。</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通过对现有工单数据进行详细分析，发现用户反映内容和交办部门之间没有必然的映射关系，即交办部门的推荐完全可以通过用户的反映内容实现来判定。下面设计了两组实验来探究引入额外的信息是否可以给推荐任务带来提升。</w:t>
      </w:r>
    </w:p>
    <w:p>
      <w:pPr>
        <w:pStyle w:val="89"/>
        <w:numPr>
          <w:ilvl w:val="0"/>
          <w:numId w:val="25"/>
        </w:numPr>
        <w:ind w:right="240"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实验一：用过户反映内容 + TextCNN文本分类器</w:t>
      </w:r>
    </w:p>
    <w:p>
      <w:pPr>
        <w:ind w:right="240"/>
        <w:jc w:val="center"/>
        <w:rPr>
          <w:rFonts w:asciiTheme="minorEastAsia" w:hAnsiTheme="minorEastAsia" w:eastAsiaTheme="minorEastAsia"/>
          <w:color w:val="000000" w:themeColor="text1"/>
          <w14:textFill>
            <w14:solidFill>
              <w14:schemeClr w14:val="tx1"/>
            </w14:solidFill>
          </w14:textFill>
        </w:rPr>
      </w:pPr>
      <w:r>
        <w:rPr>
          <w:rFonts w:ascii="华文宋体" w:hAnsi="华文宋体" w:eastAsia="华文宋体"/>
          <w:b/>
        </w:rPr>
        <w:drawing>
          <wp:inline distT="0" distB="0" distL="0" distR="0">
            <wp:extent cx="3930015" cy="2352675"/>
            <wp:effectExtent l="0" t="0" r="0" b="0"/>
            <wp:docPr id="485" name="图片 485" descr="C:\Users\wtsr\Downloads\b64c077e48dce25ab5fb7d6821f91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C:\Users\wtsr\Downloads\b64c077e48dce25ab5fb7d6821f91846.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930334" cy="2352675"/>
                    </a:xfrm>
                    <a:prstGeom prst="rect">
                      <a:avLst/>
                    </a:prstGeom>
                    <a:noFill/>
                    <a:ln>
                      <a:noFill/>
                    </a:ln>
                  </pic:spPr>
                </pic:pic>
              </a:graphicData>
            </a:graphic>
          </wp:inline>
        </w:drawing>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如上图所示展示了textCNN实现文本分类的整体流程。</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首先，将预处理的数据交由输入层，通过卷积操作，来提取用户反映内容中关键词之间彼此的关联关系。</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其次，通过最大池化操作，选择关联关系最强的用户表达。</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最后，将关联关系最强的用户表达由神经网络来实现交办部门的预测。</w:t>
      </w:r>
    </w:p>
    <w:p>
      <w:pPr>
        <w:pStyle w:val="89"/>
        <w:numPr>
          <w:ilvl w:val="0"/>
          <w:numId w:val="25"/>
        </w:numPr>
        <w:ind w:right="240" w:firstLineChars="0"/>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实验二：用户反映内容 + 用户反映内容的类别 + 用户反映内容的目的 + TextCNN文本分类器</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不论是识别用户的意图还是为用户推荐交办部门，于AI领域而言，本质上都属于分类任务。基于用户反映内容推荐交办部门示意图如下所示：</w:t>
      </w:r>
    </w:p>
    <w:p>
      <w:pPr>
        <w:ind w:right="240"/>
        <w:jc w:val="center"/>
        <w:rPr>
          <w:rFonts w:asciiTheme="minorEastAsia" w:hAnsiTheme="minorEastAsia" w:eastAsiaTheme="minorEastAsia"/>
          <w:color w:val="000000" w:themeColor="text1"/>
          <w14:textFill>
            <w14:solidFill>
              <w14:schemeClr w14:val="tx1"/>
            </w14:solidFill>
          </w14:textFill>
        </w:rPr>
      </w:pPr>
      <w:r>
        <w:rPr>
          <w:rFonts w:ascii="华文宋体" w:hAnsi="华文宋体" w:eastAsia="华文宋体"/>
        </w:rPr>
        <w:drawing>
          <wp:inline distT="0" distB="0" distL="0" distR="0">
            <wp:extent cx="5274310" cy="2975610"/>
            <wp:effectExtent l="0" t="0" r="254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78"/>
                    <a:stretch>
                      <a:fillRect/>
                    </a:stretch>
                  </pic:blipFill>
                  <pic:spPr>
                    <a:xfrm>
                      <a:off x="0" y="0"/>
                      <a:ext cx="5274310" cy="2975610"/>
                    </a:xfrm>
                    <a:prstGeom prst="rect">
                      <a:avLst/>
                    </a:prstGeom>
                  </pic:spPr>
                </pic:pic>
              </a:graphicData>
            </a:graphic>
          </wp:inline>
        </w:drawing>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交办部门的推荐基于用户反映内容，用户反映内容的类别，用户反映内容的目的三个特征向用户推荐交办部门。通过市场调研初步确定此3个候选分类框架，根据特征工程得到的对当前任务最有益的特征来验证3个候选框架在智能派单任务上的实际表现，进而确定最终的选型。推荐算法的输入包括两部分：</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第一部分：由于用户反映内容通常较长，含有丰富的语义信息，是识别用户核心意图的最直接的依据。因此，通过textCNN模型来对用户反映内容进行特征提取。</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第二部分：而用户目的和用户反映内容的类别是用户想表达内容的一种标识，并未包含任何语义信息，因此通过Embedding将其表示成200维的向量，通过向量乘法来建立用户目的和用户反映内容类别间彼此的联系。</w:t>
      </w:r>
    </w:p>
    <w:p>
      <w:pPr>
        <w:ind w:right="240"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将第一部分和第二部分进行拼接，作为神经网络的输入，通过神经网络来将两部分特征进行融合，最终完成交办部门推荐。</w:t>
      </w:r>
    </w:p>
    <w:p>
      <w:pPr>
        <w:pStyle w:val="8"/>
        <w:rPr>
          <w:rFonts w:ascii="Times New Roman" w:hAnsi="Times New Roman" w:eastAsiaTheme="minorEastAsia"/>
          <w:color w:val="000000" w:themeColor="text1"/>
          <w14:textFill>
            <w14:solidFill>
              <w14:schemeClr w14:val="tx1"/>
            </w14:solidFill>
          </w14:textFill>
        </w:rPr>
      </w:pPr>
      <w:bookmarkStart w:id="217" w:name="_Toc77790009"/>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4.1.5.6.4.6</w:t>
      </w:r>
      <w:r>
        <w:rPr>
          <w:rFonts w:hint="eastAsia" w:ascii="Times New Roman" w:hAnsi="Times New Roman" w:eastAsiaTheme="minorEastAsia"/>
          <w:color w:val="000000" w:themeColor="text1"/>
          <w14:textFill>
            <w14:solidFill>
              <w14:schemeClr w14:val="tx1"/>
            </w14:solidFill>
          </w14:textFill>
        </w:rPr>
        <w:t>模型训练——相似事件推荐</w:t>
      </w:r>
      <w:bookmarkEnd w:id="217"/>
    </w:p>
    <w:p>
      <w:pPr>
        <w:ind w:right="238"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训练用户反映内容分类模型和交办部门推荐模型：基于近几年的工单历史数据，来构建一个可以准确实现分类的模型，并通过微调，保证模型可以充分挖掘用户反映内容句子中每一个关键信息，实现识别准确率的最大化。</w:t>
      </w:r>
    </w:p>
    <w:p>
      <w:pPr>
        <w:ind w:right="238"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相似历史事件智能推荐功能是将汇聚来自于不同渠道的上报事件及历史事件信息进行机器学习和算法优化，通过历史事件学习与新上报事件的分析对比，获取与该事件疑似的历史事件。通过算法计算，分析出与该事件相似的历史事件，并将历史处置全流程进行展现，辅助处置部门处理当前事件。</w:t>
      </w:r>
    </w:p>
    <w:p>
      <w:pPr>
        <w:ind w:right="238" w:firstLine="56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相似历史事件智能推荐的算法体系需要包括两部分内容：事件的特征化表示、通过已知相似事件训练分类预测模型。考虑到事件信息包含诸如时间、地点等结构化字段，也包含文本描述等非结构信息，所以需要选用能充分融合两种信息的推荐算法，才能有效提升推荐结果的准确性。</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w:t>
      </w:r>
      <w:bookmarkStart w:id="218" w:name="_Toc10939"/>
      <w:bookmarkStart w:id="219" w:name="_Toc16571"/>
      <w:bookmarkStart w:id="220" w:name="_Toc12128"/>
      <w:bookmarkStart w:id="221" w:name="_Toc27562"/>
      <w:r>
        <w:rPr>
          <w:rFonts w:hint="eastAsia" w:asciiTheme="minorEastAsia" w:hAnsiTheme="minorEastAsia" w:eastAsiaTheme="minorEastAsia"/>
          <w:color w:val="000000" w:themeColor="text1"/>
          <w14:textFill>
            <w14:solidFill>
              <w14:schemeClr w14:val="tx1"/>
            </w14:solidFill>
          </w14:textFill>
        </w:rPr>
        <w:t>智慧信访</w:t>
      </w:r>
      <w:bookmarkEnd w:id="218"/>
      <w:bookmarkEnd w:id="219"/>
      <w:bookmarkEnd w:id="220"/>
      <w:bookmarkEnd w:id="221"/>
      <w:r>
        <w:rPr>
          <w:rFonts w:hint="eastAsia" w:asciiTheme="minorEastAsia" w:hAnsiTheme="minorEastAsia" w:eastAsiaTheme="minorEastAsia"/>
          <w:color w:val="000000" w:themeColor="text1"/>
          <w14:textFill>
            <w14:solidFill>
              <w14:schemeClr w14:val="tx1"/>
            </w14:solidFill>
          </w14:textFill>
        </w:rPr>
        <w:t>”研判调度功能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依托大数据平台，并通过关联规则分析、聚类分析、协同过滤以及分类与回归等方法建构高频热词库和敏感词库，在需要的时候进行关联推送、热点推送或提醒预警，通过架构大数据平台，并方便用户对热点问题进行查询、汇总及分析。更有效地对数据进行存储、管理、计算、分析及应用，实现数智化分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数据依据分析：制定数据统计逻辑规则，根据统计规则对现有的工单数据（如受理量、办理量、满意率等）进行归集来形成一些相应的统计指标，如萧山乡镇（街道）五色图；针对大数据分析，首先进行数据获取，例如从国家局、省局、市局、区县等平台获取原始工单数据，针对工单数据进行筛选与数据的治理清洗，主要包括数据清洗、比对、转换、合成、加载等过程。然后根据固定规则的统计逻辑和算法，得出相应指标，最后系统前端页面调取这些分析产生的结果数据，并进行展示，例如词云、积案化解进度等。</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首页显示与萧山乡镇（街道）五色图</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萧山“智慧信访”可视化展示目前已对驾驶舱进行建设，增加乡镇（街道）国家级、省级信访积案化解进度“动态五色图”应用展示，可以进行乡镇与机关单位的互相切换。</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根据五色图所显示的乡镇街道在首页即可进行展示。</w:t>
      </w:r>
    </w:p>
    <w:p>
      <w:pPr>
        <w:pStyle w:val="14"/>
        <w:numPr>
          <w:ilvl w:val="0"/>
          <w:numId w:val="21"/>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“智慧信访”首页</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首页包含受理总量、正在处理量、已办结量以及对应增减比例的相关信息，使萧山各乡镇街道受理量信息一目了然，实时查看受理动态。</w:t>
      </w:r>
    </w:p>
    <w:p>
      <w:pPr>
        <w:pStyle w:val="14"/>
        <w:numPr>
          <w:ilvl w:val="0"/>
          <w:numId w:val="21"/>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满意率统计分析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“智慧信访”大屏可展示满意率统计的相关分析，包含了国家信访局登记的信访事项和事权单位、信访机构信访事项处理群众满意率。</w:t>
      </w:r>
    </w:p>
    <w:p>
      <w:pPr>
        <w:pStyle w:val="14"/>
        <w:numPr>
          <w:ilvl w:val="0"/>
          <w:numId w:val="21"/>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词云</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首页支持显示最近相关的新词、热词、预警词，已词云的形式进行展示，方便信访人查看。</w:t>
      </w:r>
    </w:p>
    <w:p>
      <w:pPr>
        <w:pStyle w:val="14"/>
        <w:numPr>
          <w:ilvl w:val="0"/>
          <w:numId w:val="21"/>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热点诉求</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首页包含三级热点诉求，提供不同级别的热点诉求，按照特急、紧急、一般进行三级分级提示。</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具体应用展示如下所示：</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477260"/>
            <wp:effectExtent l="0" t="0" r="2540" b="889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79"/>
                    <a:stretch>
                      <a:fillRect/>
                    </a:stretch>
                  </pic:blipFill>
                  <pic:spPr>
                    <a:xfrm>
                      <a:off x="0" y="0"/>
                      <a:ext cx="6188710" cy="3477260"/>
                    </a:xfrm>
                    <a:prstGeom prst="rect">
                      <a:avLst/>
                    </a:prstGeom>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重点信访人员统计分析与监测预警</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萧山“智慧信访”可视化展示支持对重点信访人员进行数据采集、统计分析和监测预警，分模块进行展示，只需在首页点击“重点信访人”按钮即可。</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此部分所展示的具体内容可进行统计分析，以及平台和信息的预警，提供应急处置预案模板可自定义，可在驾驶舱呈现，包括：</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进京集体访</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来省集体访</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进京扰序未依法及时处置或未及时化解</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被送至国家分流安置点后未及时劝返接离和落地交接</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户籍地、居住地和事权地不一致的</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来信、走访、网上信访诉 求总量</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百万人口进京走访量</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国家信访局登记的来信和网上信访件</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来信、走访、网上初次信访事项化解率</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来信、 走访、网上重复信访比率</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信访积案化解清零</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已交办信访积案全部清零</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已清零信访积案每月再次信访率</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极端访监测：扬言件、信访积案</w:t>
      </w:r>
    </w:p>
    <w:p>
      <w:pPr>
        <w:pStyle w:val="14"/>
        <w:numPr>
          <w:ilvl w:val="0"/>
          <w:numId w:val="26"/>
        </w:numPr>
        <w:spacing w:line="360" w:lineRule="auto"/>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重点镇街监测：镇街、重点信访人数、较上期同比对比分析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具体应用展示如下所示：</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477260"/>
            <wp:effectExtent l="0" t="0" r="2540" b="889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80"/>
                    <a:stretch>
                      <a:fillRect/>
                    </a:stretch>
                  </pic:blipFill>
                  <pic:spPr>
                    <a:xfrm>
                      <a:off x="0" y="0"/>
                      <a:ext cx="6188710" cy="3477260"/>
                    </a:xfrm>
                    <a:prstGeom prst="rect">
                      <a:avLst/>
                    </a:prstGeom>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效能指数分析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按照杭州效能指数考核要求（市系统数据），展现交办数、按期办结率、回访核实率、群众评价满意率、重复交办率、并根据考核公式（萧山信访局提供）模拟计算得分，按照市系统刷新频率一天一更新。可在驾驶舱呈现。</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服务效能分析包含以下开发功能：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萧山信访平均效能指数与五色图展示。</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总体情况：交办总量、正在处理量、已办结工单数、超期件统计、办结率统计、满意度指数、今日办结情况、优秀办件展示。</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本月办理效能：满意率、按期受理率、按期办结率。</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案例库：示范案例、警示案例、优秀办件展示。</w:t>
      </w:r>
      <w:r>
        <w:rPr>
          <w:rFonts w:hint="eastAsia" w:asciiTheme="minorEastAsia" w:hAnsiTheme="minorEastAsia" w:eastAsiaTheme="minorEastAsia"/>
          <w:color w:val="000000" w:themeColor="text1"/>
          <w:sz w:val="28"/>
          <w14:textFill>
            <w14:solidFill>
              <w14:schemeClr w14:val="tx1"/>
            </w14:solidFill>
          </w14:textFill>
        </w:rPr>
        <w:tab/>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本月办理情况：受理总量、分项受理量、受理占比。</w:t>
      </w:r>
      <w:r>
        <w:rPr>
          <w:rFonts w:hint="eastAsia" w:asciiTheme="minorEastAsia" w:hAnsiTheme="minorEastAsia" w:eastAsiaTheme="minorEastAsia"/>
          <w:color w:val="000000" w:themeColor="text1"/>
          <w:sz w:val="28"/>
          <w14:textFill>
            <w14:solidFill>
              <w14:schemeClr w14:val="tx1"/>
            </w14:solidFill>
          </w14:textFill>
        </w:rPr>
        <w:tab/>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具体应用展示如下所示：</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477260"/>
            <wp:effectExtent l="0" t="0" r="2540" b="889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81"/>
                    <a:stretch>
                      <a:fillRect/>
                    </a:stretch>
                  </pic:blipFill>
                  <pic:spPr>
                    <a:xfrm>
                      <a:off x="0" y="0"/>
                      <a:ext cx="6188710" cy="3477260"/>
                    </a:xfrm>
                    <a:prstGeom prst="rect">
                      <a:avLst/>
                    </a:prstGeom>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七张清单</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七张清单，即“七张问题清单”之重大信访问题清单工作。</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内容包括：</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1、突发预警：按照镇街和分类进行切换，包括所属街道、承办量、环比对比分析；</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2、重点案件监测：按照督办件和批示件进行切换，包括分类、所属镇街、反映内容。</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具体应用展示如下所示：</w:t>
      </w:r>
    </w:p>
    <w:p>
      <w:pPr>
        <w:pStyle w:val="14"/>
        <w:spacing w:line="360" w:lineRule="auto"/>
        <w:ind w:firstLine="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3477260"/>
            <wp:effectExtent l="0" t="0" r="2540" b="889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82"/>
                    <a:stretch>
                      <a:fillRect/>
                    </a:stretch>
                  </pic:blipFill>
                  <pic:spPr>
                    <a:xfrm>
                      <a:off x="0" y="0"/>
                      <a:ext cx="6188710" cy="3477260"/>
                    </a:xfrm>
                    <a:prstGeom prst="rect">
                      <a:avLst/>
                    </a:prstGeom>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四大专项行动</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四大专项行动是萧山区为进一步落实信访工作责任，推动信访问题及时就地一揽子解决，努力实现区委区政府决策部署，结合萧山区信访工作实际，现就</w:t>
      </w:r>
      <w:r>
        <w:rPr>
          <w:rFonts w:asciiTheme="minorEastAsia" w:hAnsiTheme="minorEastAsia" w:eastAsiaTheme="minorEastAsia"/>
          <w:color w:val="000000" w:themeColor="text1"/>
          <w:sz w:val="28"/>
          <w14:textFill>
            <w14:solidFill>
              <w14:schemeClr w14:val="tx1"/>
            </w14:solidFill>
          </w14:textFill>
        </w:rPr>
        <w:t>2022</w:t>
      </w:r>
      <w:r>
        <w:rPr>
          <w:rFonts w:hint="eastAsia" w:asciiTheme="minorEastAsia" w:hAnsiTheme="minorEastAsia" w:eastAsiaTheme="minorEastAsia"/>
          <w:color w:val="000000" w:themeColor="text1"/>
          <w:sz w:val="28"/>
          <w14:textFill>
            <w14:solidFill>
              <w14:schemeClr w14:val="tx1"/>
            </w14:solidFill>
          </w14:textFill>
        </w:rPr>
        <w:t>年在全区开展“初次信访规范办理”、“重复信访积案清零”、“信访事项依法终结”、“信访基层基础建设”所进行的四大专项行动。</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萧山“智慧信访”大屏同样会依据四大专项行动的监管内容进行数据采集、统计分析、监测预警、成果展示、可视化展现。</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十三专班</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十三专班是萧山区为了进一步适应信访维稳形势的新变化，进一步构建职责明确、责任落实、联动有力、精准施测的信访维稳工作常态机制，扎实推进信访积案化解，有效处理信访突出问题而成立的领导和各专项工作小组组成人员专班。</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萧山“智慧信访”大屏同样会依据十三专班工作职责和范围进行对应数据采集、监测预警、成果展示、可视化展现。</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坐席监控管理</w:t>
      </w:r>
    </w:p>
    <w:p>
      <w:pPr>
        <w:pStyle w:val="14"/>
        <w:spacing w:line="360" w:lineRule="auto"/>
        <w:ind w:firstLine="560" w:firstLineChars="200"/>
        <w:rPr>
          <w:rFonts w:asciiTheme="minorEastAsia" w:hAnsiTheme="minorEastAsia" w:eastAsiaTheme="minorEastAsia" w:cstheme="minorEastAsia"/>
          <w:color w:val="000000" w:themeColor="text1"/>
          <w:sz w:val="28"/>
          <w14:textFill>
            <w14:solidFill>
              <w14:schemeClr w14:val="tx1"/>
            </w14:solidFill>
          </w14:textFill>
        </w:rPr>
      </w:pPr>
      <w:r>
        <w:rPr>
          <w:rFonts w:hint="eastAsia" w:asciiTheme="minorEastAsia" w:hAnsiTheme="minorEastAsia" w:eastAsiaTheme="minorEastAsia" w:cstheme="minorEastAsia"/>
          <w:color w:val="000000" w:themeColor="text1"/>
          <w:sz w:val="28"/>
          <w14:textFill>
            <w14:solidFill>
              <w14:schemeClr w14:val="tx1"/>
            </w14:solidFill>
          </w14:textFill>
        </w:rPr>
        <w:t>针对萧山区信访局坐席工作开展、运营管理、效能指数开展的统计分析、监测预警、效能分析：当日话务数据情况（受理量、人社话务量、综合席话务量、法律席话务量、接通率、受理质量满意率、上导准确率）数据实时更新。</w:t>
      </w:r>
      <w:r>
        <w:rPr>
          <w:rFonts w:asciiTheme="minorEastAsia" w:hAnsiTheme="minorEastAsia" w:eastAsiaTheme="minorEastAsia" w:cstheme="minorEastAsia"/>
          <w:color w:val="000000" w:themeColor="text1"/>
          <w:sz w:val="28"/>
          <w14:textFill>
            <w14:solidFill>
              <w14:schemeClr w14:val="tx1"/>
            </w14:solidFill>
          </w14:textFill>
        </w:rPr>
        <w:t xml:space="preserve"> </w:t>
      </w:r>
      <w:r>
        <w:rPr>
          <w:rFonts w:hint="eastAsia" w:asciiTheme="minorEastAsia" w:hAnsiTheme="minorEastAsia" w:eastAsiaTheme="minorEastAsia" w:cstheme="minorEastAsia"/>
          <w:color w:val="000000" w:themeColor="text1"/>
          <w:sz w:val="28"/>
          <w14:textFill>
            <w14:solidFill>
              <w14:schemeClr w14:val="tx1"/>
            </w14:solidFill>
          </w14:textFill>
        </w:rPr>
        <w:t>当月话务数据情况（参照当日）、坐席亮灯、监测预警（扬言件、特级件、紧急件）高频来电预警问题展示、24小时话务量展现图、热点话务分类圆饼图（当月、当日）。各话务员以工号</w:t>
      </w:r>
      <w:r>
        <w:rPr>
          <w:rFonts w:asciiTheme="minorEastAsia" w:hAnsiTheme="minorEastAsia" w:eastAsiaTheme="minorEastAsia" w:cstheme="minorEastAsia"/>
          <w:color w:val="000000" w:themeColor="text1"/>
          <w:sz w:val="28"/>
          <w14:textFill>
            <w14:solidFill>
              <w14:schemeClr w14:val="tx1"/>
            </w14:solidFill>
          </w14:textFill>
        </w:rPr>
        <w:t xml:space="preserve"> </w:t>
      </w:r>
      <w:r>
        <w:rPr>
          <w:rFonts w:hint="eastAsia" w:asciiTheme="minorEastAsia" w:hAnsiTheme="minorEastAsia" w:eastAsiaTheme="minorEastAsia" w:cstheme="minorEastAsia"/>
          <w:color w:val="000000" w:themeColor="text1"/>
          <w:sz w:val="28"/>
          <w14:textFill>
            <w14:solidFill>
              <w14:schemeClr w14:val="tx1"/>
            </w14:solidFill>
          </w14:textFill>
        </w:rPr>
        <w:t>展现交办件的办理质量满意率以及各话务员重复交办率（最高的排前面）。当日来电交办多的单位排序。可在驾驶舱做呈现和监测预警、平台进行管理。</w:t>
      </w:r>
    </w:p>
    <w:p>
      <w:pPr>
        <w:pStyle w:val="6"/>
        <w:rPr>
          <w:rFonts w:asciiTheme="minorEastAsia" w:hAnsiTheme="minorEastAsia" w:eastAsiaTheme="minorEastAsia"/>
          <w:color w:val="000000" w:themeColor="text1"/>
          <w14:textFill>
            <w14:solidFill>
              <w14:schemeClr w14:val="tx1"/>
            </w14:solidFill>
          </w14:textFill>
        </w:rPr>
      </w:pPr>
      <w:bookmarkStart w:id="222" w:name="_Toc28944"/>
      <w:bookmarkStart w:id="223" w:name="_Toc18027"/>
      <w:r>
        <w:rPr>
          <w:rFonts w:asciiTheme="minorEastAsia" w:hAnsiTheme="minorEastAsia" w:eastAsiaTheme="minorEastAsia"/>
          <w:color w:val="000000" w:themeColor="text1"/>
          <w14:textFill>
            <w14:solidFill>
              <w14:schemeClr w14:val="tx1"/>
            </w14:solidFill>
          </w14:textFill>
        </w:rPr>
        <w:t>数据接口与平台对接</w:t>
      </w:r>
      <w:bookmarkEnd w:id="222"/>
      <w:bookmarkEnd w:id="223"/>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“浙里办”微信小程序接入</w:t>
      </w:r>
      <w:r>
        <w:rPr>
          <w:rFonts w:asciiTheme="minorEastAsia" w:hAnsiTheme="minorEastAsia" w:eastAsiaTheme="minorEastAsia"/>
          <w:color w:val="000000" w:themeColor="text1"/>
          <w14:textFill>
            <w14:solidFill>
              <w14:schemeClr w14:val="tx1"/>
            </w14:solidFill>
          </w14:textFill>
        </w:rPr>
        <w:t>对接</w:t>
      </w:r>
    </w:p>
    <w:p>
      <w:pPr>
        <w:widowControl/>
        <w:ind w:firstLine="560" w:firstLineChars="2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登录"浙里办"微信小程序，通过“浙里办”小程序进入</w:t>
      </w:r>
      <w:r>
        <w:rPr>
          <w:rFonts w:hint="eastAsia" w:asciiTheme="minorEastAsia" w:hAnsiTheme="minorEastAsia" w:eastAsiaTheme="minorEastAsia"/>
          <w:color w:val="000000" w:themeColor="text1"/>
          <w:szCs w:val="21"/>
          <w14:textFill>
            <w14:solidFill>
              <w14:schemeClr w14:val="tx1"/>
            </w14:solidFill>
          </w14:textFill>
        </w:rPr>
        <w:t>“</w:t>
      </w:r>
      <w:r>
        <w:rPr>
          <w:rFonts w:asciiTheme="minorEastAsia" w:hAnsiTheme="minorEastAsia" w:eastAsiaTheme="minorEastAsia"/>
          <w:color w:val="000000" w:themeColor="text1"/>
          <w:szCs w:val="21"/>
          <w14:textFill>
            <w14:solidFill>
              <w14:schemeClr w14:val="tx1"/>
            </w14:solidFill>
          </w14:textFill>
        </w:rPr>
        <w:t>一呼解忧</w:t>
      </w:r>
      <w:r>
        <w:rPr>
          <w:rFonts w:hint="eastAsia" w:asciiTheme="minorEastAsia" w:hAnsiTheme="minorEastAsia" w:eastAsiaTheme="minorEastAsia"/>
          <w:color w:val="000000" w:themeColor="text1"/>
          <w:szCs w:val="21"/>
          <w14:textFill>
            <w14:solidFill>
              <w14:schemeClr w14:val="tx1"/>
            </w14:solidFill>
          </w14:textFill>
        </w:rPr>
        <w:t>”</w:t>
      </w:r>
      <w:r>
        <w:rPr>
          <w:rFonts w:asciiTheme="minorEastAsia" w:hAnsiTheme="minorEastAsia" w:eastAsiaTheme="minorEastAsia"/>
          <w:color w:val="000000" w:themeColor="text1"/>
          <w:szCs w:val="21"/>
          <w14:textFill>
            <w14:solidFill>
              <w14:schemeClr w14:val="tx1"/>
            </w14:solidFill>
          </w14:textFill>
        </w:rPr>
        <w:t>首页，相关诉求提交受理，案件办理进度查询与评价，部门政策热点知识等相关信息查询展示。</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w:t>
      </w:r>
      <w:r>
        <w:rPr>
          <w:rFonts w:hint="eastAsia" w:asciiTheme="minorEastAsia" w:hAnsiTheme="minorEastAsia" w:eastAsiaTheme="minorEastAsia"/>
          <w:color w:val="000000" w:themeColor="text1"/>
          <w14:textFill>
            <w14:solidFill>
              <w14:schemeClr w14:val="tx1"/>
            </w14:solidFill>
          </w14:textFill>
        </w:rPr>
        <w:t>“一网统管”平台</w:t>
      </w:r>
      <w:r>
        <w:rPr>
          <w:rFonts w:asciiTheme="minorEastAsia" w:hAnsiTheme="minorEastAsia" w:eastAsiaTheme="minorEastAsia"/>
          <w:color w:val="000000" w:themeColor="text1"/>
          <w14:textFill>
            <w14:solidFill>
              <w14:schemeClr w14:val="tx1"/>
            </w14:solidFill>
          </w14:textFill>
        </w:rPr>
        <w:t>对接</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t>与</w:t>
      </w:r>
      <w:r>
        <w:rPr>
          <w:rFonts w:hint="eastAsia" w:asciiTheme="minorEastAsia" w:hAnsiTheme="minorEastAsia" w:eastAsiaTheme="minorEastAsia"/>
          <w:color w:val="000000" w:themeColor="text1"/>
          <w:szCs w:val="21"/>
          <w14:textFill>
            <w14:solidFill>
              <w14:schemeClr w14:val="tx1"/>
            </w14:solidFill>
          </w14:textFill>
        </w:rPr>
        <w:t>“一网统管”平台进行</w:t>
      </w:r>
      <w:r>
        <w:rPr>
          <w:rFonts w:asciiTheme="minorEastAsia" w:hAnsiTheme="minorEastAsia" w:eastAsiaTheme="minorEastAsia"/>
          <w:color w:val="000000" w:themeColor="text1"/>
          <w:szCs w:val="21"/>
          <w14:textFill>
            <w14:solidFill>
              <w14:schemeClr w14:val="tx1"/>
            </w14:solidFill>
          </w14:textFill>
        </w:rPr>
        <w:t>对接集成，</w:t>
      </w:r>
      <w:r>
        <w:rPr>
          <w:rFonts w:hint="eastAsia" w:asciiTheme="minorEastAsia" w:hAnsiTheme="minorEastAsia" w:eastAsiaTheme="minorEastAsia"/>
          <w:color w:val="000000" w:themeColor="text1"/>
          <w:szCs w:val="21"/>
          <w14:textFill>
            <w14:solidFill>
              <w14:schemeClr w14:val="tx1"/>
            </w14:solidFill>
          </w14:textFill>
        </w:rPr>
        <w:t>根据省局数据分流，</w:t>
      </w:r>
      <w:r>
        <w:rPr>
          <w:rFonts w:hint="eastAsia" w:asciiTheme="minorEastAsia" w:hAnsiTheme="minorEastAsia" w:eastAsiaTheme="minorEastAsia"/>
          <w:color w:val="000000" w:themeColor="text1"/>
          <w:szCs w:val="28"/>
          <w14:textFill>
            <w14:solidFill>
              <w14:schemeClr w14:val="tx1"/>
            </w14:solidFill>
          </w14:textFill>
        </w:rPr>
        <w:t>浙里访系统进行业务处理与流转的</w:t>
      </w:r>
      <w:r>
        <w:rPr>
          <w:rFonts w:hint="eastAsia" w:asciiTheme="minorEastAsia" w:hAnsiTheme="minorEastAsia" w:eastAsiaTheme="minorEastAsia"/>
          <w:color w:val="000000" w:themeColor="text1"/>
          <w:szCs w:val="21"/>
          <w14:textFill>
            <w14:solidFill>
              <w14:schemeClr w14:val="tx1"/>
            </w14:solidFill>
          </w14:textFill>
        </w:rPr>
        <w:t>基层事件，</w:t>
      </w:r>
      <w:r>
        <w:rPr>
          <w:rFonts w:hint="eastAsia" w:asciiTheme="minorEastAsia" w:hAnsiTheme="minorEastAsia" w:eastAsiaTheme="minorEastAsia"/>
          <w:color w:val="000000" w:themeColor="text1"/>
          <w:szCs w:val="28"/>
          <w14:textFill>
            <w14:solidFill>
              <w14:schemeClr w14:val="tx1"/>
            </w14:solidFill>
          </w14:textFill>
        </w:rPr>
        <w:t>交办至一网统管系统，</w:t>
      </w:r>
      <w:r>
        <w:rPr>
          <w:rFonts w:asciiTheme="minorEastAsia" w:hAnsiTheme="minorEastAsia" w:eastAsiaTheme="minorEastAsia"/>
          <w:color w:val="000000" w:themeColor="text1"/>
          <w:szCs w:val="21"/>
          <w14:textFill>
            <w14:solidFill>
              <w14:schemeClr w14:val="tx1"/>
            </w14:solidFill>
          </w14:textFill>
        </w:rPr>
        <w:t>通过</w:t>
      </w:r>
      <w:r>
        <w:rPr>
          <w:rFonts w:hint="eastAsia" w:asciiTheme="minorEastAsia" w:hAnsiTheme="minorEastAsia" w:eastAsiaTheme="minorEastAsia"/>
          <w:color w:val="000000" w:themeColor="text1"/>
          <w:szCs w:val="21"/>
          <w14:textFill>
            <w14:solidFill>
              <w14:schemeClr w14:val="tx1"/>
            </w14:solidFill>
          </w14:textFill>
        </w:rPr>
        <w:t>平台对接进行数据流转</w:t>
      </w:r>
      <w:r>
        <w:rPr>
          <w:rFonts w:asciiTheme="minorEastAsia" w:hAnsiTheme="minorEastAsia" w:eastAsiaTheme="minorEastAsia"/>
          <w:color w:val="000000" w:themeColor="text1"/>
          <w:szCs w:val="21"/>
          <w14:textFill>
            <w14:solidFill>
              <w14:schemeClr w14:val="tx1"/>
            </w14:solidFill>
          </w14:textFill>
        </w:rPr>
        <w:t>，相关诉求提交受理，案件办理进度查询与评价，部门政策热点知识等相关信息查询展示。</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1、信访数据交办接口，提供基础受理信息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接口功能：用于接入单位获取中心交办信息。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数据接口字段：</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1363"/>
        <w:gridCol w:w="1418"/>
        <w:gridCol w:w="3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szCs w:val="28"/>
                <w14:textFill>
                  <w14:solidFill>
                    <w14:schemeClr w14:val="tx1"/>
                  </w14:solidFill>
                </w14:textFill>
              </w:rPr>
              <w:t>参数名</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szCs w:val="28"/>
                <w14:textFill>
                  <w14:solidFill>
                    <w14:schemeClr w14:val="tx1"/>
                  </w14:solidFill>
                </w14:textFill>
              </w:rPr>
              <w:t>是否必填</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szCs w:val="28"/>
                <w14:textFill>
                  <w14:solidFill>
                    <w14:schemeClr w14:val="tx1"/>
                  </w14:solidFill>
                </w14:textFill>
              </w:rPr>
              <w:t>参数类型</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szCs w:val="28"/>
                <w14:textFill>
                  <w14:solidFill>
                    <w14:schemeClr w14:val="tx1"/>
                  </w14:solidFill>
                </w14:textFill>
              </w:rPr>
              <w:t>参数说明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contactNo</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联系号码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detailAddress</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详细发生地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isSecret</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是否保密，（传</w:t>
            </w:r>
            <w:r>
              <w:rPr>
                <w:rFonts w:asciiTheme="minorEastAsia" w:hAnsiTheme="minorEastAsia" w:eastAsiaTheme="minorEastAsia" w:cstheme="minorEastAsia"/>
                <w:color w:val="000000" w:themeColor="text1"/>
                <w:szCs w:val="28"/>
                <w14:textFill>
                  <w14:solidFill>
                    <w14:schemeClr w14:val="tx1"/>
                  </w14:solidFill>
                </w14:textFill>
              </w:rPr>
              <w:t>0或者1， 0表示否1表示是，默认为0）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reflectTime</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反映时间，格式为</w:t>
            </w:r>
            <w:r>
              <w:rPr>
                <w:rFonts w:asciiTheme="minorEastAsia" w:hAnsiTheme="minorEastAsia" w:eastAsiaTheme="minorEastAsia" w:cstheme="minorEastAsia"/>
                <w:color w:val="000000" w:themeColor="text1"/>
                <w:szCs w:val="28"/>
                <w14:textFill>
                  <w14:solidFill>
                    <w14:schemeClr w14:val="tx1"/>
                  </w14:solidFill>
                </w14:textFill>
              </w:rPr>
              <w:t>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reflectContent</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反映内容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purposeName</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目的分类：意见建议、申诉、求决、揭发控告、咨询、其他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sex</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性别（</w:t>
            </w:r>
            <w:r>
              <w:rPr>
                <w:rFonts w:asciiTheme="minorEastAsia" w:hAnsiTheme="minorEastAsia" w:eastAsiaTheme="minorEastAsia" w:cstheme="minorEastAsia"/>
                <w:color w:val="000000" w:themeColor="text1"/>
                <w:szCs w:val="28"/>
                <w14:textFill>
                  <w14:solidFill>
                    <w14:schemeClr w14:val="tx1"/>
                  </w14:solidFill>
                </w14:textFill>
              </w:rPr>
              <w:t>0女、1男）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name</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idCardNo</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否</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身份证号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imgUrls</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否</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图片链接，多张图片以逗号分隔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longitude</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否</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发生地经度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latitude</w:t>
            </w:r>
          </w:p>
        </w:tc>
        <w:tc>
          <w:tcPr>
            <w:tcW w:w="1363"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否</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1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发生地纬度</w:t>
            </w:r>
          </w:p>
        </w:tc>
      </w:tr>
    </w:tbl>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t>2</w:t>
      </w:r>
      <w:r>
        <w:rPr>
          <w:rFonts w:hint="eastAsia" w:asciiTheme="minorEastAsia" w:hAnsiTheme="minorEastAsia" w:eastAsiaTheme="minorEastAsia"/>
          <w:color w:val="000000" w:themeColor="text1"/>
          <w:szCs w:val="21"/>
          <w14:textFill>
            <w14:solidFill>
              <w14:schemeClr w14:val="tx1"/>
            </w14:solidFill>
          </w14:textFill>
        </w:rPr>
        <w:t>、工单结果信息查询接口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接口功能：用于接入单位获取工单办理结果信息。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数据接口字段：</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6"/>
        <w:gridCol w:w="1368"/>
        <w:gridCol w:w="1418"/>
        <w:gridCol w:w="3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参数名</w:t>
            </w:r>
          </w:p>
        </w:tc>
        <w:tc>
          <w:tcPr>
            <w:tcW w:w="1368"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是否必填</w:t>
            </w:r>
          </w:p>
        </w:tc>
        <w:tc>
          <w:tcPr>
            <w:tcW w:w="1418"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参数类型</w:t>
            </w:r>
          </w:p>
        </w:tc>
        <w:tc>
          <w:tcPr>
            <w:tcW w:w="3604" w:type="dxa"/>
          </w:tcPr>
          <w:p>
            <w:pPr>
              <w:widowControl/>
              <w:spacing w:line="300" w:lineRule="atLeast"/>
              <w:jc w:val="left"/>
              <w:rPr>
                <w:rFonts w:asciiTheme="minorEastAsia" w:hAnsiTheme="minorEastAsia" w:cstheme="minorEastAsia"/>
                <w:b/>
                <w:bCs/>
                <w:color w:val="000000" w:themeColor="text1"/>
                <w:kern w:val="0"/>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businessId</w:t>
            </w:r>
          </w:p>
        </w:tc>
        <w:tc>
          <w:tcPr>
            <w:tcW w:w="1368"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4"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业务工单</w:t>
            </w:r>
            <w:r>
              <w:rPr>
                <w:rFonts w:asciiTheme="minorEastAsia" w:hAnsiTheme="minorEastAsia" w:eastAsiaTheme="minorEastAsia" w:cstheme="minorEastAsia"/>
                <w:color w:val="000000" w:themeColor="text1"/>
                <w:szCs w:val="28"/>
                <w14:textFill>
                  <w14:solidFill>
                    <w14:schemeClr w14:val="tx1"/>
                  </w14:solidFill>
                </w14:textFill>
              </w:rPr>
              <w:t>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9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handlingName</w:t>
            </w:r>
          </w:p>
        </w:tc>
        <w:tc>
          <w:tcPr>
            <w:tcW w:w="1368"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4"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办结人名称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handlingDeptName</w:t>
            </w:r>
          </w:p>
        </w:tc>
        <w:tc>
          <w:tcPr>
            <w:tcW w:w="1368"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4"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办结单位名称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completionTime</w:t>
            </w:r>
          </w:p>
        </w:tc>
        <w:tc>
          <w:tcPr>
            <w:tcW w:w="1368"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4"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办结时间，格式为</w:t>
            </w:r>
            <w:r>
              <w:rPr>
                <w:rFonts w:asciiTheme="minorEastAsia" w:hAnsiTheme="minorEastAsia" w:eastAsiaTheme="minorEastAsia" w:cstheme="minorEastAsia"/>
                <w:color w:val="000000" w:themeColor="text1"/>
                <w:szCs w:val="28"/>
                <w14:textFill>
                  <w14:solidFill>
                    <w14:schemeClr w14:val="tx1"/>
                  </w14:solidFill>
                </w14:textFill>
              </w:rPr>
              <w:t>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completionContent</w:t>
            </w:r>
          </w:p>
        </w:tc>
        <w:tc>
          <w:tcPr>
            <w:tcW w:w="1368"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8"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4"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办结内容</w:t>
            </w:r>
          </w:p>
        </w:tc>
      </w:tr>
    </w:tbl>
    <w:p>
      <w:pPr>
        <w:widowControl/>
        <w:ind w:firstLine="560" w:firstLineChars="200"/>
        <w:jc w:val="left"/>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3、查询待办工单接口</w:t>
      </w:r>
    </w:p>
    <w:p>
      <w:pPr>
        <w:widowControl/>
        <w:ind w:firstLine="560" w:firstLineChars="200"/>
        <w:jc w:val="left"/>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接口功能：用于接入单位查询当前待办工单信息。</w:t>
      </w:r>
    </w:p>
    <w:p>
      <w:pPr>
        <w:widowControl/>
        <w:ind w:firstLine="560" w:firstLineChars="200"/>
        <w:jc w:val="left"/>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数据接口字段：</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6"/>
        <w:gridCol w:w="1372"/>
        <w:gridCol w:w="1417"/>
        <w:gridCol w:w="3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参数名</w:t>
            </w:r>
          </w:p>
        </w:tc>
        <w:tc>
          <w:tcPr>
            <w:tcW w:w="1372"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是否必填</w:t>
            </w:r>
          </w:p>
        </w:tc>
        <w:tc>
          <w:tcPr>
            <w:tcW w:w="1417"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参数类型</w:t>
            </w:r>
          </w:p>
        </w:tc>
        <w:tc>
          <w:tcPr>
            <w:tcW w:w="3601" w:type="dxa"/>
          </w:tcPr>
          <w:p>
            <w:pPr>
              <w:widowControl/>
              <w:spacing w:line="300" w:lineRule="atLeast"/>
              <w:jc w:val="left"/>
              <w:rPr>
                <w:rFonts w:asciiTheme="minorEastAsia" w:hAnsiTheme="minorEastAsia" w:cstheme="minorEastAsia"/>
                <w:b/>
                <w:bCs/>
                <w:color w:val="000000" w:themeColor="text1"/>
                <w:kern w:val="0"/>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businessNo</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业务编号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businessId</w:t>
            </w:r>
          </w:p>
        </w:tc>
        <w:tc>
          <w:tcPr>
            <w:tcW w:w="1372"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是</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业务工单</w:t>
            </w:r>
            <w:r>
              <w:rPr>
                <w:rFonts w:asciiTheme="minorEastAsia" w:hAnsiTheme="minorEastAsia" w:eastAsiaTheme="minorEastAsia" w:cstheme="minorEastAsia"/>
                <w:color w:val="000000" w:themeColor="text1"/>
                <w:szCs w:val="28"/>
                <w14:textFill>
                  <w14:solidFill>
                    <w14:schemeClr w14:val="tx1"/>
                  </w14:solidFill>
                </w14:textFill>
              </w:rPr>
              <w:t>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callerName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反映人姓名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contactNo</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sex</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性别（0女、1男）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idcardNo</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身份证号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longitude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latitude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detailAddress</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详细发生地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contentsortName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内容分类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purposeName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emergencyDegreeName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lang w:eastAsia="zh-Hans"/>
                <w14:textFill>
                  <w14:solidFill>
                    <w14:schemeClr w14:val="tx1"/>
                  </w14:solidFill>
                </w14:textFill>
              </w:rPr>
            </w:pPr>
            <w:r>
              <w:rPr>
                <w:rFonts w:asciiTheme="minorEastAsia" w:hAnsiTheme="minorEastAsia" w:eastAsiaTheme="minorEastAsia" w:cstheme="minorEastAsia"/>
                <w:color w:val="000000" w:themeColor="text1"/>
                <w:szCs w:val="28"/>
                <w:lang w:eastAsia="zh-Hans"/>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紧急程度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reflectTime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Date</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反映日期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deadline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Date</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截止日期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reflectContent</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反映内容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imgUrl</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否</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1"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图片地址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6"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handlingState</w:t>
            </w:r>
          </w:p>
        </w:tc>
        <w:tc>
          <w:tcPr>
            <w:tcW w:w="1372" w:type="dxa"/>
          </w:tcPr>
          <w:p>
            <w:pPr>
              <w:rPr>
                <w:rFonts w:asciiTheme="minorEastAsia" w:hAnsiTheme="minorEastAsia" w:cstheme="minorEastAsia"/>
                <w:color w:val="000000" w:themeColor="text1"/>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szCs w:val="28"/>
                <w:lang w:eastAsia="zh-Hans"/>
                <w14:textFill>
                  <w14:solidFill>
                    <w14:schemeClr w14:val="tx1"/>
                  </w14:solidFill>
                </w14:textFill>
              </w:rPr>
              <w:t>是</w:t>
            </w:r>
          </w:p>
        </w:tc>
        <w:tc>
          <w:tcPr>
            <w:tcW w:w="1417" w:type="dxa"/>
          </w:tcPr>
          <w:p>
            <w:pPr>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szCs w:val="28"/>
                <w14:textFill>
                  <w14:solidFill>
                    <w14:schemeClr w14:val="tx1"/>
                  </w14:solidFill>
                </w14:textFill>
              </w:rPr>
              <w:t>String</w:t>
            </w:r>
          </w:p>
        </w:tc>
        <w:tc>
          <w:tcPr>
            <w:tcW w:w="3601" w:type="dxa"/>
          </w:tcPr>
          <w:p>
            <w:pPr>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szCs w:val="28"/>
                <w14:textFill>
                  <w14:solidFill>
                    <w14:schemeClr w14:val="tx1"/>
                  </w14:solidFill>
                </w14:textFill>
              </w:rPr>
              <w:t>处理状态（</w:t>
            </w:r>
            <w:r>
              <w:rPr>
                <w:rFonts w:asciiTheme="minorEastAsia" w:hAnsiTheme="minorEastAsia" w:eastAsiaTheme="minorEastAsia" w:cstheme="minorEastAsia"/>
                <w:color w:val="000000" w:themeColor="text1"/>
                <w:szCs w:val="28"/>
                <w14:textFill>
                  <w14:solidFill>
                    <w14:schemeClr w14:val="tx1"/>
                  </w14:solidFill>
                </w14:textFill>
              </w:rPr>
              <w:t>0待确认、1处理中、2已办结)</w:t>
            </w:r>
          </w:p>
        </w:tc>
      </w:tr>
    </w:tbl>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t>4</w:t>
      </w:r>
      <w:r>
        <w:rPr>
          <w:rFonts w:hint="eastAsia" w:asciiTheme="minorEastAsia" w:hAnsiTheme="minorEastAsia" w:eastAsiaTheme="minorEastAsia"/>
          <w:color w:val="000000" w:themeColor="text1"/>
          <w:szCs w:val="21"/>
          <w14:textFill>
            <w14:solidFill>
              <w14:schemeClr w14:val="tx1"/>
            </w14:solidFill>
          </w14:textFill>
        </w:rPr>
        <w:t>、确认待处理工单接口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接口功能：用于确认当前待处理工单，确认后，工单状态改变。</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t>5</w:t>
      </w:r>
      <w:r>
        <w:rPr>
          <w:rFonts w:hint="eastAsia" w:asciiTheme="minorEastAsia" w:hAnsiTheme="minorEastAsia" w:eastAsiaTheme="minorEastAsia"/>
          <w:color w:val="000000" w:themeColor="text1"/>
          <w:szCs w:val="21"/>
          <w14:textFill>
            <w14:solidFill>
              <w14:schemeClr w14:val="tx1"/>
            </w14:solidFill>
          </w14:textFill>
        </w:rPr>
        <w:t>、办结工单接口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接口功能：用于接入单位上传工单办理结果信息。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数据接口字段：</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6"/>
        <w:gridCol w:w="1368"/>
        <w:gridCol w:w="1418"/>
        <w:gridCol w:w="3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参数名</w:t>
            </w:r>
          </w:p>
        </w:tc>
        <w:tc>
          <w:tcPr>
            <w:tcW w:w="1368"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是否必填</w:t>
            </w:r>
          </w:p>
        </w:tc>
        <w:tc>
          <w:tcPr>
            <w:tcW w:w="1418" w:type="dxa"/>
          </w:tcPr>
          <w:p>
            <w:pPr>
              <w:widowControl/>
              <w:spacing w:line="300" w:lineRule="atLeast"/>
              <w:jc w:val="left"/>
              <w:rPr>
                <w:rFonts w:asciiTheme="minorEastAsia" w:hAnsiTheme="minorEastAsia" w:cstheme="minorEastAsia"/>
                <w:b/>
                <w:bCs/>
                <w:color w:val="000000" w:themeColor="text1"/>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参数类型</w:t>
            </w:r>
          </w:p>
        </w:tc>
        <w:tc>
          <w:tcPr>
            <w:tcW w:w="3604" w:type="dxa"/>
          </w:tcPr>
          <w:p>
            <w:pPr>
              <w:widowControl/>
              <w:spacing w:line="300" w:lineRule="atLeast"/>
              <w:jc w:val="left"/>
              <w:rPr>
                <w:rFonts w:asciiTheme="minorEastAsia" w:hAnsiTheme="minorEastAsia" w:cstheme="minorEastAsia"/>
                <w:b/>
                <w:bCs/>
                <w:color w:val="000000" w:themeColor="text1"/>
                <w:kern w:val="0"/>
                <w:szCs w:val="28"/>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8"/>
                <w14:textFill>
                  <w14:solidFill>
                    <w14:schemeClr w14:val="tx1"/>
                  </w14:solidFill>
                </w14:textFill>
              </w:rPr>
              <w:t>参数说明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businessId</w:t>
            </w:r>
          </w:p>
        </w:tc>
        <w:tc>
          <w:tcPr>
            <w:tcW w:w="1368" w:type="dxa"/>
          </w:tcPr>
          <w:p>
            <w:pPr>
              <w:widowControl/>
              <w:spacing w:line="300" w:lineRule="atLeast"/>
              <w:jc w:val="left"/>
              <w:rPr>
                <w:rFonts w:asciiTheme="minorEastAsia" w:hAnsiTheme="minorEastAsia" w:cstheme="minorEastAsia"/>
                <w:color w:val="000000" w:themeColor="text1"/>
                <w:szCs w:val="28"/>
                <w14:textFill>
                  <w14:solidFill>
                    <w14:schemeClr w14:val="tx1"/>
                  </w14:solidFill>
                </w14:textFill>
              </w:rPr>
            </w:pPr>
            <w:r>
              <w:rPr>
                <w:rFonts w:hint="eastAsia" w:asciiTheme="minorEastAsia" w:hAnsiTheme="minorEastAsia" w:eastAsiaTheme="minorEastAsia" w:cstheme="minorEastAsia"/>
                <w:color w:val="000000" w:themeColor="text1"/>
                <w:kern w:val="0"/>
                <w:szCs w:val="28"/>
                <w14:textFill>
                  <w14:solidFill>
                    <w14:schemeClr w14:val="tx1"/>
                  </w14:solidFill>
                </w14:textFill>
              </w:rPr>
              <w:t>是</w:t>
            </w:r>
          </w:p>
        </w:tc>
        <w:tc>
          <w:tcPr>
            <w:tcW w:w="1418" w:type="dxa"/>
          </w:tcPr>
          <w:p>
            <w:pPr>
              <w:widowControl/>
              <w:spacing w:line="300" w:lineRule="atLeast"/>
              <w:jc w:val="left"/>
              <w:rPr>
                <w:rFonts w:asciiTheme="minorEastAsia" w:hAnsiTheme="minorEastAsia" w:cstheme="minorEastAsia"/>
                <w:color w:val="000000" w:themeColor="text1"/>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hint="eastAsia" w:asciiTheme="minorEastAsia" w:hAnsiTheme="minorEastAsia" w:eastAsiaTheme="minorEastAsia" w:cstheme="minorEastAsia"/>
                <w:color w:val="000000" w:themeColor="text1"/>
                <w:kern w:val="0"/>
                <w:szCs w:val="28"/>
                <w14:textFill>
                  <w14:solidFill>
                    <w14:schemeClr w14:val="tx1"/>
                  </w14:solidFill>
                </w14:textFill>
              </w:rPr>
              <w:t>业务工单</w:t>
            </w:r>
            <w:r>
              <w:rPr>
                <w:rFonts w:asciiTheme="minorEastAsia" w:hAnsiTheme="minorEastAsia" w:eastAsiaTheme="minorEastAsia" w:cstheme="minorEastAsia"/>
                <w:color w:val="000000" w:themeColor="text1"/>
                <w:kern w:val="0"/>
                <w:szCs w:val="28"/>
                <w14:textFill>
                  <w14:solidFill>
                    <w14:schemeClr w14:val="tx1"/>
                  </w14:solidFill>
                </w14:textFill>
              </w:rPr>
              <w:t>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completerName</w:t>
            </w:r>
          </w:p>
        </w:tc>
        <w:tc>
          <w:tcPr>
            <w:tcW w:w="136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是</w:t>
            </w:r>
          </w:p>
        </w:tc>
        <w:tc>
          <w:tcPr>
            <w:tcW w:w="141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hint="eastAsia" w:asciiTheme="minorEastAsia" w:hAnsiTheme="minorEastAsia" w:eastAsiaTheme="minorEastAsia" w:cstheme="minorEastAsia"/>
                <w:color w:val="000000" w:themeColor="text1"/>
                <w:kern w:val="0"/>
                <w:szCs w:val="28"/>
                <w14:textFill>
                  <w14:solidFill>
                    <w14:schemeClr w14:val="tx1"/>
                  </w14:solidFill>
                </w14:textFill>
              </w:rPr>
              <w:t>办结人姓名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completerDeptName</w:t>
            </w:r>
          </w:p>
        </w:tc>
        <w:tc>
          <w:tcPr>
            <w:tcW w:w="136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是</w:t>
            </w:r>
          </w:p>
        </w:tc>
        <w:tc>
          <w:tcPr>
            <w:tcW w:w="1418"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办结部门名称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completeTime</w:t>
            </w:r>
          </w:p>
        </w:tc>
        <w:tc>
          <w:tcPr>
            <w:tcW w:w="136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是</w:t>
            </w:r>
          </w:p>
        </w:tc>
        <w:tc>
          <w:tcPr>
            <w:tcW w:w="1418"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办结时间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completeContent</w:t>
            </w:r>
          </w:p>
        </w:tc>
        <w:tc>
          <w:tcPr>
            <w:tcW w:w="136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是</w:t>
            </w:r>
          </w:p>
        </w:tc>
        <w:tc>
          <w:tcPr>
            <w:tcW w:w="1418"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办结内容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evaluate_state</w:t>
            </w:r>
          </w:p>
        </w:tc>
        <w:tc>
          <w:tcPr>
            <w:tcW w:w="136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是</w:t>
            </w:r>
          </w:p>
        </w:tc>
        <w:tc>
          <w:tcPr>
            <w:tcW w:w="1418"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hint="eastAsia" w:asciiTheme="minorEastAsia" w:hAnsiTheme="minorEastAsia" w:eastAsiaTheme="minorEastAsia" w:cstheme="minorEastAsia"/>
                <w:color w:val="000000" w:themeColor="text1"/>
                <w:kern w:val="0"/>
                <w:szCs w:val="28"/>
                <w14:textFill>
                  <w14:solidFill>
                    <w14:schemeClr w14:val="tx1"/>
                  </w14:solidFill>
                </w14:textFill>
              </w:rPr>
              <w:t>最终评价满意度，</w:t>
            </w:r>
            <w:r>
              <w:rPr>
                <w:rFonts w:asciiTheme="minorEastAsia" w:hAnsiTheme="minorEastAsia" w:eastAsiaTheme="minorEastAsia" w:cstheme="minorEastAsia"/>
                <w:color w:val="000000" w:themeColor="text1"/>
                <w:kern w:val="0"/>
                <w:szCs w:val="28"/>
                <w14:textFill>
                  <w14:solidFill>
                    <w14:schemeClr w14:val="tx1"/>
                  </w14:solidFill>
                </w14:textFill>
              </w:rPr>
              <w:t>0：未评价，1：满意,2一般，3不满意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96"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remarks</w:t>
            </w:r>
          </w:p>
        </w:tc>
        <w:tc>
          <w:tcPr>
            <w:tcW w:w="1368"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否</w:t>
            </w:r>
          </w:p>
        </w:tc>
        <w:tc>
          <w:tcPr>
            <w:tcW w:w="1418" w:type="dxa"/>
          </w:tcPr>
          <w:p>
            <w:pPr>
              <w:widowControl/>
              <w:spacing w:line="300" w:lineRule="atLeast"/>
              <w:jc w:val="left"/>
              <w:rPr>
                <w:rFonts w:asciiTheme="minorEastAsia" w:hAnsiTheme="minorEastAsia" w:cstheme="minorEastAsia"/>
                <w:color w:val="000000" w:themeColor="text1"/>
                <w:kern w:val="0"/>
                <w:szCs w:val="28"/>
                <w14:textFill>
                  <w14:solidFill>
                    <w14:schemeClr w14:val="tx1"/>
                  </w14:solidFill>
                </w14:textFill>
              </w:rPr>
            </w:pPr>
            <w:r>
              <w:rPr>
                <w:rFonts w:asciiTheme="minorEastAsia" w:hAnsiTheme="minorEastAsia" w:eastAsiaTheme="minorEastAsia" w:cstheme="minorEastAsia"/>
                <w:color w:val="000000" w:themeColor="text1"/>
                <w:kern w:val="0"/>
                <w:szCs w:val="28"/>
                <w14:textFill>
                  <w14:solidFill>
                    <w14:schemeClr w14:val="tx1"/>
                  </w14:solidFill>
                </w14:textFill>
              </w:rPr>
              <w:t>String</w:t>
            </w:r>
          </w:p>
        </w:tc>
        <w:tc>
          <w:tcPr>
            <w:tcW w:w="3604" w:type="dxa"/>
          </w:tcPr>
          <w:p>
            <w:pPr>
              <w:widowControl/>
              <w:spacing w:line="300" w:lineRule="atLeast"/>
              <w:jc w:val="left"/>
              <w:rPr>
                <w:rFonts w:asciiTheme="minorEastAsia" w:hAnsiTheme="minorEastAsia" w:cstheme="minorEastAsia"/>
                <w:color w:val="000000" w:themeColor="text1"/>
                <w:kern w:val="0"/>
                <w:szCs w:val="28"/>
                <w:lang w:eastAsia="zh-Hans"/>
                <w14:textFill>
                  <w14:solidFill>
                    <w14:schemeClr w14:val="tx1"/>
                  </w14:solidFill>
                </w14:textFill>
              </w:rPr>
            </w:pPr>
            <w:r>
              <w:rPr>
                <w:rFonts w:hint="eastAsia" w:asciiTheme="minorEastAsia" w:hAnsiTheme="minorEastAsia" w:eastAsiaTheme="minorEastAsia" w:cstheme="minorEastAsia"/>
                <w:color w:val="000000" w:themeColor="text1"/>
                <w:kern w:val="0"/>
                <w:szCs w:val="28"/>
                <w:lang w:eastAsia="zh-Hans"/>
                <w14:textFill>
                  <w14:solidFill>
                    <w14:schemeClr w14:val="tx1"/>
                  </w14:solidFill>
                </w14:textFill>
              </w:rPr>
              <w:t>备注</w:t>
            </w:r>
          </w:p>
        </w:tc>
      </w:tr>
    </w:tbl>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6、接入单位处理退回接口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接口功能：用于接入单位获取工单后，处理方式为退回，将服务工单退回至中心平台。</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7、延期申请信息接口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接口功能：用于接入单位在处理过程中向中心申请延期，延后办理期限</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8、延期申请审核结果获取接口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接口功能：用于接入单位查询中心单位对接入单位的延期申请进行审核的结果查询。</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9、满意度信息获取接口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接口功能：用与接入单位获取办件满意度信息的接口，包含评价结果满意度，评价时间，发起评价时间，评价方式等。</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与</w:t>
      </w:r>
      <w:r>
        <w:rPr>
          <w:rFonts w:hint="eastAsia" w:asciiTheme="minorEastAsia" w:hAnsiTheme="minorEastAsia" w:eastAsiaTheme="minorEastAsia"/>
          <w:color w:val="000000" w:themeColor="text1"/>
          <w14:textFill>
            <w14:solidFill>
              <w14:schemeClr w14:val="tx1"/>
            </w14:solidFill>
          </w14:textFill>
        </w:rPr>
        <w:t>省市“</w:t>
      </w:r>
      <w:r>
        <w:rPr>
          <w:rFonts w:asciiTheme="minorEastAsia" w:hAnsiTheme="minorEastAsia" w:eastAsiaTheme="minorEastAsia"/>
          <w:color w:val="000000" w:themeColor="text1"/>
          <w14:textFill>
            <w14:solidFill>
              <w14:schemeClr w14:val="tx1"/>
            </w14:solidFill>
          </w14:textFill>
        </w:rPr>
        <w:t>民呼我为</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对接</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t>与</w:t>
      </w:r>
      <w:r>
        <w:rPr>
          <w:rFonts w:hint="eastAsia" w:asciiTheme="minorEastAsia" w:hAnsiTheme="minorEastAsia" w:eastAsiaTheme="minorEastAsia"/>
          <w:color w:val="000000" w:themeColor="text1"/>
          <w:szCs w:val="21"/>
          <w14:textFill>
            <w14:solidFill>
              <w14:schemeClr w14:val="tx1"/>
            </w14:solidFill>
          </w14:textFill>
        </w:rPr>
        <w:t>省市“</w:t>
      </w:r>
      <w:r>
        <w:rPr>
          <w:rFonts w:asciiTheme="minorEastAsia" w:hAnsiTheme="minorEastAsia" w:eastAsiaTheme="minorEastAsia"/>
          <w:color w:val="000000" w:themeColor="text1"/>
          <w:szCs w:val="21"/>
          <w14:textFill>
            <w14:solidFill>
              <w14:schemeClr w14:val="tx1"/>
            </w14:solidFill>
          </w14:textFill>
        </w:rPr>
        <w:t>民呼我为</w:t>
      </w:r>
      <w:r>
        <w:rPr>
          <w:rFonts w:hint="eastAsia" w:asciiTheme="minorEastAsia" w:hAnsiTheme="minorEastAsia" w:eastAsiaTheme="minorEastAsia"/>
          <w:color w:val="000000" w:themeColor="text1"/>
          <w:szCs w:val="21"/>
          <w14:textFill>
            <w14:solidFill>
              <w14:schemeClr w14:val="tx1"/>
            </w14:solidFill>
          </w14:textFill>
        </w:rPr>
        <w:t>”</w:t>
      </w:r>
      <w:r>
        <w:rPr>
          <w:rFonts w:asciiTheme="minorEastAsia" w:hAnsiTheme="minorEastAsia" w:eastAsiaTheme="minorEastAsia"/>
          <w:color w:val="000000" w:themeColor="text1"/>
          <w:szCs w:val="21"/>
          <w14:textFill>
            <w14:solidFill>
              <w14:schemeClr w14:val="tx1"/>
            </w14:solidFill>
          </w14:textFill>
        </w:rPr>
        <w:t>对接，</w:t>
      </w:r>
      <w:r>
        <w:rPr>
          <w:rFonts w:hint="eastAsia" w:asciiTheme="minorEastAsia" w:hAnsiTheme="minorEastAsia" w:eastAsiaTheme="minorEastAsia"/>
          <w:color w:val="000000" w:themeColor="text1"/>
          <w:szCs w:val="21"/>
          <w14:textFill>
            <w14:solidFill>
              <w14:schemeClr w14:val="tx1"/>
            </w14:solidFill>
          </w14:textFill>
        </w:rPr>
        <w:t>挂载到浙里办——民呼我为区县频道，市民通过访问浙里办A</w:t>
      </w:r>
      <w:r>
        <w:rPr>
          <w:rFonts w:asciiTheme="minorEastAsia" w:hAnsiTheme="minorEastAsia" w:eastAsiaTheme="minorEastAsia"/>
          <w:color w:val="000000" w:themeColor="text1"/>
          <w:szCs w:val="21"/>
          <w14:textFill>
            <w14:solidFill>
              <w14:schemeClr w14:val="tx1"/>
            </w14:solidFill>
          </w14:textFill>
        </w:rPr>
        <w:t>PP</w:t>
      </w:r>
      <w:r>
        <w:rPr>
          <w:rFonts w:hint="eastAsia" w:asciiTheme="minorEastAsia" w:hAnsiTheme="minorEastAsia" w:eastAsiaTheme="minorEastAsia"/>
          <w:color w:val="000000" w:themeColor="text1"/>
          <w:szCs w:val="21"/>
          <w14:textFill>
            <w14:solidFill>
              <w14:schemeClr w14:val="tx1"/>
            </w14:solidFill>
          </w14:textFill>
        </w:rPr>
        <w:t>，在民呼我为模块的“区县频道”中选择萧山区进入</w:t>
      </w:r>
      <w:r>
        <w:rPr>
          <w:rFonts w:hint="eastAsia" w:asciiTheme="minorEastAsia" w:hAnsiTheme="minorEastAsia" w:eastAsiaTheme="minorEastAsia"/>
          <w:color w:val="000000" w:themeColor="text1"/>
          <w14:textFill>
            <w14:solidFill>
              <w14:schemeClr w14:val="tx1"/>
            </w14:solidFill>
          </w14:textFill>
        </w:rPr>
        <w:t>“一呼解忧”，</w:t>
      </w:r>
      <w:r>
        <w:rPr>
          <w:rFonts w:asciiTheme="minorEastAsia" w:hAnsiTheme="minorEastAsia" w:eastAsiaTheme="minorEastAsia"/>
          <w:color w:val="000000" w:themeColor="text1"/>
          <w:szCs w:val="21"/>
          <w14:textFill>
            <w14:solidFill>
              <w14:schemeClr w14:val="tx1"/>
            </w14:solidFill>
          </w14:textFill>
        </w:rPr>
        <w:t>进行业务协同及数据交互。如下所示：</w:t>
      </w:r>
      <w:r>
        <w:rPr>
          <w:rFonts w:hint="eastAsia" w:asciiTheme="minorEastAsia" w:hAnsiTheme="minorEastAsia" w:eastAsiaTheme="minorEastAsia"/>
          <w:color w:val="000000" w:themeColor="text1"/>
          <w:szCs w:val="21"/>
          <w14:textFill>
            <w14:solidFill>
              <w14:schemeClr w14:val="tx1"/>
            </w14:solidFill>
          </w14:textFill>
        </w:rPr>
        <w:t xml:space="preserve"> </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drawing>
          <wp:inline distT="0" distB="0" distL="0" distR="0">
            <wp:extent cx="2742565" cy="4876800"/>
            <wp:effectExtent l="0" t="0" r="63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747998" cy="4885563"/>
                    </a:xfrm>
                    <a:prstGeom prst="rect">
                      <a:avLst/>
                    </a:prstGeom>
                  </pic:spPr>
                </pic:pic>
              </a:graphicData>
            </a:graphic>
          </wp:inline>
        </w:drawing>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省市民呼我为接口对接，如下所示：</w:t>
      </w:r>
    </w:p>
    <w:p>
      <w:pPr>
        <w:pStyle w:val="89"/>
        <w:widowControl/>
        <w:numPr>
          <w:ilvl w:val="0"/>
          <w:numId w:val="27"/>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热线通话信息</w:t>
      </w:r>
    </w:p>
    <w:p>
      <w:pPr>
        <w:pStyle w:val="89"/>
        <w:widowControl/>
        <w:numPr>
          <w:ilvl w:val="0"/>
          <w:numId w:val="27"/>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热线工单数据信息</w:t>
      </w:r>
    </w:p>
    <w:p>
      <w:pPr>
        <w:pStyle w:val="89"/>
        <w:widowControl/>
        <w:numPr>
          <w:ilvl w:val="0"/>
          <w:numId w:val="27"/>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事项办理过程及结果信息</w:t>
      </w:r>
    </w:p>
    <w:p>
      <w:pPr>
        <w:pStyle w:val="89"/>
        <w:widowControl/>
        <w:numPr>
          <w:ilvl w:val="0"/>
          <w:numId w:val="27"/>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满意度评价信息</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与镇街自有系统</w:t>
      </w:r>
      <w:r>
        <w:rPr>
          <w:rFonts w:asciiTheme="minorEastAsia" w:hAnsiTheme="minorEastAsia" w:eastAsiaTheme="minorEastAsia"/>
          <w:color w:val="000000" w:themeColor="text1"/>
          <w14:textFill>
            <w14:solidFill>
              <w14:schemeClr w14:val="tx1"/>
            </w14:solidFill>
          </w14:textFill>
        </w:rPr>
        <w:t>对接</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与具备自有系统的镇街做系统对接</w:t>
      </w:r>
      <w:r>
        <w:rPr>
          <w:rFonts w:asciiTheme="minorEastAsia" w:hAnsiTheme="minorEastAsia" w:eastAsiaTheme="minorEastAsia"/>
          <w:color w:val="000000" w:themeColor="text1"/>
          <w:szCs w:val="21"/>
          <w14:textFill>
            <w14:solidFill>
              <w14:schemeClr w14:val="tx1"/>
            </w14:solidFill>
          </w14:textFill>
        </w:rPr>
        <w:t>，通过</w:t>
      </w:r>
      <w:r>
        <w:rPr>
          <w:rFonts w:hint="eastAsia" w:asciiTheme="minorEastAsia" w:hAnsiTheme="minorEastAsia" w:eastAsiaTheme="minorEastAsia"/>
          <w:color w:val="000000" w:themeColor="text1"/>
          <w:szCs w:val="21"/>
          <w14:textFill>
            <w14:solidFill>
              <w14:schemeClr w14:val="tx1"/>
            </w14:solidFill>
          </w14:textFill>
        </w:rPr>
        <w:t>镇街系统</w:t>
      </w:r>
      <w:r>
        <w:rPr>
          <w:rFonts w:asciiTheme="minorEastAsia" w:hAnsiTheme="minorEastAsia" w:eastAsiaTheme="minorEastAsia"/>
          <w:color w:val="000000" w:themeColor="text1"/>
          <w:szCs w:val="21"/>
          <w14:textFill>
            <w14:solidFill>
              <w14:schemeClr w14:val="tx1"/>
            </w14:solidFill>
          </w14:textFill>
        </w:rPr>
        <w:t>可进入一呼解忧首页，</w:t>
      </w:r>
      <w:r>
        <w:rPr>
          <w:rFonts w:hint="eastAsia" w:asciiTheme="minorEastAsia" w:hAnsiTheme="minorEastAsia" w:eastAsiaTheme="minorEastAsia"/>
          <w:color w:val="000000" w:themeColor="text1"/>
          <w:szCs w:val="21"/>
          <w14:textFill>
            <w14:solidFill>
              <w14:schemeClr w14:val="tx1"/>
            </w14:solidFill>
          </w14:textFill>
        </w:rPr>
        <w:t>进行平台对接、数据交互、数据安全、数据和业务协同。</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1、基本信息下派接口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接口描述：一呼解忧平台基本信息推送至镇街平台</w:t>
      </w:r>
    </w:p>
    <w:tbl>
      <w:tblPr>
        <w:tblStyle w:val="38"/>
        <w:tblW w:w="7363" w:type="dxa"/>
        <w:jc w:val="center"/>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Layout w:type="fixed"/>
        <w:tblCellMar>
          <w:top w:w="0" w:type="dxa"/>
          <w:left w:w="0" w:type="dxa"/>
          <w:bottom w:w="0" w:type="dxa"/>
          <w:right w:w="0" w:type="dxa"/>
        </w:tblCellMar>
      </w:tblPr>
      <w:tblGrid>
        <w:gridCol w:w="2209"/>
        <w:gridCol w:w="1819"/>
        <w:gridCol w:w="1493"/>
        <w:gridCol w:w="1842"/>
      </w:tblGrid>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tblHeader/>
          <w:jc w:val="center"/>
        </w:trPr>
        <w:tc>
          <w:tcPr>
            <w:tcW w:w="2209" w:type="dxa"/>
            <w:shd w:val="clear" w:color="auto" w:fill="EEEEEE"/>
            <w:tcMar>
              <w:top w:w="75" w:type="dxa"/>
              <w:left w:w="0" w:type="dxa"/>
              <w:bottom w:w="75" w:type="dxa"/>
              <w:right w:w="0" w:type="dxa"/>
            </w:tcMar>
            <w:vAlign w:val="center"/>
          </w:tcPr>
          <w:p>
            <w:pPr>
              <w:pStyle w:val="89"/>
              <w:widowControl/>
              <w:spacing w:line="420" w:lineRule="atLeast"/>
              <w:ind w:left="360" w:firstLine="0" w:firstLineChars="0"/>
              <w:jc w:val="left"/>
              <w:textAlignment w:val="baseline"/>
              <w:rPr>
                <w:rFonts w:hint="eastAsia" w:ascii="inherit" w:hAnsi="inherit" w:cs="宋体"/>
                <w:b/>
                <w:bCs/>
                <w:color w:val="000000" w:themeColor="text1"/>
                <w:kern w:val="0"/>
                <w:sz w:val="28"/>
                <w:szCs w:val="28"/>
                <w14:textFill>
                  <w14:solidFill>
                    <w14:schemeClr w14:val="tx1"/>
                  </w14:solidFill>
                </w14:textFill>
              </w:rPr>
            </w:pPr>
            <w:r>
              <w:rPr>
                <w:rFonts w:ascii="inherit" w:hAnsi="inherit" w:cs="宋体"/>
                <w:b/>
                <w:bCs/>
                <w:color w:val="000000" w:themeColor="text1"/>
                <w:kern w:val="0"/>
                <w:sz w:val="28"/>
                <w:szCs w:val="28"/>
                <w14:textFill>
                  <w14:solidFill>
                    <w14:schemeClr w14:val="tx1"/>
                  </w14:solidFill>
                </w14:textFill>
              </w:rPr>
              <w:t>参数名称</w:t>
            </w:r>
          </w:p>
        </w:tc>
        <w:tc>
          <w:tcPr>
            <w:tcW w:w="1819" w:type="dxa"/>
            <w:shd w:val="clear" w:color="auto" w:fill="EEEEEE"/>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b/>
                <w:bCs/>
                <w:color w:val="000000" w:themeColor="text1"/>
                <w:kern w:val="0"/>
                <w:szCs w:val="28"/>
                <w14:textFill>
                  <w14:solidFill>
                    <w14:schemeClr w14:val="tx1"/>
                  </w14:solidFill>
                </w14:textFill>
              </w:rPr>
            </w:pPr>
            <w:r>
              <w:rPr>
                <w:rFonts w:ascii="inherit" w:hAnsi="inherit" w:cs="宋体"/>
                <w:b/>
                <w:bCs/>
                <w:color w:val="000000" w:themeColor="text1"/>
                <w:kern w:val="0"/>
                <w:szCs w:val="28"/>
                <w14:textFill>
                  <w14:solidFill>
                    <w14:schemeClr w14:val="tx1"/>
                  </w14:solidFill>
                </w14:textFill>
              </w:rPr>
              <w:t>参数说明</w:t>
            </w:r>
          </w:p>
        </w:tc>
        <w:tc>
          <w:tcPr>
            <w:tcW w:w="3335" w:type="dxa"/>
            <w:gridSpan w:val="2"/>
            <w:shd w:val="clear" w:color="auto" w:fill="EEEEEE"/>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b/>
                <w:bCs/>
                <w:color w:val="000000" w:themeColor="text1"/>
                <w:kern w:val="0"/>
                <w:szCs w:val="28"/>
                <w14:textFill>
                  <w14:solidFill>
                    <w14:schemeClr w14:val="tx1"/>
                  </w14:solidFill>
                </w14:textFill>
              </w:rPr>
            </w:pPr>
            <w:r>
              <w:rPr>
                <w:rFonts w:hint="eastAsia" w:ascii="inherit" w:hAnsi="inherit" w:cs="宋体"/>
                <w:b/>
                <w:bCs/>
                <w:color w:val="000000" w:themeColor="text1"/>
                <w:kern w:val="0"/>
                <w:szCs w:val="28"/>
                <w14:textFill>
                  <w14:solidFill>
                    <w14:schemeClr w14:val="tx1"/>
                  </w14:solidFill>
                </w14:textFill>
              </w:rPr>
              <w:t>数据类型</w:t>
            </w: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addr</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信访人地址</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content</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信访内容</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files</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附件</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idCard</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证件号码</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letterAim</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信访目的</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letterDate</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信访日期</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yyyy-mm-dd</w:t>
            </w: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letterMan</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信访人</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letterNo</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信访件编号</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letterNum</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信访人数</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phone</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电话号码</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problemAddr</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问题发生地</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shd w:val="clear" w:color="auto" w:fill="FFFFFF"/>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regUnit</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登记单位</w:t>
            </w:r>
          </w:p>
        </w:tc>
        <w:tc>
          <w:tcPr>
            <w:tcW w:w="1493"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string</w:t>
            </w:r>
          </w:p>
        </w:tc>
        <w:tc>
          <w:tcPr>
            <w:tcW w:w="1842"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tblCellMar>
            <w:top w:w="0" w:type="dxa"/>
            <w:left w:w="0" w:type="dxa"/>
            <w:bottom w:w="0" w:type="dxa"/>
            <w:right w:w="0" w:type="dxa"/>
          </w:tblCellMar>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times</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初重信</w:t>
            </w:r>
          </w:p>
        </w:tc>
        <w:tc>
          <w:tcPr>
            <w:tcW w:w="3335" w:type="dxa"/>
            <w:gridSpan w:val="2"/>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hint="eastAsia" w:ascii="inherit" w:hAnsi="inherit" w:cs="宋体"/>
                <w:color w:val="000000" w:themeColor="text1"/>
                <w:kern w:val="0"/>
                <w:szCs w:val="28"/>
                <w14:textFill>
                  <w14:solidFill>
                    <w14:schemeClr w14:val="tx1"/>
                  </w14:solidFill>
                </w14:textFill>
              </w:rPr>
              <w:t>1</w:t>
            </w:r>
            <w:r>
              <w:rPr>
                <w:rFonts w:ascii="inherit" w:hAnsi="inherit" w:cs="宋体"/>
                <w:color w:val="000000" w:themeColor="text1"/>
                <w:kern w:val="0"/>
                <w:szCs w:val="28"/>
                <w14:textFill>
                  <w14:solidFill>
                    <w14:schemeClr w14:val="tx1"/>
                  </w14:solidFill>
                </w14:textFill>
              </w:rPr>
              <w:t>-</w:t>
            </w:r>
            <w:r>
              <w:rPr>
                <w:rFonts w:hint="eastAsia" w:ascii="inherit" w:hAnsi="inherit" w:cs="宋体"/>
                <w:color w:val="000000" w:themeColor="text1"/>
                <w:kern w:val="0"/>
                <w:szCs w:val="28"/>
                <w14:textFill>
                  <w14:solidFill>
                    <w14:schemeClr w14:val="tx1"/>
                  </w14:solidFill>
                </w14:textFill>
              </w:rPr>
              <w:t>初访,</w:t>
            </w:r>
            <w:r>
              <w:rPr>
                <w:rFonts w:ascii="inherit" w:hAnsi="inherit" w:cs="宋体"/>
                <w:color w:val="000000" w:themeColor="text1"/>
                <w:kern w:val="0"/>
                <w:szCs w:val="28"/>
                <w14:textFill>
                  <w14:solidFill>
                    <w14:schemeClr w14:val="tx1"/>
                  </w14:solidFill>
                </w14:textFill>
              </w:rPr>
              <w:t>2-</w:t>
            </w:r>
            <w:r>
              <w:rPr>
                <w:rFonts w:hint="eastAsia" w:ascii="inherit" w:hAnsi="inherit" w:cs="宋体"/>
                <w:color w:val="000000" w:themeColor="text1"/>
                <w:kern w:val="0"/>
                <w:szCs w:val="28"/>
                <w14:textFill>
                  <w14:solidFill>
                    <w14:schemeClr w14:val="tx1"/>
                  </w14:solidFill>
                </w14:textFill>
              </w:rPr>
              <w:t>二重访,</w:t>
            </w:r>
            <w:r>
              <w:rPr>
                <w:rFonts w:ascii="inherit" w:hAnsi="inherit" w:cs="宋体"/>
                <w:color w:val="000000" w:themeColor="text1"/>
                <w:kern w:val="0"/>
                <w:szCs w:val="28"/>
                <w14:textFill>
                  <w14:solidFill>
                    <w14:schemeClr w14:val="tx1"/>
                  </w14:solidFill>
                </w14:textFill>
              </w:rPr>
              <w:t>3-</w:t>
            </w:r>
            <w:r>
              <w:rPr>
                <w:rFonts w:hint="eastAsia" w:ascii="inherit" w:hAnsi="inherit" w:cs="宋体"/>
                <w:color w:val="000000" w:themeColor="text1"/>
                <w:kern w:val="0"/>
                <w:szCs w:val="28"/>
                <w14:textFill>
                  <w14:solidFill>
                    <w14:schemeClr w14:val="tx1"/>
                  </w14:solidFill>
                </w14:textFill>
              </w:rPr>
              <w:t>三重访,</w:t>
            </w:r>
            <w:r>
              <w:rPr>
                <w:rFonts w:ascii="inherit" w:hAnsi="inherit" w:cs="宋体"/>
                <w:color w:val="000000" w:themeColor="text1"/>
                <w:kern w:val="0"/>
                <w:szCs w:val="28"/>
                <w14:textFill>
                  <w14:solidFill>
                    <w14:schemeClr w14:val="tx1"/>
                  </w14:solidFill>
                </w14:textFill>
              </w:rPr>
              <w:t>4-</w:t>
            </w:r>
            <w:r>
              <w:rPr>
                <w:rFonts w:hint="eastAsia" w:ascii="inherit" w:hAnsi="inherit" w:cs="宋体"/>
                <w:color w:val="000000" w:themeColor="text1"/>
                <w:kern w:val="0"/>
                <w:szCs w:val="28"/>
                <w14:textFill>
                  <w14:solidFill>
                    <w14:schemeClr w14:val="tx1"/>
                  </w14:solidFill>
                </w14:textFill>
              </w:rPr>
              <w:t>四及以上重访</w:t>
            </w:r>
          </w:p>
        </w:tc>
      </w:tr>
      <w:tr>
        <w:tblPrEx>
          <w:tblBorders>
            <w:top w:val="single" w:color="E6E6E6" w:sz="6" w:space="0"/>
            <w:left w:val="single" w:color="E6E6E6" w:sz="6" w:space="0"/>
            <w:bottom w:val="single" w:color="E6E6E6" w:sz="6" w:space="0"/>
            <w:right w:val="single" w:color="E6E6E6" w:sz="6" w:space="0"/>
            <w:insideH w:val="single" w:color="E6E6E6" w:sz="6" w:space="0"/>
            <w:insideV w:val="single" w:color="E6E6E6" w:sz="6" w:space="0"/>
          </w:tblBorders>
        </w:tblPrEx>
        <w:trPr>
          <w:jc w:val="center"/>
        </w:trPr>
        <w:tc>
          <w:tcPr>
            <w:tcW w:w="220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       title</w:t>
            </w:r>
          </w:p>
        </w:tc>
        <w:tc>
          <w:tcPr>
            <w:tcW w:w="1819" w:type="dxa"/>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r>
              <w:rPr>
                <w:rFonts w:ascii="inherit" w:hAnsi="inherit" w:cs="宋体"/>
                <w:color w:val="000000" w:themeColor="text1"/>
                <w:kern w:val="0"/>
                <w:szCs w:val="28"/>
                <w14:textFill>
                  <w14:solidFill>
                    <w14:schemeClr w14:val="tx1"/>
                  </w14:solidFill>
                </w14:textFill>
              </w:rPr>
              <w:t>标题</w:t>
            </w:r>
          </w:p>
        </w:tc>
        <w:tc>
          <w:tcPr>
            <w:tcW w:w="3335" w:type="dxa"/>
            <w:gridSpan w:val="2"/>
            <w:shd w:val="clear" w:color="auto" w:fill="FFFFFF"/>
            <w:tcMar>
              <w:top w:w="75" w:type="dxa"/>
              <w:left w:w="0" w:type="dxa"/>
              <w:bottom w:w="75" w:type="dxa"/>
              <w:right w:w="0" w:type="dxa"/>
            </w:tcMar>
            <w:vAlign w:val="center"/>
          </w:tcPr>
          <w:p>
            <w:pPr>
              <w:widowControl/>
              <w:spacing w:line="420" w:lineRule="atLeast"/>
              <w:jc w:val="left"/>
              <w:textAlignment w:val="baseline"/>
              <w:rPr>
                <w:rFonts w:hint="eastAsia" w:ascii="inherit" w:hAnsi="inherit" w:cs="宋体"/>
                <w:color w:val="000000" w:themeColor="text1"/>
                <w:kern w:val="0"/>
                <w:szCs w:val="28"/>
                <w14:textFill>
                  <w14:solidFill>
                    <w14:schemeClr w14:val="tx1"/>
                  </w14:solidFill>
                </w14:textFill>
              </w:rPr>
            </w:pPr>
          </w:p>
        </w:tc>
      </w:tr>
    </w:tbl>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2、镇街系统反馈信息回传接口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接口描述：镇街本地已办结工单上传信息至一呼解忧平台</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3、重点信访件一呼解忧归集接口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接口描述：镇街重点信访件上传至萧山一呼解忧平台</w:t>
      </w:r>
    </w:p>
    <w:tbl>
      <w:tblPr>
        <w:tblStyle w:val="38"/>
        <w:tblW w:w="9488" w:type="dxa"/>
        <w:jc w:val="center"/>
        <w:tblLayout w:type="fixed"/>
        <w:tblCellMar>
          <w:top w:w="0" w:type="dxa"/>
          <w:left w:w="108" w:type="dxa"/>
          <w:bottom w:w="0" w:type="dxa"/>
          <w:right w:w="108" w:type="dxa"/>
        </w:tblCellMar>
      </w:tblPr>
      <w:tblGrid>
        <w:gridCol w:w="2117"/>
        <w:gridCol w:w="1853"/>
        <w:gridCol w:w="1418"/>
        <w:gridCol w:w="1355"/>
        <w:gridCol w:w="1480"/>
        <w:gridCol w:w="1265"/>
      </w:tblGrid>
      <w:tr>
        <w:tblPrEx>
          <w:tblCellMar>
            <w:top w:w="0" w:type="dxa"/>
            <w:left w:w="108" w:type="dxa"/>
            <w:bottom w:w="0" w:type="dxa"/>
            <w:right w:w="108" w:type="dxa"/>
          </w:tblCellMar>
        </w:tblPrEx>
        <w:trPr>
          <w:trHeight w:val="288" w:hRule="atLeast"/>
          <w:jc w:val="center"/>
        </w:trPr>
        <w:tc>
          <w:tcPr>
            <w:tcW w:w="2117" w:type="dxa"/>
            <w:tcBorders>
              <w:top w:val="single" w:color="DDDDDD" w:sz="8" w:space="0"/>
              <w:left w:val="single" w:color="DDDDDD" w:sz="8" w:space="0"/>
              <w:bottom w:val="single" w:color="E6E6E6" w:sz="8" w:space="0"/>
              <w:right w:val="single" w:color="DDDDDD" w:sz="8" w:space="0"/>
            </w:tcBorders>
            <w:shd w:val="clear" w:color="000000" w:fill="EEEEEE"/>
            <w:noWrap/>
            <w:vAlign w:val="center"/>
          </w:tcPr>
          <w:p>
            <w:pPr>
              <w:widowControl/>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参数名称</w:t>
            </w:r>
          </w:p>
        </w:tc>
        <w:tc>
          <w:tcPr>
            <w:tcW w:w="1853" w:type="dxa"/>
            <w:tcBorders>
              <w:top w:val="single" w:color="DDDDDD" w:sz="8" w:space="0"/>
              <w:left w:val="nil"/>
              <w:bottom w:val="single" w:color="E6E6E6" w:sz="8" w:space="0"/>
              <w:right w:val="single" w:color="DDDDDD" w:sz="8" w:space="0"/>
            </w:tcBorders>
            <w:shd w:val="clear" w:color="000000" w:fill="EEEEEE"/>
            <w:noWrap/>
            <w:vAlign w:val="center"/>
          </w:tcPr>
          <w:p>
            <w:pPr>
              <w:widowControl/>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参数说明</w:t>
            </w:r>
          </w:p>
        </w:tc>
        <w:tc>
          <w:tcPr>
            <w:tcW w:w="1418" w:type="dxa"/>
            <w:tcBorders>
              <w:top w:val="single" w:color="DDDDDD" w:sz="8" w:space="0"/>
              <w:left w:val="nil"/>
              <w:bottom w:val="single" w:color="E6E6E6" w:sz="8" w:space="0"/>
              <w:right w:val="single" w:color="DDDDDD" w:sz="8" w:space="0"/>
            </w:tcBorders>
            <w:shd w:val="clear" w:color="000000" w:fill="EEEEEE"/>
            <w:noWrap/>
            <w:vAlign w:val="center"/>
          </w:tcPr>
          <w:p>
            <w:pPr>
              <w:widowControl/>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请求类型</w:t>
            </w:r>
          </w:p>
        </w:tc>
        <w:tc>
          <w:tcPr>
            <w:tcW w:w="1355" w:type="dxa"/>
            <w:tcBorders>
              <w:top w:val="single" w:color="DDDDDD" w:sz="8" w:space="0"/>
              <w:left w:val="nil"/>
              <w:bottom w:val="single" w:color="E6E6E6" w:sz="8" w:space="0"/>
              <w:right w:val="single" w:color="DDDDDD" w:sz="8" w:space="0"/>
            </w:tcBorders>
            <w:shd w:val="clear" w:color="000000" w:fill="EEEEEE"/>
            <w:noWrap/>
            <w:vAlign w:val="center"/>
          </w:tcPr>
          <w:p>
            <w:pPr>
              <w:widowControl/>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是否必须</w:t>
            </w:r>
          </w:p>
        </w:tc>
        <w:tc>
          <w:tcPr>
            <w:tcW w:w="1480" w:type="dxa"/>
            <w:tcBorders>
              <w:top w:val="single" w:color="DDDDDD" w:sz="8" w:space="0"/>
              <w:left w:val="nil"/>
              <w:bottom w:val="single" w:color="E6E6E6" w:sz="8" w:space="0"/>
              <w:right w:val="single" w:color="DDDDDD" w:sz="8" w:space="0"/>
            </w:tcBorders>
            <w:shd w:val="clear" w:color="000000" w:fill="EEEEEE"/>
            <w:noWrap/>
            <w:vAlign w:val="center"/>
          </w:tcPr>
          <w:p>
            <w:pPr>
              <w:widowControl/>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数据类型</w:t>
            </w:r>
          </w:p>
        </w:tc>
        <w:tc>
          <w:tcPr>
            <w:tcW w:w="1265" w:type="dxa"/>
            <w:tcBorders>
              <w:top w:val="single" w:color="DDDDDD" w:sz="8" w:space="0"/>
              <w:left w:val="nil"/>
              <w:bottom w:val="single" w:color="E6E6E6" w:sz="8" w:space="0"/>
              <w:right w:val="single" w:color="DDDDDD" w:sz="8" w:space="0"/>
            </w:tcBorders>
            <w:shd w:val="clear" w:color="000000" w:fill="EEEEEE"/>
            <w:noWrap/>
            <w:vAlign w:val="center"/>
          </w:tcPr>
          <w:p>
            <w:pPr>
              <w:widowControl/>
              <w:jc w:val="center"/>
              <w:rPr>
                <w:rFonts w:cs="宋体" w:asciiTheme="minorEastAsia" w:hAnsiTheme="minorEastAsia" w:eastAsiaTheme="minorEastAsia"/>
                <w:b/>
                <w:bCs/>
                <w:color w:val="000000" w:themeColor="text1"/>
                <w:kern w:val="0"/>
                <w:szCs w:val="28"/>
                <w14:textFill>
                  <w14:solidFill>
                    <w14:schemeClr w14:val="tx1"/>
                  </w14:solidFill>
                </w14:textFill>
              </w:rPr>
            </w:pPr>
            <w:r>
              <w:rPr>
                <w:rFonts w:hint="eastAsia" w:cs="宋体" w:asciiTheme="minorEastAsia" w:hAnsiTheme="minorEastAsia" w:eastAsiaTheme="minorEastAsia"/>
                <w:b/>
                <w:bCs/>
                <w:color w:val="000000" w:themeColor="text1"/>
                <w:kern w:val="0"/>
                <w:szCs w:val="28"/>
                <w14:textFill>
                  <w14:solidFill>
                    <w14:schemeClr w14:val="tx1"/>
                  </w14:solidFill>
                </w14:textFill>
              </w:rPr>
              <w:t>备注</w:t>
            </w:r>
          </w:p>
        </w:tc>
      </w:tr>
      <w:tr>
        <w:tblPrEx>
          <w:tblCellMar>
            <w:top w:w="0" w:type="dxa"/>
            <w:left w:w="108" w:type="dxa"/>
            <w:bottom w:w="0" w:type="dxa"/>
            <w:right w:w="108" w:type="dxa"/>
          </w:tblCellMar>
        </w:tblPrEx>
        <w:trPr>
          <w:trHeight w:val="288" w:hRule="atLeast"/>
          <w:jc w:val="center"/>
        </w:trPr>
        <w:tc>
          <w:tcPr>
            <w:tcW w:w="2117" w:type="dxa"/>
            <w:tcBorders>
              <w:top w:val="nil"/>
              <w:left w:val="single" w:color="DDDDDD" w:sz="8" w:space="0"/>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address</w:t>
            </w:r>
          </w:p>
        </w:tc>
        <w:tc>
          <w:tcPr>
            <w:tcW w:w="1853"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地址信息</w:t>
            </w:r>
          </w:p>
        </w:tc>
        <w:tc>
          <w:tcPr>
            <w:tcW w:w="1418"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single" w:color="E6E6E6" w:sz="8" w:space="0"/>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同eventId</w:t>
            </w: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content</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反映内容</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idCard</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身份证号</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leaderName</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包案领导</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name</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姓名</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phone</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电话</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resolveState</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化解状态</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Integer</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0未化解，1已化解</w:t>
            </w: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unitVillageResponsible</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联村责任人</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villageCommunity</w:t>
            </w:r>
          </w:p>
        </w:tc>
        <w:tc>
          <w:tcPr>
            <w:tcW w:w="1853"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属地村社</w:t>
            </w:r>
          </w:p>
        </w:tc>
        <w:tc>
          <w:tcPr>
            <w:tcW w:w="1418"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nil"/>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nil"/>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420" w:hRule="atLeast"/>
          <w:jc w:val="center"/>
        </w:trPr>
        <w:tc>
          <w:tcPr>
            <w:tcW w:w="2117" w:type="dxa"/>
            <w:tcBorders>
              <w:top w:val="nil"/>
              <w:left w:val="single" w:color="DDDDDD" w:sz="8" w:space="0"/>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villageCommunityResponsible</w:t>
            </w:r>
          </w:p>
        </w:tc>
        <w:tc>
          <w:tcPr>
            <w:tcW w:w="1853"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村社责任人</w:t>
            </w:r>
          </w:p>
        </w:tc>
        <w:tc>
          <w:tcPr>
            <w:tcW w:w="1418"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body</w:t>
            </w:r>
          </w:p>
        </w:tc>
        <w:tc>
          <w:tcPr>
            <w:tcW w:w="1355"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TRUE</w:t>
            </w:r>
          </w:p>
        </w:tc>
        <w:tc>
          <w:tcPr>
            <w:tcW w:w="1480" w:type="dxa"/>
            <w:tcBorders>
              <w:top w:val="nil"/>
              <w:left w:val="nil"/>
              <w:bottom w:val="single" w:color="E6E6E6" w:sz="8" w:space="0"/>
              <w:right w:val="single" w:color="E6E6E6" w:sz="8" w:space="0"/>
            </w:tcBorders>
            <w:shd w:val="clear" w:color="000000" w:fill="FFFFFF"/>
            <w:noWrap/>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r>
              <w:rPr>
                <w:rFonts w:hint="eastAsia" w:cs="宋体" w:asciiTheme="minorEastAsia" w:hAnsiTheme="minorEastAsia" w:eastAsiaTheme="minorEastAsia"/>
                <w:color w:val="000000" w:themeColor="text1"/>
                <w:kern w:val="0"/>
                <w:szCs w:val="28"/>
                <w14:textFill>
                  <w14:solidFill>
                    <w14:schemeClr w14:val="tx1"/>
                  </w14:solidFill>
                </w14:textFill>
              </w:rPr>
              <w:t>string</w:t>
            </w:r>
          </w:p>
        </w:tc>
        <w:tc>
          <w:tcPr>
            <w:tcW w:w="1265" w:type="dxa"/>
            <w:tcBorders>
              <w:top w:val="nil"/>
              <w:left w:val="nil"/>
              <w:bottom w:val="single" w:color="E6E6E6" w:sz="8" w:space="0"/>
              <w:right w:val="single" w:color="E6E6E6" w:sz="8" w:space="0"/>
            </w:tcBorders>
            <w:shd w:val="clear" w:color="000000" w:fill="FFFFFF"/>
            <w:vAlign w:val="center"/>
          </w:tcPr>
          <w:p>
            <w:pPr>
              <w:widowControl/>
              <w:jc w:val="left"/>
              <w:rPr>
                <w:rFonts w:cs="宋体" w:asciiTheme="minorEastAsia" w:hAnsiTheme="minorEastAsia" w:eastAsiaTheme="minorEastAsia"/>
                <w:color w:val="000000" w:themeColor="text1"/>
                <w:kern w:val="0"/>
                <w:szCs w:val="28"/>
                <w14:textFill>
                  <w14:solidFill>
                    <w14:schemeClr w14:val="tx1"/>
                  </w14:solidFill>
                </w14:textFill>
              </w:rPr>
            </w:pPr>
          </w:p>
        </w:tc>
      </w:tr>
    </w:tbl>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调用组件清单</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4.1.5.8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1 </w:t>
      </w:r>
      <w:r>
        <w:rPr>
          <w:rFonts w:hint="eastAsia" w:asciiTheme="minorEastAsia" w:hAnsiTheme="minorEastAsia" w:eastAsiaTheme="minorEastAsia"/>
          <w:color w:val="000000" w:themeColor="text1"/>
          <w14:textFill>
            <w14:solidFill>
              <w14:schemeClr w14:val="tx1"/>
            </w14:solidFill>
          </w14:textFill>
        </w:rPr>
        <w:t>政务服务网个人用户单点登录</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功能介绍：调用个人用户单点登录接口。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基本信息如下所示：</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drawing>
          <wp:inline distT="0" distB="0" distL="0" distR="0">
            <wp:extent cx="6188710" cy="1622425"/>
            <wp:effectExtent l="19050" t="19050" r="21590" b="158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188710" cy="1622425"/>
                    </a:xfrm>
                    <a:prstGeom prst="rect">
                      <a:avLst/>
                    </a:prstGeom>
                    <a:ln>
                      <a:solidFill>
                        <a:schemeClr val="tx1"/>
                      </a:solidFill>
                    </a:ln>
                  </pic:spPr>
                </pic:pic>
              </a:graphicData>
            </a:graphic>
          </wp:inline>
        </w:drawing>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4.1.5.8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2 </w:t>
      </w:r>
      <w:r>
        <w:rPr>
          <w:rFonts w:hint="eastAsia" w:asciiTheme="minorEastAsia" w:hAnsiTheme="minorEastAsia" w:eastAsiaTheme="minorEastAsia"/>
          <w:color w:val="000000" w:themeColor="text1"/>
          <w14:textFill>
            <w14:solidFill>
              <w14:schemeClr w14:val="tx1"/>
            </w14:solidFill>
          </w14:textFill>
        </w:rPr>
        <w:t>组织架构与用户体系（浙政钉）</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本项目需获取浙政钉通讯录信息。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中文名：根据组织Code查询详情；</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接口名：/mozi/organization/getOrganizationByCode；</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所在目录：获取通讯录部门信息；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调用方式：POST（HTTPS）。</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基本信息如下所示：</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drawing>
          <wp:inline distT="0" distB="0" distL="0" distR="0">
            <wp:extent cx="6188710" cy="1663065"/>
            <wp:effectExtent l="19050" t="19050" r="21590" b="133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188710" cy="1663065"/>
                    </a:xfrm>
                    <a:prstGeom prst="rect">
                      <a:avLst/>
                    </a:prstGeom>
                    <a:ln>
                      <a:solidFill>
                        <a:schemeClr val="tx1"/>
                      </a:solidFill>
                    </a:ln>
                  </pic:spPr>
                </pic:pic>
              </a:graphicData>
            </a:graphic>
          </wp:inline>
        </w:drawing>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1</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3 </w:t>
      </w:r>
      <w:r>
        <w:rPr>
          <w:rFonts w:hint="eastAsia" w:ascii="Times New Roman" w:hAnsi="Times New Roman" w:eastAsiaTheme="minorEastAsia"/>
          <w:color w:val="000000" w:themeColor="text1"/>
          <w14:textFill>
            <w14:solidFill>
              <w14:schemeClr w14:val="tx1"/>
            </w14:solidFill>
          </w14:textFill>
        </w:rPr>
        <w:t>浙政钉—消息通知</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发布单位：省大数据局。</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该组件用户发送用户提醒，包括工作通知、普通会话消息、钉消息等等。</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4.1.5.8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4 </w:t>
      </w:r>
      <w:r>
        <w:rPr>
          <w:rFonts w:hint="eastAsia" w:asciiTheme="minorEastAsia" w:hAnsiTheme="minorEastAsia" w:eastAsiaTheme="minorEastAsia"/>
          <w:color w:val="000000" w:themeColor="text1"/>
          <w14:textFill>
            <w14:solidFill>
              <w14:schemeClr w14:val="tx1"/>
            </w14:solidFill>
          </w14:textFill>
        </w:rPr>
        <w:t>统一消息短信</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对接省数据共享平台——IRS平台的短信组件。需进行申请使用，审批后调用短信组件，使用短信功能。进行短信组件的调用对接，支持发送短信功能。</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本次短信功能包含：</w:t>
      </w:r>
    </w:p>
    <w:p>
      <w:pPr>
        <w:pStyle w:val="89"/>
        <w:widowControl/>
        <w:numPr>
          <w:ilvl w:val="0"/>
          <w:numId w:val="28"/>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交办部门的办件与到期提醒</w:t>
      </w:r>
    </w:p>
    <w:p>
      <w:pPr>
        <w:pStyle w:val="89"/>
        <w:widowControl/>
        <w:numPr>
          <w:ilvl w:val="0"/>
          <w:numId w:val="28"/>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市民侧通知作用</w:t>
      </w:r>
    </w:p>
    <w:p>
      <w:pPr>
        <w:pStyle w:val="89"/>
        <w:widowControl/>
        <w:numPr>
          <w:ilvl w:val="0"/>
          <w:numId w:val="28"/>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满意度回访评价</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调用萧山平台统一消息短信发送组件，提供短信的推送服务，各政务系统通过调用“城市大脑·萧山平台”的统一消息服务接口向指定用户发送指定类型的消息内容。</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基本信息如下所示：</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drawing>
          <wp:inline distT="0" distB="0" distL="0" distR="0">
            <wp:extent cx="6188710" cy="1595755"/>
            <wp:effectExtent l="19050" t="19050" r="21590" b="234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188710" cy="1595755"/>
                    </a:xfrm>
                    <a:prstGeom prst="rect">
                      <a:avLst/>
                    </a:prstGeom>
                    <a:ln>
                      <a:solidFill>
                        <a:schemeClr val="tx1"/>
                      </a:solidFill>
                    </a:ln>
                  </pic:spPr>
                </pic:pic>
              </a:graphicData>
            </a:graphic>
          </wp:inline>
        </w:drawing>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1</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5</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5 </w:t>
      </w:r>
      <w:r>
        <w:rPr>
          <w:rFonts w:hint="eastAsia" w:ascii="Times New Roman" w:hAnsi="Times New Roman" w:eastAsiaTheme="minorEastAsia"/>
          <w:color w:val="000000" w:themeColor="text1"/>
          <w14:textFill>
            <w14:solidFill>
              <w14:schemeClr w14:val="tx1"/>
            </w14:solidFill>
          </w14:textFill>
        </w:rPr>
        <w:t>网络安全威胁检测</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提供丰富的安全数据，包含互联网中存在的威胁IP、威胁域名、威胁文件hash值、威胁URL、威胁邮箱地址等资源库。业务应用系统及平台在接收到互联网侧发起的注册、访问、登录、上传数据等行为时，业务应用系统及平台通过业务逻辑调用安全数据共享与协同组件的接口，实时对互联网的行为进行比对；当发现威胁请求时能自动告警及日志记录，实现业务应用的安全防范与安全追溯。</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产生组件清单</w:t>
      </w:r>
    </w:p>
    <w:p>
      <w:pPr>
        <w:pStyle w:val="8"/>
        <w:rPr>
          <w:rFonts w:asciiTheme="minorEastAsia" w:hAnsiTheme="minorEastAsia"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ab/>
      </w:r>
      <w:r>
        <w:rPr>
          <w:rFonts w:ascii="Times New Roman" w:hAnsi="Times New Roman" w:eastAsiaTheme="minorEastAsia"/>
          <w:color w:val="000000" w:themeColor="text1"/>
          <w14:textFill>
            <w14:solidFill>
              <w14:schemeClr w14:val="tx1"/>
            </w14:solidFill>
          </w14:textFill>
        </w:rPr>
        <w:t>4.1.5.8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6</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14:textFill>
            <w14:solidFill>
              <w14:schemeClr w14:val="tx1"/>
            </w14:solidFill>
          </w14:textFill>
        </w:rPr>
        <w:t>政策速递组件（服务端）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组件名称：政策速递；</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开放范围：省域；</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组件介绍：常见/热点部门政策速递。</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组件说明：</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该组件通过系统提供交通、社保、综合、公积金等不同的目录结构后，展示相应的政策/热点问答功能。为方便用户查找所需内容，提供全文检索功能，用户输入关键字，可快速查找定位所需内容。</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为方便使用灵活功能配置，系统提供后端二级菜单功能添加配置功能，根据用户需求自定义添加配置功能。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展示各个部门不同场景的新兴政策，如新冠疫苗、浙A区域号牌等新政策。</w:t>
      </w:r>
    </w:p>
    <w:p>
      <w:pPr>
        <w:pStyle w:val="6"/>
        <w:rPr>
          <w:rFonts w:asciiTheme="minorEastAsia" w:hAnsiTheme="minorEastAsia" w:eastAsiaTheme="minorEastAsia"/>
          <w:color w:val="000000" w:themeColor="text1"/>
          <w14:textFill>
            <w14:solidFill>
              <w14:schemeClr w14:val="tx1"/>
            </w14:solidFill>
          </w14:textFill>
        </w:rPr>
      </w:pPr>
      <w:bookmarkStart w:id="224" w:name="_Toc106118886"/>
      <w:r>
        <w:rPr>
          <w:rFonts w:asciiTheme="minorEastAsia" w:hAnsiTheme="minorEastAsia" w:eastAsiaTheme="minorEastAsia"/>
          <w:color w:val="000000" w:themeColor="text1"/>
          <w14:textFill>
            <w14:solidFill>
              <w14:schemeClr w14:val="tx1"/>
            </w14:solidFill>
          </w14:textFill>
        </w:rPr>
        <w:t>辅助功能模块</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包括通知公告管理和政策问答两项功能，用于发布新的通知公告信息，支持对已有通知公告信息管理维护。</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系统管理模块</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系统管理模块包括以下功能：</w:t>
      </w:r>
    </w:p>
    <w:tbl>
      <w:tblPr>
        <w:tblStyle w:val="38"/>
        <w:tblW w:w="8262" w:type="dxa"/>
        <w:tblInd w:w="619" w:type="dxa"/>
        <w:tblLayout w:type="fixed"/>
        <w:tblCellMar>
          <w:top w:w="0" w:type="dxa"/>
          <w:left w:w="108" w:type="dxa"/>
          <w:bottom w:w="0" w:type="dxa"/>
          <w:right w:w="108" w:type="dxa"/>
        </w:tblCellMar>
      </w:tblPr>
      <w:tblGrid>
        <w:gridCol w:w="1109"/>
        <w:gridCol w:w="1788"/>
        <w:gridCol w:w="1800"/>
        <w:gridCol w:w="3565"/>
      </w:tblGrid>
      <w:tr>
        <w:tblPrEx>
          <w:tblCellMar>
            <w:top w:w="0" w:type="dxa"/>
            <w:left w:w="108" w:type="dxa"/>
            <w:bottom w:w="0" w:type="dxa"/>
            <w:right w:w="108" w:type="dxa"/>
          </w:tblCellMar>
        </w:tblPrEx>
        <w:trPr>
          <w:trHeight w:val="561" w:hRule="atLeast"/>
        </w:trPr>
        <w:tc>
          <w:tcPr>
            <w:tcW w:w="110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系统管理模块</w:t>
            </w:r>
          </w:p>
        </w:tc>
        <w:tc>
          <w:tcPr>
            <w:tcW w:w="1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权限设置</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机构管理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机构单位的信息的增删改查。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部门管理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机构下部门信息的增删改查。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用户管理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部门下用户信息的增删改查。</w:t>
            </w:r>
          </w:p>
        </w:tc>
      </w:tr>
      <w:tr>
        <w:tblPrEx>
          <w:tblCellMar>
            <w:top w:w="0" w:type="dxa"/>
            <w:left w:w="108" w:type="dxa"/>
            <w:bottom w:w="0" w:type="dxa"/>
            <w:right w:w="108" w:type="dxa"/>
          </w:tblCellMar>
        </w:tblPrEx>
        <w:trPr>
          <w:trHeight w:val="696"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行政区划管理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市级、区县级、乡/所级行政区划信息的增删改查。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基础数据</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数据字典</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业务平台常用数据库元素增删改查。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地址管理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各级办事单位行政地址的管理和维护。</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工作时间管理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各级办事单位工作时间管理和维护。</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内容分类</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工单内容分类的增删改查。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分机IP管理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分机号、ip地址的增删改查。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系统参数管理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业务平台系统参数的增删改查。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报表管理</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统计报表目录的增删改查。</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日志管理</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登录日志</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各账号登录日志查询。</w:t>
            </w:r>
          </w:p>
        </w:tc>
      </w:tr>
      <w:tr>
        <w:tblPrEx>
          <w:tblCellMar>
            <w:top w:w="0" w:type="dxa"/>
            <w:left w:w="108" w:type="dxa"/>
            <w:bottom w:w="0" w:type="dxa"/>
            <w:right w:w="108" w:type="dxa"/>
          </w:tblCellMar>
        </w:tblPrEx>
        <w:trPr>
          <w:trHeight w:val="561" w:hRule="atLeast"/>
        </w:trPr>
        <w:tc>
          <w:tcPr>
            <w:tcW w:w="110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Theme="minorEastAsia" w:hAnsiTheme="minorEastAsia" w:eastAsiaTheme="minorEastAsia"/>
                <w:color w:val="000000" w:themeColor="text1"/>
                <w:szCs w:val="28"/>
                <w14:textFill>
                  <w14:solidFill>
                    <w14:schemeClr w14:val="tx1"/>
                  </w14:solidFill>
                </w14:textFill>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操作日志</w:t>
            </w:r>
          </w:p>
        </w:tc>
        <w:tc>
          <w:tcPr>
            <w:tcW w:w="35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heme="minorEastAsia" w:hAnsiTheme="minorEastAsia" w:eastAsiaTheme="minorEastAsia"/>
                <w:color w:val="000000" w:themeColor="text1"/>
                <w:kern w:val="0"/>
                <w:szCs w:val="28"/>
                <w:lang w:bidi="ar"/>
                <w14:textFill>
                  <w14:solidFill>
                    <w14:schemeClr w14:val="tx1"/>
                  </w14:solidFill>
                </w14:textFill>
              </w:rPr>
            </w:pPr>
            <w:r>
              <w:rPr>
                <w:rFonts w:asciiTheme="minorEastAsia" w:hAnsiTheme="minorEastAsia" w:eastAsiaTheme="minorEastAsia"/>
                <w:color w:val="000000" w:themeColor="text1"/>
                <w:kern w:val="0"/>
                <w:szCs w:val="28"/>
                <w:lang w:bidi="ar"/>
                <w14:textFill>
                  <w14:solidFill>
                    <w14:schemeClr w14:val="tx1"/>
                  </w14:solidFill>
                </w14:textFill>
              </w:rPr>
              <w:t>各账号操作日志查询。</w:t>
            </w:r>
          </w:p>
        </w:tc>
      </w:tr>
    </w:tbl>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网关服务</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支持对服务路由的增删改查，监控服务状态，如下图所示：</w:t>
      </w:r>
    </w:p>
    <w:p>
      <w:pPr>
        <w:pStyle w:val="14"/>
        <w:spacing w:line="360" w:lineRule="auto"/>
        <w:ind w:firstLine="0"/>
        <w:jc w:val="center"/>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282003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7"/>
                    <a:stretch>
                      <a:fillRect/>
                    </a:stretch>
                  </pic:blipFill>
                  <pic:spPr>
                    <a:xfrm>
                      <a:off x="0" y="0"/>
                      <a:ext cx="6188710" cy="2820035"/>
                    </a:xfrm>
                    <a:prstGeom prst="rect">
                      <a:avLst/>
                    </a:prstGeom>
                  </pic:spPr>
                </pic:pic>
              </a:graphicData>
            </a:graphic>
          </wp:inline>
        </w:drawing>
      </w:r>
    </w:p>
    <w:bookmarkEnd w:id="224"/>
    <w:p>
      <w:pPr>
        <w:pStyle w:val="5"/>
        <w:rPr>
          <w:rFonts w:asciiTheme="minorEastAsia" w:hAnsiTheme="minorEastAsia" w:eastAsiaTheme="minorEastAsia"/>
          <w:color w:val="000000" w:themeColor="text1"/>
          <w14:textFill>
            <w14:solidFill>
              <w14:schemeClr w14:val="tx1"/>
            </w14:solidFill>
          </w14:textFill>
        </w:rPr>
      </w:pPr>
      <w:bookmarkStart w:id="225" w:name="_Toc118808241"/>
      <w:r>
        <w:rPr>
          <w:rFonts w:hint="eastAsia" w:asciiTheme="minorEastAsia" w:hAnsiTheme="minorEastAsia" w:eastAsiaTheme="minorEastAsia"/>
          <w:color w:val="000000" w:themeColor="text1"/>
          <w14:textFill>
            <w14:solidFill>
              <w14:schemeClr w14:val="tx1"/>
            </w14:solidFill>
          </w14:textFill>
        </w:rPr>
        <w:t>系统总体架构</w:t>
      </w:r>
      <w:bookmarkEnd w:id="22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平台总体架构遵循安全信任服务体系、组织保障体系、政策制度体系和标准规范体系，从硬件资源、系统部署、数据来源、数据整合与集成、应用支撑、业务应用的基础上进行设计，具体由基础设施体系、数据资源体系、应用支撑体系和业务应用体系构成。总体架构提供轻量级的负载均衡、协议转换和鉴权，有效支撑服务治理、服务注册、服务发现、隔离。架构支持持续的自演化，能够快速适应业务变化，满足大规模实时查询、复杂业务场景，实现不同应用之间更好的信息共享和协同。</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系统总体架构图如下图所示：</w:t>
      </w:r>
    </w:p>
    <w:p>
      <w:pPr>
        <w:pStyle w:val="14"/>
        <w:ind w:firstLine="0"/>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0" distR="0">
            <wp:extent cx="6188710" cy="419227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6188710" cy="4192270"/>
                    </a:xfrm>
                    <a:prstGeom prst="rect">
                      <a:avLst/>
                    </a:prstGeom>
                  </pic:spPr>
                </pic:pic>
              </a:graphicData>
            </a:graphic>
          </wp:inline>
        </w:drawing>
      </w:r>
    </w:p>
    <w:p>
      <w:pPr>
        <w:pStyle w:val="2"/>
        <w:rPr>
          <w:rFonts w:asciiTheme="minorEastAsia" w:hAnsiTheme="minorEastAsia" w:eastAsiaTheme="minorEastAsia"/>
          <w:color w:val="000000" w:themeColor="text1"/>
          <w14:textFill>
            <w14:solidFill>
              <w14:schemeClr w14:val="tx1"/>
            </w14:solidFill>
          </w14:textFill>
        </w:rPr>
      </w:pPr>
      <w:bookmarkStart w:id="226" w:name="_Toc118808242"/>
      <w:bookmarkStart w:id="227" w:name="_Toc81926843"/>
      <w:r>
        <w:rPr>
          <w:rFonts w:hint="eastAsia" w:asciiTheme="minorEastAsia" w:hAnsiTheme="minorEastAsia" w:eastAsiaTheme="minorEastAsia"/>
          <w:color w:val="000000" w:themeColor="text1"/>
          <w14:textFill>
            <w14:solidFill>
              <w14:schemeClr w14:val="tx1"/>
            </w14:solidFill>
          </w14:textFill>
        </w:rPr>
        <w:t>可</w:t>
      </w:r>
      <w:r>
        <w:rPr>
          <w:rFonts w:asciiTheme="minorEastAsia" w:hAnsiTheme="minorEastAsia" w:eastAsiaTheme="minorEastAsia"/>
          <w:color w:val="000000" w:themeColor="text1"/>
          <w14:textFill>
            <w14:solidFill>
              <w14:schemeClr w14:val="tx1"/>
            </w14:solidFill>
          </w14:textFill>
        </w:rPr>
        <w:t>靠性设计</w:t>
      </w:r>
      <w:bookmarkEnd w:id="226"/>
      <w:bookmarkEnd w:id="227"/>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在智能客服平台中，为了提高服务的整体可靠性，采用了分模块部署的理念。每个模块以插件的形式布入系统进行服务，一方面提高了模块内部的高内聚，降低了模块间的耦合；另一方面一旦某个模块（服务）出现问题，可以最大限度降低对其它模块的影响，提高服务对外输出的整体可靠性。</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每个子服务（模块）都有多个实例采用集群的方式进行部署，做到一个节点不可用，不影响集群本身。整个智能外呼及客服系统拆分为多个子业务，包括用户服务、话术服务、任务调度服务、语音识别服务、语音合成服务等，采用分布式方式进行部署。每个集群所需要的资源配置不同，并发能力也不尽相同。采用分布式部署方案，可按照并发量对不同集群做可针对性的扩容，提高资源利用率。</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系统支持如下需求：</w:t>
      </w:r>
    </w:p>
    <w:p>
      <w:pPr>
        <w:pStyle w:val="89"/>
        <w:numPr>
          <w:ilvl w:val="0"/>
          <w:numId w:val="29"/>
        </w:numPr>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支持7×24小时不间断工作，出现故障及时告警，具有完整的操作权限管理功能和完善的服务安全机制；</w:t>
      </w:r>
    </w:p>
    <w:p>
      <w:pPr>
        <w:pStyle w:val="89"/>
        <w:numPr>
          <w:ilvl w:val="0"/>
          <w:numId w:val="29"/>
        </w:numPr>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支持软件系统在线升级功能，在不关机不中断业务的情况下实现自动或者手动升级。</w:t>
      </w:r>
    </w:p>
    <w:p>
      <w:pPr>
        <w:pStyle w:val="89"/>
        <w:numPr>
          <w:ilvl w:val="0"/>
          <w:numId w:val="29"/>
        </w:numPr>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系统配置自检功能，具备自动或提供手动恢复措施，在发生错误时能够快速地恢复正常运行；</w:t>
      </w:r>
    </w:p>
    <w:p>
      <w:pPr>
        <w:pStyle w:val="89"/>
        <w:numPr>
          <w:ilvl w:val="0"/>
          <w:numId w:val="29"/>
        </w:numPr>
        <w:ind w:firstLineChars="0"/>
        <w:rPr>
          <w:rFonts w:asciiTheme="minorEastAsia" w:hAnsiTheme="minorEastAsia" w:eastAsiaTheme="minorEastAsia"/>
          <w:color w:val="000000" w:themeColor="text1"/>
          <w:sz w:val="28"/>
          <w:szCs w:val="28"/>
          <w14:textFill>
            <w14:solidFill>
              <w14:schemeClr w14:val="tx1"/>
            </w14:solidFill>
          </w14:textFill>
        </w:rPr>
      </w:pPr>
      <w:r>
        <w:rPr>
          <w:rFonts w:asciiTheme="minorEastAsia" w:hAnsiTheme="minorEastAsia" w:eastAsiaTheme="minorEastAsia"/>
          <w:color w:val="000000" w:themeColor="text1"/>
          <w:sz w:val="28"/>
          <w:szCs w:val="28"/>
          <w14:textFill>
            <w14:solidFill>
              <w14:schemeClr w14:val="tx1"/>
            </w14:solidFill>
          </w14:textFill>
        </w:rPr>
        <w:t>系统配置自清理功能，防止消耗过多的资源而崩溃。</w:t>
      </w:r>
    </w:p>
    <w:p>
      <w:pPr>
        <w:pStyle w:val="2"/>
        <w:rPr>
          <w:rFonts w:asciiTheme="minorEastAsia" w:hAnsiTheme="minorEastAsia" w:eastAsiaTheme="minorEastAsia"/>
          <w:color w:val="000000" w:themeColor="text1"/>
          <w14:textFill>
            <w14:solidFill>
              <w14:schemeClr w14:val="tx1"/>
            </w14:solidFill>
          </w14:textFill>
        </w:rPr>
      </w:pPr>
      <w:bookmarkStart w:id="228" w:name="_Toc81926844"/>
      <w:bookmarkStart w:id="229" w:name="_Toc118808243"/>
      <w:r>
        <w:rPr>
          <w:rFonts w:asciiTheme="minorEastAsia" w:hAnsiTheme="minorEastAsia" w:eastAsiaTheme="minorEastAsia"/>
          <w:color w:val="000000" w:themeColor="text1"/>
          <w14:textFill>
            <w14:solidFill>
              <w14:schemeClr w14:val="tx1"/>
            </w14:solidFill>
          </w14:textFill>
        </w:rPr>
        <w:t>可扩展性设计</w:t>
      </w:r>
      <w:bookmarkEnd w:id="228"/>
      <w:bookmarkEnd w:id="229"/>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全媒体</w:t>
      </w:r>
      <w:r>
        <w:rPr>
          <w:rFonts w:asciiTheme="minorEastAsia" w:hAnsiTheme="minorEastAsia" w:eastAsiaTheme="minorEastAsia"/>
          <w:color w:val="000000" w:themeColor="text1"/>
          <w:szCs w:val="28"/>
          <w:lang w:bidi="ar"/>
          <w14:textFill>
            <w14:solidFill>
              <w14:schemeClr w14:val="tx1"/>
            </w14:solidFill>
          </w14:textFill>
        </w:rPr>
        <w:t>客服系统为分布式设计，可以按需裁剪，扩展方便，支持平滑的渐进线性扩展能力以应对系统演进过程的业务范围扩展和业务量增加。当系统需要升级时，支持不停机发布。</w:t>
      </w:r>
    </w:p>
    <w:p>
      <w:pPr>
        <w:numPr>
          <w:ilvl w:val="0"/>
          <w:numId w:val="30"/>
        </w:numPr>
        <w:ind w:left="-102"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设备扩展性</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设备扩展性方面，支持纵向扩展和横向扩展，既可以通过增加CPU、内存等方式实现处理能力的提升。也支持通过增加主机节点数量提高集群的处理能力。系统扩容没有容量上限。</w:t>
      </w:r>
    </w:p>
    <w:p>
      <w:pPr>
        <w:numPr>
          <w:ilvl w:val="0"/>
          <w:numId w:val="30"/>
        </w:numPr>
        <w:ind w:left="-102"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系统扩展性</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系统扩展性方面，系统默认采用单节点建设方式，系统本身没有容量上限，单节点建设时所能达到的最大处理能力，取决于节点中的资源状况，影响因素主要是硬件资源、带宽等。</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系统支持多节点建设，各个节点应能够按照多种灵活的策略分担总业务量，各个节点之间具备容灾互备功能。每个节点都做单元化处理，做到多节点多活。业务策略的分担：前端侧通过DNS负载权重来控制，任务侧通过集群调度算法的权重策略来控制，当一个节点挂掉后，可以直接通过权重控制，将流量切换到其它节点，实现用户无感知、数据不丢失、业务不间断、无脑裂问题。</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系统默认支持两个双活节点，最大处理能力没有理论上限，生产中取决于节点的硬件资源和带宽。</w:t>
      </w:r>
    </w:p>
    <w:p>
      <w:pPr>
        <w:pStyle w:val="2"/>
        <w:rPr>
          <w:rFonts w:asciiTheme="minorEastAsia" w:hAnsiTheme="minorEastAsia" w:eastAsiaTheme="minorEastAsia"/>
          <w:color w:val="000000" w:themeColor="text1"/>
          <w14:textFill>
            <w14:solidFill>
              <w14:schemeClr w14:val="tx1"/>
            </w14:solidFill>
          </w14:textFill>
        </w:rPr>
      </w:pPr>
      <w:bookmarkStart w:id="230" w:name="_Toc81926845"/>
      <w:bookmarkStart w:id="231" w:name="_Toc118808244"/>
      <w:r>
        <w:rPr>
          <w:rFonts w:asciiTheme="minorEastAsia" w:hAnsiTheme="minorEastAsia" w:eastAsiaTheme="minorEastAsia"/>
          <w:color w:val="000000" w:themeColor="text1"/>
          <w14:textFill>
            <w14:solidFill>
              <w14:schemeClr w14:val="tx1"/>
            </w14:solidFill>
          </w14:textFill>
        </w:rPr>
        <w:t>安全性设计</w:t>
      </w:r>
      <w:bookmarkEnd w:id="230"/>
      <w:bookmarkEnd w:id="231"/>
    </w:p>
    <w:p>
      <w:pPr>
        <w:widowControl/>
        <w:ind w:firstLine="560" w:firstLineChars="200"/>
        <w:jc w:val="left"/>
        <w:rPr>
          <w:rFonts w:asciiTheme="minorEastAsia" w:hAnsiTheme="minorEastAsia" w:eastAsiaTheme="minorEastAsia"/>
          <w:color w:val="000000" w:themeColor="text1"/>
          <w:sz w:val="24"/>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 xml:space="preserve">安全、可靠是技术工作的根本，是信息系统运行的基本立足点。该项目提供多种途径、多个层次的安全控制手段。系统必须具备足够的安全权限，保证数据不被非法访问、窃取和破坏；同时保证系统操作安全可靠，不让非法用户登录使用系统；还要具备足够的容错控制能力，以保证合法用户操作时不至于引起系统出错，充分保证系统数据的逻辑准确性。通过在数据安全和网络安全两个方面提供一系列安全、可靠的措施，为系统建立一个集机密性、完整性、可用性和可控性为一体的切实可行的安全保障体系。 </w:t>
      </w:r>
    </w:p>
    <w:p>
      <w:pPr>
        <w:pStyle w:val="2"/>
        <w:rPr>
          <w:rFonts w:asciiTheme="minorEastAsia" w:hAnsiTheme="minorEastAsia" w:eastAsiaTheme="minorEastAsia"/>
          <w:color w:val="000000" w:themeColor="text1"/>
          <w14:textFill>
            <w14:solidFill>
              <w14:schemeClr w14:val="tx1"/>
            </w14:solidFill>
          </w14:textFill>
        </w:rPr>
      </w:pPr>
      <w:bookmarkStart w:id="232" w:name="_Toc118808245"/>
      <w:bookmarkStart w:id="233" w:name="_Toc81926846"/>
      <w:r>
        <w:rPr>
          <w:rFonts w:asciiTheme="minorEastAsia" w:hAnsiTheme="minorEastAsia" w:eastAsiaTheme="minorEastAsia"/>
          <w:color w:val="000000" w:themeColor="text1"/>
          <w14:textFill>
            <w14:solidFill>
              <w14:schemeClr w14:val="tx1"/>
            </w14:solidFill>
          </w14:textFill>
        </w:rPr>
        <w:t>先进性设计</w:t>
      </w:r>
      <w:bookmarkEnd w:id="232"/>
      <w:bookmarkEnd w:id="233"/>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整体软件框架应采用目前国际国内上通用并符合发展趋势技术的开发架构，并具 有良好的功能扩展性；技术方法应采用成熟的、经过检验的技术方法和理论，设计实用、可靠、具有先进水平的分析模型和应用模型</w:t>
      </w:r>
      <w:r>
        <w:rPr>
          <w:rFonts w:hint="eastAsia" w:asciiTheme="minorEastAsia" w:hAnsiTheme="minorEastAsia" w:eastAsiaTheme="minorEastAsia"/>
          <w:color w:val="000000" w:themeColor="text1"/>
          <w:szCs w:val="28"/>
          <w:lang w:bidi="ar"/>
          <w14:textFill>
            <w14:solidFill>
              <w14:schemeClr w14:val="tx1"/>
            </w14:solidFill>
          </w14:textFill>
        </w:rPr>
        <w:t>。</w:t>
      </w:r>
    </w:p>
    <w:p>
      <w:pPr>
        <w:pStyle w:val="2"/>
        <w:rPr>
          <w:rFonts w:asciiTheme="minorEastAsia" w:hAnsiTheme="minorEastAsia" w:eastAsiaTheme="minorEastAsia"/>
          <w:color w:val="000000" w:themeColor="text1"/>
          <w14:textFill>
            <w14:solidFill>
              <w14:schemeClr w14:val="tx1"/>
            </w14:solidFill>
          </w14:textFill>
        </w:rPr>
      </w:pPr>
      <w:bookmarkStart w:id="234" w:name="_Toc81926847"/>
      <w:bookmarkStart w:id="235" w:name="_Toc118808246"/>
      <w:r>
        <w:rPr>
          <w:rFonts w:asciiTheme="minorEastAsia" w:hAnsiTheme="minorEastAsia" w:eastAsiaTheme="minorEastAsia"/>
          <w:color w:val="000000" w:themeColor="text1"/>
          <w14:textFill>
            <w14:solidFill>
              <w14:schemeClr w14:val="tx1"/>
            </w14:solidFill>
          </w14:textFill>
        </w:rPr>
        <w:t>性能指标设计</w:t>
      </w:r>
      <w:bookmarkEnd w:id="234"/>
      <w:bookmarkEnd w:id="235"/>
    </w:p>
    <w:p>
      <w:pPr>
        <w:numPr>
          <w:ilvl w:val="0"/>
          <w:numId w:val="31"/>
        </w:numPr>
        <w:ind w:left="320" w:hanging="42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全渠道应当包含国内主流各个渠道。</w:t>
      </w:r>
    </w:p>
    <w:p>
      <w:pPr>
        <w:numPr>
          <w:ilvl w:val="0"/>
          <w:numId w:val="31"/>
        </w:numPr>
        <w:ind w:left="320" w:hanging="420"/>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5G/</w:t>
      </w:r>
      <w:r>
        <w:rPr>
          <w:rFonts w:asciiTheme="minorEastAsia" w:hAnsiTheme="minorEastAsia" w:eastAsiaTheme="minorEastAsia"/>
          <w:color w:val="000000" w:themeColor="text1"/>
          <w:szCs w:val="28"/>
          <w:lang w:bidi="ar"/>
          <w14:textFill>
            <w14:solidFill>
              <w14:schemeClr w14:val="tx1"/>
            </w14:solidFill>
          </w14:textFill>
        </w:rPr>
        <w:t>4</w:t>
      </w:r>
      <w:r>
        <w:rPr>
          <w:rFonts w:hint="eastAsia" w:asciiTheme="minorEastAsia" w:hAnsiTheme="minorEastAsia" w:eastAsiaTheme="minorEastAsia"/>
          <w:color w:val="000000" w:themeColor="text1"/>
          <w:szCs w:val="28"/>
          <w:lang w:bidi="ar"/>
          <w14:textFill>
            <w14:solidFill>
              <w14:schemeClr w14:val="tx1"/>
            </w14:solidFill>
          </w14:textFill>
        </w:rPr>
        <w:t>G</w:t>
      </w:r>
      <w:r>
        <w:rPr>
          <w:rFonts w:asciiTheme="minorEastAsia" w:hAnsiTheme="minorEastAsia" w:eastAsiaTheme="minorEastAsia"/>
          <w:color w:val="000000" w:themeColor="text1"/>
          <w:szCs w:val="28"/>
          <w:lang w:bidi="ar"/>
          <w14:textFill>
            <w14:solidFill>
              <w14:schemeClr w14:val="tx1"/>
            </w14:solidFill>
          </w14:textFill>
        </w:rPr>
        <w:t xml:space="preserve"> v</w:t>
      </w:r>
      <w:r>
        <w:rPr>
          <w:rFonts w:hint="eastAsia" w:asciiTheme="minorEastAsia" w:hAnsiTheme="minorEastAsia" w:eastAsiaTheme="minorEastAsia"/>
          <w:color w:val="000000" w:themeColor="text1"/>
          <w:szCs w:val="28"/>
          <w:lang w:bidi="ar"/>
          <w14:textFill>
            <w14:solidFill>
              <w14:schemeClr w14:val="tx1"/>
            </w14:solidFill>
          </w14:textFill>
        </w:rPr>
        <w:t xml:space="preserve">olte视频应当基于运营商IMS中继。 </w:t>
      </w:r>
    </w:p>
    <w:p>
      <w:pPr>
        <w:numPr>
          <w:ilvl w:val="0"/>
          <w:numId w:val="31"/>
        </w:numPr>
        <w:ind w:left="320" w:hanging="420"/>
        <w:rPr>
          <w:rFonts w:asciiTheme="minorEastAsia" w:hAnsiTheme="minorEastAsia" w:eastAsiaTheme="minorEastAsia"/>
          <w:color w:val="000000" w:themeColor="text1"/>
          <w:szCs w:val="28"/>
          <w:lang w:bidi="ar"/>
          <w14:textFill>
            <w14:solidFill>
              <w14:schemeClr w14:val="tx1"/>
            </w14:solidFill>
          </w14:textFill>
        </w:rPr>
      </w:pPr>
      <w:r>
        <w:rPr>
          <w:rFonts w:asciiTheme="minorEastAsia" w:hAnsiTheme="minorEastAsia" w:eastAsiaTheme="minorEastAsia"/>
          <w:color w:val="000000" w:themeColor="text1"/>
          <w:szCs w:val="28"/>
          <w:lang w:bidi="ar"/>
          <w14:textFill>
            <w14:solidFill>
              <w14:schemeClr w14:val="tx1"/>
            </w14:solidFill>
          </w14:textFill>
        </w:rPr>
        <w:t>5</w:t>
      </w:r>
      <w:r>
        <w:rPr>
          <w:rFonts w:hint="eastAsia" w:asciiTheme="minorEastAsia" w:hAnsiTheme="minorEastAsia" w:eastAsiaTheme="minorEastAsia"/>
          <w:color w:val="000000" w:themeColor="text1"/>
          <w:szCs w:val="28"/>
          <w:lang w:bidi="ar"/>
          <w14:textFill>
            <w14:solidFill>
              <w14:schemeClr w14:val="tx1"/>
            </w14:solidFill>
          </w14:textFill>
        </w:rPr>
        <w:t>G消息应当基于运营商标准5G消息通道。</w:t>
      </w:r>
    </w:p>
    <w:p>
      <w:pPr>
        <w:numPr>
          <w:ilvl w:val="0"/>
          <w:numId w:val="31"/>
        </w:numPr>
        <w:ind w:left="320" w:hanging="420"/>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当用户信号不好由</w:t>
      </w:r>
      <w:r>
        <w:rPr>
          <w:rFonts w:asciiTheme="minorEastAsia" w:hAnsiTheme="minorEastAsia" w:eastAsiaTheme="minorEastAsia"/>
          <w:color w:val="000000" w:themeColor="text1"/>
          <w:szCs w:val="28"/>
          <w:lang w:bidi="ar"/>
          <w14:textFill>
            <w14:solidFill>
              <w14:schemeClr w14:val="tx1"/>
            </w14:solidFill>
          </w14:textFill>
        </w:rPr>
        <w:t>5G</w:t>
      </w:r>
      <w:r>
        <w:rPr>
          <w:rFonts w:hint="eastAsia" w:asciiTheme="minorEastAsia" w:hAnsiTheme="minorEastAsia" w:eastAsiaTheme="minorEastAsia"/>
          <w:color w:val="000000" w:themeColor="text1"/>
          <w:szCs w:val="28"/>
          <w:lang w:bidi="ar"/>
          <w14:textFill>
            <w14:solidFill>
              <w14:schemeClr w14:val="tx1"/>
            </w14:solidFill>
          </w14:textFill>
        </w:rPr>
        <w:t>/</w:t>
      </w:r>
      <w:r>
        <w:rPr>
          <w:rFonts w:asciiTheme="minorEastAsia" w:hAnsiTheme="minorEastAsia" w:eastAsiaTheme="minorEastAsia"/>
          <w:color w:val="000000" w:themeColor="text1"/>
          <w:szCs w:val="28"/>
          <w:lang w:bidi="ar"/>
          <w14:textFill>
            <w14:solidFill>
              <w14:schemeClr w14:val="tx1"/>
            </w14:solidFill>
          </w14:textFill>
        </w:rPr>
        <w:t>4G</w:t>
      </w:r>
      <w:r>
        <w:rPr>
          <w:rFonts w:hint="eastAsia" w:asciiTheme="minorEastAsia" w:hAnsiTheme="minorEastAsia" w:eastAsiaTheme="minorEastAsia"/>
          <w:color w:val="000000" w:themeColor="text1"/>
          <w:szCs w:val="28"/>
          <w:lang w:bidi="ar"/>
          <w14:textFill>
            <w14:solidFill>
              <w14:schemeClr w14:val="tx1"/>
            </w14:solidFill>
          </w14:textFill>
        </w:rPr>
        <w:t>切入</w:t>
      </w:r>
      <w:r>
        <w:rPr>
          <w:rFonts w:asciiTheme="minorEastAsia" w:hAnsiTheme="minorEastAsia" w:eastAsiaTheme="minorEastAsia"/>
          <w:color w:val="000000" w:themeColor="text1"/>
          <w:szCs w:val="28"/>
          <w:lang w:bidi="ar"/>
          <w14:textFill>
            <w14:solidFill>
              <w14:schemeClr w14:val="tx1"/>
            </w14:solidFill>
          </w14:textFill>
        </w:rPr>
        <w:t>2</w:t>
      </w:r>
      <w:r>
        <w:rPr>
          <w:rFonts w:hint="eastAsia" w:asciiTheme="minorEastAsia" w:hAnsiTheme="minorEastAsia" w:eastAsiaTheme="minorEastAsia"/>
          <w:color w:val="000000" w:themeColor="text1"/>
          <w:szCs w:val="28"/>
          <w:lang w:bidi="ar"/>
          <w14:textFill>
            <w14:solidFill>
              <w14:schemeClr w14:val="tx1"/>
            </w14:solidFill>
          </w14:textFill>
        </w:rPr>
        <w:t>G的时候,</w:t>
      </w:r>
      <w:r>
        <w:rPr>
          <w:rFonts w:asciiTheme="minorEastAsia" w:hAnsiTheme="minorEastAsia" w:eastAsiaTheme="minorEastAsia"/>
          <w:color w:val="000000" w:themeColor="text1"/>
          <w:szCs w:val="28"/>
          <w:lang w:bidi="ar"/>
          <w14:textFill>
            <w14:solidFill>
              <w14:schemeClr w14:val="tx1"/>
            </w14:solidFill>
          </w14:textFill>
        </w:rPr>
        <w:t xml:space="preserve"> </w:t>
      </w:r>
      <w:r>
        <w:rPr>
          <w:rFonts w:hint="eastAsia" w:asciiTheme="minorEastAsia" w:hAnsiTheme="minorEastAsia" w:eastAsiaTheme="minorEastAsia"/>
          <w:color w:val="000000" w:themeColor="text1"/>
          <w:szCs w:val="28"/>
          <w:lang w:bidi="ar"/>
          <w14:textFill>
            <w14:solidFill>
              <w14:schemeClr w14:val="tx1"/>
            </w14:solidFill>
          </w14:textFill>
        </w:rPr>
        <w:t>正在进行的视频通话应当自动切换2G模式,</w:t>
      </w:r>
      <w:r>
        <w:rPr>
          <w:rFonts w:asciiTheme="minorEastAsia" w:hAnsiTheme="minorEastAsia" w:eastAsiaTheme="minorEastAsia"/>
          <w:color w:val="000000" w:themeColor="text1"/>
          <w:szCs w:val="28"/>
          <w:lang w:bidi="ar"/>
          <w14:textFill>
            <w14:solidFill>
              <w14:schemeClr w14:val="tx1"/>
            </w14:solidFill>
          </w14:textFill>
        </w:rPr>
        <w:t xml:space="preserve"> </w:t>
      </w:r>
      <w:r>
        <w:rPr>
          <w:rFonts w:hint="eastAsia" w:asciiTheme="minorEastAsia" w:hAnsiTheme="minorEastAsia" w:eastAsiaTheme="minorEastAsia"/>
          <w:color w:val="000000" w:themeColor="text1"/>
          <w:szCs w:val="28"/>
          <w:lang w:bidi="ar"/>
          <w14:textFill>
            <w14:solidFill>
              <w14:schemeClr w14:val="tx1"/>
            </w14:solidFill>
          </w14:textFill>
        </w:rPr>
        <w:t>而不是中断。</w:t>
      </w:r>
    </w:p>
    <w:p>
      <w:pPr>
        <w:numPr>
          <w:ilvl w:val="0"/>
          <w:numId w:val="31"/>
        </w:numPr>
        <w:ind w:left="320" w:hanging="420"/>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并发数：2</w:t>
      </w:r>
      <w:r>
        <w:rPr>
          <w:rFonts w:asciiTheme="minorEastAsia" w:hAnsiTheme="minorEastAsia" w:eastAsiaTheme="minorEastAsia"/>
          <w:color w:val="000000" w:themeColor="text1"/>
          <w:szCs w:val="28"/>
          <w:lang w:bidi="ar"/>
          <w14:textFill>
            <w14:solidFill>
              <w14:schemeClr w14:val="tx1"/>
            </w14:solidFill>
          </w14:textFill>
        </w:rPr>
        <w:t>0</w:t>
      </w:r>
      <w:r>
        <w:rPr>
          <w:rFonts w:hint="eastAsia" w:asciiTheme="minorEastAsia" w:hAnsiTheme="minorEastAsia" w:eastAsiaTheme="minorEastAsia"/>
          <w:color w:val="000000" w:themeColor="text1"/>
          <w:szCs w:val="28"/>
          <w:lang w:bidi="ar"/>
          <w14:textFill>
            <w14:solidFill>
              <w14:schemeClr w14:val="tx1"/>
            </w14:solidFill>
          </w14:textFill>
        </w:rPr>
        <w:t>路视频坐席，6</w:t>
      </w:r>
      <w:r>
        <w:rPr>
          <w:rFonts w:asciiTheme="minorEastAsia" w:hAnsiTheme="minorEastAsia" w:eastAsiaTheme="minorEastAsia"/>
          <w:color w:val="000000" w:themeColor="text1"/>
          <w:szCs w:val="28"/>
          <w:lang w:bidi="ar"/>
          <w14:textFill>
            <w14:solidFill>
              <w14:schemeClr w14:val="tx1"/>
            </w14:solidFill>
          </w14:textFill>
        </w:rPr>
        <w:t>0</w:t>
      </w:r>
      <w:r>
        <w:rPr>
          <w:rFonts w:hint="eastAsia" w:asciiTheme="minorEastAsia" w:hAnsiTheme="minorEastAsia" w:eastAsiaTheme="minorEastAsia"/>
          <w:color w:val="000000" w:themeColor="text1"/>
          <w:szCs w:val="28"/>
          <w:lang w:bidi="ar"/>
          <w14:textFill>
            <w14:solidFill>
              <w14:schemeClr w14:val="tx1"/>
            </w14:solidFill>
          </w14:textFill>
        </w:rPr>
        <w:t>路视频I</w:t>
      </w:r>
      <w:r>
        <w:rPr>
          <w:rFonts w:asciiTheme="minorEastAsia" w:hAnsiTheme="minorEastAsia" w:eastAsiaTheme="minorEastAsia"/>
          <w:color w:val="000000" w:themeColor="text1"/>
          <w:szCs w:val="28"/>
          <w:lang w:bidi="ar"/>
          <w14:textFill>
            <w14:solidFill>
              <w14:schemeClr w14:val="tx1"/>
            </w14:solidFill>
          </w14:textFill>
        </w:rPr>
        <w:t>VR</w:t>
      </w:r>
      <w:r>
        <w:rPr>
          <w:rFonts w:hint="eastAsia" w:asciiTheme="minorEastAsia" w:hAnsiTheme="minorEastAsia" w:eastAsiaTheme="minorEastAsia"/>
          <w:color w:val="000000" w:themeColor="text1"/>
          <w:szCs w:val="28"/>
          <w:lang w:bidi="ar"/>
          <w14:textFill>
            <w14:solidFill>
              <w14:schemeClr w14:val="tx1"/>
            </w14:solidFill>
          </w14:textFill>
        </w:rPr>
        <w:t>。</w:t>
      </w:r>
    </w:p>
    <w:p>
      <w:pPr>
        <w:numPr>
          <w:ilvl w:val="0"/>
          <w:numId w:val="31"/>
        </w:numPr>
        <w:ind w:left="320" w:hanging="420"/>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视频接通成功率达到9</w:t>
      </w:r>
      <w:r>
        <w:rPr>
          <w:rFonts w:asciiTheme="minorEastAsia" w:hAnsiTheme="minorEastAsia" w:eastAsiaTheme="minorEastAsia"/>
          <w:color w:val="000000" w:themeColor="text1"/>
          <w:szCs w:val="28"/>
          <w:lang w:bidi="ar"/>
          <w14:textFill>
            <w14:solidFill>
              <w14:schemeClr w14:val="tx1"/>
            </w14:solidFill>
          </w14:textFill>
        </w:rPr>
        <w:t>9%</w:t>
      </w:r>
      <w:r>
        <w:rPr>
          <w:rFonts w:hint="eastAsia" w:asciiTheme="minorEastAsia" w:hAnsiTheme="minorEastAsia" w:eastAsiaTheme="minorEastAsia"/>
          <w:color w:val="000000" w:themeColor="text1"/>
          <w:szCs w:val="28"/>
          <w:lang w:bidi="ar"/>
          <w14:textFill>
            <w14:solidFill>
              <w14:schemeClr w14:val="tx1"/>
            </w14:solidFill>
          </w14:textFill>
        </w:rPr>
        <w:t>，视频响应时长不超过</w:t>
      </w:r>
      <w:r>
        <w:rPr>
          <w:rFonts w:asciiTheme="minorEastAsia" w:hAnsiTheme="minorEastAsia" w:eastAsiaTheme="minorEastAsia"/>
          <w:color w:val="000000" w:themeColor="text1"/>
          <w:szCs w:val="28"/>
          <w:lang w:bidi="ar"/>
          <w14:textFill>
            <w14:solidFill>
              <w14:schemeClr w14:val="tx1"/>
            </w14:solidFill>
          </w14:textFill>
        </w:rPr>
        <w:t>5</w:t>
      </w:r>
      <w:r>
        <w:rPr>
          <w:rFonts w:hint="eastAsia" w:asciiTheme="minorEastAsia" w:hAnsiTheme="minorEastAsia" w:eastAsiaTheme="minorEastAsia"/>
          <w:color w:val="000000" w:themeColor="text1"/>
          <w:szCs w:val="28"/>
          <w:lang w:bidi="ar"/>
          <w14:textFill>
            <w14:solidFill>
              <w14:schemeClr w14:val="tx1"/>
            </w14:solidFill>
          </w14:textFill>
        </w:rPr>
        <w:t>秒，视频接通后</w:t>
      </w:r>
      <w:r>
        <w:rPr>
          <w:rFonts w:asciiTheme="minorEastAsia" w:hAnsiTheme="minorEastAsia" w:eastAsiaTheme="minorEastAsia"/>
          <w:color w:val="000000" w:themeColor="text1"/>
          <w:szCs w:val="28"/>
          <w:lang w:bidi="ar"/>
          <w14:textFill>
            <w14:solidFill>
              <w14:schemeClr w14:val="tx1"/>
            </w14:solidFill>
          </w14:textFill>
        </w:rPr>
        <w:t>5</w:t>
      </w:r>
      <w:r>
        <w:rPr>
          <w:rFonts w:hint="eastAsia" w:asciiTheme="minorEastAsia" w:hAnsiTheme="minorEastAsia" w:eastAsiaTheme="minorEastAsia"/>
          <w:color w:val="000000" w:themeColor="text1"/>
          <w:szCs w:val="28"/>
          <w:lang w:bidi="ar"/>
          <w14:textFill>
            <w14:solidFill>
              <w14:schemeClr w14:val="tx1"/>
            </w14:solidFill>
          </w14:textFill>
        </w:rPr>
        <w:t>秒内展示视频画面。</w:t>
      </w:r>
    </w:p>
    <w:p>
      <w:pPr>
        <w:pStyle w:val="5"/>
        <w:rPr>
          <w:rFonts w:ascii="宋体" w:hAnsi="宋体" w:cs="仿宋"/>
          <w:color w:val="000000" w:themeColor="text1"/>
          <w:sz w:val="30"/>
          <w:szCs w:val="30"/>
          <w14:textFill>
            <w14:solidFill>
              <w14:schemeClr w14:val="tx1"/>
            </w14:solidFill>
          </w14:textFill>
        </w:rPr>
      </w:pPr>
      <w:bookmarkStart w:id="236" w:name="_Toc118808247"/>
      <w:r>
        <w:rPr>
          <w:rFonts w:hint="eastAsia" w:ascii="宋体" w:hAnsi="宋体" w:cs="仿宋"/>
          <w:color w:val="000000" w:themeColor="text1"/>
          <w:sz w:val="30"/>
          <w:szCs w:val="30"/>
          <w14:textFill>
            <w14:solidFill>
              <w14:schemeClr w14:val="tx1"/>
            </w14:solidFill>
          </w14:textFill>
        </w:rPr>
        <w:t>数据处理与存储系统设计</w:t>
      </w:r>
      <w:bookmarkEnd w:id="236"/>
    </w:p>
    <w:p>
      <w:pPr>
        <w:pStyle w:val="2"/>
        <w:rPr>
          <w:rFonts w:asciiTheme="minorEastAsia" w:hAnsiTheme="minorEastAsia" w:eastAsiaTheme="minorEastAsia"/>
          <w:color w:val="000000" w:themeColor="text1"/>
          <w14:textFill>
            <w14:solidFill>
              <w14:schemeClr w14:val="tx1"/>
            </w14:solidFill>
          </w14:textFill>
        </w:rPr>
      </w:pPr>
      <w:bookmarkStart w:id="237" w:name="_Toc118808248"/>
      <w:bookmarkStart w:id="238" w:name="_Toc89267570"/>
      <w:r>
        <w:rPr>
          <w:rFonts w:hint="eastAsia" w:asciiTheme="minorEastAsia" w:hAnsiTheme="minorEastAsia" w:eastAsiaTheme="minorEastAsia"/>
          <w:color w:val="000000" w:themeColor="text1"/>
          <w14:textFill>
            <w14:solidFill>
              <w14:schemeClr w14:val="tx1"/>
            </w14:solidFill>
          </w14:textFill>
        </w:rPr>
        <w:t>数据仓构建</w:t>
      </w:r>
      <w:bookmarkEnd w:id="237"/>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本项目将基于萧山一体化公共数据平台，进行数据处理所需要的数据仓建设，并充分利用平台ODPS计算存储资源、DataWorks大数据治理工具以及RDS资源，确保“应用长在平台上、数据汇在平台上”。</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ODPS（Open Data Processing Service），提供开放数据处理服务的数据仓库解决方案。ODPS以RESTful API的形式提供针对PB级别数据的、实时性要求不高的批量结构化数据存储和计算能力。</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DataWorks将通过智能数据建模、全域数据集成、高效数据生产、主动数据治理、全面数据安全、数据分析服务六大全链路来提供数据治理的能力。</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RDS，关系型数据库服务（Relational Database Service）的简称，是一种即开即用、稳定可靠、可弹性伸缩的在线数据库服务。具有多重安全防护措施和完善的性能监控体系，并提供专业的数据库备份、恢复及优化方案。本项目的应用数据库均部署在V</w:t>
      </w:r>
      <w:r>
        <w:rPr>
          <w:rFonts w:asciiTheme="minorEastAsia" w:hAnsiTheme="minorEastAsia" w:eastAsiaTheme="minorEastAsia"/>
          <w:color w:val="000000" w:themeColor="text1"/>
          <w:szCs w:val="28"/>
          <w:lang w:bidi="ar"/>
          <w14:textFill>
            <w14:solidFill>
              <w14:schemeClr w14:val="tx1"/>
            </w14:solidFill>
          </w14:textFill>
        </w:rPr>
        <w:t>PN2</w:t>
      </w:r>
      <w:r>
        <w:rPr>
          <w:rFonts w:hint="eastAsia" w:asciiTheme="minorEastAsia" w:hAnsiTheme="minorEastAsia" w:eastAsiaTheme="minorEastAsia"/>
          <w:color w:val="000000" w:themeColor="text1"/>
          <w:szCs w:val="28"/>
          <w:lang w:bidi="ar"/>
          <w14:textFill>
            <w14:solidFill>
              <w14:schemeClr w14:val="tx1"/>
            </w14:solidFill>
          </w14:textFill>
        </w:rPr>
        <w:t>的R</w:t>
      </w:r>
      <w:r>
        <w:rPr>
          <w:rFonts w:asciiTheme="minorEastAsia" w:hAnsiTheme="minorEastAsia" w:eastAsiaTheme="minorEastAsia"/>
          <w:color w:val="000000" w:themeColor="text1"/>
          <w:szCs w:val="28"/>
          <w:lang w:bidi="ar"/>
          <w14:textFill>
            <w14:solidFill>
              <w14:schemeClr w14:val="tx1"/>
            </w14:solidFill>
          </w14:textFill>
        </w:rPr>
        <w:t>DS</w:t>
      </w:r>
      <w:r>
        <w:rPr>
          <w:rFonts w:hint="eastAsia" w:asciiTheme="minorEastAsia" w:hAnsiTheme="minorEastAsia" w:eastAsiaTheme="minorEastAsia"/>
          <w:color w:val="000000" w:themeColor="text1"/>
          <w:szCs w:val="28"/>
          <w:lang w:bidi="ar"/>
          <w14:textFill>
            <w14:solidFill>
              <w14:schemeClr w14:val="tx1"/>
            </w14:solidFill>
          </w14:textFill>
        </w:rPr>
        <w:t>上。</w:t>
      </w:r>
    </w:p>
    <w:p>
      <w:pPr>
        <w:pStyle w:val="2"/>
        <w:rPr>
          <w:rFonts w:asciiTheme="minorEastAsia" w:hAnsiTheme="minorEastAsia" w:eastAsiaTheme="minorEastAsia"/>
          <w:color w:val="000000" w:themeColor="text1"/>
          <w14:textFill>
            <w14:solidFill>
              <w14:schemeClr w14:val="tx1"/>
            </w14:solidFill>
          </w14:textFill>
        </w:rPr>
      </w:pPr>
      <w:bookmarkStart w:id="239" w:name="_Toc118808249"/>
      <w:r>
        <w:rPr>
          <w:rFonts w:asciiTheme="minorEastAsia" w:hAnsiTheme="minorEastAsia" w:eastAsiaTheme="minorEastAsia"/>
          <w:color w:val="000000" w:themeColor="text1"/>
          <w14:textFill>
            <w14:solidFill>
              <w14:schemeClr w14:val="tx1"/>
            </w14:solidFill>
          </w14:textFill>
        </w:rPr>
        <w:t>数据处理和存储整体说明</w:t>
      </w:r>
      <w:bookmarkEnd w:id="238"/>
      <w:bookmarkEnd w:id="239"/>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不同类别的数据在存储、计算、传输时存在不同的技术实现需求，因此需要对数据进行分类，进而实现分类管理。数据总体架构，如下图所示：</w:t>
      </w:r>
    </w:p>
    <w:p>
      <w:pPr>
        <w:widowControl/>
        <w:jc w:val="center"/>
        <w:rPr>
          <w:rFonts w:asciiTheme="minorEastAsia" w:hAnsiTheme="minorEastAsia"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422265" cy="2077085"/>
            <wp:effectExtent l="0" t="0" r="635"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9"/>
                    <a:stretch>
                      <a:fillRect/>
                    </a:stretch>
                  </pic:blipFill>
                  <pic:spPr>
                    <a:xfrm>
                      <a:off x="0" y="0"/>
                      <a:ext cx="5459463" cy="2091326"/>
                    </a:xfrm>
                    <a:prstGeom prst="rect">
                      <a:avLst/>
                    </a:prstGeom>
                  </pic:spPr>
                </pic:pic>
              </a:graphicData>
            </a:graphic>
          </wp:inline>
        </w:drawing>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据架构总体上划分为结构化数据和非结构化数据。结构化数据用mysql存储，非结构化主要数据使用MongoDB存储，此外，缓存使用redis。不同类型的存储系统都默认使用高可用配置，支持监控、备份、容灾等。</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不同类型的存储数据库及使用场景详细介绍如下：</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MySQL</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MySQL-关系型数据库管理系统，在智能语音呼叫机器人平台中包括系统配置、客户数据、通话记录、任务数据信息等都存储于此。</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MongoDB</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MongoDB-文档型存储数据库，在智能语音呼叫机器人平台中主要用于存储话术结构信息、客户属性、意向规则、以及数据统计相关信息。由于话术结构为树状结构，为了方便数据的操作，使用MongoDB的json结构；客户属性、意向规则等为客户自定义数据，MongoDB处理比较灵活；数据统计方面MongoDB存储的可以是复杂类型，比如数组、对象等mysql不善于处理的文档型结构，并且聚合的操作也比mysql复杂很多，能支持复杂场景的统计操作。</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Redis</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Redis-基于内存型的数据库，主要用于进行数据缓存，提高数据访问速度。在智能语音呼叫机器人平台中除了利用其高性能的缓存特性，还使用它实现分布式锁的功能。</w:t>
      </w:r>
    </w:p>
    <w:p>
      <w:pPr>
        <w:pStyle w:val="6"/>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对象存储</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对象存储是一种分布式文件存储系统，其充分考虑了冗余备份、负载均衡、线性扩容等机制，并注重高可用、高性能等指标，方便易用。在智能语音呼叫机器人平台中用于存储导入导出Excel、通话音频等文件数据。</w:t>
      </w:r>
    </w:p>
    <w:p>
      <w:pPr>
        <w:pStyle w:val="2"/>
        <w:rPr>
          <w:rFonts w:asciiTheme="minorEastAsia" w:hAnsiTheme="minorEastAsia" w:eastAsiaTheme="minorEastAsia"/>
          <w:color w:val="000000" w:themeColor="text1"/>
          <w14:textFill>
            <w14:solidFill>
              <w14:schemeClr w14:val="tx1"/>
            </w14:solidFill>
          </w14:textFill>
        </w:rPr>
      </w:pPr>
      <w:bookmarkStart w:id="240" w:name="_Toc118808250"/>
      <w:bookmarkStart w:id="241" w:name="_Toc74183835"/>
      <w:r>
        <w:rPr>
          <w:rFonts w:hint="eastAsia" w:asciiTheme="minorEastAsia" w:hAnsiTheme="minorEastAsia" w:eastAsiaTheme="minorEastAsia"/>
          <w:color w:val="000000" w:themeColor="text1"/>
          <w14:textFill>
            <w14:solidFill>
              <w14:schemeClr w14:val="tx1"/>
            </w14:solidFill>
          </w14:textFill>
        </w:rPr>
        <w:t>存储体系设计</w:t>
      </w:r>
      <w:bookmarkEnd w:id="240"/>
      <w:bookmarkEnd w:id="241"/>
    </w:p>
    <w:p>
      <w:pPr>
        <w:pStyle w:val="6"/>
        <w:rPr>
          <w:rFonts w:asciiTheme="minorEastAsia" w:hAnsiTheme="minorEastAsia" w:eastAsiaTheme="minorEastAsia"/>
          <w:color w:val="000000" w:themeColor="text1"/>
          <w14:textFill>
            <w14:solidFill>
              <w14:schemeClr w14:val="tx1"/>
            </w14:solidFill>
          </w14:textFill>
        </w:rPr>
      </w:pPr>
      <w:bookmarkStart w:id="242" w:name="_Toc8825049"/>
      <w:bookmarkStart w:id="243" w:name="_Toc10539019"/>
      <w:bookmarkStart w:id="244" w:name="_Toc23308468"/>
      <w:bookmarkStart w:id="245" w:name="_Toc12779204"/>
      <w:bookmarkStart w:id="246" w:name="_Toc74183836"/>
      <w:bookmarkStart w:id="247" w:name="_Toc22314065"/>
      <w:bookmarkStart w:id="248" w:name="_Toc59364160"/>
      <w:r>
        <w:rPr>
          <w:rFonts w:hint="eastAsia" w:asciiTheme="minorEastAsia" w:hAnsiTheme="minorEastAsia" w:eastAsiaTheme="minorEastAsia"/>
          <w:color w:val="000000" w:themeColor="text1"/>
          <w14:textFill>
            <w14:solidFill>
              <w14:schemeClr w14:val="tx1"/>
            </w14:solidFill>
          </w14:textFill>
        </w:rPr>
        <w:t>存储系统方案设计原则</w:t>
      </w:r>
      <w:bookmarkEnd w:id="242"/>
      <w:bookmarkEnd w:id="243"/>
      <w:bookmarkEnd w:id="244"/>
      <w:bookmarkEnd w:id="245"/>
      <w:bookmarkEnd w:id="246"/>
      <w:bookmarkEnd w:id="247"/>
      <w:bookmarkEnd w:id="248"/>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针对本项目安全需要，我们建议提出以存储服务器为存储中心，以存储区域网络（SAN）为存储架构，以可扩展的磁带库产品为备份中心的大容量高性能存储解决方案。从体系结构上看，应遵循以下原则：</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w:t>
      </w:r>
      <w:r>
        <w:rPr>
          <w:rFonts w:asciiTheme="minorEastAsia" w:hAnsiTheme="minorEastAsia" w:eastAsiaTheme="minorEastAsia"/>
          <w:color w:val="000000" w:themeColor="text1"/>
          <w:szCs w:val="28"/>
          <w:lang w:bidi="ar"/>
          <w14:textFill>
            <w14:solidFill>
              <w14:schemeClr w14:val="tx1"/>
            </w14:solidFill>
          </w14:textFill>
        </w:rPr>
        <w:t>1</w:t>
      </w:r>
      <w:r>
        <w:rPr>
          <w:rFonts w:hint="eastAsia" w:asciiTheme="minorEastAsia" w:hAnsiTheme="minorEastAsia" w:eastAsiaTheme="minorEastAsia"/>
          <w:color w:val="000000" w:themeColor="text1"/>
          <w:szCs w:val="28"/>
          <w:lang w:bidi="ar"/>
          <w14:textFill>
            <w14:solidFill>
              <w14:schemeClr w14:val="tx1"/>
            </w14:solidFill>
          </w14:textFill>
        </w:rPr>
        <w:t>）集中化的数据存储架构</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SAN存储架构能够适应本次萧山信访项目初期及未来存储容量的需求，又能够对存储资源进行集中化管理和利用。为适应萧山信访系统提供一个集中、安全、可靠的存储环境。</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（2）高I/O、高性能的存储架构</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在多种核心应用下，不但需要集中的存储系统支持，即同时连接几台甚至十几台工作服务器，而且必须兼备很高的I/O性能才能胜任。</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（3）可保护投资的存储架构</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SAN存储架构是一个长期的架构，除了可以应对存储硬件设备的升级速度外，还必须考虑到对前期存储设备的投资保护，在保证不断提供功能和性能提高的同时，存储架构在较长的时间内能够保持相对稳定。</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（4）高可用性与高数据安全性</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数据是萧山信访系统的最终保障，存储系统必须有高可用性，以保证应用系统对数据的随时存取。</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（5）灵活的扩展性</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结合萧山信访的数据量增长情况，存储系统必须有强大的扩展性来满足这种高速发展的要求。</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（6）简单易用的管理工具</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萧山信访存储系统的核心是数据存储，所以存储设备的数据分类和管理功能十分重要。为了提高系统管理的效率、管理的安全性，存储系统必须有便于使用的存储管理工具。</w:t>
      </w:r>
    </w:p>
    <w:p>
      <w:pPr>
        <w:pStyle w:val="6"/>
        <w:rPr>
          <w:rFonts w:asciiTheme="minorEastAsia" w:hAnsiTheme="minorEastAsia" w:eastAsiaTheme="minorEastAsia"/>
          <w:color w:val="000000" w:themeColor="text1"/>
          <w14:textFill>
            <w14:solidFill>
              <w14:schemeClr w14:val="tx1"/>
            </w14:solidFill>
          </w14:textFill>
        </w:rPr>
      </w:pPr>
      <w:bookmarkStart w:id="249" w:name="_Toc74183837"/>
      <w:r>
        <w:rPr>
          <w:rFonts w:hint="eastAsia" w:asciiTheme="minorEastAsia" w:hAnsiTheme="minorEastAsia" w:eastAsiaTheme="minorEastAsia"/>
          <w:color w:val="000000" w:themeColor="text1"/>
          <w14:textFill>
            <w14:solidFill>
              <w14:schemeClr w14:val="tx1"/>
            </w14:solidFill>
          </w14:textFill>
        </w:rPr>
        <w:t>存储系统方案设计标准</w:t>
      </w:r>
      <w:bookmarkEnd w:id="249"/>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根据信访业务需求，需要具备TB级的扩展能力，并具有多主机跨平台主机连接能力，数据集中存放、集中管理，数据有效共享，存储空间共享、统一安全备份，可实现无人值守自动备份策略、备份LANFREE、SERVERFREE等功能，为全面集中管理和将来数据仓库的建设奠定坚实的基础，推荐采用SAN（光线交换机）数据存储解决方案。</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具体方案设计如下图，所有的服务器设备都通过两台光纤交换机连接存储设备和备份设备，所有的数据都存放在存储服务器，可以统一来管理各个系统的备份请求，方便进行灾难备份。</w:t>
      </w:r>
    </w:p>
    <w:p>
      <w:pPr>
        <w:widowControl/>
        <w:jc w:val="center"/>
        <w:rPr>
          <w:rFonts w:asciiTheme="minorEastAsia" w:hAnsiTheme="minorEastAsia" w:eastAsiaTheme="minorEastAsia"/>
          <w:color w:val="000000" w:themeColor="text1"/>
          <w:szCs w:val="28"/>
          <w:lang w:bidi="ar"/>
          <w14:textFill>
            <w14:solidFill>
              <w14:schemeClr w14:val="tx1"/>
            </w14:solidFill>
          </w14:textFill>
        </w:rPr>
      </w:pPr>
      <w:r>
        <w:rPr>
          <w:rFonts w:hint="eastAsia" w:ascii="仿宋" w:hAnsi="仿宋" w:eastAsia="仿宋" w:cs="幼圆"/>
          <w:color w:val="000000" w:themeColor="text1"/>
          <w14:textFill>
            <w14:solidFill>
              <w14:schemeClr w14:val="tx1"/>
            </w14:solidFill>
          </w14:textFill>
        </w:rPr>
        <w:drawing>
          <wp:inline distT="0" distB="0" distL="0" distR="0">
            <wp:extent cx="5270500" cy="3454400"/>
            <wp:effectExtent l="0" t="0" r="635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70500" cy="3454400"/>
                    </a:xfrm>
                    <a:prstGeom prst="rect">
                      <a:avLst/>
                    </a:prstGeom>
                    <a:noFill/>
                    <a:ln>
                      <a:noFill/>
                    </a:ln>
                  </pic:spPr>
                </pic:pic>
              </a:graphicData>
            </a:graphic>
          </wp:inline>
        </w:drawing>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从平台的选择方面，采用较高端的产品，从存储备份的体系架构上，符合SAN体系架构的设计思想，具备了实用性、扩展性、安全性的特点。</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存储架构</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传统的CLIENT/SERVER结构是以主机系统为中心，系统相对独立，会产生“信息孤岛”的问题；而以网络为中心的结构中，各种平台的系统依靠网络联接在一起，以实现信息传递和信息共享，但还是分布式处理和管理的模式。还未根本解决信息孤岛的问题，走SAN的道路是必然趋势。</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SAN(Storage Area Networking)存储局域网---二十一世纪全新的理念下的电子信息架构。以数据、信息、内容为核心的模式。</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SAN是在传统网络结构上建立以数据存储管理为核心的四层信息架构，从而彻底改变数据流和系统管理的重点。加入了最新的技术和管理方式，发挥整个系统的所有资源，为应用者提供最需要的“内容”（下图为SAN的标准模式）</w:t>
      </w:r>
    </w:p>
    <w:p>
      <w:pPr>
        <w:widowControl/>
        <w:jc w:val="center"/>
        <w:rPr>
          <w:rFonts w:asciiTheme="minorEastAsia" w:hAnsiTheme="minorEastAsia" w:eastAsiaTheme="minorEastAsia"/>
          <w:color w:val="000000" w:themeColor="text1"/>
          <w:szCs w:val="28"/>
          <w:lang w:bidi="ar"/>
          <w14:textFill>
            <w14:solidFill>
              <w14:schemeClr w14:val="tx1"/>
            </w14:solidFill>
          </w14:textFill>
        </w:rPr>
      </w:pPr>
      <w:r>
        <w:rPr>
          <w:rFonts w:hint="eastAsia" w:ascii="仿宋" w:hAnsi="仿宋" w:eastAsia="仿宋" w:cs="幼圆"/>
          <w:color w:val="000000" w:themeColor="text1"/>
          <w14:textFill>
            <w14:solidFill>
              <w14:schemeClr w14:val="tx1"/>
            </w14:solidFill>
          </w14:textFill>
        </w:rPr>
        <w:drawing>
          <wp:inline distT="0" distB="0" distL="0" distR="0">
            <wp:extent cx="5274310" cy="2654935"/>
            <wp:effectExtent l="0" t="0" r="254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274310" cy="2654935"/>
                    </a:xfrm>
                    <a:prstGeom prst="rect">
                      <a:avLst/>
                    </a:prstGeom>
                    <a:noFill/>
                    <a:ln>
                      <a:noFill/>
                    </a:ln>
                  </pic:spPr>
                </pic:pic>
              </a:graphicData>
            </a:graphic>
          </wp:inline>
        </w:drawing>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SAN方案的优势</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（1）扩展性好</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SAN采用光纤通道技术。采用FC-LOOP形式每个光纤环路可支持126个光纤设备。如果采用FC-SW（光纤交换）的形式，光纤网络理论上可连接1600万个光纤设备。也就是说，可在光纤网络上增加光纤设备，满足系统的扩展性需要。</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（2）传输距离远</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采用多模光纤传输距离可达500米，采用单模光纤传输距离可达10公里。</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（3）传输速率高</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SAN具有的100MB/S-200MB/S的环路带宽，提升了主机系统的存储带宽，由于大量的数据存在于高速的SAN存储池中，减轻了服务器与客户机之间的通讯带宽。对于大数据量的访问操作我们都可以通过SAN来完成。</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（4）备份效率高</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可采用LAN-Free的数据备份方式，要备份的数据通过SAN 200MB/s的速率传输到磁带库，只有少量的控制信息通过TCP/IP网络进行传输。大大节省了TCP/IP网络带宽资源。</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（5）配置灵活</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通过相应的软件可实现基于SAN的网络文件共享，文件访问效率高。</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（6）安全性好</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可通过光纤交换机的ZOONING功能实现，交换机端口的访问控制。通过磁盘阵列的LUN masking实现LUN一级的安全隔离。通过软件实现文件共享访问控制。</w:t>
      </w:r>
    </w:p>
    <w:p>
      <w:pPr>
        <w:pStyle w:val="6"/>
        <w:rPr>
          <w:rFonts w:asciiTheme="minorEastAsia" w:hAnsiTheme="minorEastAsia" w:eastAsiaTheme="minorEastAsia"/>
          <w:color w:val="000000" w:themeColor="text1"/>
          <w14:textFill>
            <w14:solidFill>
              <w14:schemeClr w14:val="tx1"/>
            </w14:solidFill>
          </w14:textFill>
        </w:rPr>
      </w:pPr>
      <w:bookmarkStart w:id="250" w:name="_Toc74183838"/>
      <w:r>
        <w:rPr>
          <w:rFonts w:hint="eastAsia" w:asciiTheme="minorEastAsia" w:hAnsiTheme="minorEastAsia" w:eastAsiaTheme="minorEastAsia"/>
          <w:color w:val="000000" w:themeColor="text1"/>
          <w14:textFill>
            <w14:solidFill>
              <w14:schemeClr w14:val="tx1"/>
            </w14:solidFill>
          </w14:textFill>
        </w:rPr>
        <w:t>存储中心标准</w:t>
      </w:r>
      <w:bookmarkEnd w:id="250"/>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建议采用企业级的数据存储子系统，要能够满足关键任务的网络和SAN的需要，提供高可用性、高扩展性和高性能，支持32TB以上的扩展能力。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支持多种平台的连接，包括Windows NT/2000、常用的商用UNIX及Linux；每个存储服务器支持64个主机系统，支持RAID 0、1、3、5、10，并通过存储分区（LUN masking）保护数据安全；冗余热插拔电源、风扇和双AC电源线，自动切换能力可提供系统高可靠性及业务连续性；提供Flashcopy和Remote Copy功能、动态卷扩展功能。</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（1）技术要点</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1、可提供更快响应速度的 2Gbps 技术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2、FlashCopy 和远程镜像（Remote Mirroring）可帮助增加数据保护选项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3、动态卷扩展可简化数据的管理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4、配置可扩展性和灵活性可满足公司增长的需求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5、高可用性设计可增强对数据的访问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6、具有 SAN 就绪特性的中央存储可减轻管理负担</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（2）提供实现增长所需的灵活性和可扩展性</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可以购买当前所需的功能和容量，并在日后需要是进行添加。必须是可扩展的存储服务器，允许在初始投资的基础上创建新的解决方案。当需求出现增长时，只需简单地进行升级-而不是进行替换。</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（3）存储管理</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存储管理器可提供 FlashCopy、动态卷扩展和远程镜像(Remote Mirroring)功能。</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1、FlashCopy 工具能够以极快的速度创建所有存储数据的单时间点拷贝，并能够支持不间断的 SAN 正常运行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2、动态卷扩展功能可以重新确定逻辑卷的大小，通常不会中断其它逻辑卷的正常运行。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 xml:space="preserve">3、远程镜像功能可以通过光纤通道网络，在主存储服务器和备用存储服务器之间创建卷的一个镜像。 </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存储管理器还可以执行以下任务：建立分区、配置服务器和驱动器、监视存储硬件和以本地方式或远程方式进行故障诊断。</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（4）通过高可用性保护信息投资</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高可用性在今天的知识经济中非常重要。存储服务器为支持高可用性而设计，可针对多种组件故障提供保护。双热交换 RAID 控制器能够提供高吞吐量和冗余，每一个控制器可支持 1GB 的电池后备高速缓存。冗余的风扇、电源和动态的存储管理功能为实现高可用性提供了进一步的支持，能够帮助减少代价高昂的宕机或重要数据丢失的风险。</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（5）单点控制</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存储服务器是一个开放的工具，允许从一个单一控制台管理多个系统。通过从一个地点控制整个环境，以最佳方式使用内部资源。</w:t>
      </w:r>
    </w:p>
    <w:p>
      <w:pPr>
        <w:pStyle w:val="2"/>
        <w:rPr>
          <w:rFonts w:asciiTheme="minorEastAsia" w:hAnsiTheme="minorEastAsia" w:eastAsiaTheme="minorEastAsia"/>
          <w:color w:val="000000" w:themeColor="text1"/>
          <w14:textFill>
            <w14:solidFill>
              <w14:schemeClr w14:val="tx1"/>
            </w14:solidFill>
          </w14:textFill>
        </w:rPr>
      </w:pPr>
      <w:bookmarkStart w:id="251" w:name="_Toc118808251"/>
      <w:r>
        <w:rPr>
          <w:rFonts w:hint="eastAsia" w:asciiTheme="minorEastAsia" w:hAnsiTheme="minorEastAsia" w:eastAsiaTheme="minorEastAsia"/>
          <w:color w:val="000000" w:themeColor="text1"/>
          <w14:textFill>
            <w14:solidFill>
              <w14:schemeClr w14:val="tx1"/>
            </w14:solidFill>
          </w14:textFill>
        </w:rPr>
        <w:t>存储安全规划</w:t>
      </w:r>
      <w:bookmarkEnd w:id="251"/>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系统的安全保证至关重要，是设计方案中的重要内容。对于数据层来说，主要是如何在应用层和系统层对数据库系统及内部数据提供有效的保护策略。这在本系统中是通过统一的安全体系予以保证的，下面列出的是一些基本的保护要求，具体规划内容可参见安全相关的章节。</w:t>
      </w:r>
    </w:p>
    <w:p>
      <w:pPr>
        <w:pStyle w:val="89"/>
        <w:widowControl/>
        <w:numPr>
          <w:ilvl w:val="0"/>
          <w:numId w:val="32"/>
        </w:numPr>
        <w:ind w:firstLineChars="0"/>
        <w:jc w:val="left"/>
        <w:rPr>
          <w:rFonts w:asciiTheme="minorEastAsia" w:hAnsiTheme="minorEastAsia" w:eastAsiaTheme="minorEastAsia"/>
          <w:color w:val="000000" w:themeColor="text1"/>
          <w:sz w:val="28"/>
          <w:szCs w:val="28"/>
          <w:lang w:bidi="ar"/>
          <w14:textFill>
            <w14:solidFill>
              <w14:schemeClr w14:val="tx1"/>
            </w14:solidFill>
          </w14:textFill>
        </w:rPr>
      </w:pPr>
      <w:r>
        <w:rPr>
          <w:rFonts w:hint="eastAsia" w:asciiTheme="minorEastAsia" w:hAnsiTheme="minorEastAsia" w:eastAsiaTheme="minorEastAsia"/>
          <w:color w:val="000000" w:themeColor="text1"/>
          <w:sz w:val="28"/>
          <w:szCs w:val="28"/>
          <w:lang w:bidi="ar"/>
          <w14:textFill>
            <w14:solidFill>
              <w14:schemeClr w14:val="tx1"/>
            </w14:solidFill>
          </w14:textFill>
        </w:rPr>
        <w:t>数据安全</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系统上线后，一个小的维护错误操作都可能造成不可估量的严重后果，因此必须采取一切手段对数据安全加以保护。从结构层必须严格各种数据的分级归属；从应用层必须贯彻严格的权限管理、身份审查、逻辑审查和安全审查；维护管理操作必须严格遵循分级制度；此外通过采用数据库级和应用级的审计、备份管理，对非法操作实时监控，对数据进行多重保护。</w:t>
      </w:r>
    </w:p>
    <w:p>
      <w:pPr>
        <w:pStyle w:val="89"/>
        <w:widowControl/>
        <w:numPr>
          <w:ilvl w:val="0"/>
          <w:numId w:val="32"/>
        </w:numPr>
        <w:ind w:firstLineChars="0"/>
        <w:jc w:val="left"/>
        <w:rPr>
          <w:rFonts w:asciiTheme="minorEastAsia" w:hAnsiTheme="minorEastAsia" w:eastAsiaTheme="minorEastAsia"/>
          <w:color w:val="000000" w:themeColor="text1"/>
          <w:sz w:val="28"/>
          <w:szCs w:val="28"/>
          <w:lang w:bidi="ar"/>
          <w14:textFill>
            <w14:solidFill>
              <w14:schemeClr w14:val="tx1"/>
            </w14:solidFill>
          </w14:textFill>
        </w:rPr>
      </w:pPr>
      <w:r>
        <w:rPr>
          <w:rFonts w:hint="eastAsia" w:asciiTheme="minorEastAsia" w:hAnsiTheme="minorEastAsia" w:eastAsiaTheme="minorEastAsia"/>
          <w:color w:val="000000" w:themeColor="text1"/>
          <w:sz w:val="28"/>
          <w:szCs w:val="28"/>
          <w:lang w:bidi="ar"/>
          <w14:textFill>
            <w14:solidFill>
              <w14:schemeClr w14:val="tx1"/>
            </w14:solidFill>
          </w14:textFill>
        </w:rPr>
        <w:t>系统安全</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数据的集中提高了单点故障的风险，但这完全可以通过周详的系统安全方案加以避免。同时集中模式减少了分布点、降低了安全方案的整体成本和复杂度，反而更加便于实现和管理。对于数据库系统安全方案而言其主要内容在于监控、配置管理、备份与恢复，这些是数据库可持续正常运行的基本保障。</w:t>
      </w:r>
    </w:p>
    <w:p>
      <w:pPr>
        <w:pStyle w:val="89"/>
        <w:widowControl/>
        <w:numPr>
          <w:ilvl w:val="0"/>
          <w:numId w:val="32"/>
        </w:numPr>
        <w:ind w:firstLineChars="0"/>
        <w:jc w:val="left"/>
        <w:rPr>
          <w:rFonts w:asciiTheme="minorEastAsia" w:hAnsiTheme="minorEastAsia" w:eastAsiaTheme="minorEastAsia"/>
          <w:color w:val="000000" w:themeColor="text1"/>
          <w:sz w:val="28"/>
          <w:szCs w:val="28"/>
          <w:lang w:bidi="ar"/>
          <w14:textFill>
            <w14:solidFill>
              <w14:schemeClr w14:val="tx1"/>
            </w14:solidFill>
          </w14:textFill>
        </w:rPr>
      </w:pPr>
      <w:r>
        <w:rPr>
          <w:rFonts w:hint="eastAsia" w:asciiTheme="minorEastAsia" w:hAnsiTheme="minorEastAsia" w:eastAsiaTheme="minorEastAsia"/>
          <w:color w:val="000000" w:themeColor="text1"/>
          <w:sz w:val="28"/>
          <w:szCs w:val="28"/>
          <w:lang w:bidi="ar"/>
          <w14:textFill>
            <w14:solidFill>
              <w14:schemeClr w14:val="tx1"/>
            </w14:solidFill>
          </w14:textFill>
        </w:rPr>
        <w:t>安全保证措施</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数据库的安全保证可以采用多种方式和手段，主要有如下几种：</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数据库集群技术：类似于应用服务器集群技术，采用多主机、多实例的方式提供数据库服务。当某台主机由于意外情况停止服务时，集群中的其他机器会服务请求，避免服务中断的情况发生。此种模式不能解决数据库系统发生物理损害情况下的系统恢复。</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硬件镜像：在数据存储硬件层，通过硬件镜像技术，实时地将数据库资料同时写入到两套存储硬件中。此种方式最大的优点就是处理速度快，便于保证应用系统的连续运行；其缺点是投入成本较高，另外当主数据库的数据存储发生错误时，错误内容也会被复制到镜像系统中。</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物理备份与恢复：采用数据库系统提供的物理备份恢复软件，结合数据库的日志体系，对数据库内容实现物理层面的完整备份和提供丰富的整体或局部数据恢复方式。此种方式性价比较高，但需要有专用的存储系统提供支持。</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逻辑备份与恢复：采用数据库系统提供的逻辑备份与恢复软件，对数据库进行指定时间点的完整或局部的备份和恢复操作。此种方式最简单易行，但效率和数据的完整性无法得到很好的保证。</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本次系统数据库同时采用多种安全保障措施，包括采用数据库服务器集群的方式，解决数据库服务器的单点故障问题。</w:t>
      </w:r>
    </w:p>
    <w:p>
      <w:pPr>
        <w:pStyle w:val="5"/>
        <w:rPr>
          <w:rFonts w:ascii="宋体" w:hAnsi="宋体" w:cs="仿宋"/>
          <w:color w:val="000000" w:themeColor="text1"/>
          <w:sz w:val="30"/>
          <w:szCs w:val="30"/>
          <w14:textFill>
            <w14:solidFill>
              <w14:schemeClr w14:val="tx1"/>
            </w14:solidFill>
          </w14:textFill>
        </w:rPr>
      </w:pPr>
      <w:bookmarkStart w:id="252" w:name="_Toc118808252"/>
      <w:r>
        <w:rPr>
          <w:rFonts w:hint="eastAsia" w:ascii="宋体" w:hAnsi="宋体" w:cs="仿宋"/>
          <w:color w:val="000000" w:themeColor="text1"/>
          <w:sz w:val="30"/>
          <w:szCs w:val="30"/>
          <w14:textFill>
            <w14:solidFill>
              <w14:schemeClr w14:val="tx1"/>
            </w14:solidFill>
          </w14:textFill>
        </w:rPr>
        <w:t>数据资源规划和数据库设计</w:t>
      </w:r>
      <w:bookmarkEnd w:id="252"/>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本项目的数据开发、专题库建设、数据归集均通过部门数据仓进行实现；应用数据库均部署在V</w:t>
      </w:r>
      <w:r>
        <w:rPr>
          <w:rFonts w:asciiTheme="minorEastAsia" w:hAnsiTheme="minorEastAsia" w:eastAsiaTheme="minorEastAsia"/>
          <w:color w:val="000000" w:themeColor="text1"/>
          <w:szCs w:val="28"/>
          <w:lang w:bidi="ar"/>
          <w14:textFill>
            <w14:solidFill>
              <w14:schemeClr w14:val="tx1"/>
            </w14:solidFill>
          </w14:textFill>
        </w:rPr>
        <w:t>PN2</w:t>
      </w:r>
      <w:r>
        <w:rPr>
          <w:rFonts w:hint="eastAsia" w:asciiTheme="minorEastAsia" w:hAnsiTheme="minorEastAsia" w:eastAsiaTheme="minorEastAsia"/>
          <w:color w:val="000000" w:themeColor="text1"/>
          <w:szCs w:val="28"/>
          <w:lang w:bidi="ar"/>
          <w14:textFill>
            <w14:solidFill>
              <w14:schemeClr w14:val="tx1"/>
            </w14:solidFill>
          </w14:textFill>
        </w:rPr>
        <w:t>的R</w:t>
      </w:r>
      <w:r>
        <w:rPr>
          <w:rFonts w:asciiTheme="minorEastAsia" w:hAnsiTheme="minorEastAsia" w:eastAsiaTheme="minorEastAsia"/>
          <w:color w:val="000000" w:themeColor="text1"/>
          <w:szCs w:val="28"/>
          <w:lang w:bidi="ar"/>
          <w14:textFill>
            <w14:solidFill>
              <w14:schemeClr w14:val="tx1"/>
            </w14:solidFill>
          </w14:textFill>
        </w:rPr>
        <w:t>DS</w:t>
      </w:r>
      <w:r>
        <w:rPr>
          <w:rFonts w:hint="eastAsia" w:asciiTheme="minorEastAsia" w:hAnsiTheme="minorEastAsia" w:eastAsiaTheme="minorEastAsia"/>
          <w:color w:val="000000" w:themeColor="text1"/>
          <w:szCs w:val="28"/>
          <w:lang w:bidi="ar"/>
          <w14:textFill>
            <w14:solidFill>
              <w14:schemeClr w14:val="tx1"/>
            </w14:solidFill>
          </w14:textFill>
        </w:rPr>
        <w:t>上。</w:t>
      </w:r>
    </w:p>
    <w:p>
      <w:pPr>
        <w:pStyle w:val="2"/>
        <w:rPr>
          <w:rFonts w:ascii="宋体" w:hAnsi="宋体"/>
          <w:color w:val="000000" w:themeColor="text1"/>
          <w:sz w:val="30"/>
          <w:szCs w:val="30"/>
          <w14:textFill>
            <w14:solidFill>
              <w14:schemeClr w14:val="tx1"/>
            </w14:solidFill>
          </w14:textFill>
        </w:rPr>
      </w:pPr>
      <w:bookmarkStart w:id="253" w:name="_Toc118808253"/>
      <w:r>
        <w:rPr>
          <w:rFonts w:hint="eastAsia" w:ascii="宋体" w:hAnsi="宋体"/>
          <w:color w:val="000000" w:themeColor="text1"/>
          <w:sz w:val="30"/>
          <w:szCs w:val="30"/>
          <w14:textFill>
            <w14:solidFill>
              <w14:schemeClr w14:val="tx1"/>
            </w14:solidFill>
          </w14:textFill>
        </w:rPr>
        <w:t>数据需求清单</w:t>
      </w:r>
      <w:bookmarkEnd w:id="253"/>
    </w:p>
    <w:tbl>
      <w:tblPr>
        <w:tblStyle w:val="38"/>
        <w:tblW w:w="10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0"/>
        <w:gridCol w:w="1099"/>
        <w:gridCol w:w="1418"/>
        <w:gridCol w:w="1275"/>
        <w:gridCol w:w="993"/>
        <w:gridCol w:w="850"/>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440" w:type="dxa"/>
            <w:tcBorders>
              <w:tl2br w:val="single" w:color="auto" w:sz="4" w:space="0"/>
            </w:tcBorders>
            <w:shd w:val="clear" w:color="auto" w:fill="auto"/>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 xml:space="preserve">       具体信息</w:t>
            </w:r>
            <w:r>
              <w:rPr>
                <w:rFonts w:hint="eastAsia" w:ascii="宋体" w:hAnsi="宋体" w:cs="宋体"/>
                <w:color w:val="000000" w:themeColor="text1"/>
                <w:kern w:val="0"/>
                <w:szCs w:val="28"/>
                <w14:textFill>
                  <w14:solidFill>
                    <w14:schemeClr w14:val="tx1"/>
                  </w14:solidFill>
                </w14:textFill>
              </w:rPr>
              <w:br w:type="textWrapping"/>
            </w:r>
            <w:r>
              <w:rPr>
                <w:rFonts w:hint="eastAsia" w:ascii="宋体" w:hAnsi="宋体" w:cs="宋体"/>
                <w:color w:val="000000" w:themeColor="text1"/>
                <w:kern w:val="0"/>
                <w:szCs w:val="28"/>
                <w14:textFill>
                  <w14:solidFill>
                    <w14:schemeClr w14:val="tx1"/>
                  </w14:solidFill>
                </w14:textFill>
              </w:rPr>
              <w:t>数据资源名称</w:t>
            </w:r>
          </w:p>
        </w:tc>
        <w:tc>
          <w:tcPr>
            <w:tcW w:w="1099"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数据单位</w:t>
            </w:r>
          </w:p>
        </w:tc>
        <w:tc>
          <w:tcPr>
            <w:tcW w:w="1418"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产生数据应用</w:t>
            </w:r>
          </w:p>
        </w:tc>
        <w:tc>
          <w:tcPr>
            <w:tcW w:w="1275"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共享方式</w:t>
            </w:r>
          </w:p>
        </w:tc>
        <w:tc>
          <w:tcPr>
            <w:tcW w:w="993"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共享类型</w:t>
            </w:r>
          </w:p>
        </w:tc>
        <w:tc>
          <w:tcPr>
            <w:tcW w:w="850"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更新频率</w:t>
            </w: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所需数据项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440"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省下发_信访件信息</w:t>
            </w:r>
          </w:p>
        </w:tc>
        <w:tc>
          <w:tcPr>
            <w:tcW w:w="1099"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杭州市数据资源局</w:t>
            </w:r>
          </w:p>
        </w:tc>
        <w:tc>
          <w:tcPr>
            <w:tcW w:w="1418" w:type="dxa"/>
            <w:vMerge w:val="restart"/>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基础信息上传服务；办结信息回传服务；大屏分析展示</w:t>
            </w:r>
          </w:p>
        </w:tc>
        <w:tc>
          <w:tcPr>
            <w:tcW w:w="1275" w:type="dxa"/>
            <w:vMerge w:val="restart"/>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api接口</w:t>
            </w:r>
          </w:p>
        </w:tc>
        <w:tc>
          <w:tcPr>
            <w:tcW w:w="993"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850"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每日</w:t>
            </w: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关联信访事项ID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概况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信访件状态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信访事项信访目的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是否公开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受理机构ID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匿名标志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联名信或集体访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越级标志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登记人ID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涉及人数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信访件ID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签名证书公钥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涉法涉诉标志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登记单位代码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问题属地名称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登记人姓名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限办时间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扬言标志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首次信访标志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积案标志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签名摘要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时间戳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是否依法分类处理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行业内容分类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责任单位评价状态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信访部门评价状态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涉及地区标志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是否保密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办理程序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信访人诉求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信访事项问题属地代码ID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相关附件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登记单位ID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登记部门ID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受信人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主信访人地址代码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本次主信访人ID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信访件编号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标题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省下发_信访人信息</w:t>
            </w:r>
          </w:p>
        </w:tc>
        <w:tc>
          <w:tcPr>
            <w:tcW w:w="1099"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杭州市数据资源局</w:t>
            </w:r>
          </w:p>
        </w:tc>
        <w:tc>
          <w:tcPr>
            <w:tcW w:w="1418" w:type="dxa"/>
            <w:vMerge w:val="restart"/>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基础信息上传服务</w:t>
            </w:r>
            <w:r>
              <w:rPr>
                <w:rFonts w:hint="eastAsia" w:ascii="宋体" w:hAnsi="宋体" w:cs="宋体"/>
                <w:color w:val="000000" w:themeColor="text1"/>
                <w:kern w:val="0"/>
                <w:szCs w:val="28"/>
                <w14:textFill>
                  <w14:solidFill>
                    <w14:schemeClr w14:val="tx1"/>
                  </w14:solidFill>
                </w14:textFill>
              </w:rPr>
              <w:br w:type="textWrapping"/>
            </w:r>
            <w:r>
              <w:rPr>
                <w:rFonts w:hint="eastAsia" w:ascii="宋体" w:hAnsi="宋体" w:cs="宋体"/>
                <w:color w:val="000000" w:themeColor="text1"/>
                <w:kern w:val="0"/>
                <w:szCs w:val="28"/>
                <w14:textFill>
                  <w14:solidFill>
                    <w14:schemeClr w14:val="tx1"/>
                  </w14:solidFill>
                </w14:textFill>
              </w:rPr>
              <w:t>办结信息回传服务</w:t>
            </w:r>
            <w:r>
              <w:rPr>
                <w:rFonts w:hint="eastAsia" w:ascii="宋体" w:hAnsi="宋体" w:cs="宋体"/>
                <w:color w:val="000000" w:themeColor="text1"/>
                <w:kern w:val="0"/>
                <w:szCs w:val="28"/>
                <w14:textFill>
                  <w14:solidFill>
                    <w14:schemeClr w14:val="tx1"/>
                  </w14:solidFill>
                </w14:textFill>
              </w:rPr>
              <w:br w:type="textWrapping"/>
            </w:r>
            <w:r>
              <w:rPr>
                <w:rFonts w:hint="eastAsia" w:ascii="宋体" w:hAnsi="宋体" w:cs="宋体"/>
                <w:color w:val="000000" w:themeColor="text1"/>
                <w:kern w:val="0"/>
                <w:szCs w:val="28"/>
                <w14:textFill>
                  <w14:solidFill>
                    <w14:schemeClr w14:val="tx1"/>
                  </w14:solidFill>
                </w14:textFill>
              </w:rPr>
              <w:t>大屏分析展示</w:t>
            </w:r>
          </w:p>
        </w:tc>
        <w:tc>
          <w:tcPr>
            <w:tcW w:w="1275" w:type="dxa"/>
            <w:vMerge w:val="restart"/>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api接口</w:t>
            </w:r>
          </w:p>
        </w:tc>
        <w:tc>
          <w:tcPr>
            <w:tcW w:w="993"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850"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每日</w:t>
            </w:r>
          </w:p>
        </w:tc>
        <w:tc>
          <w:tcPr>
            <w:tcW w:w="1982" w:type="dxa"/>
            <w:shd w:val="clear" w:color="auto" w:fill="auto"/>
            <w:vAlign w:val="bottom"/>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ID主键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信访人编号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出生日期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户口所在地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工作单位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电子邮件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常住地址代码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通讯地址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证件类型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民族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证件号码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户口所在地代码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地址代码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邮政编码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常住地址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政治身份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通讯地址代码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信访人国籍或港澳台居民身份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时间戳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签名摘要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签名证书公钥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排查标志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正常信访标志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非访标志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特殊人员标志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是否保密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最后一次重点人员的稳控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440"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省下发_信访件其他信息</w:t>
            </w:r>
          </w:p>
        </w:tc>
        <w:tc>
          <w:tcPr>
            <w:tcW w:w="1099"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杭州市数据资源局</w:t>
            </w:r>
          </w:p>
        </w:tc>
        <w:tc>
          <w:tcPr>
            <w:tcW w:w="1418" w:type="dxa"/>
            <w:vMerge w:val="restart"/>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基础信息上传服务</w:t>
            </w:r>
            <w:r>
              <w:rPr>
                <w:rFonts w:hint="eastAsia" w:ascii="宋体" w:hAnsi="宋体" w:cs="宋体"/>
                <w:color w:val="000000" w:themeColor="text1"/>
                <w:kern w:val="0"/>
                <w:szCs w:val="28"/>
                <w14:textFill>
                  <w14:solidFill>
                    <w14:schemeClr w14:val="tx1"/>
                  </w14:solidFill>
                </w14:textFill>
              </w:rPr>
              <w:br w:type="textWrapping"/>
            </w:r>
            <w:r>
              <w:rPr>
                <w:rFonts w:hint="eastAsia" w:ascii="宋体" w:hAnsi="宋体" w:cs="宋体"/>
                <w:color w:val="000000" w:themeColor="text1"/>
                <w:kern w:val="0"/>
                <w:szCs w:val="28"/>
                <w14:textFill>
                  <w14:solidFill>
                    <w14:schemeClr w14:val="tx1"/>
                  </w14:solidFill>
                </w14:textFill>
              </w:rPr>
              <w:t>办结信息回传服务</w:t>
            </w:r>
            <w:r>
              <w:rPr>
                <w:rFonts w:hint="eastAsia" w:ascii="宋体" w:hAnsi="宋体" w:cs="宋体"/>
                <w:color w:val="000000" w:themeColor="text1"/>
                <w:kern w:val="0"/>
                <w:szCs w:val="28"/>
                <w14:textFill>
                  <w14:solidFill>
                    <w14:schemeClr w14:val="tx1"/>
                  </w14:solidFill>
                </w14:textFill>
              </w:rPr>
              <w:br w:type="textWrapping"/>
            </w:r>
            <w:r>
              <w:rPr>
                <w:rFonts w:hint="eastAsia" w:ascii="宋体" w:hAnsi="宋体" w:cs="宋体"/>
                <w:color w:val="000000" w:themeColor="text1"/>
                <w:kern w:val="0"/>
                <w:szCs w:val="28"/>
                <w14:textFill>
                  <w14:solidFill>
                    <w14:schemeClr w14:val="tx1"/>
                  </w14:solidFill>
                </w14:textFill>
              </w:rPr>
              <w:t>大屏分析展示</w:t>
            </w:r>
          </w:p>
        </w:tc>
        <w:tc>
          <w:tcPr>
            <w:tcW w:w="1275" w:type="dxa"/>
            <w:vMerge w:val="restart"/>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api接口</w:t>
            </w:r>
          </w:p>
        </w:tc>
        <w:tc>
          <w:tcPr>
            <w:tcW w:w="993"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850" w:type="dxa"/>
            <w:vMerge w:val="restart"/>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每日</w:t>
            </w: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信访件id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内容分类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签名摘要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签名证书公钥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签名值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时间戳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4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099"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418"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75"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850" w:type="dxa"/>
            <w:vMerge w:val="continue"/>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982" w:type="dxa"/>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数据来源</w:t>
            </w:r>
          </w:p>
        </w:tc>
      </w:tr>
    </w:tbl>
    <w:p>
      <w:pPr>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p>
    <w:p>
      <w:pPr>
        <w:pStyle w:val="2"/>
        <w:rPr>
          <w:rFonts w:ascii="宋体" w:hAnsi="宋体"/>
          <w:color w:val="000000" w:themeColor="text1"/>
          <w:sz w:val="30"/>
          <w:szCs w:val="30"/>
          <w14:textFill>
            <w14:solidFill>
              <w14:schemeClr w14:val="tx1"/>
            </w14:solidFill>
          </w14:textFill>
        </w:rPr>
      </w:pPr>
      <w:bookmarkStart w:id="254" w:name="_Toc118808254"/>
      <w:r>
        <w:rPr>
          <w:rFonts w:hint="eastAsia" w:ascii="宋体" w:hAnsi="宋体"/>
          <w:color w:val="000000" w:themeColor="text1"/>
          <w:sz w:val="30"/>
          <w:szCs w:val="30"/>
          <w14:textFill>
            <w14:solidFill>
              <w14:schemeClr w14:val="tx1"/>
            </w14:solidFill>
          </w14:textFill>
        </w:rPr>
        <w:t>数据库设计</w:t>
      </w:r>
      <w:bookmarkEnd w:id="254"/>
    </w:p>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基础数据信息清单</w:t>
      </w:r>
    </w:p>
    <w:tbl>
      <w:tblPr>
        <w:tblStyle w:val="38"/>
        <w:tblW w:w="104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96"/>
        <w:gridCol w:w="1336"/>
        <w:gridCol w:w="980"/>
        <w:gridCol w:w="5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hint="eastAsia" w:cs="Arial" w:asciiTheme="minorEastAsia" w:hAnsiTheme="minorEastAsia" w:eastAsiaTheme="minorEastAsia"/>
                <w:color w:val="000000" w:themeColor="text1"/>
                <w:kern w:val="0"/>
                <w:szCs w:val="28"/>
                <w14:textFill>
                  <w14:solidFill>
                    <w14:schemeClr w14:val="tx1"/>
                  </w14:solidFill>
                </w14:textFill>
              </w:rPr>
              <w:t>字段名</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hint="eastAsia" w:cs="Arial" w:asciiTheme="minorEastAsia" w:hAnsiTheme="minorEastAsia" w:eastAsiaTheme="minorEastAsia"/>
                <w:color w:val="000000" w:themeColor="text1"/>
                <w:kern w:val="0"/>
                <w:szCs w:val="28"/>
                <w14:textFill>
                  <w14:solidFill>
                    <w14:schemeClr w14:val="tx1"/>
                  </w14:solidFill>
                </w14:textFill>
              </w:rPr>
              <w:t>字段类型</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hint="eastAsia" w:cs="Arial" w:asciiTheme="minorEastAsia" w:hAnsiTheme="minorEastAsia" w:eastAsiaTheme="minorEastAsia"/>
                <w:color w:val="000000" w:themeColor="text1"/>
                <w:kern w:val="0"/>
                <w:szCs w:val="28"/>
                <w14:textFill>
                  <w14:solidFill>
                    <w14:schemeClr w14:val="tx1"/>
                  </w14:solidFill>
                </w14:textFill>
              </w:rPr>
              <w:t>字段长度</w:t>
            </w:r>
          </w:p>
        </w:tc>
        <w:tc>
          <w:tcPr>
            <w:tcW w:w="5881"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hint="eastAsia" w:cs="Arial" w:asciiTheme="minorEastAsia" w:hAnsiTheme="minorEastAsia" w:eastAsiaTheme="minorEastAsia"/>
                <w:color w:val="000000" w:themeColor="text1"/>
                <w:kern w:val="0"/>
                <w:szCs w:val="28"/>
                <w14:textFill>
                  <w14:solidFill>
                    <w14:schemeClr w14:val="tx1"/>
                  </w14:solidFill>
                </w14:textFill>
              </w:rPr>
              <w:t>注释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business_id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int</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主键id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business_no</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业务编号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province_no</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省局编号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contact_no</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caller_name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40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反映人姓名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sex</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性别（0女、1男）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idcard_no</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身份证号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address_id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发生地ID（PUBLIC_ADDRESS.ADDRESS_ID）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address_name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200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发生地名称（PUBLIC_ADDRESS.ADDRESS_NAME）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detail_address</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详细发生地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contentsort_id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内容分类ID（PUBLIC_CONTENTSORT.CONTENTSORT_ID）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contentsort_name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200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内容分类名称（PUBLIC_CONTENTSORT.CONTENTSORT_NAME）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purpose_code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目的编码（SYS_DICT.DICT_CODE）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purpose_name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目的名称（SYS_DICT.DICT_DESC）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is_threaten</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是否扬言（0否、1是）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is_secret</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是否保密（0否、1是）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emergency_degree_code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紧急程度编码（SYS_DICT.DICT_CODE）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emergency_degree_name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紧急程度名称（SYS_DICT.DICT_DESC）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reflect_time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datetime</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反映日期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deadline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datetime</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截止日期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reflect_content</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4000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反映内容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simple_content</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4000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简单内容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remarks</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4000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source_channel</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来源途径（1.我要问，2我要帮，3我要报）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response_way</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答复方式（0直接答复、1网络交办、2暂存）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handling_state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处理状态（0暂存、1处理中、2已办结)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handler_id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处理人ID（SYS_USER.USER_ID）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handler_code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20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处理人账号（SYS_USER.USER_CODE）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handler_name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40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处理人姓名（SYS_USER.USER_NAME）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dept_id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登记部门ID（SYS_DEPT.DEPT_ID）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dept_name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200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登记部门名称（SYS_DEPT.DEPT_NAME）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register_time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datetime</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登记日期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is_invalid_tel</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是否无效件（0有效、1无效）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source_id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来源ID，用于其他系统导入该表保存原始主键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quality_inspect_state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质检状态（0未质检、1质检中、2质检完成、3质检复核中、4质检复核完成）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quality_inspect_result</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质检结果（通常为得分）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create_time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datetime</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创建时间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update_time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datetime</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修改时间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creator_id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创建人id（系统预留字段）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updator_id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修改人员id（系统预留字段）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tag_state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状态（1:正常；0：删除)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data_sync_state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数据同步状态（0：未交互1：已交互2：交互成功9：交互失败）（系统预留字段）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accept_user_id</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32</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受理人id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accept_user_code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64</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受理人code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accept_user_name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64</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受理人姓名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last_evaluate_state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最终评价满意度，0：未评价，1：满意,2一般，3不满意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visit_state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是否已回访（1未回访，2已回访）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is_excellent</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是否优秀办件（0：否，1：是）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reacted_object</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100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被反应对象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longitude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latitude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50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last_evaluate_time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datetime</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最终评价时间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delivery_unit_state</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int</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11</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下派单位，即下派不走码上办流程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0表示不下派，走系统流程</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p>
        </w:tc>
        <w:tc>
          <w:tcPr>
            <w:tcW w:w="980" w:type="dxa"/>
            <w:shd w:val="clear" w:color="auto" w:fill="auto"/>
            <w:noWrap/>
            <w:vAlign w:val="center"/>
          </w:tcPr>
          <w:p>
            <w:pPr>
              <w:widowControl/>
              <w:spacing w:line="240" w:lineRule="auto"/>
              <w:jc w:val="center"/>
              <w:rPr>
                <w:rFonts w:asciiTheme="minorEastAsia" w:hAnsiTheme="minorEastAsia" w:eastAsiaTheme="minorEastAsia"/>
                <w:color w:val="000000" w:themeColor="text1"/>
                <w:kern w:val="0"/>
                <w:szCs w:val="28"/>
                <w14:textFill>
                  <w14:solidFill>
                    <w14:schemeClr w14:val="tx1"/>
                  </w14:solidFill>
                </w14:textFill>
              </w:rPr>
            </w:pPr>
          </w:p>
        </w:tc>
        <w:tc>
          <w:tcPr>
            <w:tcW w:w="5881" w:type="dxa"/>
            <w:shd w:val="clear" w:color="auto" w:fill="auto"/>
            <w:noWrap/>
            <w:vAlign w:val="bottom"/>
          </w:tcPr>
          <w:p>
            <w:pPr>
              <w:widowControl/>
              <w:spacing w:line="240" w:lineRule="auto"/>
              <w:jc w:val="left"/>
              <w:rPr>
                <w:rFonts w:asciiTheme="minorEastAsia" w:hAnsiTheme="minorEastAsia" w:eastAsiaTheme="minorEastAsia"/>
                <w:color w:val="000000" w:themeColor="text1"/>
                <w:kern w:val="0"/>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1表示下派瓜沥镇</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p>
        </w:tc>
        <w:tc>
          <w:tcPr>
            <w:tcW w:w="980" w:type="dxa"/>
            <w:shd w:val="clear" w:color="auto" w:fill="auto"/>
            <w:noWrap/>
            <w:vAlign w:val="center"/>
          </w:tcPr>
          <w:p>
            <w:pPr>
              <w:widowControl/>
              <w:spacing w:line="240" w:lineRule="auto"/>
              <w:jc w:val="center"/>
              <w:rPr>
                <w:rFonts w:asciiTheme="minorEastAsia" w:hAnsiTheme="minorEastAsia" w:eastAsiaTheme="minorEastAsia"/>
                <w:color w:val="000000" w:themeColor="text1"/>
                <w:kern w:val="0"/>
                <w:szCs w:val="28"/>
                <w14:textFill>
                  <w14:solidFill>
                    <w14:schemeClr w14:val="tx1"/>
                  </w14:solidFill>
                </w14:textFill>
              </w:rPr>
            </w:pPr>
          </w:p>
        </w:tc>
        <w:tc>
          <w:tcPr>
            <w:tcW w:w="5881" w:type="dxa"/>
            <w:shd w:val="clear" w:color="auto" w:fill="auto"/>
            <w:noWrap/>
            <w:vAlign w:val="bottom"/>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FALSE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4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img_url</w:t>
            </w:r>
          </w:p>
        </w:tc>
        <w:tc>
          <w:tcPr>
            <w:tcW w:w="984"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varchar</w:t>
            </w:r>
          </w:p>
        </w:tc>
        <w:tc>
          <w:tcPr>
            <w:tcW w:w="980" w:type="dxa"/>
            <w:shd w:val="clear" w:color="auto" w:fill="auto"/>
            <w:noWrap/>
            <w:vAlign w:val="center"/>
          </w:tcPr>
          <w:p>
            <w:pPr>
              <w:widowControl/>
              <w:spacing w:line="240" w:lineRule="auto"/>
              <w:jc w:val="center"/>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255</w:t>
            </w:r>
          </w:p>
        </w:tc>
        <w:tc>
          <w:tcPr>
            <w:tcW w:w="5881" w:type="dxa"/>
            <w:shd w:val="clear" w:color="auto" w:fill="auto"/>
            <w:noWrap/>
            <w:vAlign w:val="bottom"/>
          </w:tcPr>
          <w:p>
            <w:pPr>
              <w:widowControl/>
              <w:spacing w:line="240" w:lineRule="auto"/>
              <w:jc w:val="left"/>
              <w:rPr>
                <w:rFonts w:cs="Arial" w:asciiTheme="minorEastAsia" w:hAnsiTheme="minorEastAsia" w:eastAsiaTheme="minorEastAsia"/>
                <w:color w:val="000000" w:themeColor="text1"/>
                <w:kern w:val="0"/>
                <w:szCs w:val="28"/>
                <w14:textFill>
                  <w14:solidFill>
                    <w14:schemeClr w14:val="tx1"/>
                  </w14:solidFill>
                </w14:textFill>
              </w:rPr>
            </w:pPr>
            <w:r>
              <w:rPr>
                <w:rFonts w:cs="Arial" w:asciiTheme="minorEastAsia" w:hAnsiTheme="minorEastAsia" w:eastAsiaTheme="minorEastAsia"/>
                <w:color w:val="000000" w:themeColor="text1"/>
                <w:kern w:val="0"/>
                <w:szCs w:val="28"/>
                <w14:textFill>
                  <w14:solidFill>
                    <w14:schemeClr w14:val="tx1"/>
                  </w14:solidFill>
                </w14:textFill>
              </w:rPr>
              <w:t>图片相关信息</w:t>
            </w:r>
          </w:p>
        </w:tc>
      </w:tr>
    </w:tbl>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办结数据信息清单</w:t>
      </w:r>
    </w:p>
    <w:tbl>
      <w:tblPr>
        <w:tblStyle w:val="38"/>
        <w:tblW w:w="10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7"/>
        <w:gridCol w:w="1290"/>
        <w:gridCol w:w="980"/>
        <w:gridCol w:w="6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字段名</w:t>
            </w:r>
          </w:p>
        </w:tc>
        <w:tc>
          <w:tcPr>
            <w:tcW w:w="984"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w:t>
            </w:r>
          </w:p>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类型</w:t>
            </w:r>
          </w:p>
        </w:tc>
        <w:tc>
          <w:tcPr>
            <w:tcW w:w="980"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字段长度</w:t>
            </w:r>
          </w:p>
        </w:tc>
        <w:tc>
          <w:tcPr>
            <w:tcW w:w="6083"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注释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completion_id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int</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11</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办结主键id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business_id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业务主键ID（BUSINESS_BASICINFO.BUSINESS_ID）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completer_id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办结人id（sys_user.user_id）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completer_code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办结人账号（sys_user.user_code）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completer_name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40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办结人姓名（sys_user.user_name）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completion_dept_id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办结部门id（sys_dept.dept_id）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completion_dept_name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办结部门名称（sys_dept.dept_name）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completion_time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completion_content</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4000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办结内容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create_time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创建时间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update_time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0</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更新时间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creator_id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创建人ID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updator_id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修改人员ID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tag_state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状态（1:正常；0：删除）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data_sync_state</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数据同步状态（0：未交互1：已交互2：交互成功9：交互失败）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is_sms_remind</w:t>
            </w:r>
          </w:p>
        </w:tc>
        <w:tc>
          <w:tcPr>
            <w:tcW w:w="98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98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608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是否短信提醒（0否，1是）</w:t>
            </w:r>
          </w:p>
        </w:tc>
      </w:tr>
    </w:tbl>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评价数据信息清单</w:t>
      </w:r>
    </w:p>
    <w:tbl>
      <w:tblPr>
        <w:tblStyle w:val="38"/>
        <w:tblW w:w="103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9"/>
        <w:gridCol w:w="1474"/>
        <w:gridCol w:w="1417"/>
        <w:gridCol w:w="5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字段名</w:t>
            </w:r>
          </w:p>
        </w:tc>
        <w:tc>
          <w:tcPr>
            <w:tcW w:w="1474"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字段类型</w:t>
            </w:r>
          </w:p>
        </w:tc>
        <w:tc>
          <w:tcPr>
            <w:tcW w:w="1417"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字段长度</w:t>
            </w:r>
          </w:p>
        </w:tc>
        <w:tc>
          <w:tcPr>
            <w:tcW w:w="5073"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注释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id</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int</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11</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主键id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business_id</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评价人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evaluate_name</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128</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评价人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evaluate_phone</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64</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评价人电话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evaluate_time</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0</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评价时间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evaluate_content</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3000</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评价内容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evaluate_state</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评价状态（0：未评价，1：满意,2一般，3不满意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49"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tag_state</w:t>
            </w:r>
          </w:p>
        </w:tc>
        <w:tc>
          <w:tcPr>
            <w:tcW w:w="1474"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5073"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状态（1:正常；0：删除）</w:t>
            </w:r>
          </w:p>
        </w:tc>
      </w:tr>
    </w:tbl>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部门数据信息清单</w:t>
      </w:r>
    </w:p>
    <w:tbl>
      <w:tblPr>
        <w:tblStyle w:val="38"/>
        <w:tblW w:w="75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6"/>
        <w:gridCol w:w="1427"/>
        <w:gridCol w:w="1417"/>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字段名</w:t>
            </w:r>
          </w:p>
        </w:tc>
        <w:tc>
          <w:tcPr>
            <w:tcW w:w="1427"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字段类型</w:t>
            </w:r>
          </w:p>
        </w:tc>
        <w:tc>
          <w:tcPr>
            <w:tcW w:w="1417"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字段长度</w:t>
            </w:r>
          </w:p>
        </w:tc>
        <w:tc>
          <w:tcPr>
            <w:tcW w:w="2268"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dept_id</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部门id(主键)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dept_name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50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部门简称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dept_full_name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部门全称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dept_parent_id</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上级部门id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dept_desc</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unit_code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机构编码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postcode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邮政编码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dept_tel</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dept_addr</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dept_email</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dept_head</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部门主管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dept_head_name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部门主管姓名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update_time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更新时间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dept_order</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decimal</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65</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排序号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dept_state</w:t>
            </w:r>
          </w:p>
        </w:tc>
        <w:tc>
          <w:tcPr>
            <w:tcW w:w="1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char</w:t>
            </w:r>
          </w:p>
        </w:tc>
        <w:tc>
          <w:tcPr>
            <w:tcW w:w="1417"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2268"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部门状态（y：有效</w:t>
            </w:r>
          </w:p>
        </w:tc>
      </w:tr>
    </w:tbl>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用户数据信息清单</w:t>
      </w:r>
    </w:p>
    <w:tbl>
      <w:tblPr>
        <w:tblStyle w:val="38"/>
        <w:tblW w:w="89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7"/>
        <w:gridCol w:w="1537"/>
        <w:gridCol w:w="1560"/>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字段名</w:t>
            </w:r>
          </w:p>
        </w:tc>
        <w:tc>
          <w:tcPr>
            <w:tcW w:w="1537"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字段类型</w:t>
            </w:r>
          </w:p>
        </w:tc>
        <w:tc>
          <w:tcPr>
            <w:tcW w:w="1560"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字段长度</w:t>
            </w:r>
          </w:p>
        </w:tc>
        <w:tc>
          <w:tcPr>
            <w:tcW w:w="3402" w:type="dxa"/>
            <w:shd w:val="clear" w:color="auto" w:fill="auto"/>
            <w:noWrap/>
            <w:vAlign w:val="bottom"/>
          </w:tcPr>
          <w:p>
            <w:pPr>
              <w:widowControl/>
              <w:spacing w:line="240" w:lineRule="auto"/>
              <w:jc w:val="center"/>
              <w:rPr>
                <w:rFonts w:ascii="宋体" w:hAnsi="宋体" w:cs="Arial"/>
                <w:color w:val="000000" w:themeColor="text1"/>
                <w:kern w:val="0"/>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user_id</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用户id(主键)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user_code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user_pwd</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密码(非对称保密存储)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user_name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40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user_gender</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性别(1：男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user_order</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decimal</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65</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排序号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user_mobile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15</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user_tel</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user_birthday</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出生年月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user_icid</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18</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身份证号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user_avatar</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用户头像  (对象存储:头像oid信息)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user_addr</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user_email</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leader</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上级领导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leader_name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上级领导姓名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dept_id</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32</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部门id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pwd_update_time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密码修改时间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update_time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更新时间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user_valid</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用户有效性(1：正常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user_state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用户状态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42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data_sync_state</w:t>
            </w:r>
          </w:p>
        </w:tc>
        <w:tc>
          <w:tcPr>
            <w:tcW w:w="1537"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char</w:t>
            </w:r>
          </w:p>
        </w:tc>
        <w:tc>
          <w:tcPr>
            <w:tcW w:w="1560" w:type="dxa"/>
            <w:shd w:val="clear" w:color="auto" w:fill="auto"/>
            <w:noWrap/>
            <w:vAlign w:val="bottom"/>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3402" w:type="dxa"/>
            <w:shd w:val="clear" w:color="auto" w:fill="auto"/>
            <w:noWrap/>
            <w:vAlign w:val="bottom"/>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数据同步状态</w:t>
            </w:r>
          </w:p>
        </w:tc>
      </w:tr>
    </w:tbl>
    <w:p>
      <w:pPr>
        <w:pStyle w:val="6"/>
        <w:tabs>
          <w:tab w:val="clear" w:pos="0"/>
        </w:tabs>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编码字典清单</w:t>
      </w:r>
    </w:p>
    <w:tbl>
      <w:tblPr>
        <w:tblStyle w:val="38"/>
        <w:tblW w:w="95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4"/>
        <w:gridCol w:w="1492"/>
        <w:gridCol w:w="1418"/>
        <w:gridCol w:w="4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字段名</w:t>
            </w:r>
          </w:p>
        </w:tc>
        <w:tc>
          <w:tcPr>
            <w:tcW w:w="1492"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字段类型</w:t>
            </w:r>
          </w:p>
        </w:tc>
        <w:tc>
          <w:tcPr>
            <w:tcW w:w="1418"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字段长度</w:t>
            </w:r>
          </w:p>
        </w:tc>
        <w:tc>
          <w:tcPr>
            <w:tcW w:w="4050" w:type="dxa"/>
            <w:shd w:val="clear" w:color="auto" w:fill="auto"/>
            <w:noWrap/>
            <w:vAlign w:val="center"/>
          </w:tcPr>
          <w:p>
            <w:pPr>
              <w:widowControl/>
              <w:spacing w:line="240" w:lineRule="auto"/>
              <w:jc w:val="center"/>
              <w:rPr>
                <w:rFonts w:ascii="宋体" w:hAnsi="宋体" w:cs="Arial"/>
                <w:color w:val="000000" w:themeColor="text1"/>
                <w:kern w:val="0"/>
                <w:szCs w:val="28"/>
                <w14:textFill>
                  <w14:solidFill>
                    <w14:schemeClr w14:val="tx1"/>
                  </w14:solidFill>
                </w14:textFill>
              </w:rPr>
            </w:pPr>
            <w:r>
              <w:rPr>
                <w:rFonts w:hint="eastAsia" w:ascii="宋体" w:hAnsi="宋体" w:cs="Arial"/>
                <w:color w:val="000000" w:themeColor="text1"/>
                <w:kern w:val="0"/>
                <w:szCs w:val="28"/>
                <w14:textFill>
                  <w14:solidFill>
                    <w14:schemeClr w14:val="tx1"/>
                  </w14:solidFill>
                </w14:textFill>
              </w:rPr>
              <w:t>注释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dict_id</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64</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主键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app_id</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唯一约束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dict_code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字典编码(同一数据类型下必须唯一，不允许设置为0，长度必须大于2位；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524" w:type="dxa"/>
            <w:gridSpan w:val="3"/>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同一app下子字典编码必须唯一，同一字典下子项编码必须唯一)</w:t>
            </w:r>
          </w:p>
        </w:tc>
        <w:tc>
          <w:tcPr>
            <w:tcW w:w="4050" w:type="dxa"/>
            <w:shd w:val="clear" w:color="auto" w:fill="auto"/>
            <w:noWrap/>
            <w:vAlign w:val="center"/>
          </w:tcPr>
          <w:p>
            <w:pPr>
              <w:widowControl/>
              <w:spacing w:line="240" w:lineRule="auto"/>
              <w:jc w:val="center"/>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FALSE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dict_type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数据类型(1：字典、2：子项)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dict_label</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64</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字典标签(给字典设置中文标签，便于后续筛选数据字典；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默认展示所有的字典；)</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p>
        </w:tc>
        <w:tc>
          <w:tcPr>
            <w:tcW w:w="1418" w:type="dxa"/>
            <w:shd w:val="clear" w:color="auto" w:fill="auto"/>
            <w:noWrap/>
            <w:vAlign w:val="center"/>
          </w:tcPr>
          <w:p>
            <w:pPr>
              <w:widowControl/>
              <w:spacing w:line="240" w:lineRule="auto"/>
              <w:jc w:val="left"/>
              <w:rPr>
                <w:rFonts w:eastAsia="Times New Roman"/>
                <w:color w:val="000000" w:themeColor="text1"/>
                <w:kern w:val="0"/>
                <w:szCs w:val="28"/>
                <w14:textFill>
                  <w14:solidFill>
                    <w14:schemeClr w14:val="tx1"/>
                  </w14:solidFill>
                </w14:textFill>
              </w:rPr>
            </w:pPr>
          </w:p>
        </w:tc>
        <w:tc>
          <w:tcPr>
            <w:tcW w:w="4050" w:type="dxa"/>
            <w:shd w:val="clear" w:color="auto" w:fill="auto"/>
            <w:noWrap/>
            <w:vAlign w:val="center"/>
          </w:tcPr>
          <w:p>
            <w:pPr>
              <w:widowControl/>
              <w:spacing w:line="240" w:lineRule="auto"/>
              <w:jc w:val="center"/>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FALSE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dict_parent_code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子项所属字典编码(如果是字典，默认为0)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dict_desc</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100</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字典、子项描述信息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dict_update_time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datetime</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更新时间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dict_updator</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64</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更新人id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dict_updator_name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200</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更新人姓名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dict_state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状态(1：正常，0：删除)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14"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data_sync_state</w:t>
            </w:r>
          </w:p>
        </w:tc>
        <w:tc>
          <w:tcPr>
            <w:tcW w:w="1492"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varchar</w:t>
            </w:r>
          </w:p>
        </w:tc>
        <w:tc>
          <w:tcPr>
            <w:tcW w:w="1418" w:type="dxa"/>
            <w:shd w:val="clear" w:color="auto" w:fill="auto"/>
            <w:noWrap/>
            <w:vAlign w:val="center"/>
          </w:tcPr>
          <w:p>
            <w:pPr>
              <w:widowControl/>
              <w:spacing w:line="240" w:lineRule="auto"/>
              <w:jc w:val="righ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1</w:t>
            </w:r>
          </w:p>
        </w:tc>
        <w:tc>
          <w:tcPr>
            <w:tcW w:w="4050" w:type="dxa"/>
            <w:shd w:val="clear" w:color="auto" w:fill="auto"/>
            <w:noWrap/>
            <w:vAlign w:val="center"/>
          </w:tcPr>
          <w:p>
            <w:pPr>
              <w:widowControl/>
              <w:spacing w:line="240" w:lineRule="auto"/>
              <w:jc w:val="left"/>
              <w:rPr>
                <w:rFonts w:ascii="Arial" w:hAnsi="Arial" w:cs="Arial"/>
                <w:color w:val="000000" w:themeColor="text1"/>
                <w:kern w:val="0"/>
                <w:szCs w:val="28"/>
                <w14:textFill>
                  <w14:solidFill>
                    <w14:schemeClr w14:val="tx1"/>
                  </w14:solidFill>
                </w14:textFill>
              </w:rPr>
            </w:pPr>
            <w:r>
              <w:rPr>
                <w:rFonts w:ascii="Arial" w:hAnsi="Arial" w:cs="Arial"/>
                <w:color w:val="000000" w:themeColor="text1"/>
                <w:kern w:val="0"/>
                <w:szCs w:val="28"/>
                <w14:textFill>
                  <w14:solidFill>
                    <w14:schemeClr w14:val="tx1"/>
                  </w14:solidFill>
                </w14:textFill>
              </w:rPr>
              <w:t>数据同步状态0：未交互，1 ：已交互，2： 交互成功，9：交互失败)</w:t>
            </w:r>
          </w:p>
        </w:tc>
      </w:tr>
    </w:tbl>
    <w:p>
      <w:pPr>
        <w:pStyle w:val="2"/>
        <w:rPr>
          <w:color w:val="000000" w:themeColor="text1"/>
          <w14:textFill>
            <w14:solidFill>
              <w14:schemeClr w14:val="tx1"/>
            </w14:solidFill>
          </w14:textFill>
        </w:rPr>
      </w:pPr>
      <w:bookmarkStart w:id="255" w:name="_Toc118808255"/>
      <w:r>
        <w:rPr>
          <w:rFonts w:hint="eastAsia"/>
          <w:color w:val="000000" w:themeColor="text1"/>
          <w14:textFill>
            <w14:solidFill>
              <w14:schemeClr w14:val="tx1"/>
            </w14:solidFill>
          </w14:textFill>
        </w:rPr>
        <w:t>数据归集清单</w:t>
      </w:r>
      <w:bookmarkEnd w:id="255"/>
    </w:p>
    <w:p>
      <w:pPr>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以下数据归集清单为建成后计划编目的数据清单。</w:t>
      </w:r>
    </w:p>
    <w:tbl>
      <w:tblPr>
        <w:tblStyle w:val="38"/>
        <w:tblW w:w="9820" w:type="dxa"/>
        <w:jc w:val="center"/>
        <w:tblLayout w:type="autofit"/>
        <w:tblCellMar>
          <w:top w:w="0" w:type="dxa"/>
          <w:left w:w="108" w:type="dxa"/>
          <w:bottom w:w="0" w:type="dxa"/>
          <w:right w:w="108" w:type="dxa"/>
        </w:tblCellMar>
      </w:tblPr>
      <w:tblGrid>
        <w:gridCol w:w="2440"/>
        <w:gridCol w:w="1241"/>
        <w:gridCol w:w="992"/>
        <w:gridCol w:w="992"/>
        <w:gridCol w:w="993"/>
        <w:gridCol w:w="3162"/>
      </w:tblGrid>
      <w:tr>
        <w:tblPrEx>
          <w:tblCellMar>
            <w:top w:w="0" w:type="dxa"/>
            <w:left w:w="108" w:type="dxa"/>
            <w:bottom w:w="0" w:type="dxa"/>
            <w:right w:w="108" w:type="dxa"/>
          </w:tblCellMar>
        </w:tblPrEx>
        <w:trPr>
          <w:trHeight w:val="540" w:hRule="atLeast"/>
          <w:jc w:val="center"/>
        </w:trPr>
        <w:tc>
          <w:tcPr>
            <w:tcW w:w="2440"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 xml:space="preserve">       具体信息数据资源名称</w:t>
            </w:r>
          </w:p>
        </w:tc>
        <w:tc>
          <w:tcPr>
            <w:tcW w:w="1241" w:type="dxa"/>
            <w:tcBorders>
              <w:top w:val="single" w:color="000000" w:sz="4" w:space="0"/>
              <w:left w:val="nil"/>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数据单位</w:t>
            </w:r>
          </w:p>
        </w:tc>
        <w:tc>
          <w:tcPr>
            <w:tcW w:w="992" w:type="dxa"/>
            <w:tcBorders>
              <w:top w:val="single" w:color="000000" w:sz="4" w:space="0"/>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共享方式</w:t>
            </w:r>
          </w:p>
        </w:tc>
        <w:tc>
          <w:tcPr>
            <w:tcW w:w="992" w:type="dxa"/>
            <w:tcBorders>
              <w:top w:val="single" w:color="000000" w:sz="4" w:space="0"/>
              <w:left w:val="nil"/>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共享类型</w:t>
            </w:r>
          </w:p>
        </w:tc>
        <w:tc>
          <w:tcPr>
            <w:tcW w:w="993" w:type="dxa"/>
            <w:tcBorders>
              <w:top w:val="single" w:color="000000" w:sz="4" w:space="0"/>
              <w:left w:val="nil"/>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更新频率</w:t>
            </w:r>
          </w:p>
        </w:tc>
        <w:tc>
          <w:tcPr>
            <w:tcW w:w="3162" w:type="dxa"/>
            <w:tcBorders>
              <w:top w:val="single" w:color="000000" w:sz="4" w:space="0"/>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所需数据项</w:t>
            </w:r>
          </w:p>
        </w:tc>
      </w:tr>
      <w:tr>
        <w:tblPrEx>
          <w:tblCellMar>
            <w:top w:w="0" w:type="dxa"/>
            <w:left w:w="108" w:type="dxa"/>
            <w:bottom w:w="0" w:type="dxa"/>
            <w:right w:w="108" w:type="dxa"/>
          </w:tblCellMar>
        </w:tblPrEx>
        <w:trPr>
          <w:trHeight w:val="315" w:hRule="atLeast"/>
          <w:jc w:val="center"/>
        </w:trPr>
        <w:tc>
          <w:tcPr>
            <w:tcW w:w="2440"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基础数据信息</w:t>
            </w:r>
          </w:p>
        </w:tc>
        <w:tc>
          <w:tcPr>
            <w:tcW w:w="1241"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萧山区信访局</w:t>
            </w:r>
          </w:p>
        </w:tc>
        <w:tc>
          <w:tcPr>
            <w:tcW w:w="992"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批量数据</w:t>
            </w:r>
          </w:p>
        </w:tc>
        <w:tc>
          <w:tcPr>
            <w:tcW w:w="992"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993"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半小时</w:t>
            </w: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主键id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业务编号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省局编号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联系电话</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反映人姓名</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性别（0女、1男）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身份证号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发生地ID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发生地名称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详细发生地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内容分类ID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内容分类名称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目的编码</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目的名称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是否扬言（0否、1是）</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是否保密（0否、1是）</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紧急程度编码</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紧急程度名称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反映日期</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截止日期</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反映内容</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简单内容</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备注</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来源途径（1.我要问，2我要帮，3我要报）</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答复方式（0直接答复、1网络交办、2暂存）</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处理状态（0暂存、1处理中、2已办结)</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处理人ID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处理人账号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处理人姓名</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登记部门ID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登记部门名称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登记日期</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是否无效件（0有效、1无效）</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来源ID，用于其他系统导入该表保存原始主键</w:t>
            </w:r>
          </w:p>
        </w:tc>
      </w:tr>
      <w:tr>
        <w:tblPrEx>
          <w:tblCellMar>
            <w:top w:w="0" w:type="dxa"/>
            <w:left w:w="108" w:type="dxa"/>
            <w:bottom w:w="0" w:type="dxa"/>
            <w:right w:w="108" w:type="dxa"/>
          </w:tblCellMar>
        </w:tblPrEx>
        <w:trPr>
          <w:trHeight w:val="81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质检状态（0未质检、1质检中、2质检完成、3质检复核中、4质检复核完成）</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质检结果（通常为得分）</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创建时间</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修改时间</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创建人id（系统预留字段）</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修改人员id（系统预留字段）</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状态（1:正常；0：删除)</w:t>
            </w:r>
          </w:p>
        </w:tc>
      </w:tr>
      <w:tr>
        <w:tblPrEx>
          <w:tblCellMar>
            <w:top w:w="0" w:type="dxa"/>
            <w:left w:w="108" w:type="dxa"/>
            <w:bottom w:w="0" w:type="dxa"/>
            <w:right w:w="108" w:type="dxa"/>
          </w:tblCellMar>
        </w:tblPrEx>
        <w:trPr>
          <w:trHeight w:val="108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数据同步状态（0：未交互1：已交互2：交互成功9：交互失败）（系统预留字段）</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受理人id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受理人code</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受理人姓名</w:t>
            </w:r>
          </w:p>
        </w:tc>
      </w:tr>
      <w:tr>
        <w:tblPrEx>
          <w:tblCellMar>
            <w:top w:w="0" w:type="dxa"/>
            <w:left w:w="108" w:type="dxa"/>
            <w:bottom w:w="0" w:type="dxa"/>
            <w:right w:w="108" w:type="dxa"/>
          </w:tblCellMar>
        </w:tblPrEx>
        <w:trPr>
          <w:trHeight w:val="81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最终评价满意度，0：未评价，1：满意,2一般，3不满意</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是否已回访（1未回访，2已回访）</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是否优秀办件（0：否，1：是）</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被反应对象</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经度</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纬度</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最终评价时间</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下派单位，即下派不走码上办流程</w:t>
            </w:r>
          </w:p>
        </w:tc>
      </w:tr>
      <w:tr>
        <w:tblPrEx>
          <w:tblCellMar>
            <w:top w:w="0" w:type="dxa"/>
            <w:left w:w="108" w:type="dxa"/>
            <w:bottom w:w="0" w:type="dxa"/>
            <w:right w:w="108" w:type="dxa"/>
          </w:tblCellMar>
        </w:tblPrEx>
        <w:trPr>
          <w:trHeight w:val="285" w:hRule="atLeast"/>
          <w:jc w:val="center"/>
        </w:trPr>
        <w:tc>
          <w:tcPr>
            <w:tcW w:w="2440"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办结数据信息</w:t>
            </w:r>
          </w:p>
        </w:tc>
        <w:tc>
          <w:tcPr>
            <w:tcW w:w="1241"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萧山区信访局</w:t>
            </w:r>
          </w:p>
        </w:tc>
        <w:tc>
          <w:tcPr>
            <w:tcW w:w="992"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批量数据</w:t>
            </w:r>
          </w:p>
        </w:tc>
        <w:tc>
          <w:tcPr>
            <w:tcW w:w="992"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993"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半小时</w:t>
            </w: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办结主键id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业务主键ID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办结人id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办结人账号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办结人姓名</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办结部门id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办结部门名称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办结时间</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办结内容</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创建时间</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更新时间</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创建人ID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修改人员ID</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状态（1:正常；0：删除）</w:t>
            </w:r>
          </w:p>
        </w:tc>
      </w:tr>
      <w:tr>
        <w:tblPrEx>
          <w:tblCellMar>
            <w:top w:w="0" w:type="dxa"/>
            <w:left w:w="108" w:type="dxa"/>
            <w:bottom w:w="0" w:type="dxa"/>
            <w:right w:w="108" w:type="dxa"/>
          </w:tblCellMar>
        </w:tblPrEx>
        <w:trPr>
          <w:trHeight w:val="81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数据同步状态（0：未交互1：已交互2：交互成功9：交互失败）</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是否短信提醒（0否，1是）</w:t>
            </w:r>
          </w:p>
        </w:tc>
      </w:tr>
      <w:tr>
        <w:tblPrEx>
          <w:tblCellMar>
            <w:top w:w="0" w:type="dxa"/>
            <w:left w:w="108" w:type="dxa"/>
            <w:bottom w:w="0" w:type="dxa"/>
            <w:right w:w="108" w:type="dxa"/>
          </w:tblCellMar>
        </w:tblPrEx>
        <w:trPr>
          <w:trHeight w:val="285" w:hRule="atLeast"/>
          <w:jc w:val="center"/>
        </w:trPr>
        <w:tc>
          <w:tcPr>
            <w:tcW w:w="2440"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评价数据信息</w:t>
            </w:r>
          </w:p>
        </w:tc>
        <w:tc>
          <w:tcPr>
            <w:tcW w:w="1241"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萧山区信访局</w:t>
            </w:r>
          </w:p>
        </w:tc>
        <w:tc>
          <w:tcPr>
            <w:tcW w:w="992"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批量数据</w:t>
            </w:r>
          </w:p>
        </w:tc>
        <w:tc>
          <w:tcPr>
            <w:tcW w:w="992"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993"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半小时</w:t>
            </w: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主键id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评价人</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评价人</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评价人电话</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评价时间</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评价内容</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评价状态（0：未评价，1：满意,2一般，3不满意</w:t>
            </w:r>
          </w:p>
        </w:tc>
      </w:tr>
      <w:tr>
        <w:tblPrEx>
          <w:tblCellMar>
            <w:top w:w="0" w:type="dxa"/>
            <w:left w:w="108" w:type="dxa"/>
            <w:bottom w:w="0" w:type="dxa"/>
            <w:right w:w="108" w:type="dxa"/>
          </w:tblCellMar>
        </w:tblPrEx>
        <w:trPr>
          <w:trHeight w:val="54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状态（1:正常；0：删除）</w:t>
            </w:r>
          </w:p>
        </w:tc>
      </w:tr>
      <w:tr>
        <w:tblPrEx>
          <w:tblCellMar>
            <w:top w:w="0" w:type="dxa"/>
            <w:left w:w="108" w:type="dxa"/>
            <w:bottom w:w="0" w:type="dxa"/>
            <w:right w:w="108" w:type="dxa"/>
          </w:tblCellMar>
        </w:tblPrEx>
        <w:trPr>
          <w:trHeight w:val="285" w:hRule="atLeast"/>
          <w:jc w:val="center"/>
        </w:trPr>
        <w:tc>
          <w:tcPr>
            <w:tcW w:w="2440"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部门数据信息</w:t>
            </w:r>
          </w:p>
        </w:tc>
        <w:tc>
          <w:tcPr>
            <w:tcW w:w="1241"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萧山区信访局</w:t>
            </w:r>
          </w:p>
        </w:tc>
        <w:tc>
          <w:tcPr>
            <w:tcW w:w="992"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批量数据</w:t>
            </w:r>
          </w:p>
        </w:tc>
        <w:tc>
          <w:tcPr>
            <w:tcW w:w="992"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993"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半小时</w:t>
            </w: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部门id(主键)</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部门简称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部门全称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上级部门id</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部门描述</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机构编码</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邮政编码</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联系电话</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部门地址</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部门邮箱</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部门主管</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部门主管姓名</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更新时间</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排序号</w:t>
            </w:r>
          </w:p>
        </w:tc>
      </w:tr>
      <w:tr>
        <w:tblPrEx>
          <w:tblCellMar>
            <w:top w:w="0" w:type="dxa"/>
            <w:left w:w="108" w:type="dxa"/>
            <w:bottom w:w="0" w:type="dxa"/>
            <w:right w:w="108" w:type="dxa"/>
          </w:tblCellMar>
        </w:tblPrEx>
        <w:trPr>
          <w:trHeight w:val="270"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部门状态（y：有效</w:t>
            </w:r>
          </w:p>
        </w:tc>
      </w:tr>
      <w:tr>
        <w:tblPrEx>
          <w:tblCellMar>
            <w:top w:w="0" w:type="dxa"/>
            <w:left w:w="108" w:type="dxa"/>
            <w:bottom w:w="0" w:type="dxa"/>
            <w:right w:w="108" w:type="dxa"/>
          </w:tblCellMar>
        </w:tblPrEx>
        <w:trPr>
          <w:trHeight w:val="285" w:hRule="atLeast"/>
          <w:jc w:val="center"/>
        </w:trPr>
        <w:tc>
          <w:tcPr>
            <w:tcW w:w="2440"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单位效能数据</w:t>
            </w:r>
          </w:p>
        </w:tc>
        <w:tc>
          <w:tcPr>
            <w:tcW w:w="1241"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萧山区信访局</w:t>
            </w:r>
          </w:p>
        </w:tc>
        <w:tc>
          <w:tcPr>
            <w:tcW w:w="992"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批量数据</w:t>
            </w:r>
          </w:p>
        </w:tc>
        <w:tc>
          <w:tcPr>
            <w:tcW w:w="992"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993"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半小时</w:t>
            </w: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单位承办量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办理满意率</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按期办结率</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重复交办率</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回访核实率</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平均办理时长</w:t>
            </w:r>
          </w:p>
        </w:tc>
      </w:tr>
      <w:tr>
        <w:tblPrEx>
          <w:tblCellMar>
            <w:top w:w="0" w:type="dxa"/>
            <w:left w:w="108" w:type="dxa"/>
            <w:bottom w:w="0" w:type="dxa"/>
            <w:right w:w="108" w:type="dxa"/>
          </w:tblCellMar>
        </w:tblPrEx>
        <w:trPr>
          <w:trHeight w:val="285" w:hRule="atLeast"/>
          <w:jc w:val="center"/>
        </w:trPr>
        <w:tc>
          <w:tcPr>
            <w:tcW w:w="2440"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预警监测数据</w:t>
            </w:r>
          </w:p>
        </w:tc>
        <w:tc>
          <w:tcPr>
            <w:tcW w:w="1241"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萧山区信访局</w:t>
            </w:r>
          </w:p>
        </w:tc>
        <w:tc>
          <w:tcPr>
            <w:tcW w:w="992"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批量数据</w:t>
            </w:r>
          </w:p>
        </w:tc>
        <w:tc>
          <w:tcPr>
            <w:tcW w:w="992"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受限共享</w:t>
            </w:r>
          </w:p>
        </w:tc>
        <w:tc>
          <w:tcPr>
            <w:tcW w:w="993" w:type="dxa"/>
            <w:vMerge w:val="restart"/>
            <w:tcBorders>
              <w:top w:val="nil"/>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半小时</w:t>
            </w: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扬言事件数量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特急事件数量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紧急事件数量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治安类事件数量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群体事件数量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预警总量</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今日预警总数</w:t>
            </w:r>
          </w:p>
        </w:tc>
      </w:tr>
      <w:tr>
        <w:tblPrEx>
          <w:tblCellMar>
            <w:top w:w="0" w:type="dxa"/>
            <w:left w:w="108" w:type="dxa"/>
            <w:bottom w:w="0" w:type="dxa"/>
            <w:right w:w="108" w:type="dxa"/>
          </w:tblCellMar>
        </w:tblPrEx>
        <w:trPr>
          <w:trHeight w:val="285" w:hRule="atLeast"/>
          <w:jc w:val="center"/>
        </w:trPr>
        <w:tc>
          <w:tcPr>
            <w:tcW w:w="2440"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1241"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2"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993" w:type="dxa"/>
            <w:vMerge w:val="continue"/>
            <w:tcBorders>
              <w:top w:val="nil"/>
              <w:left w:val="single" w:color="000000" w:sz="4" w:space="0"/>
              <w:bottom w:val="single" w:color="000000" w:sz="4" w:space="0"/>
              <w:right w:val="single" w:color="000000" w:sz="4" w:space="0"/>
            </w:tcBorders>
            <w:vAlign w:val="center"/>
          </w:tcPr>
          <w:p>
            <w:pPr>
              <w:widowControl/>
              <w:spacing w:line="240" w:lineRule="auto"/>
              <w:jc w:val="left"/>
              <w:rPr>
                <w:rFonts w:ascii="宋体" w:hAnsi="宋体" w:cs="宋体"/>
                <w:color w:val="000000" w:themeColor="text1"/>
                <w:kern w:val="0"/>
                <w:szCs w:val="28"/>
                <w14:textFill>
                  <w14:solidFill>
                    <w14:schemeClr w14:val="tx1"/>
                  </w14:solidFill>
                </w14:textFill>
              </w:rPr>
            </w:pPr>
          </w:p>
        </w:tc>
        <w:tc>
          <w:tcPr>
            <w:tcW w:w="3162" w:type="dxa"/>
            <w:tcBorders>
              <w:top w:val="nil"/>
              <w:left w:val="nil"/>
              <w:bottom w:val="single" w:color="000000" w:sz="4" w:space="0"/>
              <w:right w:val="single" w:color="000000" w:sz="4" w:space="0"/>
            </w:tcBorders>
            <w:shd w:val="clear" w:color="auto" w:fill="auto"/>
            <w:vAlign w:val="center"/>
          </w:tcPr>
          <w:p>
            <w:pPr>
              <w:widowControl/>
              <w:spacing w:line="240" w:lineRule="auto"/>
              <w:jc w:val="center"/>
              <w:rPr>
                <w:rFonts w:ascii="宋体" w:hAnsi="宋体" w:cs="宋体"/>
                <w:color w:val="000000" w:themeColor="text1"/>
                <w:kern w:val="0"/>
                <w:szCs w:val="28"/>
                <w14:textFill>
                  <w14:solidFill>
                    <w14:schemeClr w14:val="tx1"/>
                  </w14:solidFill>
                </w14:textFill>
              </w:rPr>
            </w:pPr>
            <w:r>
              <w:rPr>
                <w:rFonts w:hint="eastAsia" w:ascii="宋体" w:hAnsi="宋体" w:cs="宋体"/>
                <w:color w:val="000000" w:themeColor="text1"/>
                <w:kern w:val="0"/>
                <w:szCs w:val="28"/>
                <w14:textFill>
                  <w14:solidFill>
                    <w14:schemeClr w14:val="tx1"/>
                  </w14:solidFill>
                </w14:textFill>
              </w:rPr>
              <w:t>预警解除数量</w:t>
            </w:r>
          </w:p>
        </w:tc>
      </w:tr>
    </w:tbl>
    <w:p>
      <w:pPr>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p>
    <w:p>
      <w:pPr>
        <w:pStyle w:val="5"/>
        <w:rPr>
          <w:color w:val="000000" w:themeColor="text1"/>
          <w14:textFill>
            <w14:solidFill>
              <w14:schemeClr w14:val="tx1"/>
            </w14:solidFill>
          </w14:textFill>
        </w:rPr>
      </w:pPr>
      <w:bookmarkStart w:id="256" w:name="_Toc118808256"/>
      <w:r>
        <w:rPr>
          <w:rFonts w:hint="eastAsia"/>
          <w:color w:val="000000" w:themeColor="text1"/>
          <w14:textFill>
            <w14:solidFill>
              <w14:schemeClr w14:val="tx1"/>
            </w14:solidFill>
          </w14:textFill>
        </w:rPr>
        <w:t>应用系统设计</w:t>
      </w:r>
      <w:bookmarkEnd w:id="256"/>
    </w:p>
    <w:p>
      <w:pPr>
        <w:ind w:firstLine="560" w:firstLineChars="200"/>
        <w:rPr>
          <w:color w:val="000000" w:themeColor="text1"/>
          <w:sz w:val="24"/>
          <w14:textFill>
            <w14:solidFill>
              <w14:schemeClr w14:val="tx1"/>
            </w14:solidFill>
          </w14:textFill>
        </w:rPr>
      </w:pPr>
      <w:r>
        <w:rPr>
          <w:rFonts w:hint="eastAsia" w:ascii="宋体" w:hAnsi="宋体"/>
          <w:color w:val="000000" w:themeColor="text1"/>
          <w14:textFill>
            <w14:solidFill>
              <w14:schemeClr w14:val="tx1"/>
            </w14:solidFill>
          </w14:textFill>
        </w:rPr>
        <w:t>系统设计阶段分为应用系统概要设计、应用系统详细设计和基础软硬件集成设计</w:t>
      </w:r>
      <w:r>
        <w:rPr>
          <w:rFonts w:hint="eastAsia"/>
          <w:color w:val="000000" w:themeColor="text1"/>
          <w:sz w:val="24"/>
          <w14:textFill>
            <w14:solidFill>
              <w14:schemeClr w14:val="tx1"/>
            </w14:solidFill>
          </w14:textFill>
        </w:rPr>
        <w:t>。</w:t>
      </w:r>
    </w:p>
    <w:p>
      <w:pPr>
        <w:pStyle w:val="2"/>
        <w:rPr>
          <w:color w:val="000000" w:themeColor="text1"/>
          <w14:textFill>
            <w14:solidFill>
              <w14:schemeClr w14:val="tx1"/>
            </w14:solidFill>
          </w14:textFill>
        </w:rPr>
      </w:pPr>
      <w:bookmarkStart w:id="257" w:name="_Toc118808257"/>
      <w:r>
        <w:rPr>
          <w:rFonts w:hint="eastAsia"/>
          <w:color w:val="000000" w:themeColor="text1"/>
          <w14:textFill>
            <w14:solidFill>
              <w14:schemeClr w14:val="tx1"/>
            </w14:solidFill>
          </w14:textFill>
        </w:rPr>
        <w:t>应用系统概要设计</w:t>
      </w:r>
      <w:bookmarkEnd w:id="257"/>
    </w:p>
    <w:p>
      <w:pPr>
        <w:ind w:firstLine="56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14:textFill>
            <w14:solidFill>
              <w14:schemeClr w14:val="tx1"/>
            </w14:solidFill>
          </w14:textFill>
        </w:rPr>
        <w:t>应用系统概要设计的工作内容包括：</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1、制定本阶段详细工作方案。内容包括进度安排、详细的工作（安排）分工、人员组成及人员资质说明等内容；</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2、制定概要设计标准和规范；</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3、严格按照概要设计标准和规范进行概要设计；</w:t>
      </w:r>
    </w:p>
    <w:p>
      <w:pPr>
        <w:ind w:firstLine="560" w:firstLineChars="20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4、概要设计结束阶段，提交《概要设计说明书》及相关文档，组织评审，评审通过后进入详细设计阶段。</w:t>
      </w:r>
    </w:p>
    <w:p>
      <w:pPr>
        <w:pStyle w:val="2"/>
        <w:rPr>
          <w:color w:val="000000" w:themeColor="text1"/>
          <w14:textFill>
            <w14:solidFill>
              <w14:schemeClr w14:val="tx1"/>
            </w14:solidFill>
          </w14:textFill>
        </w:rPr>
      </w:pPr>
      <w:bookmarkStart w:id="258" w:name="_Toc118808258"/>
      <w:r>
        <w:rPr>
          <w:rFonts w:hint="eastAsia"/>
          <w:color w:val="000000" w:themeColor="text1"/>
          <w14:textFill>
            <w14:solidFill>
              <w14:schemeClr w14:val="tx1"/>
            </w14:solidFill>
          </w14:textFill>
        </w:rPr>
        <w:t>应用系统详细设计</w:t>
      </w:r>
      <w:bookmarkEnd w:id="258"/>
    </w:p>
    <w:p>
      <w:pPr>
        <w:ind w:firstLine="56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14:textFill>
            <w14:solidFill>
              <w14:schemeClr w14:val="tx1"/>
            </w14:solidFill>
          </w14:textFill>
        </w:rPr>
        <w:t>应用系统详细设计的工作内容包括：</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1、制定本阶段详细工作方案。内容包括进度安排、详细的工作（安排）分工、人员组成及人员资质说明等内容；</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2、制定详细设计标准和规范；</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3、严格按照详细设计标准和规范进行详细设计，包括系统详细设计，数据库设计报告等；</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4、详细设计结束时，提交《详细设计说明书》、《数据库设计说明书》、《逻辑实现说明书》及相关文档，组织评审，评审通过后进入系统开发阶段。</w:t>
      </w:r>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s="仿宋"/>
          <w:color w:val="000000" w:themeColor="text1"/>
          <w:sz w:val="30"/>
          <w:szCs w:val="30"/>
          <w14:textFill>
            <w14:solidFill>
              <w14:schemeClr w14:val="tx1"/>
            </w14:solidFill>
          </w14:textFill>
        </w:rPr>
      </w:pPr>
      <w:bookmarkStart w:id="259" w:name="_Toc118808259"/>
      <w:r>
        <w:rPr>
          <w:rFonts w:hint="eastAsia" w:ascii="宋体" w:hAnsi="宋体" w:cs="仿宋"/>
          <w:color w:val="000000" w:themeColor="text1"/>
          <w:sz w:val="30"/>
          <w:szCs w:val="30"/>
          <w14:textFill>
            <w14:solidFill>
              <w14:schemeClr w14:val="tx1"/>
            </w14:solidFill>
          </w14:textFill>
        </w:rPr>
        <w:t>与其他系统间的接口及数据交互设计</w:t>
      </w:r>
      <w:bookmarkEnd w:id="259"/>
    </w:p>
    <w:p>
      <w:pPr>
        <w:pStyle w:val="2"/>
        <w:rPr>
          <w:rFonts w:ascii="宋体" w:hAnsi="宋体"/>
          <w:color w:val="000000" w:themeColor="text1"/>
          <w:sz w:val="30"/>
          <w:szCs w:val="30"/>
          <w14:textFill>
            <w14:solidFill>
              <w14:schemeClr w14:val="tx1"/>
            </w14:solidFill>
          </w14:textFill>
        </w:rPr>
      </w:pPr>
      <w:bookmarkStart w:id="260" w:name="_Toc25612"/>
      <w:bookmarkStart w:id="261" w:name="_Toc118808260"/>
      <w:r>
        <w:rPr>
          <w:rFonts w:hint="eastAsia" w:ascii="宋体" w:hAnsi="宋体"/>
          <w:color w:val="000000" w:themeColor="text1"/>
          <w:sz w:val="30"/>
          <w:szCs w:val="30"/>
          <w14:textFill>
            <w14:solidFill>
              <w14:schemeClr w14:val="tx1"/>
            </w14:solidFill>
          </w14:textFill>
        </w:rPr>
        <w:t>接口标准制定</w:t>
      </w:r>
      <w:bookmarkEnd w:id="260"/>
      <w:bookmarkEnd w:id="261"/>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梳理当前</w:t>
      </w:r>
      <w:r>
        <w:rPr>
          <w:rFonts w:ascii="宋体" w:hAnsi="宋体"/>
          <w:color w:val="000000" w:themeColor="text1"/>
          <w:lang w:eastAsia="zh-Hans"/>
          <w14:textFill>
            <w14:solidFill>
              <w14:schemeClr w14:val="tx1"/>
            </w14:solidFill>
          </w14:textFill>
        </w:rPr>
        <w:t>客户</w:t>
      </w:r>
      <w:r>
        <w:rPr>
          <w:rFonts w:hint="eastAsia" w:ascii="宋体" w:hAnsi="宋体"/>
          <w:color w:val="000000" w:themeColor="text1"/>
          <w14:textFill>
            <w14:solidFill>
              <w14:schemeClr w14:val="tx1"/>
            </w14:solidFill>
          </w14:textFill>
        </w:rPr>
        <w:t>的接口现状，在遵循信息安全的基础上，基于减少接口耦合、提高接口性能考虑，制定一套适用于</w:t>
      </w:r>
      <w:r>
        <w:rPr>
          <w:rFonts w:ascii="宋体" w:hAnsi="宋体"/>
          <w:color w:val="000000" w:themeColor="text1"/>
          <w:lang w:eastAsia="zh-Hans"/>
          <w14:textFill>
            <w14:solidFill>
              <w14:schemeClr w14:val="tx1"/>
            </w14:solidFill>
          </w14:textFill>
        </w:rPr>
        <w:t>客户</w:t>
      </w:r>
      <w:r>
        <w:rPr>
          <w:rFonts w:hint="eastAsia" w:ascii="宋体" w:hAnsi="宋体"/>
          <w:color w:val="000000" w:themeColor="text1"/>
          <w14:textFill>
            <w14:solidFill>
              <w14:schemeClr w14:val="tx1"/>
            </w14:solidFill>
          </w14:textFill>
        </w:rPr>
        <w:t>对外提供接口服务的统一标准，用于规范数据实时交互接口，实现业务贯通，提升客户体验。</w:t>
      </w:r>
    </w:p>
    <w:p>
      <w:pPr>
        <w:pStyle w:val="2"/>
        <w:rPr>
          <w:rFonts w:ascii="宋体" w:hAnsi="宋体"/>
          <w:color w:val="000000" w:themeColor="text1"/>
          <w:sz w:val="30"/>
          <w:szCs w:val="30"/>
          <w14:textFill>
            <w14:solidFill>
              <w14:schemeClr w14:val="tx1"/>
            </w14:solidFill>
          </w14:textFill>
        </w:rPr>
      </w:pPr>
      <w:bookmarkStart w:id="262" w:name="_Toc22571"/>
      <w:bookmarkStart w:id="263" w:name="_Toc118808261"/>
      <w:r>
        <w:rPr>
          <w:rFonts w:hint="eastAsia" w:ascii="宋体" w:hAnsi="宋体"/>
          <w:color w:val="000000" w:themeColor="text1"/>
          <w:sz w:val="30"/>
          <w:szCs w:val="30"/>
          <w14:textFill>
            <w14:solidFill>
              <w14:schemeClr w14:val="tx1"/>
            </w14:solidFill>
          </w14:textFill>
        </w:rPr>
        <w:t>接口格式约定</w:t>
      </w:r>
      <w:bookmarkEnd w:id="262"/>
      <w:bookmarkEnd w:id="263"/>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本项目与区县市“民呼我为”等平台数据交互对接</w:t>
      </w:r>
      <w:r>
        <w:rPr>
          <w:rFonts w:ascii="宋体" w:hAnsi="宋体"/>
          <w:color w:val="000000" w:themeColor="text1"/>
          <w14:textFill>
            <w14:solidFill>
              <w14:schemeClr w14:val="tx1"/>
            </w14:solidFill>
          </w14:textFill>
        </w:rPr>
        <w:t>，采用REST协议，客户端和服务端采用JSON格式的字符串来交互业务数据，客户端将业务数据组织成JSON格式的字符串作为入参调用服务端接口，服务端解析后，开展业务处理，同时组织成约定的JSON格式字符串返回客户端。</w:t>
      </w:r>
      <w:r>
        <w:rPr>
          <w:rFonts w:hint="eastAsia" w:ascii="宋体" w:hAnsi="宋体"/>
          <w:color w:val="000000" w:themeColor="text1"/>
          <w14:textFill>
            <w14:solidFill>
              <w14:schemeClr w14:val="tx1"/>
            </w14:solidFill>
          </w14:textFill>
        </w:rPr>
        <w:t>以要</w:t>
      </w:r>
      <w:r>
        <w:rPr>
          <w:rFonts w:hint="eastAsia"/>
          <w:color w:val="000000" w:themeColor="text1"/>
          <w14:textFill>
            <w14:solidFill>
              <w14:schemeClr w14:val="tx1"/>
            </w14:solidFill>
          </w14:textFill>
        </w:rPr>
        <w:t>办理的事件基本信息推送通用接口为例：</w:t>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入参实例：</w:t>
      </w:r>
    </w:p>
    <w:tbl>
      <w:tblPr>
        <w:tblStyle w:val="39"/>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tcPr>
          <w:p>
            <w:pPr>
              <w:widowControl/>
              <w:shd w:val="clear" w:color="auto" w:fill="FFFFFE"/>
              <w:spacing w:line="270" w:lineRule="atLeast"/>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420" w:firstLineChars="150"/>
              <w:jc w:val="left"/>
              <w:rPr>
                <w:rFonts w:cs="Consolas" w:asciiTheme="minorEastAsia" w:hAnsiTheme="minorEastAsia"/>
                <w:color w:val="000000" w:themeColor="text1"/>
                <w:szCs w:val="21"/>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"data":</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120" w:firstLineChars="4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"businessId":"</w:t>
            </w:r>
            <w:r>
              <w:rPr>
                <w:rFonts w:cs="宋体" w:asciiTheme="minorEastAsia" w:hAnsiTheme="minorEastAsia"/>
                <w:color w:val="000000" w:themeColor="text1"/>
                <w:kern w:val="0"/>
                <w:szCs w:val="21"/>
                <w:shd w:val="clear" w:color="auto" w:fill="FFFFFE"/>
                <w:lang w:bidi="ar"/>
                <w14:textFill>
                  <w14:solidFill>
                    <w14:schemeClr w14:val="tx1"/>
                  </w14:solidFill>
                </w14:textFill>
              </w:rPr>
              <w:t>2caaa32a768a7b960177a8208a506dd6</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"businessNo":"</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民202106040001</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"reflectTime":"</w:t>
            </w:r>
            <w:r>
              <w:rPr>
                <w:rFonts w:cs="宋体" w:asciiTheme="minorEastAsia" w:hAnsiTheme="minorEastAsia"/>
                <w:color w:val="000000" w:themeColor="text1"/>
                <w:kern w:val="0"/>
                <w:szCs w:val="21"/>
                <w:shd w:val="clear" w:color="auto" w:fill="FFFFFE"/>
                <w:lang w:bidi="ar"/>
                <w14:textFill>
                  <w14:solidFill>
                    <w14:schemeClr w14:val="tx1"/>
                  </w14:solidFill>
                </w14:textFill>
              </w:rPr>
              <w:t>2021-01-01 00:00:00</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"callerName":"</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张三</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"contactNo":"</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1</w:t>
            </w:r>
            <w:r>
              <w:rPr>
                <w:rFonts w:cs="宋体" w:asciiTheme="minorEastAsia" w:hAnsiTheme="minorEastAsia"/>
                <w:color w:val="000000" w:themeColor="text1"/>
                <w:kern w:val="0"/>
                <w:szCs w:val="21"/>
                <w:shd w:val="clear" w:color="auto" w:fill="FFFFFE"/>
                <w:lang w:bidi="ar"/>
                <w14:textFill>
                  <w14:solidFill>
                    <w14:schemeClr w14:val="tx1"/>
                  </w14:solidFill>
                </w14:textFill>
              </w:rPr>
              <w:t>8212341234</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sex</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1</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 xml:space="preserve"> </w:t>
            </w: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"addressCode"</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r>
              <w:rPr>
                <w:rFonts w:cs="Consolas" w:asciiTheme="minorEastAsia" w:hAnsiTheme="minorEastAsia"/>
                <w:color w:val="000000" w:themeColor="text1"/>
                <w:kern w:val="0"/>
                <w:szCs w:val="21"/>
                <w:shd w:val="clear" w:color="auto" w:fill="FFFFFE"/>
                <w:lang w:bidi="ar"/>
                <w14:textFill>
                  <w14:solidFill>
                    <w14:schemeClr w14:val="tx1"/>
                  </w14:solidFill>
                </w14:textFill>
              </w:rPr>
              <w:t>"330109012217001000017",</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"lon":"</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120.2749</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"lat":"30</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.002</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"isSecret":"</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0</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"reflectContent":"</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来电咨询：已申请公租房货币补贴，准备离职，后续前往事业单位就职，咨询是否需要暂停该公租房补贴。请相关职能部门帮助核实解答。</w:t>
            </w: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purpose</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求助</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"contentType":"</w:t>
            </w:r>
            <w:r>
              <w:rPr>
                <w:rFonts w:hint="eastAsia" w:ascii="Arial" w:hAnsi="Arial" w:cs="Arial"/>
                <w:color w:val="000000" w:themeColor="text1"/>
                <w:szCs w:val="21"/>
                <w14:textFill>
                  <w14:solidFill>
                    <w14:schemeClr w14:val="tx1"/>
                  </w14:solidFill>
                </w14:textFill>
              </w:rPr>
              <w:t>一级分类</w:t>
            </w:r>
            <w:r>
              <w:rPr>
                <w:rFonts w:ascii="Arial" w:hAnsi="Arial" w:cs="Arial"/>
                <w:color w:val="000000" w:themeColor="text1"/>
                <w:szCs w:val="21"/>
                <w14:textFill>
                  <w14:solidFill>
                    <w14:schemeClr w14:val="tx1"/>
                  </w14:solidFill>
                </w14:textFill>
              </w:rPr>
              <w:t>—</w:t>
            </w:r>
            <w:r>
              <w:rPr>
                <w:rFonts w:hint="eastAsia" w:ascii="Arial" w:hAnsi="Arial" w:cs="Arial"/>
                <w:color w:val="000000" w:themeColor="text1"/>
                <w:szCs w:val="21"/>
                <w14:textFill>
                  <w14:solidFill>
                    <w14:schemeClr w14:val="tx1"/>
                  </w14:solidFill>
                </w14:textFill>
              </w:rPr>
              <w:t>二级分类</w:t>
            </w:r>
            <w:r>
              <w:rPr>
                <w:rFonts w:ascii="Arial" w:hAnsi="Arial" w:cs="Arial"/>
                <w:color w:val="000000" w:themeColor="text1"/>
                <w:szCs w:val="21"/>
                <w14:textFill>
                  <w14:solidFill>
                    <w14:schemeClr w14:val="tx1"/>
                  </w14:solidFill>
                </w14:textFill>
              </w:rPr>
              <w:t>—</w:t>
            </w:r>
            <w:r>
              <w:rPr>
                <w:rFonts w:hint="eastAsia" w:ascii="Arial" w:hAnsi="Arial" w:cs="Arial"/>
                <w:color w:val="000000" w:themeColor="text1"/>
                <w:szCs w:val="21"/>
                <w14:textFill>
                  <w14:solidFill>
                    <w14:schemeClr w14:val="tx1"/>
                  </w14:solidFill>
                </w14:textFill>
              </w:rPr>
              <w:t>三级分类</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"emergencyDegree":"</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一般（5个工作日）</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left="560" w:leftChars="2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deadline</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cs="宋体" w:asciiTheme="minorEastAsia" w:hAnsiTheme="minorEastAsia"/>
                <w:color w:val="000000" w:themeColor="text1"/>
                <w:kern w:val="0"/>
                <w:szCs w:val="21"/>
                <w:shd w:val="clear" w:color="auto" w:fill="FFFFFE"/>
                <w:lang w:bidi="ar"/>
                <w14:textFill>
                  <w14:solidFill>
                    <w14:schemeClr w14:val="tx1"/>
                  </w14:solidFill>
                </w14:textFill>
              </w:rPr>
              <w:t>2021-01-06</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"isThreaten":"</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0</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"sourceDeptId":"</w:t>
            </w:r>
            <w:r>
              <w:rPr>
                <w:rFonts w:cs="宋体" w:asciiTheme="minorEastAsia" w:hAnsiTheme="minorEastAsia"/>
                <w:color w:val="000000" w:themeColor="text1"/>
                <w:kern w:val="0"/>
                <w:szCs w:val="21"/>
                <w:shd w:val="clear" w:color="auto" w:fill="FFFFFE"/>
                <w:lang w:bidi="ar"/>
                <w14:textFill>
                  <w14:solidFill>
                    <w14:schemeClr w14:val="tx1"/>
                  </w14:solidFill>
                </w14:textFill>
              </w:rPr>
              <w:t>000000000000000000468</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"sourceDeptName":"</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萧山区</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"containAccessory":"</w:t>
            </w:r>
            <w:r>
              <w:rPr>
                <w:rFonts w:hint="eastAsia" w:cs="宋体" w:asciiTheme="minorEastAsia" w:hAnsiTheme="minorEastAsia"/>
                <w:color w:val="000000" w:themeColor="text1"/>
                <w:kern w:val="0"/>
                <w:szCs w:val="21"/>
                <w:shd w:val="clear" w:color="auto" w:fill="FFFFFE"/>
                <w:lang w:bidi="ar"/>
                <w14:textFill>
                  <w14:solidFill>
                    <w14:schemeClr w14:val="tx1"/>
                  </w14:solidFill>
                </w14:textFill>
              </w:rPr>
              <w:t>1</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a</w:t>
            </w:r>
            <w:r>
              <w:rPr>
                <w:rFonts w:asciiTheme="minorEastAsia" w:hAnsiTheme="minorEastAsia"/>
                <w:color w:val="000000" w:themeColor="text1"/>
                <w14:textFill>
                  <w14:solidFill>
                    <w14:schemeClr w14:val="tx1"/>
                  </w14:solidFill>
                </w14:textFill>
              </w:rPr>
              <w:t>ccessory</w:t>
            </w:r>
            <w:r>
              <w:rPr>
                <w:rFonts w:hint="eastAsia" w:asciiTheme="minorEastAsia" w:hAnsiTheme="minorEastAsia"/>
                <w:color w:val="000000" w:themeColor="text1"/>
                <w14:textFill>
                  <w14:solidFill>
                    <w14:schemeClr w14:val="tx1"/>
                  </w14:solidFill>
                </w14:textFill>
              </w:rPr>
              <w:t>List</w:t>
            </w:r>
            <w:r>
              <w:rPr>
                <w:rFonts w:cs="Consolas" w:asciiTheme="minorEastAsia" w:hAnsiTheme="minorEastAsia"/>
                <w:color w:val="000000" w:themeColor="text1"/>
                <w:kern w:val="0"/>
                <w:szCs w:val="21"/>
                <w:shd w:val="clear" w:color="auto" w:fill="FFFFFE"/>
                <w:lang w:bidi="ar"/>
                <w14:textFill>
                  <w14:solidFill>
                    <w14:schemeClr w14:val="tx1"/>
                  </w14:solidFill>
                </w14:textFill>
              </w:rPr>
              <w:t>": [</w:t>
            </w:r>
          </w:p>
          <w:p>
            <w:pPr>
              <w:widowControl/>
              <w:shd w:val="clear" w:color="auto" w:fill="FFFFFE"/>
              <w:spacing w:line="270" w:lineRule="atLeast"/>
              <w:ind w:firstLine="2240" w:firstLineChars="8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2800" w:firstLineChars="10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a</w:t>
            </w:r>
            <w:r>
              <w:rPr>
                <w:rFonts w:asciiTheme="minorEastAsia" w:hAnsiTheme="minorEastAsia"/>
                <w:color w:val="000000" w:themeColor="text1"/>
                <w14:textFill>
                  <w14:solidFill>
                    <w14:schemeClr w14:val="tx1"/>
                  </w14:solidFill>
                </w14:textFill>
              </w:rPr>
              <w:t>ccessory</w:t>
            </w:r>
            <w:r>
              <w:rPr>
                <w:rFonts w:hint="eastAsia" w:asciiTheme="minorEastAsia" w:hAnsiTheme="minorEastAsia"/>
                <w:color w:val="000000" w:themeColor="text1"/>
                <w14:textFill>
                  <w14:solidFill>
                    <w14:schemeClr w14:val="tx1"/>
                  </w14:solidFill>
                </w14:textFill>
              </w:rPr>
              <w:t>Id</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cs="宋体" w:asciiTheme="minorEastAsia" w:hAnsiTheme="minorEastAsia"/>
                <w:color w:val="000000" w:themeColor="text1"/>
                <w:kern w:val="0"/>
                <w:szCs w:val="21"/>
                <w:shd w:val="clear" w:color="auto" w:fill="FFFFFE"/>
                <w:lang w:bidi="ar"/>
                <w14:textFill>
                  <w14:solidFill>
                    <w14:schemeClr w14:val="tx1"/>
                  </w14:solidFill>
                </w14:textFill>
              </w:rPr>
              <w:t>2caaa32a768a7b123456a8208a506dd6</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2800" w:firstLineChars="10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a</w:t>
            </w:r>
            <w:r>
              <w:rPr>
                <w:rFonts w:asciiTheme="minorEastAsia" w:hAnsiTheme="minorEastAsia"/>
                <w:color w:val="000000" w:themeColor="text1"/>
                <w14:textFill>
                  <w14:solidFill>
                    <w14:schemeClr w14:val="tx1"/>
                  </w14:solidFill>
                </w14:textFill>
              </w:rPr>
              <w:t>ccessory</w:t>
            </w:r>
            <w:r>
              <w:rPr>
                <w:rFonts w:hint="eastAsia" w:asciiTheme="minorEastAsia" w:hAnsiTheme="minorEastAsia"/>
                <w:color w:val="000000" w:themeColor="text1"/>
                <w14:textFill>
                  <w14:solidFill>
                    <w14:schemeClr w14:val="tx1"/>
                  </w14:solidFill>
                </w14:textFill>
              </w:rPr>
              <w:t>Name</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cs="宋体" w:asciiTheme="minorEastAsia" w:hAnsiTheme="minorEastAsia"/>
                <w:color w:val="000000" w:themeColor="text1"/>
                <w:kern w:val="0"/>
                <w:szCs w:val="21"/>
                <w:shd w:val="clear" w:color="auto" w:fill="FFFFFE"/>
                <w:lang w:bidi="ar"/>
                <w14:textFill>
                  <w14:solidFill>
                    <w14:schemeClr w14:val="tx1"/>
                  </w14:solidFill>
                </w14:textFill>
              </w:rPr>
              <w:t>u=3206689113,2237998950&amp;fm=26&amp;gp=0.jpg</w:t>
            </w: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w:t>
            </w:r>
          </w:p>
          <w:p>
            <w:pPr>
              <w:widowControl/>
              <w:shd w:val="clear" w:color="auto" w:fill="FFFFFE"/>
              <w:spacing w:line="270" w:lineRule="atLeast"/>
              <w:ind w:firstLine="2800" w:firstLineChars="10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a</w:t>
            </w:r>
            <w:r>
              <w:rPr>
                <w:rFonts w:asciiTheme="minorEastAsia" w:hAnsiTheme="minorEastAsia"/>
                <w:color w:val="000000" w:themeColor="text1"/>
                <w14:textFill>
                  <w14:solidFill>
                    <w14:schemeClr w14:val="tx1"/>
                  </w14:solidFill>
                </w14:textFill>
              </w:rPr>
              <w:t>ccessory</w:t>
            </w:r>
            <w:r>
              <w:rPr>
                <w:rFonts w:hint="eastAsia" w:asciiTheme="minorEastAsia" w:hAnsiTheme="minorEastAsia"/>
                <w:color w:val="000000" w:themeColor="text1"/>
                <w14:textFill>
                  <w14:solidFill>
                    <w14:schemeClr w14:val="tx1"/>
                  </w14:solidFill>
                </w14:textFill>
              </w:rPr>
              <w:t>Path</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ascii="Calibri" w:hAnsi="Calibri"/>
                <w:color w:val="000000" w:themeColor="text1"/>
                <w14:textFill>
                  <w14:solidFill>
                    <w14:schemeClr w14:val="tx1"/>
                  </w14:solidFill>
                </w14:textFill>
              </w:rPr>
              <w:t xml:space="preserve"> </w:t>
            </w:r>
            <w:r>
              <w:rPr>
                <w:rFonts w:cs="宋体" w:asciiTheme="minorEastAsia" w:hAnsiTheme="minorEastAsia"/>
                <w:color w:val="000000" w:themeColor="text1"/>
                <w:kern w:val="0"/>
                <w:szCs w:val="21"/>
                <w:shd w:val="clear" w:color="auto" w:fill="FFFFFE"/>
                <w:lang w:bidi="ar"/>
                <w14:textFill>
                  <w14:solidFill>
                    <w14:schemeClr w14:val="tx1"/>
                  </w14:solidFill>
                </w14:textFill>
              </w:rPr>
              <w:t>https://ss1.bdstatic.com/70cFuXSh_Q1YnxGkpoWK1HF6hhy/it/u=3206689113,2237998950&amp;fm=26&amp;gp=0.jpg</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2240" w:firstLineChars="8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680" w:firstLineChars="6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980" w:firstLineChars="35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420" w:firstLineChars="15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tc>
      </w:tr>
    </w:tbl>
    <w:p>
      <w:pPr>
        <w:rPr>
          <w:color w:val="000000" w:themeColor="text1"/>
          <w14:textFill>
            <w14:solidFill>
              <w14:schemeClr w14:val="tx1"/>
            </w14:solidFill>
          </w14:textFill>
        </w:rPr>
      </w:pP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出参实例：</w:t>
      </w:r>
    </w:p>
    <w:tbl>
      <w:tblPr>
        <w:tblStyle w:val="39"/>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76" w:type="dxa"/>
          </w:tcPr>
          <w:p>
            <w:pPr>
              <w:widowControl/>
              <w:shd w:val="clear" w:color="auto" w:fill="FFFFFE"/>
              <w:spacing w:line="270" w:lineRule="atLeast"/>
              <w:jc w:val="left"/>
              <w:rPr>
                <w:rFonts w:cs="Consolas" w:asciiTheme="minorEastAsia" w:hAnsiTheme="minorEastAsia"/>
                <w:color w:val="000000" w:themeColor="text1"/>
                <w:szCs w:val="21"/>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jc w:val="left"/>
              <w:rPr>
                <w:rFonts w:cs="Consolas" w:asciiTheme="minorEastAsia" w:hAnsiTheme="minorEastAsia"/>
                <w:color w:val="000000" w:themeColor="text1"/>
                <w:szCs w:val="21"/>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"code":200,</w:t>
            </w:r>
          </w:p>
          <w:p>
            <w:pPr>
              <w:widowControl/>
              <w:shd w:val="clear" w:color="auto" w:fill="FFFFFE"/>
              <w:spacing w:line="270" w:lineRule="atLeast"/>
              <w:jc w:val="left"/>
              <w:rPr>
                <w:rFonts w:cs="Consolas" w:asciiTheme="minorEastAsia" w:hAnsiTheme="minorEastAsia"/>
                <w:color w:val="000000" w:themeColor="text1"/>
                <w:szCs w:val="21"/>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"message":"请求成功",</w:t>
            </w:r>
          </w:p>
          <w:p>
            <w:pPr>
              <w:widowControl/>
              <w:shd w:val="clear" w:color="auto" w:fill="FFFFFE"/>
              <w:spacing w:line="270" w:lineRule="atLeast"/>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  "success":</w:t>
            </w:r>
            <w:r>
              <w:rPr>
                <w:rFonts w:cs="Consolas" w:asciiTheme="minorEastAsia" w:hAnsiTheme="minorEastAsia"/>
                <w:bCs/>
                <w:color w:val="000000" w:themeColor="text1"/>
                <w:kern w:val="0"/>
                <w:szCs w:val="21"/>
                <w:shd w:val="clear" w:color="auto" w:fill="FFFFFE"/>
                <w:lang w:bidi="ar"/>
                <w14:textFill>
                  <w14:solidFill>
                    <w14:schemeClr w14:val="tx1"/>
                  </w14:solidFill>
                </w14:textFill>
              </w:rPr>
              <w:t>true,</w:t>
            </w:r>
            <w:r>
              <w:rPr>
                <w:rFonts w:cs="Consolas" w:asciiTheme="minorEastAsia" w:hAnsiTheme="minorEastAsia"/>
                <w:color w:val="000000" w:themeColor="text1"/>
                <w:kern w:val="0"/>
                <w:szCs w:val="21"/>
                <w:shd w:val="clear" w:color="auto" w:fill="FFFFFE"/>
                <w:lang w:bidi="ar"/>
                <w14:textFill>
                  <w14:solidFill>
                    <w14:schemeClr w14:val="tx1"/>
                  </w14:solidFill>
                </w14:textFill>
              </w:rPr>
              <w:t xml:space="preserve"> </w:t>
            </w:r>
          </w:p>
          <w:p>
            <w:pPr>
              <w:widowControl/>
              <w:shd w:val="clear" w:color="auto" w:fill="FFFFFE"/>
              <w:spacing w:line="270" w:lineRule="atLeast"/>
              <w:ind w:firstLine="560" w:firstLineChars="200"/>
              <w:jc w:val="left"/>
              <w:rPr>
                <w:rFonts w:cs="Consolas" w:asciiTheme="minorEastAsia" w:hAnsiTheme="minorEastAsia"/>
                <w:color w:val="000000" w:themeColor="text1"/>
                <w:szCs w:val="21"/>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"data":</w:t>
            </w: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980" w:firstLineChars="35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asciiTheme="minorEastAsia" w:hAnsiTheme="minorEastAsia"/>
                <w:color w:val="000000" w:themeColor="text1"/>
                <w14:textFill>
                  <w14:solidFill>
                    <w14:schemeClr w14:val="tx1"/>
                  </w14:solidFill>
                </w14:textFill>
              </w:rPr>
              <w:t>businessIdList</w:t>
            </w:r>
            <w:r>
              <w:rPr>
                <w:rFonts w:cs="Consolas" w:asciiTheme="minorEastAsia" w:hAnsiTheme="minorEastAsia"/>
                <w:color w:val="000000" w:themeColor="text1"/>
                <w:kern w:val="0"/>
                <w:szCs w:val="21"/>
                <w:shd w:val="clear" w:color="auto" w:fill="FFFFFE"/>
                <w:lang w:bidi="ar"/>
                <w14:textFill>
                  <w14:solidFill>
                    <w14:schemeClr w14:val="tx1"/>
                  </w14:solidFill>
                </w14:textFill>
              </w:rPr>
              <w:t>": [</w:t>
            </w:r>
          </w:p>
          <w:p>
            <w:pPr>
              <w:widowControl/>
              <w:shd w:val="clear" w:color="auto" w:fill="FFFFFE"/>
              <w:spacing w:line="270" w:lineRule="atLeast"/>
              <w:ind w:firstLine="1400" w:firstLineChars="5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cs="宋体" w:asciiTheme="minorEastAsia" w:hAnsiTheme="minorEastAsia"/>
                <w:color w:val="000000" w:themeColor="text1"/>
                <w:kern w:val="0"/>
                <w:szCs w:val="21"/>
                <w:shd w:val="clear" w:color="auto" w:fill="FFFFFE"/>
                <w:lang w:bidi="ar"/>
                <w14:textFill>
                  <w14:solidFill>
                    <w14:schemeClr w14:val="tx1"/>
                  </w14:solidFill>
                </w14:textFill>
              </w:rPr>
              <w:t>2caaa32a768a7b960177a8208a506dd6</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1400" w:firstLineChars="50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r>
              <w:rPr>
                <w:rFonts w:cs="宋体" w:asciiTheme="minorEastAsia" w:hAnsiTheme="minorEastAsia"/>
                <w:color w:val="000000" w:themeColor="text1"/>
                <w:kern w:val="0"/>
                <w:szCs w:val="21"/>
                <w:shd w:val="clear" w:color="auto" w:fill="FFFFFE"/>
                <w:lang w:bidi="ar"/>
                <w14:textFill>
                  <w14:solidFill>
                    <w14:schemeClr w14:val="tx1"/>
                  </w14:solidFill>
                </w14:textFill>
              </w:rPr>
              <w:t>2caaa32a768a7b960177a8208a506dd7</w:t>
            </w: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980" w:firstLineChars="350"/>
              <w:jc w:val="left"/>
              <w:rPr>
                <w:rFonts w:cs="Consolas" w:asciiTheme="minorEastAsia" w:hAnsiTheme="minorEastAsia"/>
                <w:color w:val="000000" w:themeColor="text1"/>
                <w:kern w:val="0"/>
                <w:szCs w:val="21"/>
                <w:shd w:val="clear" w:color="auto" w:fill="FFFFFE"/>
                <w:lang w:bidi="ar"/>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ind w:firstLine="560" w:firstLineChars="200"/>
              <w:jc w:val="left"/>
              <w:rPr>
                <w:rFonts w:cs="Consolas" w:asciiTheme="minorEastAsia" w:hAnsiTheme="minorEastAsia"/>
                <w:color w:val="000000" w:themeColor="text1"/>
                <w:szCs w:val="21"/>
                <w14:textFill>
                  <w14:solidFill>
                    <w14:schemeClr w14:val="tx1"/>
                  </w14:solidFill>
                </w14:textFill>
              </w:rPr>
            </w:pPr>
            <w:r>
              <w:rPr>
                <w:rFonts w:hint="eastAsia" w:cs="Consolas" w:asciiTheme="minorEastAsia" w:hAnsiTheme="minorEastAsia"/>
                <w:color w:val="000000" w:themeColor="text1"/>
                <w:kern w:val="0"/>
                <w:szCs w:val="21"/>
                <w:shd w:val="clear" w:color="auto" w:fill="FFFFFE"/>
                <w:lang w:bidi="ar"/>
                <w14:textFill>
                  <w14:solidFill>
                    <w14:schemeClr w14:val="tx1"/>
                  </w14:solidFill>
                </w14:textFill>
              </w:rPr>
              <w:t>}</w:t>
            </w:r>
          </w:p>
          <w:p>
            <w:pPr>
              <w:widowControl/>
              <w:shd w:val="clear" w:color="auto" w:fill="FFFFFE"/>
              <w:spacing w:line="270" w:lineRule="atLeast"/>
              <w:jc w:val="left"/>
              <w:rPr>
                <w:rFonts w:ascii="Calibri" w:hAnsi="Calibri"/>
                <w:color w:val="000000" w:themeColor="text1"/>
                <w14:textFill>
                  <w14:solidFill>
                    <w14:schemeClr w14:val="tx1"/>
                  </w14:solidFill>
                </w14:textFill>
              </w:rPr>
            </w:pPr>
            <w:r>
              <w:rPr>
                <w:rFonts w:cs="Consolas" w:asciiTheme="minorEastAsia" w:hAnsiTheme="minorEastAsia"/>
                <w:color w:val="000000" w:themeColor="text1"/>
                <w:kern w:val="0"/>
                <w:szCs w:val="21"/>
                <w:shd w:val="clear" w:color="auto" w:fill="FFFFFE"/>
                <w:lang w:bidi="ar"/>
                <w14:textFill>
                  <w14:solidFill>
                    <w14:schemeClr w14:val="tx1"/>
                  </w14:solidFill>
                </w14:textFill>
              </w:rPr>
              <w:t>}</w:t>
            </w:r>
          </w:p>
        </w:tc>
      </w:tr>
    </w:tbl>
    <w:p>
      <w:pPr>
        <w:pStyle w:val="2"/>
        <w:rPr>
          <w:rFonts w:ascii="宋体" w:hAnsi="宋体"/>
          <w:color w:val="000000" w:themeColor="text1"/>
          <w:sz w:val="30"/>
          <w:szCs w:val="30"/>
          <w14:textFill>
            <w14:solidFill>
              <w14:schemeClr w14:val="tx1"/>
            </w14:solidFill>
          </w14:textFill>
        </w:rPr>
      </w:pPr>
      <w:bookmarkStart w:id="264" w:name="_Toc118808262"/>
      <w:bookmarkStart w:id="265" w:name="_Toc18714"/>
      <w:r>
        <w:rPr>
          <w:rFonts w:hint="eastAsia" w:ascii="宋体" w:hAnsi="宋体"/>
          <w:color w:val="000000" w:themeColor="text1"/>
          <w:sz w:val="30"/>
          <w:szCs w:val="30"/>
          <w14:textFill>
            <w14:solidFill>
              <w14:schemeClr w14:val="tx1"/>
            </w14:solidFill>
          </w14:textFill>
        </w:rPr>
        <w:t>交互报文规范</w:t>
      </w:r>
      <w:bookmarkEnd w:id="264"/>
      <w:bookmarkEnd w:id="265"/>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客户端交互报文按照约定的JSON格式要求。</w:t>
      </w:r>
    </w:p>
    <w:bookmarkEnd w:id="167"/>
    <w:p>
      <w:pPr>
        <w:pStyle w:val="5"/>
        <w:rPr>
          <w:rFonts w:asciiTheme="minorEastAsia" w:hAnsiTheme="minorEastAsia" w:eastAsiaTheme="minorEastAsia"/>
          <w:color w:val="000000" w:themeColor="text1"/>
          <w14:textFill>
            <w14:solidFill>
              <w14:schemeClr w14:val="tx1"/>
            </w14:solidFill>
          </w14:textFill>
        </w:rPr>
      </w:pPr>
      <w:bookmarkStart w:id="266" w:name="_Toc81926859"/>
      <w:bookmarkStart w:id="267" w:name="_Toc1900"/>
      <w:bookmarkStart w:id="268" w:name="_Toc118808263"/>
      <w:r>
        <w:rPr>
          <w:rFonts w:asciiTheme="minorEastAsia" w:hAnsiTheme="minorEastAsia" w:eastAsiaTheme="minorEastAsia"/>
          <w:color w:val="000000" w:themeColor="text1"/>
          <w14:textFill>
            <w14:solidFill>
              <w14:schemeClr w14:val="tx1"/>
            </w14:solidFill>
          </w14:textFill>
        </w:rPr>
        <w:t>网络</w:t>
      </w:r>
      <w:r>
        <w:rPr>
          <w:rFonts w:hint="eastAsia" w:asciiTheme="minorEastAsia" w:hAnsiTheme="minorEastAsia" w:eastAsiaTheme="minorEastAsia"/>
          <w:color w:val="000000" w:themeColor="text1"/>
          <w14:textFill>
            <w14:solidFill>
              <w14:schemeClr w14:val="tx1"/>
            </w14:solidFill>
          </w14:textFill>
        </w:rPr>
        <w:t>系统</w:t>
      </w:r>
      <w:r>
        <w:rPr>
          <w:rFonts w:asciiTheme="minorEastAsia" w:hAnsiTheme="minorEastAsia" w:eastAsiaTheme="minorEastAsia"/>
          <w:color w:val="000000" w:themeColor="text1"/>
          <w14:textFill>
            <w14:solidFill>
              <w14:schemeClr w14:val="tx1"/>
            </w14:solidFill>
          </w14:textFill>
        </w:rPr>
        <w:t>设计</w:t>
      </w:r>
      <w:bookmarkEnd w:id="266"/>
      <w:bookmarkEnd w:id="267"/>
      <w:bookmarkEnd w:id="268"/>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本平台应用政务云服务器资源，</w:t>
      </w:r>
      <w:r>
        <w:rPr>
          <w:rFonts w:asciiTheme="minorEastAsia" w:hAnsiTheme="minorEastAsia" w:eastAsiaTheme="minorEastAsia"/>
          <w:color w:val="000000" w:themeColor="text1"/>
          <w:szCs w:val="28"/>
          <w:lang w:bidi="ar"/>
          <w14:textFill>
            <w14:solidFill>
              <w14:schemeClr w14:val="tx1"/>
            </w14:solidFill>
          </w14:textFill>
        </w:rPr>
        <w:t>网络拓扑设计如下图所示：</w:t>
      </w:r>
    </w:p>
    <w:p>
      <w:pPr>
        <w:widowControl/>
        <w:jc w:val="center"/>
        <w:rPr>
          <w:rFonts w:asciiTheme="minorEastAsia" w:hAnsiTheme="minorEastAsia" w:eastAsiaTheme="minorEastAsia"/>
          <w:color w:val="000000" w:themeColor="text1"/>
          <w:szCs w:val="28"/>
          <w:lang w:bidi="ar"/>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drawing>
          <wp:inline distT="0" distB="0" distL="0" distR="0">
            <wp:extent cx="6188710" cy="3895090"/>
            <wp:effectExtent l="19050" t="19050" r="21590" b="1016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6188710" cy="3895090"/>
                    </a:xfrm>
                    <a:prstGeom prst="rect">
                      <a:avLst/>
                    </a:prstGeom>
                    <a:ln>
                      <a:solidFill>
                        <a:schemeClr val="tx1"/>
                      </a:solidFill>
                    </a:ln>
                  </pic:spPr>
                </pic:pic>
              </a:graphicData>
            </a:graphic>
          </wp:inline>
        </w:drawing>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本项目将建设</w:t>
      </w:r>
      <w:r>
        <w:rPr>
          <w:rFonts w:asciiTheme="minorEastAsia" w:hAnsiTheme="minorEastAsia" w:eastAsiaTheme="minorEastAsia"/>
          <w:color w:val="000000" w:themeColor="text1"/>
          <w:szCs w:val="28"/>
          <w:lang w:bidi="ar"/>
          <w14:textFill>
            <w14:solidFill>
              <w14:schemeClr w14:val="tx1"/>
            </w14:solidFill>
          </w14:textFill>
        </w:rPr>
        <w:t>5G</w:t>
      </w:r>
      <w:r>
        <w:rPr>
          <w:rFonts w:hint="eastAsia" w:asciiTheme="minorEastAsia" w:hAnsiTheme="minorEastAsia" w:eastAsiaTheme="minorEastAsia"/>
          <w:color w:val="000000" w:themeColor="text1"/>
          <w:szCs w:val="28"/>
          <w:lang w:bidi="ar"/>
          <w14:textFill>
            <w14:solidFill>
              <w14:schemeClr w14:val="tx1"/>
            </w14:solidFill>
          </w14:textFill>
        </w:rPr>
        <w:t>内容相关服务器，包括：5</w:t>
      </w:r>
      <w:r>
        <w:rPr>
          <w:rFonts w:asciiTheme="minorEastAsia" w:hAnsiTheme="minorEastAsia" w:eastAsiaTheme="minorEastAsia"/>
          <w:color w:val="000000" w:themeColor="text1"/>
          <w:szCs w:val="28"/>
          <w:lang w:bidi="ar"/>
          <w14:textFill>
            <w14:solidFill>
              <w14:schemeClr w14:val="tx1"/>
            </w14:solidFill>
          </w14:textFill>
        </w:rPr>
        <w:t>G</w:t>
      </w:r>
      <w:r>
        <w:rPr>
          <w:rFonts w:hint="eastAsia" w:asciiTheme="minorEastAsia" w:hAnsiTheme="minorEastAsia" w:eastAsiaTheme="minorEastAsia"/>
          <w:color w:val="000000" w:themeColor="text1"/>
          <w:szCs w:val="28"/>
          <w:lang w:bidi="ar"/>
          <w14:textFill>
            <w14:solidFill>
              <w14:schemeClr w14:val="tx1"/>
            </w14:solidFill>
          </w14:textFill>
        </w:rPr>
        <w:t>视频I</w:t>
      </w:r>
      <w:r>
        <w:rPr>
          <w:rFonts w:asciiTheme="minorEastAsia" w:hAnsiTheme="minorEastAsia" w:eastAsiaTheme="minorEastAsia"/>
          <w:color w:val="000000" w:themeColor="text1"/>
          <w:szCs w:val="28"/>
          <w:lang w:bidi="ar"/>
          <w14:textFill>
            <w14:solidFill>
              <w14:schemeClr w14:val="tx1"/>
            </w14:solidFill>
          </w14:textFill>
        </w:rPr>
        <w:t>VR</w:t>
      </w:r>
      <w:r>
        <w:rPr>
          <w:rFonts w:hint="eastAsia" w:asciiTheme="minorEastAsia" w:hAnsiTheme="minorEastAsia" w:eastAsiaTheme="minorEastAsia"/>
          <w:color w:val="000000" w:themeColor="text1"/>
          <w:szCs w:val="28"/>
          <w:lang w:bidi="ar"/>
          <w14:textFill>
            <w14:solidFill>
              <w14:schemeClr w14:val="tx1"/>
            </w14:solidFill>
          </w14:textFill>
        </w:rPr>
        <w:t>服务器、5</w:t>
      </w:r>
      <w:r>
        <w:rPr>
          <w:rFonts w:asciiTheme="minorEastAsia" w:hAnsiTheme="minorEastAsia" w:eastAsiaTheme="minorEastAsia"/>
          <w:color w:val="000000" w:themeColor="text1"/>
          <w:szCs w:val="28"/>
          <w:lang w:bidi="ar"/>
          <w14:textFill>
            <w14:solidFill>
              <w14:schemeClr w14:val="tx1"/>
            </w14:solidFill>
          </w14:textFill>
        </w:rPr>
        <w:t>G</w:t>
      </w:r>
      <w:r>
        <w:rPr>
          <w:rFonts w:hint="eastAsia" w:asciiTheme="minorEastAsia" w:hAnsiTheme="minorEastAsia" w:eastAsiaTheme="minorEastAsia"/>
          <w:color w:val="000000" w:themeColor="text1"/>
          <w:szCs w:val="28"/>
          <w:lang w:bidi="ar"/>
          <w14:textFill>
            <w14:solidFill>
              <w14:schemeClr w14:val="tx1"/>
            </w14:solidFill>
          </w14:textFill>
        </w:rPr>
        <w:t>视频客服服务器、智能派单功能服务器、5</w:t>
      </w:r>
      <w:r>
        <w:rPr>
          <w:rFonts w:asciiTheme="minorEastAsia" w:hAnsiTheme="minorEastAsia" w:eastAsiaTheme="minorEastAsia"/>
          <w:color w:val="000000" w:themeColor="text1"/>
          <w:szCs w:val="28"/>
          <w:lang w:bidi="ar"/>
          <w14:textFill>
            <w14:solidFill>
              <w14:schemeClr w14:val="tx1"/>
            </w14:solidFill>
          </w14:textFill>
        </w:rPr>
        <w:t>G</w:t>
      </w:r>
      <w:r>
        <w:rPr>
          <w:rFonts w:hint="eastAsia" w:asciiTheme="minorEastAsia" w:hAnsiTheme="minorEastAsia" w:eastAsiaTheme="minorEastAsia"/>
          <w:color w:val="000000" w:themeColor="text1"/>
          <w:szCs w:val="28"/>
          <w:lang w:bidi="ar"/>
          <w14:textFill>
            <w14:solidFill>
              <w14:schemeClr w14:val="tx1"/>
            </w14:solidFill>
          </w14:textFill>
        </w:rPr>
        <w:t>消息服务器、萧山区“一呼解忧”智治系统服务器。多媒体</w:t>
      </w:r>
      <w:r>
        <w:rPr>
          <w:rFonts w:asciiTheme="minorEastAsia" w:hAnsiTheme="minorEastAsia" w:eastAsiaTheme="minorEastAsia"/>
          <w:color w:val="000000" w:themeColor="text1"/>
          <w:szCs w:val="28"/>
          <w:lang w:bidi="ar"/>
          <w14:textFill>
            <w14:solidFill>
              <w14:schemeClr w14:val="tx1"/>
            </w14:solidFill>
          </w14:textFill>
        </w:rPr>
        <w:t>平台与呼叫中心通过标准的SIP协议实现通信集成。呼叫中心开放SIP中继能力，并通过内网专线集成到</w:t>
      </w:r>
      <w:r>
        <w:rPr>
          <w:rFonts w:hint="eastAsia" w:asciiTheme="minorEastAsia" w:hAnsiTheme="minorEastAsia" w:eastAsiaTheme="minorEastAsia"/>
          <w:color w:val="000000" w:themeColor="text1"/>
          <w:szCs w:val="28"/>
          <w:lang w:bidi="ar"/>
          <w14:textFill>
            <w14:solidFill>
              <w14:schemeClr w14:val="tx1"/>
            </w14:solidFill>
          </w14:textFill>
        </w:rPr>
        <w:t>5</w:t>
      </w:r>
      <w:r>
        <w:rPr>
          <w:rFonts w:asciiTheme="minorEastAsia" w:hAnsiTheme="minorEastAsia" w:eastAsiaTheme="minorEastAsia"/>
          <w:color w:val="000000" w:themeColor="text1"/>
          <w:szCs w:val="28"/>
          <w:lang w:bidi="ar"/>
          <w14:textFill>
            <w14:solidFill>
              <w14:schemeClr w14:val="tx1"/>
            </w14:solidFill>
          </w14:textFill>
        </w:rPr>
        <w:t>G</w:t>
      </w:r>
      <w:r>
        <w:rPr>
          <w:rFonts w:hint="eastAsia" w:asciiTheme="minorEastAsia" w:hAnsiTheme="minorEastAsia" w:eastAsiaTheme="minorEastAsia"/>
          <w:color w:val="000000" w:themeColor="text1"/>
          <w:szCs w:val="28"/>
          <w:lang w:bidi="ar"/>
          <w14:textFill>
            <w14:solidFill>
              <w14:schemeClr w14:val="tx1"/>
            </w14:solidFill>
          </w14:textFill>
        </w:rPr>
        <w:t>视频</w:t>
      </w:r>
      <w:r>
        <w:rPr>
          <w:rFonts w:asciiTheme="minorEastAsia" w:hAnsiTheme="minorEastAsia" w:eastAsiaTheme="minorEastAsia"/>
          <w:color w:val="000000" w:themeColor="text1"/>
          <w:szCs w:val="28"/>
          <w:lang w:bidi="ar"/>
          <w14:textFill>
            <w14:solidFill>
              <w14:schemeClr w14:val="tx1"/>
            </w14:solidFill>
          </w14:textFill>
        </w:rPr>
        <w:t>侧的软交换，完成与</w:t>
      </w:r>
      <w:r>
        <w:rPr>
          <w:rFonts w:hint="eastAsia" w:asciiTheme="minorEastAsia" w:hAnsiTheme="minorEastAsia" w:eastAsiaTheme="minorEastAsia"/>
          <w:color w:val="000000" w:themeColor="text1"/>
          <w:szCs w:val="28"/>
          <w:lang w:bidi="ar"/>
          <w14:textFill>
            <w14:solidFill>
              <w14:schemeClr w14:val="tx1"/>
            </w14:solidFill>
          </w14:textFill>
        </w:rPr>
        <w:t>5</w:t>
      </w:r>
      <w:r>
        <w:rPr>
          <w:rFonts w:asciiTheme="minorEastAsia" w:hAnsiTheme="minorEastAsia" w:eastAsiaTheme="minorEastAsia"/>
          <w:color w:val="000000" w:themeColor="text1"/>
          <w:szCs w:val="28"/>
          <w:lang w:bidi="ar"/>
          <w14:textFill>
            <w14:solidFill>
              <w14:schemeClr w14:val="tx1"/>
            </w14:solidFill>
          </w14:textFill>
        </w:rPr>
        <w:t>G</w:t>
      </w:r>
      <w:r>
        <w:rPr>
          <w:rFonts w:hint="eastAsia" w:asciiTheme="minorEastAsia" w:hAnsiTheme="minorEastAsia" w:eastAsiaTheme="minorEastAsia"/>
          <w:color w:val="000000" w:themeColor="text1"/>
          <w:szCs w:val="28"/>
          <w:lang w:bidi="ar"/>
          <w14:textFill>
            <w14:solidFill>
              <w14:schemeClr w14:val="tx1"/>
            </w14:solidFill>
          </w14:textFill>
        </w:rPr>
        <w:t>及建设平台</w:t>
      </w:r>
      <w:r>
        <w:rPr>
          <w:rFonts w:asciiTheme="minorEastAsia" w:hAnsiTheme="minorEastAsia" w:eastAsiaTheme="minorEastAsia"/>
          <w:color w:val="000000" w:themeColor="text1"/>
          <w:szCs w:val="28"/>
          <w:lang w:bidi="ar"/>
          <w14:textFill>
            <w14:solidFill>
              <w14:schemeClr w14:val="tx1"/>
            </w14:solidFill>
          </w14:textFill>
        </w:rPr>
        <w:t>的通信对接。</w:t>
      </w:r>
    </w:p>
    <w:p>
      <w:pPr>
        <w:pStyle w:val="5"/>
        <w:rPr>
          <w:rFonts w:asciiTheme="minorEastAsia" w:hAnsiTheme="minorEastAsia" w:eastAsiaTheme="minorEastAsia"/>
          <w:color w:val="000000" w:themeColor="text1"/>
          <w14:textFill>
            <w14:solidFill>
              <w14:schemeClr w14:val="tx1"/>
            </w14:solidFill>
          </w14:textFill>
        </w:rPr>
      </w:pPr>
      <w:bookmarkStart w:id="269" w:name="_Toc118808264"/>
      <w:r>
        <w:rPr>
          <w:rFonts w:asciiTheme="minorEastAsia" w:hAnsiTheme="minorEastAsia" w:eastAsiaTheme="minorEastAsia"/>
          <w:color w:val="000000" w:themeColor="text1"/>
          <w14:textFill>
            <w14:solidFill>
              <w14:schemeClr w14:val="tx1"/>
            </w14:solidFill>
          </w14:textFill>
        </w:rPr>
        <w:t>安全</w:t>
      </w:r>
      <w:r>
        <w:rPr>
          <w:rFonts w:hint="eastAsia" w:asciiTheme="minorEastAsia" w:hAnsiTheme="minorEastAsia" w:eastAsiaTheme="minorEastAsia"/>
          <w:color w:val="000000" w:themeColor="text1"/>
          <w14:textFill>
            <w14:solidFill>
              <w14:schemeClr w14:val="tx1"/>
            </w14:solidFill>
          </w14:textFill>
        </w:rPr>
        <w:t>系统设计</w:t>
      </w:r>
      <w:bookmarkEnd w:id="269"/>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为本次项目提供等保二级</w:t>
      </w:r>
      <w:r>
        <w:rPr>
          <w:rFonts w:hint="eastAsia" w:asciiTheme="minorEastAsia" w:hAnsiTheme="minorEastAsia" w:eastAsiaTheme="minorEastAsia"/>
          <w:color w:val="000000" w:themeColor="text1"/>
          <w:szCs w:val="28"/>
          <w14:textFill>
            <w14:solidFill>
              <w14:schemeClr w14:val="tx1"/>
            </w14:solidFill>
          </w14:textFill>
        </w:rPr>
        <w:t>和渗透测试服务</w:t>
      </w:r>
      <w:r>
        <w:rPr>
          <w:rFonts w:asciiTheme="minorEastAsia" w:hAnsiTheme="minorEastAsia" w:eastAsiaTheme="minorEastAsia"/>
          <w:color w:val="000000" w:themeColor="text1"/>
          <w:szCs w:val="28"/>
          <w14:textFill>
            <w14:solidFill>
              <w14:schemeClr w14:val="tx1"/>
            </w14:solidFill>
          </w14:textFill>
        </w:rPr>
        <w:t>安全体系建设构建安全防护。为信息安全技术体系、运维体系、管理体系的评估和规划，是信息安全保障体系的主体。</w:t>
      </w:r>
    </w:p>
    <w:p>
      <w:pPr>
        <w:jc w:val="center"/>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drawing>
          <wp:inline distT="0" distB="0" distL="114300" distR="114300">
            <wp:extent cx="5471160" cy="4067175"/>
            <wp:effectExtent l="0" t="0" r="1524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3"/>
                    <a:stretch>
                      <a:fillRect/>
                    </a:stretch>
                  </pic:blipFill>
                  <pic:spPr>
                    <a:xfrm>
                      <a:off x="0" y="0"/>
                      <a:ext cx="5471160" cy="4067175"/>
                    </a:xfrm>
                    <a:prstGeom prst="rect">
                      <a:avLst/>
                    </a:prstGeom>
                    <a:noFill/>
                    <a:ln>
                      <a:noFill/>
                    </a:ln>
                  </pic:spPr>
                </pic:pic>
              </a:graphicData>
            </a:graphic>
          </wp:inline>
        </w:drawing>
      </w:r>
    </w:p>
    <w:p>
      <w:pPr>
        <w:pStyle w:val="2"/>
        <w:rPr>
          <w:rFonts w:asciiTheme="minorEastAsia" w:hAnsiTheme="minorEastAsia" w:eastAsiaTheme="minorEastAsia"/>
          <w:color w:val="000000" w:themeColor="text1"/>
          <w14:textFill>
            <w14:solidFill>
              <w14:schemeClr w14:val="tx1"/>
            </w14:solidFill>
          </w14:textFill>
        </w:rPr>
      </w:pPr>
      <w:bookmarkStart w:id="270" w:name="_Toc80881222"/>
      <w:bookmarkStart w:id="271" w:name="_Toc118808265"/>
      <w:bookmarkStart w:id="272" w:name="_Toc77546559"/>
      <w:r>
        <w:rPr>
          <w:rFonts w:hint="eastAsia" w:asciiTheme="minorEastAsia" w:hAnsiTheme="minorEastAsia" w:eastAsiaTheme="minorEastAsia"/>
          <w:color w:val="000000" w:themeColor="text1"/>
          <w14:textFill>
            <w14:solidFill>
              <w14:schemeClr w14:val="tx1"/>
            </w14:solidFill>
          </w14:textFill>
        </w:rPr>
        <w:t>安全</w:t>
      </w:r>
      <w:r>
        <w:rPr>
          <w:rFonts w:asciiTheme="minorEastAsia" w:hAnsiTheme="minorEastAsia" w:eastAsiaTheme="minorEastAsia"/>
          <w:color w:val="000000" w:themeColor="text1"/>
          <w14:textFill>
            <w14:solidFill>
              <w14:schemeClr w14:val="tx1"/>
            </w14:solidFill>
          </w14:textFill>
        </w:rPr>
        <w:t>建设目标</w:t>
      </w:r>
      <w:bookmarkEnd w:id="270"/>
      <w:bookmarkEnd w:id="271"/>
      <w:bookmarkEnd w:id="272"/>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等级保护工作作为我国信息安全保障工作中的一项基本制度，对提高基础网络和重要信息系统安全防护水平有着重要作用，在《信息系统安全等级保护基本要求》中对信息安全管理和信息安全技术也提出了要求。</w:t>
      </w:r>
    </w:p>
    <w:p>
      <w:pPr>
        <w:jc w:val="center"/>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drawing>
          <wp:inline distT="0" distB="0" distL="114300" distR="114300">
            <wp:extent cx="5467985" cy="3161665"/>
            <wp:effectExtent l="0" t="0" r="18415" b="63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4"/>
                    <a:stretch>
                      <a:fillRect/>
                    </a:stretch>
                  </pic:blipFill>
                  <pic:spPr>
                    <a:xfrm>
                      <a:off x="0" y="0"/>
                      <a:ext cx="5467985" cy="3161665"/>
                    </a:xfrm>
                    <a:prstGeom prst="rect">
                      <a:avLst/>
                    </a:prstGeom>
                    <a:noFill/>
                    <a:ln>
                      <a:noFill/>
                    </a:ln>
                  </pic:spPr>
                </pic:pic>
              </a:graphicData>
            </a:graphic>
          </wp:inline>
        </w:drawing>
      </w:r>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信息安全运维体系的作用是在安全管理体系和安全技术体系的运行过程中，发现和纠正各类安全保障措施存在的问题和不足，保证它们稳定可靠运行，有效执行安全策略规定的目标和原则。</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建立技术体系的目的是通过使用安全产品和技术，支撑和实现安全策略，达到信息系统的保密、完整、可用等安全目标。按照P2DR2模型，行业信息安全技术体系涉及信息安全防护、检测、响应和恢复四个方面的内容：</w:t>
      </w:r>
    </w:p>
    <w:p>
      <w:pPr>
        <w:pStyle w:val="6"/>
        <w:rPr>
          <w:rFonts w:asciiTheme="minorEastAsia" w:hAnsiTheme="minorEastAsia" w:eastAsiaTheme="minorEastAsia"/>
          <w:color w:val="000000" w:themeColor="text1"/>
          <w14:textFill>
            <w14:solidFill>
              <w14:schemeClr w14:val="tx1"/>
            </w14:solidFill>
          </w14:textFill>
        </w:rPr>
      </w:pPr>
      <w:bookmarkStart w:id="273" w:name="_Toc80881223"/>
      <w:r>
        <w:rPr>
          <w:rFonts w:asciiTheme="minorEastAsia" w:hAnsiTheme="minorEastAsia" w:eastAsiaTheme="minorEastAsia"/>
          <w:color w:val="000000" w:themeColor="text1"/>
          <w14:textFill>
            <w14:solidFill>
              <w14:schemeClr w14:val="tx1"/>
            </w14:solidFill>
          </w14:textFill>
        </w:rPr>
        <w:t>防护</w:t>
      </w:r>
      <w:bookmarkEnd w:id="273"/>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通过访问控制、信息系统完整性保护、系统与通信保护、物理与环境保护等安全控制措施，使信息系统具备比较完善的抵抗攻击破坏的能力。</w:t>
      </w:r>
    </w:p>
    <w:p>
      <w:pPr>
        <w:pStyle w:val="6"/>
        <w:rPr>
          <w:rFonts w:asciiTheme="minorEastAsia" w:hAnsiTheme="minorEastAsia" w:eastAsiaTheme="minorEastAsia"/>
          <w:color w:val="000000" w:themeColor="text1"/>
          <w14:textFill>
            <w14:solidFill>
              <w14:schemeClr w14:val="tx1"/>
            </w14:solidFill>
          </w14:textFill>
        </w:rPr>
      </w:pPr>
      <w:bookmarkStart w:id="274" w:name="_Toc80881224"/>
      <w:r>
        <w:rPr>
          <w:rFonts w:asciiTheme="minorEastAsia" w:hAnsiTheme="minorEastAsia" w:eastAsiaTheme="minorEastAsia"/>
          <w:color w:val="000000" w:themeColor="text1"/>
          <w14:textFill>
            <w14:solidFill>
              <w14:schemeClr w14:val="tx1"/>
            </w14:solidFill>
          </w14:textFill>
        </w:rPr>
        <w:t>检测</w:t>
      </w:r>
      <w:bookmarkEnd w:id="274"/>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通过采取入侵检测、漏洞扫描、安全审计等技术手段，对信息系统运行状态和操作行为进行监控和记录，对信息系统的脆弱性以及面临的威胁进行评估，及时发现安全隐患和入侵行为并发出告警。</w:t>
      </w:r>
    </w:p>
    <w:p>
      <w:pPr>
        <w:pStyle w:val="6"/>
        <w:rPr>
          <w:rFonts w:asciiTheme="minorEastAsia" w:hAnsiTheme="minorEastAsia" w:eastAsiaTheme="minorEastAsia"/>
          <w:color w:val="000000" w:themeColor="text1"/>
          <w14:textFill>
            <w14:solidFill>
              <w14:schemeClr w14:val="tx1"/>
            </w14:solidFill>
          </w14:textFill>
        </w:rPr>
      </w:pPr>
      <w:bookmarkStart w:id="275" w:name="_Toc80881225"/>
      <w:r>
        <w:rPr>
          <w:rFonts w:asciiTheme="minorEastAsia" w:hAnsiTheme="minorEastAsia" w:eastAsiaTheme="minorEastAsia"/>
          <w:color w:val="000000" w:themeColor="text1"/>
          <w14:textFill>
            <w14:solidFill>
              <w14:schemeClr w14:val="tx1"/>
            </w14:solidFill>
          </w14:textFill>
        </w:rPr>
        <w:t>响应</w:t>
      </w:r>
      <w:bookmarkEnd w:id="275"/>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通过事件监控和处理工具等技术措施，提高应急处理和事件响应能力，保证在安全事件发生后能够及时进行分析、定位、跟踪、排除和取证。</w:t>
      </w:r>
    </w:p>
    <w:p>
      <w:pPr>
        <w:pStyle w:val="6"/>
        <w:rPr>
          <w:rFonts w:asciiTheme="minorEastAsia" w:hAnsiTheme="minorEastAsia" w:eastAsiaTheme="minorEastAsia"/>
          <w:color w:val="000000" w:themeColor="text1"/>
          <w14:textFill>
            <w14:solidFill>
              <w14:schemeClr w14:val="tx1"/>
            </w14:solidFill>
          </w14:textFill>
        </w:rPr>
      </w:pPr>
      <w:bookmarkStart w:id="276" w:name="_Toc80881226"/>
      <w:r>
        <w:rPr>
          <w:rFonts w:asciiTheme="minorEastAsia" w:hAnsiTheme="minorEastAsia" w:eastAsiaTheme="minorEastAsia"/>
          <w:color w:val="000000" w:themeColor="text1"/>
          <w14:textFill>
            <w14:solidFill>
              <w14:schemeClr w14:val="tx1"/>
            </w14:solidFill>
          </w14:textFill>
        </w:rPr>
        <w:t>恢复</w:t>
      </w:r>
      <w:bookmarkEnd w:id="276"/>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通过建立信息系统备份和恢复机制，保证在安全事件发生后及时有效地进行信息系统设施和重要数据的恢复。</w:t>
      </w:r>
    </w:p>
    <w:p>
      <w:pPr>
        <w:pStyle w:val="2"/>
        <w:rPr>
          <w:rFonts w:asciiTheme="minorEastAsia" w:hAnsiTheme="minorEastAsia" w:eastAsiaTheme="minorEastAsia"/>
          <w:color w:val="000000" w:themeColor="text1"/>
          <w14:textFill>
            <w14:solidFill>
              <w14:schemeClr w14:val="tx1"/>
            </w14:solidFill>
          </w14:textFill>
        </w:rPr>
      </w:pPr>
      <w:bookmarkStart w:id="277" w:name="_Toc77546561"/>
      <w:bookmarkStart w:id="278" w:name="_Toc80881232"/>
      <w:bookmarkStart w:id="279" w:name="_Toc118808266"/>
      <w:bookmarkStart w:id="280" w:name="_Toc80881227"/>
      <w:bookmarkStart w:id="281" w:name="_Toc77546560"/>
      <w:r>
        <w:rPr>
          <w:rFonts w:asciiTheme="minorEastAsia" w:hAnsiTheme="minorEastAsia" w:eastAsiaTheme="minorEastAsia"/>
          <w:color w:val="000000" w:themeColor="text1"/>
          <w14:textFill>
            <w14:solidFill>
              <w14:schemeClr w14:val="tx1"/>
            </w14:solidFill>
          </w14:textFill>
        </w:rPr>
        <w:t>安全建设原则</w:t>
      </w:r>
      <w:bookmarkEnd w:id="277"/>
      <w:bookmarkEnd w:id="278"/>
      <w:bookmarkEnd w:id="279"/>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技术保障体系的规划遵循以下原则：</w:t>
      </w:r>
    </w:p>
    <w:p>
      <w:pPr>
        <w:pStyle w:val="6"/>
        <w:rPr>
          <w:rFonts w:asciiTheme="minorEastAsia" w:hAnsiTheme="minorEastAsia" w:eastAsiaTheme="minorEastAsia"/>
          <w:color w:val="000000" w:themeColor="text1"/>
          <w14:textFill>
            <w14:solidFill>
              <w14:schemeClr w14:val="tx1"/>
            </w14:solidFill>
          </w14:textFill>
        </w:rPr>
      </w:pPr>
      <w:bookmarkStart w:id="282" w:name="_Toc80881233"/>
      <w:r>
        <w:rPr>
          <w:rFonts w:asciiTheme="minorEastAsia" w:hAnsiTheme="minorEastAsia" w:eastAsiaTheme="minorEastAsia"/>
          <w:color w:val="000000" w:themeColor="text1"/>
          <w14:textFill>
            <w14:solidFill>
              <w14:schemeClr w14:val="tx1"/>
            </w14:solidFill>
          </w14:textFill>
        </w:rPr>
        <w:t>先进性原则</w:t>
      </w:r>
      <w:bookmarkEnd w:id="282"/>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采用的技术和形成的规范，在路线上应与当前世界的主流发展趋势相一致，保证依据规范建成的网络安全系统具有先进性和可持续发展性。</w:t>
      </w:r>
    </w:p>
    <w:p>
      <w:pPr>
        <w:pStyle w:val="6"/>
        <w:rPr>
          <w:rFonts w:asciiTheme="minorEastAsia" w:hAnsiTheme="minorEastAsia" w:eastAsiaTheme="minorEastAsia"/>
          <w:color w:val="000000" w:themeColor="text1"/>
          <w14:textFill>
            <w14:solidFill>
              <w14:schemeClr w14:val="tx1"/>
            </w14:solidFill>
          </w14:textFill>
        </w:rPr>
      </w:pPr>
      <w:bookmarkStart w:id="283" w:name="_Toc80881234"/>
      <w:r>
        <w:rPr>
          <w:rFonts w:asciiTheme="minorEastAsia" w:hAnsiTheme="minorEastAsia" w:eastAsiaTheme="minorEastAsia"/>
          <w:color w:val="000000" w:themeColor="text1"/>
          <w14:textFill>
            <w14:solidFill>
              <w14:schemeClr w14:val="tx1"/>
            </w14:solidFill>
          </w14:textFill>
        </w:rPr>
        <w:t>实用性原则</w:t>
      </w:r>
      <w:bookmarkEnd w:id="283"/>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具备多层次、多角度、全方位、立体化的安全保护功能。各种安全技术措施尽显其长，相互补充。当某一种或某一层保护失效时，其它仍可起到保护作用。</w:t>
      </w:r>
    </w:p>
    <w:p>
      <w:pPr>
        <w:pStyle w:val="6"/>
        <w:rPr>
          <w:rFonts w:asciiTheme="minorEastAsia" w:hAnsiTheme="minorEastAsia" w:eastAsiaTheme="minorEastAsia"/>
          <w:color w:val="000000" w:themeColor="text1"/>
          <w14:textFill>
            <w14:solidFill>
              <w14:schemeClr w14:val="tx1"/>
            </w14:solidFill>
          </w14:textFill>
        </w:rPr>
      </w:pPr>
      <w:bookmarkStart w:id="284" w:name="_Toc80881235"/>
      <w:r>
        <w:rPr>
          <w:rFonts w:asciiTheme="minorEastAsia" w:hAnsiTheme="minorEastAsia" w:eastAsiaTheme="minorEastAsia"/>
          <w:color w:val="000000" w:themeColor="text1"/>
          <w14:textFill>
            <w14:solidFill>
              <w14:schemeClr w14:val="tx1"/>
            </w14:solidFill>
          </w14:textFill>
        </w:rPr>
        <w:t>可靠性原则</w:t>
      </w:r>
      <w:bookmarkEnd w:id="284"/>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加强网络安全产品的集中管理，保证关键网络安全设备的冷热备份，避免骨干传输线路的单点连接，保证系统7*24小时不间断可靠运行。</w:t>
      </w:r>
    </w:p>
    <w:p>
      <w:pPr>
        <w:pStyle w:val="6"/>
        <w:rPr>
          <w:rFonts w:asciiTheme="minorEastAsia" w:hAnsiTheme="minorEastAsia" w:eastAsiaTheme="minorEastAsia"/>
          <w:color w:val="000000" w:themeColor="text1"/>
          <w14:textFill>
            <w14:solidFill>
              <w14:schemeClr w14:val="tx1"/>
            </w14:solidFill>
          </w14:textFill>
        </w:rPr>
      </w:pPr>
      <w:bookmarkStart w:id="285" w:name="_Toc80881236"/>
      <w:r>
        <w:rPr>
          <w:rFonts w:asciiTheme="minorEastAsia" w:hAnsiTheme="minorEastAsia" w:eastAsiaTheme="minorEastAsia"/>
          <w:color w:val="000000" w:themeColor="text1"/>
          <w14:textFill>
            <w14:solidFill>
              <w14:schemeClr w14:val="tx1"/>
            </w14:solidFill>
          </w14:textFill>
        </w:rPr>
        <w:t>可操作性原则</w:t>
      </w:r>
      <w:bookmarkEnd w:id="285"/>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根据风险评估结果，制定出各具特色、有较强针对性和可操作性的网络安全技术保障规划，适用于信息安全的规划、建设、运行、维护和管理。</w:t>
      </w:r>
    </w:p>
    <w:p>
      <w:pPr>
        <w:pStyle w:val="6"/>
        <w:rPr>
          <w:rFonts w:asciiTheme="minorEastAsia" w:hAnsiTheme="minorEastAsia" w:eastAsiaTheme="minorEastAsia"/>
          <w:color w:val="000000" w:themeColor="text1"/>
          <w14:textFill>
            <w14:solidFill>
              <w14:schemeClr w14:val="tx1"/>
            </w14:solidFill>
          </w14:textFill>
        </w:rPr>
      </w:pPr>
      <w:bookmarkStart w:id="286" w:name="_Toc80881237"/>
      <w:r>
        <w:rPr>
          <w:rFonts w:asciiTheme="minorEastAsia" w:hAnsiTheme="minorEastAsia" w:eastAsiaTheme="minorEastAsia"/>
          <w:color w:val="000000" w:themeColor="text1"/>
          <w14:textFill>
            <w14:solidFill>
              <w14:schemeClr w14:val="tx1"/>
            </w14:solidFill>
          </w14:textFill>
        </w:rPr>
        <w:t>可扩展性原则</w:t>
      </w:r>
      <w:bookmarkEnd w:id="286"/>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规范应具有良好的可扩展性，能适应安全技术的快速发展和更新，能随着网络安全需求的变化而变化，网络安全保护周期应与整个网络的工作周期相同步，充分保证投资的效益</w:t>
      </w:r>
      <w:r>
        <w:rPr>
          <w:rFonts w:hint="eastAsia" w:asciiTheme="minorEastAsia" w:hAnsiTheme="minorEastAsia" w:eastAsiaTheme="minorEastAsia"/>
          <w:color w:val="000000" w:themeColor="text1"/>
          <w:szCs w:val="28"/>
          <w14:textFill>
            <w14:solidFill>
              <w14:schemeClr w14:val="tx1"/>
            </w14:solidFill>
          </w14:textFill>
        </w:rPr>
        <w:t>。</w:t>
      </w:r>
    </w:p>
    <w:p>
      <w:pPr>
        <w:pStyle w:val="2"/>
        <w:rPr>
          <w:color w:val="000000" w:themeColor="text1"/>
          <w14:textFill>
            <w14:solidFill>
              <w14:schemeClr w14:val="tx1"/>
            </w14:solidFill>
          </w14:textFill>
        </w:rPr>
      </w:pPr>
      <w:bookmarkStart w:id="287" w:name="_Toc118808267"/>
      <w:bookmarkStart w:id="288" w:name="_Toc77546563"/>
      <w:bookmarkStart w:id="289" w:name="_Toc80881243"/>
      <w:r>
        <w:rPr>
          <w:rFonts w:hint="eastAsia"/>
          <w:color w:val="000000" w:themeColor="text1"/>
          <w14:textFill>
            <w14:solidFill>
              <w14:schemeClr w14:val="tx1"/>
            </w14:solidFill>
          </w14:textFill>
        </w:rPr>
        <w:t>安全建设内容</w:t>
      </w:r>
      <w:bookmarkEnd w:id="287"/>
    </w:p>
    <w:bookmarkEnd w:id="288"/>
    <w:bookmarkEnd w:id="289"/>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等保二级服务</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测评依据</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投标供应商应依据国家等级保护相关标准开展工作，依据标准（包括但不限于）如下国家标准：</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1</w:t>
      </w:r>
      <w:r>
        <w:rPr>
          <w:rFonts w:hint="eastAsia" w:asciiTheme="minorEastAsia" w:hAnsiTheme="minorEastAsia" w:eastAsiaTheme="minorEastAsia"/>
          <w:color w:val="000000" w:themeColor="text1"/>
          <w:szCs w:val="28"/>
          <w14:textFill>
            <w14:solidFill>
              <w14:schemeClr w14:val="tx1"/>
            </w14:solidFill>
          </w14:textFill>
        </w:rPr>
        <w:t>.《信息安全技术 网络安全等级保护测评要求》（GB/T28448-2019）;</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2</w:t>
      </w:r>
      <w:r>
        <w:rPr>
          <w:rFonts w:hint="eastAsia" w:asciiTheme="minorEastAsia" w:hAnsiTheme="minorEastAsia" w:eastAsiaTheme="minorEastAsia"/>
          <w:color w:val="000000" w:themeColor="text1"/>
          <w:szCs w:val="28"/>
          <w14:textFill>
            <w14:solidFill>
              <w14:schemeClr w14:val="tx1"/>
            </w14:solidFill>
          </w14:textFill>
        </w:rPr>
        <w:t>．《信息安全技术 网络安全等级保护测评过程指南》（GB/T28449-2018）;</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3</w:t>
      </w:r>
      <w:r>
        <w:rPr>
          <w:rFonts w:hint="eastAsia" w:asciiTheme="minorEastAsia" w:hAnsiTheme="minorEastAsia" w:eastAsiaTheme="minorEastAsia"/>
          <w:color w:val="000000" w:themeColor="text1"/>
          <w:szCs w:val="28"/>
          <w14:textFill>
            <w14:solidFill>
              <w14:schemeClr w14:val="tx1"/>
            </w14:solidFill>
          </w14:textFill>
        </w:rPr>
        <w:t>．《信息安全技术 信息系统安全等级保护定级指南》（GB/T22240-2008）;</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4</w:t>
      </w:r>
      <w:r>
        <w:rPr>
          <w:rFonts w:hint="eastAsia" w:asciiTheme="minorEastAsia" w:hAnsiTheme="minorEastAsia" w:eastAsiaTheme="minorEastAsia"/>
          <w:color w:val="000000" w:themeColor="text1"/>
          <w:szCs w:val="28"/>
          <w14:textFill>
            <w14:solidFill>
              <w14:schemeClr w14:val="tx1"/>
            </w14:solidFill>
          </w14:textFill>
        </w:rPr>
        <w:t>．《信息安全技术 网络安全等级保护测试评估技术指南》（GB/T36627-2018）。</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测评服务内容</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全面分析应用系统的安全保护措施与等级保护相应级别之间的差距，进行合规性分析，为系统等级保护加固整改提供客观依据，测评的内容包括但不限于以下内容：</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一是安全通用要求（安全物理环境、安全通信网络、安全区域边界、安全计算环境、安全管理中心、安全管理制度、安全管理机构、安全管理人员、安全建设管理、安全运维管理）。</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二是现场测评完成后的整改建议服务。</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具体如下：</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a.安全物理环境</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安全物理环境测评主要关注机房在物理位置选择、物理访问控制、供电等方面的安全保护能力，具体测评指标描述如下。</w:t>
      </w:r>
    </w:p>
    <w:tbl>
      <w:tblPr>
        <w:tblStyle w:val="38"/>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831"/>
        <w:gridCol w:w="1867"/>
        <w:gridCol w:w="6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tblHeader/>
          <w:jc w:val="center"/>
        </w:trPr>
        <w:tc>
          <w:tcPr>
            <w:tcW w:w="831"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867"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6653"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物理位置的选择</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测评机房物理场所在位置上是否具有防震、防风和防雨等多方面的安全防范能力。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物理访问控制</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测评信息系统在物理访问控制方面的安全保护能力。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防盗窃和防破坏</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测评信息系统是否采取了必要的安全措施预防设备、介质等丢失和被破坏。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防雷击</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测评信息系统是否采取相应的措施预防雷击。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5</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防火</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测评信息系统是否采取必要的措施防止火灾的发生。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6</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防水和防潮</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测评信息系统是否采取必要措施来防止水灾和机房潮湿。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7</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防静电</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测评信息系统是否采取必要措施防止静电的产生。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8</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温湿度控制</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测评信息系统是否采取必要措施对机房内的温湿度进行控制。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9</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电力供应</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测评是否具备为信息系统提供一定电力供应的能力。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3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10</w:t>
            </w:r>
          </w:p>
        </w:tc>
        <w:tc>
          <w:tcPr>
            <w:tcW w:w="186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电磁防护</w:t>
            </w:r>
          </w:p>
        </w:tc>
        <w:tc>
          <w:tcPr>
            <w:tcW w:w="66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测评信息系统是否具备一定的电磁防护能力。</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290" w:name="_Toc15485537"/>
      <w:r>
        <w:rPr>
          <w:rFonts w:hint="eastAsia" w:asciiTheme="minorEastAsia" w:hAnsiTheme="minorEastAsia" w:eastAsiaTheme="minorEastAsia"/>
          <w:color w:val="000000" w:themeColor="text1"/>
          <w:szCs w:val="28"/>
          <w14:textFill>
            <w14:solidFill>
              <w14:schemeClr w14:val="tx1"/>
            </w14:solidFill>
          </w14:textFill>
        </w:rPr>
        <w:t>b.安全通信网络</w:t>
      </w:r>
      <w:bookmarkEnd w:id="290"/>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安全通信网络测评主要关注网络架构、通信传输、可信验证3方面的安全保护能力，具体测评指标描述如下。</w:t>
      </w:r>
    </w:p>
    <w:tbl>
      <w:tblPr>
        <w:tblStyle w:val="38"/>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801"/>
        <w:gridCol w:w="1769"/>
        <w:gridCol w:w="7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tblHeader/>
          <w:jc w:val="center"/>
        </w:trPr>
        <w:tc>
          <w:tcPr>
            <w:tcW w:w="801"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769"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7064"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0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769"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网络架构</w:t>
            </w:r>
          </w:p>
        </w:tc>
        <w:tc>
          <w:tcPr>
            <w:tcW w:w="706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网络管理员，检查网络设计/验收文档，检查网络拓扑图、检查交换机等网络互联设备，测试系统网络拓扑结构，访问路径，路由控制策略和网络带宽分配情况等过程，测评分析网络架构与网段划分、隔离等情况的合理性和有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0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769"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通信传输</w:t>
            </w:r>
          </w:p>
        </w:tc>
        <w:tc>
          <w:tcPr>
            <w:tcW w:w="706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检查是否提供密码技术的设备或组件，核查是否能够保证通信过程的保密性和完整性。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0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769"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可信验证</w:t>
            </w:r>
          </w:p>
        </w:tc>
        <w:tc>
          <w:tcPr>
            <w:tcW w:w="706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检查是否提供可信验证的设备或组件，检查相关设备或组件是否实现可信验证，并在可信性受到破坏后进行报警。</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291" w:name="_Toc15485541"/>
      <w:r>
        <w:rPr>
          <w:rFonts w:hint="eastAsia" w:asciiTheme="minorEastAsia" w:hAnsiTheme="minorEastAsia" w:eastAsiaTheme="minorEastAsia"/>
          <w:color w:val="000000" w:themeColor="text1"/>
          <w:szCs w:val="28"/>
          <w14:textFill>
            <w14:solidFill>
              <w14:schemeClr w14:val="tx1"/>
            </w14:solidFill>
          </w14:textFill>
        </w:rPr>
        <w:t>C.安全区域边界</w:t>
      </w:r>
      <w:bookmarkEnd w:id="291"/>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主要涉及边界防护、访问控制、入侵防范、恶意代码和垃圾邮件防范、安全审计和可信验证6个个方面的安全保护能力，具体测评指标描述如下。</w:t>
      </w:r>
    </w:p>
    <w:tbl>
      <w:tblPr>
        <w:tblStyle w:val="38"/>
        <w:tblW w:w="94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862"/>
        <w:gridCol w:w="1597"/>
        <w:gridCol w:w="7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tblHeader/>
          <w:jc w:val="center"/>
        </w:trPr>
        <w:tc>
          <w:tcPr>
            <w:tcW w:w="862"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597"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7034"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62"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59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边界防护</w:t>
            </w:r>
          </w:p>
        </w:tc>
        <w:tc>
          <w:tcPr>
            <w:tcW w:w="703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访谈网络管理员，查看网络拓扑和实际部署情况，是否通过边界设备的受控接口进行通信，是否部署终端管理系统对非法内外联行为进行检查或限制，是否对无线网络的使用进行限制等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62"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59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访问控制</w:t>
            </w:r>
          </w:p>
        </w:tc>
        <w:tc>
          <w:tcPr>
            <w:tcW w:w="703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访谈网络管理员，查看网络拓扑和实际部署情况，是否部署了访问控制设备，检查访问控制规则配置情况。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62"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59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入侵防范</w:t>
            </w:r>
          </w:p>
        </w:tc>
        <w:tc>
          <w:tcPr>
            <w:tcW w:w="703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访谈网络管理员，查看网络拓扑和实际部署情况，是否部署了入侵防范产品，核查产品运行情况和检测库更新情况，核查能够检测的攻击类型、范围等。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62"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159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恶意代码和垃圾邮件防范</w:t>
            </w:r>
          </w:p>
        </w:tc>
        <w:tc>
          <w:tcPr>
            <w:tcW w:w="703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访谈网络管理员，查看网络拓扑和实际部署情况，是否部署了网络层的防恶意代码产品，核查产品运行情况和恶意代码库更新情况；是否部署了防垃圾邮件产品，核查产品运行情况和规则库更新情况。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62"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5</w:t>
            </w:r>
          </w:p>
        </w:tc>
        <w:tc>
          <w:tcPr>
            <w:tcW w:w="159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安全审计</w:t>
            </w:r>
          </w:p>
        </w:tc>
        <w:tc>
          <w:tcPr>
            <w:tcW w:w="703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访谈网络管理员，查看网络拓扑和实际部署情况，是否部署了综合安全审计系统或类似功能的系统平台，安全审计范围是否覆盖到每个用户，审计记录是否充分完整，是否对审计记录进行保护。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862"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6</w:t>
            </w:r>
          </w:p>
        </w:tc>
        <w:tc>
          <w:tcPr>
            <w:tcW w:w="159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可信验证</w:t>
            </w:r>
          </w:p>
        </w:tc>
        <w:tc>
          <w:tcPr>
            <w:tcW w:w="7034"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检查是否提供可信验证的设备或组件，检查相关设备或组件是否实现可信验证，并在可信性受到破坏后进行报警。</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292" w:name="_Toc15485545"/>
      <w:r>
        <w:rPr>
          <w:rFonts w:hint="eastAsia" w:asciiTheme="minorEastAsia" w:hAnsiTheme="minorEastAsia" w:eastAsiaTheme="minorEastAsia"/>
          <w:color w:val="000000" w:themeColor="text1"/>
          <w:szCs w:val="28"/>
          <w14:textFill>
            <w14:solidFill>
              <w14:schemeClr w14:val="tx1"/>
            </w14:solidFill>
          </w14:textFill>
        </w:rPr>
        <w:t>d.安全计算环境</w:t>
      </w:r>
      <w:bookmarkEnd w:id="292"/>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计算环境主要涉及身份鉴别、访问控制、安全审计、入侵防范、恶意代码防范、可信验证、通信完整性、通信保密性、数据备份恢复、剩余信息保护以及个人信息保护11个方面的安全保护能力，具体测评指标描述如下。</w:t>
      </w:r>
    </w:p>
    <w:tbl>
      <w:tblPr>
        <w:tblStyle w:val="38"/>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45"/>
        <w:gridCol w:w="1417"/>
        <w:gridCol w:w="7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417"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7189"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身份鉴别</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终端和服务器的操作系统（宿主机和虚拟操作系统）、移动终端管理系统、数据库管理系统、业务应用系统、中间件、网络设备、安全设备、感知节点设备、网关节点设备和控制设备等，核查身份标识与鉴别功能设置和使用配置情况，核查对用户登录各种情况的处理，如登录失败处理、登录连接超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访问控制</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终端和服务器的操作系统（宿主机和虚拟操作系统）、移动终端管理系统、数据库管理系统、业务应用系统、中间件、网络设备、安全设备、感知节点设备、网关节点设备和控制设备等，核查访问控制功能设置情况，如访问控制的策略、访问控制粒度、权限设置情况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安全审计</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终端和服务器的操作系统（宿主机和虚拟操作系统）、移动终端管理系统、数据库管理系统、业务应用系统、中间件、网络设备、安全设备、感知节点设备、网关节点设备和控制设备等，是否启用安全审计功能，安全审计范围是否覆盖到每个用户，审计记录是否充分完整，是否对审计记录和审计进程进行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入侵防范</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终端和服务器的操作系统（宿主机和虚拟操作系统）、移动终端管理系统、数据库管理系统、业务应用系统、中间件、网络设备、安全设备、感知节点设备、网关节点设备和控制设备等，是否遵循最小安装原则，是否关闭不必要的服务和端口，是否限制管理方式和管理地址，是否采取入侵防范措施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5</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恶意代码防范</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检查终端和服务器的操作系统、移动终端管理系统、控制设备等是否安装了防恶意代码软件或相应功能的软件，是否定期升级恶意代码库。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6</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可信验证</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检查是否提供可信验证的设备或组件，检查相关设备或组件是否实现可信验证，并在可信性受到破坏后进行报警。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7</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数据完整性</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检查业务应用系统、数据库管理系统、中间件和系统管理软件及系统设计文档等，核查重要数据在传输和存储过程中完整性保护情况。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8</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数据保密性</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检查业务应用系统、数据库管理系统、中间件和系统管理软件及系统设计文档等，核查重要数据在传输和存储过程中保密性保护情况。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9</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数据备份恢复</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检查数据备份情况，如备份方式、备份策略、异地备份等；检查重要数据处理系统的冗余情况。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10</w:t>
            </w:r>
          </w:p>
        </w:tc>
        <w:tc>
          <w:tcPr>
            <w:tcW w:w="141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剩余信息保护</w:t>
            </w:r>
          </w:p>
        </w:tc>
        <w:tc>
          <w:tcPr>
            <w:tcW w:w="7189"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检查操作系统、业务应用系统、数据库管理系统、中间件和系统管理软件及系统设计文档，核查鉴别信息和敏感数据所在的存储空间被释放或重新分配前是否得到完全清除。</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293" w:name="_Toc15485549"/>
      <w:r>
        <w:rPr>
          <w:rFonts w:hint="eastAsia" w:asciiTheme="minorEastAsia" w:hAnsiTheme="minorEastAsia" w:eastAsiaTheme="minorEastAsia"/>
          <w:color w:val="000000" w:themeColor="text1"/>
          <w:szCs w:val="28"/>
          <w14:textFill>
            <w14:solidFill>
              <w14:schemeClr w14:val="tx1"/>
            </w14:solidFill>
          </w14:textFill>
        </w:rPr>
        <w:t>e.安全管理中心</w:t>
      </w:r>
      <w:bookmarkEnd w:id="293"/>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安全管理中心测评将通过访谈和检查的方式评测集中安全管理系统的情况。在内容上，安全管理中心测评实施过程涉及4个方面，具体测评指标描述如下。</w:t>
      </w:r>
    </w:p>
    <w:tbl>
      <w:tblPr>
        <w:tblStyle w:val="38"/>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45"/>
        <w:gridCol w:w="1777"/>
        <w:gridCol w:w="6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tblHeader/>
          <w:jc w:val="center"/>
        </w:trPr>
        <w:tc>
          <w:tcPr>
            <w:tcW w:w="745"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777"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6687"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77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系统管理</w:t>
            </w:r>
          </w:p>
        </w:tc>
        <w:tc>
          <w:tcPr>
            <w:tcW w:w="6687"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检查安全管理中心的身份鉴别和日志记录情况，检查是否对系统管理的操作进行审计，是否只允许系统管理员进行系统管理操作。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77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审计管理</w:t>
            </w:r>
          </w:p>
        </w:tc>
        <w:tc>
          <w:tcPr>
            <w:tcW w:w="6687"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检查安全管理中心的身份鉴别和日志记录情况，检查是否对安全审计操作进行审计，是否只允许审计管理员进行安全审计操作。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77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安全管理</w:t>
            </w:r>
          </w:p>
        </w:tc>
        <w:tc>
          <w:tcPr>
            <w:tcW w:w="6687"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检查安全管理中心的身份鉴别和日志记录情况，检查是否通过安全管理员对系统中的安全策略进行配置。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177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集中管控</w:t>
            </w:r>
          </w:p>
        </w:tc>
        <w:tc>
          <w:tcPr>
            <w:tcW w:w="6687"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检查安全管理中心及部署情况，是否对各类设备运行状况进行集中监测，是否对各类设备的审计数据进行集中收集和分析，是滞对安全策略、恶意代码、补丁升级等事项进行集中管理。</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294" w:name="_Toc182638550"/>
      <w:bookmarkStart w:id="295" w:name="_Toc15485550"/>
      <w:bookmarkStart w:id="296" w:name="_Toc248292401"/>
      <w:bookmarkStart w:id="297" w:name="_Toc182390514"/>
      <w:bookmarkStart w:id="298" w:name="_Toc183323080"/>
      <w:r>
        <w:rPr>
          <w:rFonts w:hint="eastAsia" w:asciiTheme="minorEastAsia" w:hAnsiTheme="minorEastAsia" w:eastAsiaTheme="minorEastAsia"/>
          <w:color w:val="000000" w:themeColor="text1"/>
          <w:szCs w:val="28"/>
          <w14:textFill>
            <w14:solidFill>
              <w14:schemeClr w14:val="tx1"/>
            </w14:solidFill>
          </w14:textFill>
        </w:rPr>
        <w:t>f.安全管理制度</w:t>
      </w:r>
      <w:bookmarkEnd w:id="294"/>
      <w:bookmarkEnd w:id="295"/>
      <w:bookmarkEnd w:id="296"/>
      <w:bookmarkEnd w:id="297"/>
      <w:bookmarkEnd w:id="298"/>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安全管理制度测评主要关注安全策略、理制度体系、制定与发布以及评审和修订4个方面，具体测评指标描述如下。</w:t>
      </w:r>
    </w:p>
    <w:tbl>
      <w:tblPr>
        <w:tblStyle w:val="38"/>
        <w:tblW w:w="83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54"/>
        <w:gridCol w:w="2347"/>
        <w:gridCol w:w="5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tblHeader/>
          <w:jc w:val="center"/>
        </w:trPr>
        <w:tc>
          <w:tcPr>
            <w:tcW w:w="754"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2347"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5228"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54"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234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安全策略</w:t>
            </w:r>
          </w:p>
        </w:tc>
        <w:tc>
          <w:tcPr>
            <w:tcW w:w="522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主要核查：总体方针策略类文件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54"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234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管理制度</w:t>
            </w:r>
          </w:p>
        </w:tc>
        <w:tc>
          <w:tcPr>
            <w:tcW w:w="522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主要核查：各类安全管理制度及操作手册的制定情况。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54"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234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制定和发布</w:t>
            </w:r>
          </w:p>
        </w:tc>
        <w:tc>
          <w:tcPr>
            <w:tcW w:w="522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主要核查：管理制度的制定与发布流程。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54"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2347"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评审和修订</w:t>
            </w:r>
          </w:p>
        </w:tc>
        <w:tc>
          <w:tcPr>
            <w:tcW w:w="522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主要核查：管理制度的评审和修订流程。</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299" w:name="_Toc248292402"/>
      <w:bookmarkStart w:id="300" w:name="_Toc183323081"/>
      <w:bookmarkStart w:id="301" w:name="_Toc182390513"/>
      <w:bookmarkStart w:id="302" w:name="_Toc182638551"/>
      <w:bookmarkStart w:id="303" w:name="_Toc15485554"/>
      <w:r>
        <w:rPr>
          <w:rFonts w:hint="eastAsia" w:asciiTheme="minorEastAsia" w:hAnsiTheme="minorEastAsia" w:eastAsiaTheme="minorEastAsia"/>
          <w:color w:val="000000" w:themeColor="text1"/>
          <w:szCs w:val="28"/>
          <w14:textFill>
            <w14:solidFill>
              <w14:schemeClr w14:val="tx1"/>
            </w14:solidFill>
          </w14:textFill>
        </w:rPr>
        <w:t>g.安全管理机构</w:t>
      </w:r>
      <w:bookmarkEnd w:id="299"/>
      <w:bookmarkEnd w:id="300"/>
      <w:bookmarkEnd w:id="301"/>
      <w:bookmarkEnd w:id="302"/>
      <w:r>
        <w:rPr>
          <w:rFonts w:hint="eastAsia" w:asciiTheme="minorEastAsia" w:hAnsiTheme="minorEastAsia" w:eastAsiaTheme="minorEastAsia"/>
          <w:color w:val="000000" w:themeColor="text1"/>
          <w:szCs w:val="28"/>
          <w14:textFill>
            <w14:solidFill>
              <w14:schemeClr w14:val="tx1"/>
            </w14:solidFill>
          </w14:textFill>
        </w:rPr>
        <w:t>测评</w:t>
      </w:r>
      <w:bookmarkEnd w:id="303"/>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安全管理机构测评主要涉及安全主管、相关管理制度以及相关工作/会议记录等测评对象。</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安全管理机构测评主要关注岗位设置、人员配备、授权和审批等5个方面，具体测评指标描述如下。</w:t>
      </w:r>
    </w:p>
    <w:tbl>
      <w:tblPr>
        <w:tblStyle w:val="38"/>
        <w:tblW w:w="89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45"/>
        <w:gridCol w:w="2476"/>
        <w:gridCol w:w="5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trHeight w:val="20" w:hRule="atLeast"/>
          <w:tblHeader/>
          <w:jc w:val="center"/>
        </w:trPr>
        <w:tc>
          <w:tcPr>
            <w:tcW w:w="745"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2476"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5705"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岗位设置</w:t>
            </w:r>
          </w:p>
        </w:tc>
        <w:tc>
          <w:tcPr>
            <w:tcW w:w="5705"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主要核查：各类安全管理制度及操作手册的制定情况。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人员配备</w:t>
            </w:r>
          </w:p>
        </w:tc>
        <w:tc>
          <w:tcPr>
            <w:tcW w:w="5705"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主要核查：管理制度的制定与发布流程。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授权和审批</w:t>
            </w:r>
          </w:p>
        </w:tc>
        <w:tc>
          <w:tcPr>
            <w:tcW w:w="5705"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主要核查：管理制度的评审和修订流程。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沟通与合作</w:t>
            </w:r>
          </w:p>
        </w:tc>
        <w:tc>
          <w:tcPr>
            <w:tcW w:w="5705"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主要核查：各类安全管理制度及操作手册的制定情况。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5</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审核与检查</w:t>
            </w:r>
          </w:p>
        </w:tc>
        <w:tc>
          <w:tcPr>
            <w:tcW w:w="5705"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主要核查：管理制度的制定与发布流程。</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304" w:name="_Toc182638552"/>
      <w:bookmarkStart w:id="305" w:name="_Toc183323082"/>
      <w:bookmarkStart w:id="306" w:name="_Toc248292403"/>
      <w:bookmarkStart w:id="307" w:name="_Toc15485555"/>
      <w:r>
        <w:rPr>
          <w:rFonts w:hint="eastAsia" w:asciiTheme="minorEastAsia" w:hAnsiTheme="minorEastAsia" w:eastAsiaTheme="minorEastAsia"/>
          <w:color w:val="000000" w:themeColor="text1"/>
          <w:szCs w:val="28"/>
          <w14:textFill>
            <w14:solidFill>
              <w14:schemeClr w14:val="tx1"/>
            </w14:solidFill>
          </w14:textFill>
        </w:rPr>
        <w:t>h.安全管理</w:t>
      </w:r>
      <w:bookmarkEnd w:id="304"/>
      <w:bookmarkEnd w:id="305"/>
      <w:bookmarkEnd w:id="306"/>
      <w:r>
        <w:rPr>
          <w:rFonts w:hint="eastAsia" w:asciiTheme="minorEastAsia" w:hAnsiTheme="minorEastAsia" w:eastAsiaTheme="minorEastAsia"/>
          <w:color w:val="000000" w:themeColor="text1"/>
          <w:szCs w:val="28"/>
          <w14:textFill>
            <w14:solidFill>
              <w14:schemeClr w14:val="tx1"/>
            </w14:solidFill>
          </w14:textFill>
        </w:rPr>
        <w:t>人员测评</w:t>
      </w:r>
      <w:bookmarkEnd w:id="307"/>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安全管理人员测评实施过程涉及人员录用、人员离岗、人员考核等4方面，具体测评指标描述如下。</w:t>
      </w:r>
    </w:p>
    <w:tbl>
      <w:tblPr>
        <w:tblStyle w:val="38"/>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45"/>
        <w:gridCol w:w="2476"/>
        <w:gridCol w:w="5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blHeader/>
          <w:jc w:val="center"/>
        </w:trPr>
        <w:tc>
          <w:tcPr>
            <w:tcW w:w="745" w:type="dxa"/>
            <w:shd w:val="clear" w:color="auto" w:fill="D9D9D9"/>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2476"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5846"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人员录用</w:t>
            </w:r>
          </w:p>
        </w:tc>
        <w:tc>
          <w:tcPr>
            <w:tcW w:w="5846"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主要核查：人员录用的标准与流程。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人员离岗</w:t>
            </w:r>
          </w:p>
        </w:tc>
        <w:tc>
          <w:tcPr>
            <w:tcW w:w="5846"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主要核查：人员离岗的流程。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安全意识教育和培训</w:t>
            </w:r>
          </w:p>
        </w:tc>
        <w:tc>
          <w:tcPr>
            <w:tcW w:w="5846"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主要核查：安全意识教育和培训的计划与安排、安全责任的惩罚措施情况。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247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外部人员访问管理</w:t>
            </w:r>
          </w:p>
        </w:tc>
        <w:tc>
          <w:tcPr>
            <w:tcW w:w="5846"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主要核查：外部人员访问重要区域的控制手段。</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308" w:name="_Toc248292404"/>
      <w:bookmarkStart w:id="309" w:name="_Toc182390516"/>
      <w:bookmarkStart w:id="310" w:name="_Toc183323083"/>
      <w:bookmarkStart w:id="311" w:name="_Toc182638553"/>
      <w:bookmarkStart w:id="312" w:name="_Toc15485556"/>
      <w:r>
        <w:rPr>
          <w:rFonts w:hint="eastAsia" w:asciiTheme="minorEastAsia" w:hAnsiTheme="minorEastAsia" w:eastAsiaTheme="minorEastAsia"/>
          <w:color w:val="000000" w:themeColor="text1"/>
          <w:szCs w:val="28"/>
          <w14:textFill>
            <w14:solidFill>
              <w14:schemeClr w14:val="tx1"/>
            </w14:solidFill>
          </w14:textFill>
        </w:rPr>
        <w:t>I.安全建设管理</w:t>
      </w:r>
      <w:bookmarkEnd w:id="308"/>
      <w:bookmarkEnd w:id="309"/>
      <w:bookmarkEnd w:id="310"/>
      <w:bookmarkEnd w:id="311"/>
      <w:r>
        <w:rPr>
          <w:rFonts w:hint="eastAsia" w:asciiTheme="minorEastAsia" w:hAnsiTheme="minorEastAsia" w:eastAsiaTheme="minorEastAsia"/>
          <w:color w:val="000000" w:themeColor="text1"/>
          <w:szCs w:val="28"/>
          <w14:textFill>
            <w14:solidFill>
              <w14:schemeClr w14:val="tx1"/>
            </w14:solidFill>
          </w14:textFill>
        </w:rPr>
        <w:t>测评</w:t>
      </w:r>
      <w:bookmarkEnd w:id="312"/>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安全建设管理测评涉及系统定级、安全方案设计和产品采购和使用等10方面，具体测评指标描述如下。</w:t>
      </w:r>
    </w:p>
    <w:tbl>
      <w:tblPr>
        <w:tblStyle w:val="38"/>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45"/>
        <w:gridCol w:w="1736"/>
        <w:gridCol w:w="7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tblHeader/>
          <w:jc w:val="center"/>
        </w:trPr>
        <w:tc>
          <w:tcPr>
            <w:tcW w:w="745" w:type="dxa"/>
            <w:shd w:val="clear" w:color="auto" w:fill="D9D9D9"/>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736"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7153"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系统定级</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通过访谈安全主管，检查系统定级相关文档等过程，测评信息系统是否按照一定要求确定其等级。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安全方案设计</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通过访谈系统建设负责人，检查系统安全建设计划等文档，测评被测评单位对系统整体的安全规划设计是否按照一定流程进行。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产品采购和使用</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通过访谈安全主管、系统建设负责人，检查相关采购制度等过程，测评被测评单位是否按照一定的要求进行信息系统的产品采购。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自行软件开发</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通过访谈系统建设负责人，检查相关软件开发文档和管理制度文档，测评被测评单位对自行开发的软件是否采取必要的措施保证开发过程的安全性。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5</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外包软件开发</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通过访谈系统建设负责人，检查相关文档，测评被测评单位对外包开发的软件是否采取必要的措施保证开发过程和日后的维护工作能够正常开展。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6</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工程实施</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通过访谈系统建设负责人，检查相关制度文档和实施文档，测评被测评单位对系统建设的实施过程是否采取必要的措施使其在机构可控的范围内进行。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7</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测试验收</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通过访谈系统建设负责人，检查相关制度文档和测试验收文档，测评被测评单位在信息系统运行前是否对其进行测试验收工作。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8</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系统交付</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通过访谈系统运维负责人，检查系统交付清单和系统交付管理制度等过程，测评被测评单位是否采取必要的措施对系统交付过程进行有效控制。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9</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等级测评</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通过访谈系统运维负责人，检查相关报告和记录文件，测评被测评单位是否定期进行等级测评，选择的测评机构是滞符合国家有关规定等。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0"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10</w:t>
            </w:r>
          </w:p>
        </w:tc>
        <w:tc>
          <w:tcPr>
            <w:tcW w:w="1736"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安全服务商选择</w:t>
            </w:r>
          </w:p>
        </w:tc>
        <w:tc>
          <w:tcPr>
            <w:tcW w:w="7153"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通过访谈系统运维负责人，测评被测评单位是否选择符合国家有关规定的安全服务单位进行相关的安全服务工作。</w:t>
            </w:r>
          </w:p>
        </w:tc>
      </w:tr>
    </w:tbl>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bookmarkStart w:id="313" w:name="_Toc248292405"/>
      <w:bookmarkStart w:id="314" w:name="_Toc182390517"/>
      <w:bookmarkStart w:id="315" w:name="_Toc183323084"/>
      <w:bookmarkStart w:id="316" w:name="_Toc182638554"/>
      <w:bookmarkStart w:id="317" w:name="_Toc15485557"/>
      <w:r>
        <w:rPr>
          <w:rFonts w:hint="eastAsia" w:asciiTheme="minorEastAsia" w:hAnsiTheme="minorEastAsia" w:eastAsiaTheme="minorEastAsia"/>
          <w:color w:val="000000" w:themeColor="text1"/>
          <w:szCs w:val="28"/>
          <w14:textFill>
            <w14:solidFill>
              <w14:schemeClr w14:val="tx1"/>
            </w14:solidFill>
          </w14:textFill>
        </w:rPr>
        <w:t>j.安全运维管理</w:t>
      </w:r>
      <w:bookmarkEnd w:id="313"/>
      <w:bookmarkEnd w:id="314"/>
      <w:bookmarkEnd w:id="315"/>
      <w:bookmarkEnd w:id="316"/>
      <w:r>
        <w:rPr>
          <w:rFonts w:hint="eastAsia" w:asciiTheme="minorEastAsia" w:hAnsiTheme="minorEastAsia" w:eastAsiaTheme="minorEastAsia"/>
          <w:color w:val="000000" w:themeColor="text1"/>
          <w:szCs w:val="28"/>
          <w14:textFill>
            <w14:solidFill>
              <w14:schemeClr w14:val="tx1"/>
            </w14:solidFill>
          </w14:textFill>
        </w:rPr>
        <w:t>测评</w:t>
      </w:r>
      <w:bookmarkEnd w:id="317"/>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安全运维管理测评主要涉及安全主管、各类运维人员、各类管理制度、操作规程文件和执行过程记录等测评对象。</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安全运维管理测评主要关注环境管理、资产管理和介质管理等14方面，具体测评指标描述如下。</w:t>
      </w:r>
    </w:p>
    <w:tbl>
      <w:tblPr>
        <w:tblStyle w:val="38"/>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85" w:type="dxa"/>
          <w:bottom w:w="85" w:type="dxa"/>
          <w:right w:w="85" w:type="dxa"/>
        </w:tblCellMar>
      </w:tblPr>
      <w:tblGrid>
        <w:gridCol w:w="745"/>
        <w:gridCol w:w="1481"/>
        <w:gridCol w:w="74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474" w:hRule="atLeast"/>
          <w:tblHeader/>
          <w:jc w:val="center"/>
        </w:trPr>
        <w:tc>
          <w:tcPr>
            <w:tcW w:w="745" w:type="dxa"/>
            <w:shd w:val="clear" w:color="auto" w:fill="D9D9D9"/>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序号</w:t>
            </w:r>
          </w:p>
        </w:tc>
        <w:tc>
          <w:tcPr>
            <w:tcW w:w="1481"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安全子类</w:t>
            </w:r>
          </w:p>
        </w:tc>
        <w:tc>
          <w:tcPr>
            <w:tcW w:w="7408" w:type="dxa"/>
            <w:shd w:val="clear" w:color="auto" w:fill="D9D9D9"/>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测评指标描述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环境管理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通过访谈安全物理环境负责人，检查主机房安全管理制度和办公环境管理文档等过程，测评被测评单位是否采取必要的措施对主机房的出入控制和办公环境的人员行为等方面进行安全管理。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2</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资产管理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通过访谈资产管理员，检查资产清单和系统、网络设备等过程，测评被测评单位是否采取必要的措施对信息系统资产进行分类标识管理。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3</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介质管理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通过访谈资产管理员，检查介质管理记录、介质安全管理制度以及各类介质等过程，测评被测评单位是否采取必要的措施对介质存放环境、使用、维护和销毁等方面进行管理。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4</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设备维护管理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通过访谈资产管理员、系统管理员，检查设备使用管理文档和设备操作规程等过程，测评被测评单位是否采取必要的措施确保设备在使用、维护和销毁等过程安全。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5</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漏洞和风险管理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通过访谈系统运维负责人，检查安全报告或记录，测评被测评单位是否采取必要的措施对漏洞进行识别和修补。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6</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网络和系统安全管理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安全主管、系统管理员、网络管理员，检查各管理员角色分工情况及权限，查看网络和系统安全管理制度，是否覆盖安全策略、帐户管理、权限审批和分配、配置文件的生成及备份、变更审批、日志管理等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7</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恶意代码防护管理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通过访谈系统运维负责人，检查恶意代码防范管理制度和恶意代码检测、分析记录等过程，测评被测评单位是否采取必要的措施对恶意代码进行集中管理，确保信息系统具有恶意代码防范能力。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8</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配置管理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通过访谈系统管理员，检查基本配置信息保存情况，检查配置变更流程记录文件。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914"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9</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密码管理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通过访谈安全员，检查密码管理制度等过程，测评被测评单位是否能够确保信息系统中密码算法和密钥的使用符合国家密码管理规定。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10</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变更管理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通过访谈系统运维负责人，检查变更方案和变更管理制度等过程，测评被测评单位是否采取必要的措施对系统发生的变更进行有效管理。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11</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备份和恢复管理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通过访谈系统管理员、网络管理员，检查系统备份管理文档和记录等过程，测评被测评单位是否采取必要的措施对数据、设备和系统进行备份，并确保必要时能够对信息系统进行有效地恢复。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12</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安全事件处置</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通过访谈系统运维负责人，检查安全事件记录分析文档、安全事件报告和处置管理制度等过程，测评被测评单位是否采取必要的措施对安全事件进行等级划分和对安全事件的报告、处理过程进行有效的管理。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13</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应急预案管理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通过访谈系统运维负责人，检查应急响应预案文档，应急预案培训记录等过程，测评被测评单位是否针对不同安全事件制定相应的应急预案，是否对应急预案展开培训、演练和审查等。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85" w:type="dxa"/>
            <w:bottom w:w="85" w:type="dxa"/>
            <w:right w:w="85" w:type="dxa"/>
          </w:tblCellMar>
        </w:tblPrEx>
        <w:trPr>
          <w:cantSplit/>
          <w:trHeight w:val="288" w:hRule="atLeast"/>
          <w:jc w:val="center"/>
        </w:trPr>
        <w:tc>
          <w:tcPr>
            <w:tcW w:w="745"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14</w:t>
            </w:r>
          </w:p>
        </w:tc>
        <w:tc>
          <w:tcPr>
            <w:tcW w:w="1481" w:type="dxa"/>
            <w:vAlign w:val="center"/>
          </w:tcPr>
          <w:p>
            <w:pPr>
              <w:jc w:val="cente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外包运维管理</w:t>
            </w:r>
          </w:p>
        </w:tc>
        <w:tc>
          <w:tcPr>
            <w:tcW w:w="7408" w:type="dxa"/>
            <w:vAlign w:val="center"/>
          </w:tcPr>
          <w:p>
            <w:pPr>
              <w:rPr>
                <w:rFonts w:cs="宋体" w:asciiTheme="majorEastAsia" w:hAnsiTheme="majorEastAsia" w:eastAsiaTheme="majorEastAsia"/>
                <w:color w:val="000000" w:themeColor="text1"/>
                <w:szCs w:val="21"/>
                <w14:textFill>
                  <w14:solidFill>
                    <w14:schemeClr w14:val="tx1"/>
                  </w14:solidFill>
                </w14:textFill>
              </w:rPr>
            </w:pPr>
            <w:r>
              <w:rPr>
                <w:rFonts w:hint="eastAsia" w:cs="宋体" w:asciiTheme="majorEastAsia" w:hAnsiTheme="majorEastAsia" w:eastAsiaTheme="majorEastAsia"/>
                <w:color w:val="000000" w:themeColor="text1"/>
                <w:szCs w:val="21"/>
                <w14:textFill>
                  <w14:solidFill>
                    <w14:schemeClr w14:val="tx1"/>
                  </w14:solidFill>
                </w14:textFill>
              </w:rPr>
              <w:t>通过访谈运维负责人，检查是否有外包运维服务情况；检查外包运维服务单位是否符合国家有关规定，检查外包运维服务协议等。</w:t>
            </w:r>
          </w:p>
        </w:tc>
      </w:tr>
      <w:bookmarkEnd w:id="280"/>
      <w:bookmarkEnd w:id="281"/>
    </w:tbl>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渗透测试服务</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渗透测试简介</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渗透测试是在经已经获得客户授权的情况下，对目标系统进行模拟黑客可能使用的攻击手段，对目标系统进行深入的漏洞挖掘， 并以报告的形式对目标系统作出安全现状的评估。渗透测试是一种非常专业的安全服务技术，它能够非常直观体现出目标系统的漏洞所在和具有非常针对性的引导客户改善目标系统的安全性。渗透测试主要依据专业的安全专家已经掌握的安全漏洞和安全检测工具，模拟黑客的攻击方法，在客户的授权和监督下对客户的系统和网络进行非破坏性质的攻击测试。渗透内容以客户授权文件中的范围为基准，渗透结果以报告的形式交付客户，报告内容包括但不限于描述具体的渗透测试过程和目标系统漏洞现状及修复建议。渗透测试主要以手工和工具配合的方式进行，工具判断速度快、范围广但基于判断算法的局限性导致存在一定的误报率，手工探测依据渗透人员多年的技术经验积累可以对漏洞精准判别。渗透测试需要投入的人力资源较大、对测试者的专业技能要求很高（渗透测试报告的价值直接依赖于测试者的专业机能），但是结果非常精准，可以为客户提供更全面，更深入的漏洞报告。</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渗透测试的可行性</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对现有信息系统资源的要求</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主要针对系统主机进行。因此，将占用主机系统及其所在的网络环境的部分资源。同时需要工作人员的一些配合（某些特定条件下，如为了节省时间破解密码，渗透测试将首先得到普通用户权限），对于其他的资源没有特殊的要求。</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渗透测试的方法</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黑客的攻击入侵需要利用目标网络的安全弱点，渗透测试也是同样的道理。它模拟真正的黑客入侵攻击方法，以人工渗透为主，辅助以攻击工具的使用，这样保证了整个渗透测试过程都在可以控制和调整的范围之内。</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渗透测试前后系统的状态</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由于采用可控制的、非破坏性质的渗透测试。因此，不会对渗透测试对象造成严重的影响。在渗透测试结束后，系统将保持正常运行状态。</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渗透测试原理</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主要依据已经掌握的安全漏洞信息，模拟黑客的真实攻击方法对系统和网络进行非破坏性质的攻击性测试。原则上，渗透测试工程师不会使用未知EXP（即并非被外界或者安全厂商所获悉的安全弱点）对目标对象进行测试，但不排除某些EXP可能引发重大安全事件（比如：严重的溢出、无权限但可远程执行代码等）的时，针对性的做出检测或者向用户预警。</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渗透测试类似于军事上的“实战演习”或“沙盘推演”的概念，可以让用户清晰了解目前网络所处的脆弱性和可能造成的影响，以便采取必要的防范措施。下图标示了一个攻击者的攻击路径和基础原理：</w:t>
      </w:r>
    </w:p>
    <w:p>
      <w:pPr>
        <w:pStyle w:val="33"/>
        <w:shd w:val="clear" w:color="auto" w:fill="FFFFFF"/>
        <w:spacing w:beforeAutospacing="0" w:afterAutospacing="0"/>
        <w:jc w:val="center"/>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114300" distR="114300">
            <wp:extent cx="4322445" cy="2641600"/>
            <wp:effectExtent l="0" t="0" r="8255" b="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95"/>
                    <a:stretch>
                      <a:fillRect/>
                    </a:stretch>
                  </pic:blipFill>
                  <pic:spPr>
                    <a:xfrm>
                      <a:off x="0" y="0"/>
                      <a:ext cx="4322445" cy="2641600"/>
                    </a:xfrm>
                    <a:prstGeom prst="rect">
                      <a:avLst/>
                    </a:prstGeom>
                    <a:noFill/>
                    <a:ln>
                      <a:noFill/>
                    </a:ln>
                  </pic:spPr>
                </pic:pic>
              </a:graphicData>
            </a:graphic>
          </wp:inline>
        </w:drawing>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这里，所有的渗透测试行为将在客户接口人的书面明确授权和监督下进行。</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渗透测试流程</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虽然渗透测试并不会一成不变的依照某个模式进行，也许过程当中因为其他的发现而发生策略上的变化。但它总归是有个原则需要依赖：必须是一个全面的、可以揭示更多问题的过程。有些安全公司在渗透测试的时候，发现了一个严重的高危漏洞，并且利用该漏洞获取了权限，然后输出报告给客户。但实际上，这个系统还存在着其他漏洞没有被发现---这就充分说明，渗透测试必须是一个系统化的服务。</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服务，严格履行流程原则，也就是说，哪怕发现一个高危漏洞并且可以获取更高权限，也绝对不会放过其它问题，哪怕是个很小的问题。因为，对于攻击者而言，一个小小的泄露，都可能引发他的攻击兴趣。</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渗透测试工作流程图如下所示：</w:t>
      </w:r>
    </w:p>
    <w:p>
      <w:pPr>
        <w:pStyle w:val="33"/>
        <w:shd w:val="clear" w:color="auto" w:fill="FFFFFF"/>
        <w:spacing w:beforeAutospacing="0" w:afterAutospacing="0"/>
        <w:jc w:val="center"/>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drawing>
          <wp:inline distT="0" distB="0" distL="114300" distR="114300">
            <wp:extent cx="4746625" cy="6771640"/>
            <wp:effectExtent l="0" t="0" r="3175" b="1016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96"/>
                    <a:stretch>
                      <a:fillRect/>
                    </a:stretch>
                  </pic:blipFill>
                  <pic:spPr>
                    <a:xfrm>
                      <a:off x="0" y="0"/>
                      <a:ext cx="4746625" cy="6771640"/>
                    </a:xfrm>
                    <a:prstGeom prst="rect">
                      <a:avLst/>
                    </a:prstGeom>
                    <a:noFill/>
                    <a:ln>
                      <a:noFill/>
                    </a:ln>
                  </pic:spPr>
                </pic:pic>
              </a:graphicData>
            </a:graphic>
          </wp:inline>
        </w:drawing>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参见上面的渗透测试流程图，信息的收集和分析伴随着每一个渗透测试步骤，每一个步骤又有三个部分组成：操作、响应和结果分析。</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现就根据流程图中的几个环节进行下列相关解释与描述。</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客户委托</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客户委托是进行渗透测试的必要条件。开发单位应尽最大努力做到客户对渗透测试所有细节和风险的知晓、所有过程都在客户的控制下进行。</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信息收集分析</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信息收集分析几乎是所有入侵攻击的前提。通过信息收集分析，渗透测试人员可以相应地、有针对性的制定入侵攻击的计划，提高入侵的成功率、减小暴露或被发现的几率。信息收集的方法包括主机网络扫描、端口扫描、操作系统类型辨别、应用服务辨别、账号扫描、配置信息辨别等。入侵常用的工具包括nmap、nessus、nc等工具。同时，还有操作系统中内置的许多工具也是常用的工具补充。</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信息收集后的分析的基础是安全漏洞知识库。</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提升权限</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通过收集信息和分析，存在两种可能性，其一是目标系统存在重大漏洞：渗透测试人员可以直接远程控制目标系统，这时渗透测试人员可以直接调查目标系统中的漏洞分布、原因，形成最终的渗透测试报告；其二是目标系统没有远程严重漏洞，但是可以获得远程普通权限，这时渗透测试人员可以通过该普通权限进一步收集目标系统信息。接下来，尽最大努力获取本地权限，收集本地信息，寻求本地权限提升的机会。这些信息收集分析、权限提升的循环上升结果构成了整个渗透测试过程的输出。</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渗透工具介绍</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渗透测试人员模拟黑客入侵攻击的过程中使用的是操作系统自带网络应用、管理和诊断工具、黑客可以在网络上免费下载的扫描器、远程入侵代码和本地提升权限代码以及自主开发的安全扫描及漏洞工具包。</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这些工具经过全球数以万计的程序员、网络管理员、安全专家以及黑客的测试和实际应用，在技术上已经非常成熟，实现了网络检查和安全测试的高度可控性，能够根据使用者的实际要求进行有针对性的测试。但是，安全工具本身也是一把双刃剑，为了做到万无一失，开发单位应针对系统可能出现的不稳定现象提出相应对策，以确保服务器和网络设备在进行渗透测试的过程中保持在可信状态。</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系统自带网络工具</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以下列出了主要应用到的系统自带网络应用、管理和诊断工具，透测试工程师将用到但不限于只使用以下系统命令进行渗透测试。</w:t>
      </w:r>
    </w:p>
    <w:tbl>
      <w:tblPr>
        <w:tblStyle w:val="38"/>
        <w:tblW w:w="9040"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411"/>
        <w:gridCol w:w="1619"/>
        <w:gridCol w:w="1585"/>
        <w:gridCol w:w="1612"/>
        <w:gridCol w:w="147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工具名称</w:t>
            </w:r>
          </w:p>
        </w:tc>
        <w:tc>
          <w:tcPr>
            <w:tcW w:w="1411"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风险等级</w:t>
            </w:r>
          </w:p>
        </w:tc>
        <w:tc>
          <w:tcPr>
            <w:tcW w:w="1619"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获取途径</w:t>
            </w:r>
          </w:p>
        </w:tc>
        <w:tc>
          <w:tcPr>
            <w:tcW w:w="1585"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主要用途</w:t>
            </w:r>
          </w:p>
        </w:tc>
        <w:tc>
          <w:tcPr>
            <w:tcW w:w="1612"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风险描述</w:t>
            </w:r>
          </w:p>
        </w:tc>
        <w:tc>
          <w:tcPr>
            <w:tcW w:w="1477"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风险控制</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ping</w:t>
            </w:r>
          </w:p>
        </w:tc>
        <w:tc>
          <w:tcPr>
            <w:tcW w:w="1411"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获取主机信息</w:t>
            </w:r>
          </w:p>
        </w:tc>
        <w:tc>
          <w:tcPr>
            <w:tcW w:w="1612"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telnet</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登录系统</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ftp</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传输文件</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tracert</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获取网络信息</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net use</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建立连接</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net user</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查看系统用户</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echo</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文件输出</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nslookup</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获取主机信息</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IE</w:t>
            </w:r>
          </w:p>
        </w:tc>
        <w:tc>
          <w:tcPr>
            <w:tcW w:w="141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1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系统自带</w:t>
            </w:r>
          </w:p>
        </w:tc>
        <w:tc>
          <w:tcPr>
            <w:tcW w:w="1585"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获得web信息、进行SQL注入</w:t>
            </w:r>
          </w:p>
        </w:tc>
        <w:tc>
          <w:tcPr>
            <w:tcW w:w="1612"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477"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bl>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自由软件和渗透测试工具</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以下列出了渗透测试中常用到的网络扫描工具、网络管理软件等工具，这些工具都是网络上的免费软件。透测试工程师将可能利用到但不限于以下工具。远程溢出代码和本地溢出代码需要根据具体系统的版本和漏洞情况来选择，由于种类繁杂并且不具代表性，在这里不会一一列出。</w:t>
      </w:r>
    </w:p>
    <w:tbl>
      <w:tblPr>
        <w:tblStyle w:val="38"/>
        <w:tblW w:w="9546"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029"/>
        <w:gridCol w:w="2891"/>
        <w:gridCol w:w="1408"/>
        <w:gridCol w:w="1499"/>
        <w:gridCol w:w="1663"/>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工具</w:t>
            </w:r>
          </w:p>
        </w:tc>
        <w:tc>
          <w:tcPr>
            <w:tcW w:w="1029"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风险</w:t>
            </w:r>
          </w:p>
        </w:tc>
        <w:tc>
          <w:tcPr>
            <w:tcW w:w="2891"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获取途径</w:t>
            </w:r>
          </w:p>
        </w:tc>
        <w:tc>
          <w:tcPr>
            <w:tcW w:w="1408"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主要用途</w:t>
            </w:r>
          </w:p>
        </w:tc>
        <w:tc>
          <w:tcPr>
            <w:tcW w:w="1499"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风险描述</w:t>
            </w:r>
          </w:p>
        </w:tc>
        <w:tc>
          <w:tcPr>
            <w:tcW w:w="1663" w:type="dxa"/>
            <w:tcBorders>
              <w:top w:val="double" w:color="auto" w:sz="4" w:space="0"/>
              <w:bottom w:val="single" w:color="auto" w:sz="4" w:space="0"/>
            </w:tcBorders>
            <w:shd w:val="clear" w:color="auto" w:fill="E6E6E6"/>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风险控制</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nmap</w:t>
            </w:r>
          </w:p>
        </w:tc>
        <w:tc>
          <w:tcPr>
            <w:tcW w:w="1029"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2891"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官方网站</w:t>
            </w:r>
          </w:p>
        </w:tc>
        <w:tc>
          <w:tcPr>
            <w:tcW w:w="1408" w:type="dxa"/>
            <w:tcBorders>
              <w:top w:val="single" w:color="auto" w:sz="4" w:space="0"/>
            </w:tcBorders>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获取主机开放的服务、端口信息</w:t>
            </w:r>
          </w:p>
        </w:tc>
        <w:tc>
          <w:tcPr>
            <w:tcW w:w="1499"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63" w:type="dxa"/>
            <w:tcBorders>
              <w:top w:val="single" w:color="auto" w:sz="4" w:space="0"/>
            </w:tcBorders>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nessus</w:t>
            </w:r>
          </w:p>
        </w:tc>
        <w:tc>
          <w:tcPr>
            <w:tcW w:w="102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低</w:t>
            </w:r>
          </w:p>
        </w:tc>
        <w:tc>
          <w:tcPr>
            <w:tcW w:w="289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官方网站</w:t>
            </w:r>
          </w:p>
        </w:tc>
        <w:tc>
          <w:tcPr>
            <w:tcW w:w="1408"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对主机进行漏洞扫描</w:t>
            </w:r>
          </w:p>
        </w:tc>
        <w:tc>
          <w:tcPr>
            <w:tcW w:w="1499"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可能造成网络资源的占用</w:t>
            </w:r>
          </w:p>
        </w:tc>
        <w:tc>
          <w:tcPr>
            <w:tcW w:w="1663"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如果主机负载过高，停止扫描。</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nc</w:t>
            </w:r>
          </w:p>
        </w:tc>
        <w:tc>
          <w:tcPr>
            <w:tcW w:w="102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289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netcat.sourceforge.net</w:t>
            </w:r>
          </w:p>
        </w:tc>
        <w:tc>
          <w:tcPr>
            <w:tcW w:w="1408"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端口连接工具</w:t>
            </w:r>
          </w:p>
        </w:tc>
        <w:tc>
          <w:tcPr>
            <w:tcW w:w="149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c>
          <w:tcPr>
            <w:tcW w:w="1663"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无</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远程溢出工具</w:t>
            </w:r>
          </w:p>
        </w:tc>
        <w:tc>
          <w:tcPr>
            <w:tcW w:w="102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中</w:t>
            </w:r>
          </w:p>
        </w:tc>
        <w:tc>
          <w:tcPr>
            <w:tcW w:w="289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www.securityfocus.com</w:t>
            </w:r>
          </w:p>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packetstormsecurity.nl</w:t>
            </w:r>
          </w:p>
        </w:tc>
        <w:tc>
          <w:tcPr>
            <w:tcW w:w="1408"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通过漏洞远程进入系统</w:t>
            </w:r>
          </w:p>
        </w:tc>
        <w:tc>
          <w:tcPr>
            <w:tcW w:w="1499"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溢出程序可能造成服务不稳定</w:t>
            </w:r>
          </w:p>
        </w:tc>
        <w:tc>
          <w:tcPr>
            <w:tcW w:w="1663"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备份数据，服务异常时重启服务。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本地溢出工具</w:t>
            </w:r>
          </w:p>
        </w:tc>
        <w:tc>
          <w:tcPr>
            <w:tcW w:w="1029"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中</w:t>
            </w:r>
          </w:p>
        </w:tc>
        <w:tc>
          <w:tcPr>
            <w:tcW w:w="2891" w:type="dxa"/>
            <w:vAlign w:val="center"/>
          </w:tcPr>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www.securityfocus.com</w:t>
            </w:r>
          </w:p>
          <w:p>
            <w:pPr>
              <w:jc w:val="center"/>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packetstormsecurity.nl</w:t>
            </w:r>
          </w:p>
        </w:tc>
        <w:tc>
          <w:tcPr>
            <w:tcW w:w="1408"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通过漏洞本地提升权限</w:t>
            </w:r>
          </w:p>
        </w:tc>
        <w:tc>
          <w:tcPr>
            <w:tcW w:w="1499"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溢出程序可能造成服务不稳定</w:t>
            </w:r>
          </w:p>
        </w:tc>
        <w:tc>
          <w:tcPr>
            <w:tcW w:w="1663" w:type="dxa"/>
            <w:vAlign w:val="center"/>
          </w:tcPr>
          <w:p>
            <w:pPr>
              <w:jc w:val="left"/>
              <w:rPr>
                <w:rFonts w:asciiTheme="minorEastAsia" w:hAnsiTheme="minorEastAsia" w:eastAsiaTheme="minorEastAsia"/>
                <w:color w:val="000000" w:themeColor="text1"/>
                <w:szCs w:val="18"/>
                <w14:textFill>
                  <w14:solidFill>
                    <w14:schemeClr w14:val="tx1"/>
                  </w14:solidFill>
                </w14:textFill>
              </w:rPr>
            </w:pPr>
            <w:r>
              <w:rPr>
                <w:rFonts w:hint="eastAsia" w:asciiTheme="minorEastAsia" w:hAnsiTheme="minorEastAsia" w:eastAsiaTheme="minorEastAsia"/>
                <w:color w:val="000000" w:themeColor="text1"/>
                <w:szCs w:val="18"/>
                <w14:textFill>
                  <w14:solidFill>
                    <w14:schemeClr w14:val="tx1"/>
                  </w14:solidFill>
                </w14:textFill>
              </w:rPr>
              <w:t>备份数据，服务异常时重启服务。</w:t>
            </w:r>
          </w:p>
        </w:tc>
      </w:tr>
    </w:tbl>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渗透测试常用方法</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1、SQL注入漏洞</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利用Web应用对数据库语言过滤不严格的漏洞，查找注入点并且利用。通告注入点的利用可以获取到WebShell或者向网站页面内注入特定代码、篡改页面内容等。</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SQL注入是从正常的WWW端口访问，而且表面看起来跟一般的Web页面访问没什么区别。所以，目前市面的防火墙都不会对SQL注入发出警报，如果管理员没查看IIS日志的习惯，可能被入侵很长时间都不会发觉。</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2、文件上传</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如果目标对象因为业务需要而有网页文件上传的功能的话，如果对文件上传过滤不严谨，可能导致被添加后门。利用上传漏洞可以直接得到WEBSHELL，风险性极高，现在的入侵中上传漏洞也是常见的漏洞。</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3、目录遍历</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如果目标站点服务器对WEB服务程序配置不当，则会导致用户可以查看网站的所有目录结构，获取可以利用的信息，如：后台路径、数据库路径等信息，如果碰上一些编辑器直接修改文件后产生BAK文件的话，这可以直接查看文件的源码，然后利用该信息，获取webshell甚至服务器控制权限。</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4、XSS跨站攻击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XSS（全称是Cross Site Scripting，意思是跨站脚本），通过该脚本可以诱使用户在不知不觉间泄漏个人信息，甚至中恶意代码。通过对获取的COOKIE利用，经常可在不知道该用户密码的情况下，而使用该用户登陆服务器。</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5、弱口令漏洞</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常用的弱口令包括系统管理员、数据库管理员、FTP用户、WEB服务后台管理员、MAIL管理员等等，通过这些可以获取webshell乃至系统权限。</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6、溢出漏洞</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溢出包括本地溢出和远程溢出漏洞，包括系统本身的溢出以及第三方软件的溢出。通过对溢出漏洞的利用，可获取目标服务器的信息，甚至获取到一个最高权限的shell。</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7、嗅探攻击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如果获取得到目标服务器同一网段的一台服务器，则可以通过sniffer，arp欺骗之类的攻击方式收集信息，或者欺骗目标服务器访问某些含有恶意代码网站，执行恶意程序，最后获得目标机器的控制权。</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8、拒绝服务攻击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所针对的拒绝服务攻击并非指“僵尸主机”式攻击（被攻击者入侵过或可间接利用的主机）。而是指因为系统存在拒绝服务的漏洞引发的拒绝服务。很多时候，运行在互联网的服务器存在多种复杂或者隐蔽的缓存溢出。那么，这种溢出也很容易导致被攻击者利用时产生拒绝服务的后果。渗透测试人员会严格并谨慎的对目标进行缓存查询，通过服务器的回应来判断缓存是否可被利用，一旦缓存可利用。那么，就会告知用户对该问题进行修复。当然，如果用户知晓后果并且授权利用该问题时，渗透测试人员方可进行下一步溢出---直至产生拒绝服务。</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9、DNS劫持攻击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通过某些手段取得某域名的解析记录控制权，进而修改此域名的解析结果，导致对该域名的访问由原IP地址转入到修改后的指定IP，其结果就是对特定的网址不能访问或访问的是假网址，从而实现窃取资料或者破坏原有正常服务的目的。</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10、旁注攻击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旁注，顾名思义是从旁注入。旁注就是通过目标网站所在的主机上存放的其他网站进行注入攻击的方法。通过搜索到当前主机上捆绑的其他站点，入侵者就可能从这些站点找到攻击的入口。旁注实际上是一种思想,一种考虑到管理员的设置和程序的功能缺陷而产生的攻击思路，不是一种单纯的路线入侵方法。旁注也可以以同一个网站上不同的组件之间的注入攻击来进行。</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11、字符集转换并发盲注攻击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字符集转换错误属于类跨站和类SQL注入的另外一种攻击形式。很多时候，攻击者发现注入点但并意味着就可以完全利用的了，但高深的攻击者会利用注入点来实现盲注攻击。盲注攻击的危害性很高。一个精心构造的盲注攻击脚本产生的量变可以导致整个数据库被劫持和篡改，金融行业一旦存在盲注（中间件跨越数据不驳回）将产生不可预估的严重后果。总之，盲注是很隐蔽的安全漏洞，均由过滤不严或者过滤失当导致，它的存在对于网上交易来说，其危害相当严重，依赖中间件来抵消这种攻击不是一个安全的解决方法。</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12、诱导攻击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诱导攻击是一种新式攻击技巧，属于IE攻击的类型，但有超越IE攻击的高度。诱导攻击是利用报头探针存储转发的形式来获取网络应用的惯性（安全防范）模式，然后利用这种递增的结论来编译诱导脚本，骗取服务器的不可对外信息。</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13、已知漏洞利用</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检测目标服务器或应用程序厂商已公开的漏洞，如果发现，将针对该漏洞编译测试EXP程序进行攻击。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14、其它渗透方法</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在测试过程中发现的其它问题，并可用于攻击的手段。</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输出结果</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输出结果内容包括：</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1、渗透测试提交的报告包括原始资料和分析报告；</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2、分析报告是渗透测试后提供的最终分析和建议报告；</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3、对于存在严重安全问题的目标，输出独立的渗透测试报告。</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信息保密和风险控制措施</w:t>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2</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1 </w:t>
      </w:r>
      <w:r>
        <w:rPr>
          <w:rFonts w:hint="eastAsia" w:ascii="Times New Roman" w:hAnsi="Times New Roman" w:eastAsiaTheme="minorEastAsia"/>
          <w:color w:val="000000" w:themeColor="text1"/>
          <w14:textFill>
            <w14:solidFill>
              <w14:schemeClr w14:val="tx1"/>
            </w14:solidFill>
          </w14:textFill>
        </w:rPr>
        <w:t>信息保密</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渗透测试需要对客户的信息控制有完善的保护措施，并需要建立客户信息管理制度，在各个环节实施上指定了专门的信息管理责任人。</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主要通过信息分级，技术控制，人员控制，职责分离等措施保障项目实施过程中所涉及的数据不泄露给无关人员。</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信息分级</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开发单位应对项目相关的文档进行分类，主要目的是为了便于统计哪些电子文档需要纳入专业安全服务的电子文档保护体系。而分级的主要标准是以文档所含内容的敏感程度。文档的保密级别总共分为三级：</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第一级：是指由用户提供的IP地址、帐号等信息。</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第二级：是指由用户提供的网络拓扑、资产信息等。</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第三级：是指由用户提供的业务流程、规章制度、操作规程等文档。</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保密手段，按照项目资料的三级情况，采取如下的手段：</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对于第一级的文档资料，要求可在用户内部借阅，但不得带离用户物理所在地的范围，由用户授权批准的例外，但需要按照授权方式进行处理。过程文档中及结果文档中涉及这些文档，要求做一定的处理，如IP地址用设备名称加描述信息来代替。</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对于第二级的文档资料，要求仅在具体项目小组内使用，要求由项目经理统一交接，加强控制。过程文档中及结果文档中涉及这些文档，要求做一定的处理，如网络拓扑可整理为逻辑示意图，不涉及具体的现网核心资产，可体现核心资产的重要性信息，但不体现核心资产的具体用途。</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对于第三级的文档资料，要求可在项目组内交流，同时注意内部保密。过程文档中及结果文档中可直接引用这些文档资料。</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技术控制</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对于客户相关的信息，需要强制要求渗透测试工程师采用统一的安全机密软件对客户信息进行加密，保证客户机密信息的安全性。</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职责分离</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实施专业服务项目时，项目经理将对敏感的信息系统资料（包括IP地址、网络拓扑、业务流程、规章制度、资产信息等内容）进行权限管理，项目参与人员将根据不同的角色，得到不同的项目数据。相关负责人将根据项目经理派发的项目数据进行分析并生成各阶段的评估报告。</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项目经理将掌握所有项目的数据，包括业务调查、过程文档资料以及结果文档资料；</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项目小组长将掌握其负责阶段的原始数据以及过程文档资料；</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项目小组成员只会获得其负责的工作的原始数据，而不会得到项目的其他细节。</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如果在项目中出现由于工作需要出现超越角色权限的信息传递时，需要向客户提交信息传递报告，并以双方签字确认。</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保密协议</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开发单位应签订《项目保密协议》并保证遵照《项目保密协议》中规定的保密条款并履行。</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所有参与安全服务项目实施的项目组成员也都必须遵守《员工保密协议》，并做到以下几点和项目相关的要求：</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1、保守客户的商业秘密，不得对外透露。</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2、客户访谈内容不得随意向项目组以外的人透露。</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3、项目的过程文件与资料不得随处乱放，以免泄露。</w:t>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2</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2 </w:t>
      </w:r>
      <w:r>
        <w:rPr>
          <w:rFonts w:hint="eastAsia" w:ascii="Times New Roman" w:hAnsi="Times New Roman" w:eastAsiaTheme="minorEastAsia"/>
          <w:color w:val="000000" w:themeColor="text1"/>
          <w14:textFill>
            <w14:solidFill>
              <w14:schemeClr w14:val="tx1"/>
            </w14:solidFill>
          </w14:textFill>
        </w:rPr>
        <w:t>实际风险控制</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数据采集过程风险处理</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这里的数据采集过程风险主要指扫描过程、人工审计过程、渗透测试过程的风险。进行数据采集前，项目经理需要提前提交当前工作计划，经过双方确认后，双方共同为数据采集做好相应风险规避措施，再进行数据的采集。这样不但能够保证双方合作时间上的可靠，同时可以防止因为采集数据（从网络设备、主机服务器上），造成影响设备、业务、系统正常运行的可能。</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当前工作计划完成后，数据采集人员需要提交工作确认单，经过双方确认数据采集工作后，开展下一步工作。可以通过工作确认，保证数据采集的有效性、准确性，防止进行重复性工作，同时避免工作的遗漏。</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服务实施方案的探讨、确认</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在服务实施前，针对于重要业务系统，安全服务顾问都会与系统管理员针对安全服务方案进行探讨，描述每个步骤可能带来的风险及规避方法，提出相关建议并由客户管理员确认最终的安全服务方案。</w:t>
      </w:r>
    </w:p>
    <w:p>
      <w:pPr>
        <w:pStyle w:val="33"/>
        <w:numPr>
          <w:ilvl w:val="0"/>
          <w:numId w:val="34"/>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综合分析阶段风险的控制</w:t>
      </w:r>
    </w:p>
    <w:p>
      <w:pPr>
        <w:pStyle w:val="33"/>
        <w:shd w:val="clear" w:color="auto" w:fill="FFFFFF"/>
        <w:spacing w:beforeAutospacing="0" w:afterAutospacing="0"/>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综合分析阶段主要是对已经采集的数据，进行综合整理和分析，完成相应的工作成果和报告。这个过程需要与客户的项目组保持更畅通的沟通渠道，对项目实施过程中可能存在的工作遗漏或不足，确认补救措施。对分析出的威胁、系统弱点等，需要结合具体业务赋予相应权值，为风险的定量分析做充分铺垫。</w:t>
      </w:r>
    </w:p>
    <w:p>
      <w:pPr>
        <w:pStyle w:val="6"/>
        <w:rPr>
          <w:rFonts w:asciiTheme="minorEastAsia" w:hAnsiTheme="minorEastAsia" w:eastAsiaTheme="minorEastAsia"/>
        </w:rPr>
      </w:pPr>
      <w:bookmarkStart w:id="318" w:name="_Toc111564461"/>
      <w:r>
        <w:rPr>
          <w:rFonts w:hint="eastAsia" w:asciiTheme="minorEastAsia" w:hAnsiTheme="minorEastAsia" w:eastAsiaTheme="minorEastAsia"/>
        </w:rPr>
        <w:t>风险评估服务</w:t>
      </w:r>
      <w:bookmarkEnd w:id="318"/>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对于构建一套良好的信息安全系统，需要对整个系统的安全风险有一个清晰的认识。只有清晰的了解了自身的弱点和风险的来源，才能够真正的解决和削弱它，并以此来构建有着对性的、合理有效的安全策略，而风险评估既是安全策略规划的第一步，同时也是实施其他安全策略的必要前提。</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近几年随着网络攻击的大规模肆虐攻击，很多用户的网络都遭受了不同程度的攻击，仔细分析就会发现，几乎所有的用户都部署了防病毒软件和类似的安全防护系统，越来越多的用户发现单纯的安全产品已经不能满足现在的安全防护体系的需求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安全是整体的体系建设过程，根据安全的木桶原理，组织网络的整个安全最大强度取决于最短最脆弱的那根木头，所以说在安全建设的过程中，如果不仔细的找到最短的那根木头，而盲目的在外面加钉子，并不能改善整体强度。</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信息安全风险评估是信息安全保障体系建立过程中的重要的评价方法和决策机制，只有通过全面的风险评估，才能让客户对自身信息安全的状况做出准确的判断。</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风险评估准备</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风险评估需要做如下准备：</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信息系统所有者提交授权书；</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信息系统所有者与风险评估服务技术支持方签署保密协议；</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风险评估服务技术支持方接收资料；</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信息系统所有者与风险评估服务技术支持方共同编制《风险评估计划》。</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确定风险评估范围；</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确定风险评估的目标；</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建立适当的组织结构；</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建立系统性的风险评估方法；</w:t>
      </w:r>
    </w:p>
    <w:p>
      <w:pPr>
        <w:pStyle w:val="33"/>
        <w:numPr>
          <w:ilvl w:val="0"/>
          <w:numId w:val="35"/>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获得最高管理者对风险评估策划的批准；</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资产识别</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调查和分析的信息资产主要包含物理环境、网络设备、主机、应用软件、业务系统、数据、人员、标准流程等。明确其现有状况、配置情况和管理情况。建立信息资产数据库，统一进行管理。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拓扑结构调查，包括对所有网络的拓扑结构进行调查，并按统一标准绘制成图。</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安全系统调查，包括明确现有安全设备</w:t>
      </w:r>
      <w:r>
        <w:rPr>
          <w:rFonts w:asciiTheme="minorEastAsia" w:hAnsiTheme="minorEastAsia" w:eastAsiaTheme="minorEastAsia"/>
          <w:szCs w:val="28"/>
        </w:rPr>
        <w:t>(</w:t>
      </w:r>
      <w:r>
        <w:rPr>
          <w:rFonts w:hint="eastAsia" w:asciiTheme="minorEastAsia" w:hAnsiTheme="minorEastAsia" w:eastAsiaTheme="minorEastAsia"/>
          <w:szCs w:val="28"/>
        </w:rPr>
        <w:t>防火墙、防病毒系统、入侵检测系统、安全扫描系统、审计系统</w:t>
      </w:r>
      <w:r>
        <w:rPr>
          <w:rFonts w:asciiTheme="minorEastAsia" w:hAnsiTheme="minorEastAsia" w:eastAsiaTheme="minorEastAsia"/>
          <w:szCs w:val="28"/>
        </w:rPr>
        <w:t>)</w:t>
      </w:r>
      <w:r>
        <w:rPr>
          <w:rFonts w:hint="eastAsia" w:asciiTheme="minorEastAsia" w:hAnsiTheme="minorEastAsia" w:eastAsiaTheme="minorEastAsia"/>
          <w:szCs w:val="28"/>
        </w:rPr>
        <w:t>的部署情况和使用情况；同时了解在建网络与信息安全建设项目，使之服从统一部署原则。</w:t>
      </w:r>
    </w:p>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资产定义</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资产是风险评估的最终评估对象。在一个全面的风险评估中，风险的所有重要因素都紧紧围绕着资产为中心，威胁、脆弱性以及风险都是针对资产而客观存在的。威胁利用资产自身的脆弱性使得安全事件的发生成为可能，从而形成了风险。这些安全事件一旦发生，将对资产甚至是整个系统都将造成一定的影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因此资产的评估是风险评估的一个重要的步骤，它被确定和估价的准确性将影响着后面所有因素的评估。本项目中资产评估的主要工作就是对信息系统的组成资产进行识别、确认。</w:t>
      </w:r>
    </w:p>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资产分类</w:t>
      </w:r>
    </w:p>
    <w:tbl>
      <w:tblPr>
        <w:tblStyle w:val="38"/>
        <w:tblW w:w="9062" w:type="dxa"/>
        <w:jc w:val="center"/>
        <w:tblLayout w:type="fixed"/>
        <w:tblCellMar>
          <w:top w:w="0" w:type="dxa"/>
          <w:left w:w="108" w:type="dxa"/>
          <w:bottom w:w="0" w:type="dxa"/>
          <w:right w:w="108" w:type="dxa"/>
        </w:tblCellMar>
      </w:tblPr>
      <w:tblGrid>
        <w:gridCol w:w="1120"/>
        <w:gridCol w:w="7942"/>
      </w:tblGrid>
      <w:tr>
        <w:tblPrEx>
          <w:tblCellMar>
            <w:top w:w="0" w:type="dxa"/>
            <w:left w:w="108" w:type="dxa"/>
            <w:bottom w:w="0" w:type="dxa"/>
            <w:right w:w="108" w:type="dxa"/>
          </w:tblCellMar>
        </w:tblPrEx>
        <w:trPr>
          <w:trHeight w:val="700" w:hRule="atLeast"/>
          <w:jc w:val="center"/>
        </w:trPr>
        <w:tc>
          <w:tcPr>
            <w:tcW w:w="1120" w:type="dxa"/>
            <w:tcBorders>
              <w:top w:val="single" w:color="000000" w:sz="8" w:space="0"/>
              <w:left w:val="single" w:color="000000" w:sz="8" w:space="0"/>
              <w:bottom w:val="single" w:color="auto" w:sz="4" w:space="0"/>
              <w:right w:val="single" w:color="000000" w:sz="8" w:space="0"/>
            </w:tcBorders>
            <w:shd w:val="clear" w:color="auto" w:fill="C0C0C0"/>
            <w:vAlign w:val="center"/>
          </w:tcPr>
          <w:p>
            <w:pPr>
              <w:jc w:val="center"/>
              <w:rPr>
                <w:rFonts w:asciiTheme="minorEastAsia" w:hAnsiTheme="minorEastAsia" w:eastAsiaTheme="minorEastAsia"/>
                <w:szCs w:val="18"/>
              </w:rPr>
            </w:pPr>
            <w:r>
              <w:rPr>
                <w:rFonts w:asciiTheme="minorEastAsia" w:hAnsiTheme="minorEastAsia" w:eastAsiaTheme="minorEastAsia"/>
                <w:szCs w:val="18"/>
              </w:rPr>
              <w:t>类别</w:t>
            </w:r>
          </w:p>
        </w:tc>
        <w:tc>
          <w:tcPr>
            <w:tcW w:w="7942" w:type="dxa"/>
            <w:tcBorders>
              <w:top w:val="single" w:color="000000" w:sz="8" w:space="0"/>
              <w:left w:val="nil"/>
              <w:bottom w:val="single" w:color="auto" w:sz="4" w:space="0"/>
              <w:right w:val="single" w:color="000000" w:sz="8" w:space="0"/>
            </w:tcBorders>
            <w:shd w:val="clear" w:color="auto" w:fill="C0C0C0"/>
            <w:vAlign w:val="center"/>
          </w:tcPr>
          <w:p>
            <w:pPr>
              <w:jc w:val="center"/>
              <w:rPr>
                <w:rFonts w:asciiTheme="minorEastAsia" w:hAnsiTheme="minorEastAsia" w:eastAsiaTheme="minorEastAsia"/>
                <w:szCs w:val="18"/>
              </w:rPr>
            </w:pPr>
            <w:r>
              <w:rPr>
                <w:rFonts w:asciiTheme="minorEastAsia" w:hAnsiTheme="minorEastAsia" w:eastAsiaTheme="minorEastAsia"/>
                <w:szCs w:val="18"/>
              </w:rPr>
              <w:t>解释</w:t>
            </w:r>
          </w:p>
        </w:tc>
      </w:tr>
      <w:tr>
        <w:tblPrEx>
          <w:tblCellMar>
            <w:top w:w="0" w:type="dxa"/>
            <w:left w:w="108" w:type="dxa"/>
            <w:bottom w:w="0" w:type="dxa"/>
            <w:right w:w="108" w:type="dxa"/>
          </w:tblCellMar>
        </w:tblPrEx>
        <w:trPr>
          <w:trHeight w:val="20" w:hRule="atLeast"/>
          <w:jc w:val="center"/>
        </w:trPr>
        <w:tc>
          <w:tcPr>
            <w:tcW w:w="1120"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数据</w:t>
            </w:r>
          </w:p>
        </w:tc>
        <w:tc>
          <w:tcPr>
            <w:tcW w:w="7942" w:type="dxa"/>
            <w:tcBorders>
              <w:top w:val="single" w:color="auto" w:sz="4" w:space="0"/>
              <w:left w:val="single" w:color="auto" w:sz="4" w:space="0"/>
              <w:bottom w:val="single" w:color="auto" w:sz="4" w:space="0"/>
              <w:right w:val="single" w:color="auto" w:sz="4" w:space="0"/>
            </w:tcBorders>
            <w:vAlign w:val="center"/>
          </w:tcPr>
          <w:p>
            <w:pPr>
              <w:rPr>
                <w:rFonts w:asciiTheme="minorEastAsia" w:hAnsiTheme="minorEastAsia" w:eastAsiaTheme="minorEastAsia"/>
                <w:szCs w:val="18"/>
              </w:rPr>
            </w:pPr>
            <w:r>
              <w:rPr>
                <w:rFonts w:hint="eastAsia" w:asciiTheme="minorEastAsia" w:hAnsiTheme="minorEastAsia" w:eastAsiaTheme="minorEastAsia"/>
                <w:szCs w:val="18"/>
              </w:rPr>
              <w:t>保存在信息媒介上的各种数据资料，包括源代码、数据库数据、系统文档、运行管理规程、计划、报告、用户手册、各类纸质的文档等。</w:t>
            </w:r>
          </w:p>
        </w:tc>
      </w:tr>
      <w:tr>
        <w:tblPrEx>
          <w:tblCellMar>
            <w:top w:w="0" w:type="dxa"/>
            <w:left w:w="108" w:type="dxa"/>
            <w:bottom w:w="0" w:type="dxa"/>
            <w:right w:w="108" w:type="dxa"/>
          </w:tblCellMar>
        </w:tblPrEx>
        <w:trPr>
          <w:trHeight w:val="20" w:hRule="atLeast"/>
          <w:jc w:val="center"/>
        </w:trPr>
        <w:tc>
          <w:tcPr>
            <w:tcW w:w="1120"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eastAsiaTheme="minorEastAsia"/>
                <w:szCs w:val="18"/>
              </w:rPr>
            </w:pPr>
            <w:r>
              <w:rPr>
                <w:rFonts w:asciiTheme="minorEastAsia" w:hAnsiTheme="minorEastAsia" w:eastAsiaTheme="minorEastAsia"/>
                <w:szCs w:val="18"/>
              </w:rPr>
              <w:t>软件</w:t>
            </w:r>
          </w:p>
        </w:tc>
        <w:tc>
          <w:tcPr>
            <w:tcW w:w="7942" w:type="dxa"/>
            <w:tcBorders>
              <w:top w:val="single" w:color="auto" w:sz="4" w:space="0"/>
              <w:left w:val="single" w:color="auto" w:sz="4" w:space="0"/>
              <w:bottom w:val="single" w:color="auto" w:sz="4" w:space="0"/>
              <w:right w:val="single" w:color="auto" w:sz="4" w:space="0"/>
            </w:tcBorders>
            <w:vAlign w:val="center"/>
          </w:tcPr>
          <w:p>
            <w:pPr>
              <w:rPr>
                <w:rFonts w:asciiTheme="minorEastAsia" w:hAnsiTheme="minorEastAsia" w:eastAsiaTheme="minorEastAsia"/>
                <w:szCs w:val="18"/>
              </w:rPr>
            </w:pPr>
            <w:r>
              <w:rPr>
                <w:rFonts w:hint="eastAsia" w:asciiTheme="minorEastAsia" w:hAnsiTheme="minorEastAsia" w:eastAsiaTheme="minorEastAsia"/>
                <w:szCs w:val="18"/>
              </w:rPr>
              <w:t>系统软件：操作系统、数据库管理系统、语句包、开发系统等；应用软件：办公软件、数据库软件、各类工具软件等；源程序：各种共享源代码、自行或合作开发的各种代码等。</w:t>
            </w:r>
          </w:p>
        </w:tc>
      </w:tr>
      <w:tr>
        <w:tblPrEx>
          <w:tblCellMar>
            <w:top w:w="0" w:type="dxa"/>
            <w:left w:w="108" w:type="dxa"/>
            <w:bottom w:w="0" w:type="dxa"/>
            <w:right w:w="108" w:type="dxa"/>
          </w:tblCellMar>
        </w:tblPrEx>
        <w:trPr>
          <w:trHeight w:val="20" w:hRule="atLeast"/>
          <w:jc w:val="center"/>
        </w:trPr>
        <w:tc>
          <w:tcPr>
            <w:tcW w:w="1120"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eastAsiaTheme="minorEastAsia"/>
                <w:szCs w:val="18"/>
              </w:rPr>
            </w:pPr>
            <w:r>
              <w:rPr>
                <w:rFonts w:asciiTheme="minorEastAsia" w:hAnsiTheme="minorEastAsia" w:eastAsiaTheme="minorEastAsia"/>
                <w:szCs w:val="18"/>
              </w:rPr>
              <w:t>硬件</w:t>
            </w:r>
          </w:p>
        </w:tc>
        <w:tc>
          <w:tcPr>
            <w:tcW w:w="7942" w:type="dxa"/>
            <w:tcBorders>
              <w:top w:val="single" w:color="auto" w:sz="4" w:space="0"/>
              <w:left w:val="single" w:color="auto" w:sz="4" w:space="0"/>
              <w:bottom w:val="single" w:color="auto" w:sz="4" w:space="0"/>
              <w:right w:val="single" w:color="auto" w:sz="4" w:space="0"/>
            </w:tcBorders>
            <w:vAlign w:val="center"/>
          </w:tcPr>
          <w:p>
            <w:pPr>
              <w:rPr>
                <w:rFonts w:asciiTheme="minorEastAsia" w:hAnsiTheme="minorEastAsia" w:eastAsiaTheme="minorEastAsia"/>
                <w:szCs w:val="18"/>
              </w:rPr>
            </w:pPr>
            <w:r>
              <w:rPr>
                <w:rFonts w:asciiTheme="minorEastAsia" w:hAnsiTheme="minorEastAsia" w:eastAsiaTheme="minorEastAsia"/>
                <w:szCs w:val="18"/>
              </w:rPr>
              <w:t>信息技术的物理设备，例如</w:t>
            </w:r>
            <w:r>
              <w:rPr>
                <w:rFonts w:hint="eastAsia" w:asciiTheme="minorEastAsia" w:hAnsiTheme="minorEastAsia" w:eastAsiaTheme="minorEastAsia"/>
                <w:szCs w:val="18"/>
              </w:rPr>
              <w:t>路由器、交换机、</w:t>
            </w:r>
            <w:r>
              <w:rPr>
                <w:rFonts w:asciiTheme="minorEastAsia" w:hAnsiTheme="minorEastAsia" w:eastAsiaTheme="minorEastAsia"/>
                <w:szCs w:val="18"/>
              </w:rPr>
              <w:t>工作站、服务器等。通常强调单独考虑这些物理设备的替代价值。</w:t>
            </w:r>
          </w:p>
        </w:tc>
      </w:tr>
      <w:tr>
        <w:tblPrEx>
          <w:tblCellMar>
            <w:top w:w="0" w:type="dxa"/>
            <w:left w:w="108" w:type="dxa"/>
            <w:bottom w:w="0" w:type="dxa"/>
            <w:right w:w="108" w:type="dxa"/>
          </w:tblCellMar>
        </w:tblPrEx>
        <w:trPr>
          <w:trHeight w:val="20" w:hRule="atLeast"/>
          <w:jc w:val="center"/>
        </w:trPr>
        <w:tc>
          <w:tcPr>
            <w:tcW w:w="1120"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服务</w:t>
            </w:r>
          </w:p>
        </w:tc>
        <w:tc>
          <w:tcPr>
            <w:tcW w:w="7942" w:type="dxa"/>
            <w:tcBorders>
              <w:top w:val="single" w:color="auto" w:sz="4" w:space="0"/>
              <w:left w:val="single" w:color="auto" w:sz="4" w:space="0"/>
              <w:bottom w:val="single" w:color="auto" w:sz="4" w:space="0"/>
              <w:right w:val="single" w:color="auto" w:sz="4" w:space="0"/>
            </w:tcBorders>
          </w:tcPr>
          <w:p>
            <w:pPr>
              <w:rPr>
                <w:rFonts w:asciiTheme="minorEastAsia" w:hAnsiTheme="minorEastAsia" w:eastAsiaTheme="minorEastAsia"/>
                <w:szCs w:val="18"/>
              </w:rPr>
            </w:pPr>
            <w:r>
              <w:rPr>
                <w:rFonts w:hint="eastAsia" w:asciiTheme="minorEastAsia" w:hAnsiTheme="minorEastAsia" w:eastAsiaTheme="minorEastAsia"/>
                <w:szCs w:val="18"/>
              </w:rPr>
              <w:t>信息服务：对外依赖该系统开展的各类服务；网络服务：各种网络设备、设施提供的网络连接服务；办公服务：为提高效率而开发的管理信息系统，包括各种内部配置管理、文件流转管理等</w:t>
            </w:r>
          </w:p>
        </w:tc>
      </w:tr>
      <w:tr>
        <w:tblPrEx>
          <w:tblCellMar>
            <w:top w:w="0" w:type="dxa"/>
            <w:left w:w="108" w:type="dxa"/>
            <w:bottom w:w="0" w:type="dxa"/>
            <w:right w:w="108" w:type="dxa"/>
          </w:tblCellMar>
        </w:tblPrEx>
        <w:trPr>
          <w:trHeight w:val="20" w:hRule="atLeast"/>
          <w:jc w:val="center"/>
        </w:trPr>
        <w:tc>
          <w:tcPr>
            <w:tcW w:w="1120"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eastAsiaTheme="minorEastAsia"/>
                <w:szCs w:val="18"/>
              </w:rPr>
            </w:pPr>
            <w:r>
              <w:rPr>
                <w:rFonts w:asciiTheme="minorEastAsia" w:hAnsiTheme="minorEastAsia" w:eastAsiaTheme="minorEastAsia"/>
                <w:szCs w:val="18"/>
              </w:rPr>
              <w:t>人员</w:t>
            </w:r>
          </w:p>
        </w:tc>
        <w:tc>
          <w:tcPr>
            <w:tcW w:w="7942" w:type="dxa"/>
            <w:tcBorders>
              <w:top w:val="single" w:color="auto" w:sz="4" w:space="0"/>
              <w:left w:val="single" w:color="auto" w:sz="4" w:space="0"/>
              <w:bottom w:val="single" w:color="auto" w:sz="4" w:space="0"/>
              <w:right w:val="single" w:color="auto" w:sz="4" w:space="0"/>
            </w:tcBorders>
            <w:vAlign w:val="center"/>
          </w:tcPr>
          <w:p>
            <w:pPr>
              <w:rPr>
                <w:rFonts w:asciiTheme="minorEastAsia" w:hAnsiTheme="minorEastAsia" w:eastAsiaTheme="minorEastAsia"/>
                <w:szCs w:val="18"/>
              </w:rPr>
            </w:pPr>
            <w:r>
              <w:rPr>
                <w:rFonts w:asciiTheme="minorEastAsia" w:hAnsiTheme="minorEastAsia" w:eastAsiaTheme="minorEastAsia"/>
                <w:szCs w:val="18"/>
              </w:rPr>
              <w:t>指组织中拥有独特技能、知识和经验的，他人难以替代的人。当人被标识为资产时，要确定是否还有更适于标识的相关资产。例如，标识他们使用、维护、管理的关键系统，或者他们为其他使用者提供的信息。</w:t>
            </w:r>
          </w:p>
        </w:tc>
      </w:tr>
      <w:tr>
        <w:tblPrEx>
          <w:tblCellMar>
            <w:top w:w="0" w:type="dxa"/>
            <w:left w:w="108" w:type="dxa"/>
            <w:bottom w:w="0" w:type="dxa"/>
            <w:right w:w="108" w:type="dxa"/>
          </w:tblCellMar>
        </w:tblPrEx>
        <w:trPr>
          <w:trHeight w:val="20" w:hRule="atLeast"/>
          <w:jc w:val="center"/>
        </w:trPr>
        <w:tc>
          <w:tcPr>
            <w:tcW w:w="1120"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其他</w:t>
            </w:r>
          </w:p>
        </w:tc>
        <w:tc>
          <w:tcPr>
            <w:tcW w:w="7942" w:type="dxa"/>
            <w:tcBorders>
              <w:top w:val="single" w:color="auto" w:sz="4" w:space="0"/>
              <w:left w:val="single" w:color="auto" w:sz="4" w:space="0"/>
              <w:bottom w:val="single" w:color="auto" w:sz="4" w:space="0"/>
              <w:right w:val="single" w:color="auto" w:sz="4" w:space="0"/>
            </w:tcBorders>
            <w:vAlign w:val="center"/>
          </w:tcPr>
          <w:p>
            <w:pPr>
              <w:rPr>
                <w:rFonts w:asciiTheme="minorEastAsia" w:hAnsiTheme="minorEastAsia" w:eastAsiaTheme="minorEastAsia"/>
                <w:szCs w:val="18"/>
              </w:rPr>
            </w:pPr>
            <w:r>
              <w:rPr>
                <w:rFonts w:hint="eastAsia" w:asciiTheme="minorEastAsia" w:hAnsiTheme="minorEastAsia" w:eastAsiaTheme="minorEastAsia"/>
                <w:szCs w:val="18"/>
              </w:rPr>
              <w:t>企业形象、客户关系等。</w:t>
            </w:r>
          </w:p>
        </w:tc>
      </w:tr>
    </w:tbl>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资产保密性赋值</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根据资产保密性属性的不同，将它分为5个不同的等级，分别对应资产在保密性方面的价值或者在保密性方面受到损失时对整个评估的影响。</w:t>
      </w:r>
    </w:p>
    <w:tbl>
      <w:tblPr>
        <w:tblStyle w:val="38"/>
        <w:tblW w:w="905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36"/>
        <w:gridCol w:w="1701"/>
        <w:gridCol w:w="652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36" w:type="dxa"/>
            <w:tcBorders>
              <w:top w:val="single" w:color="000000" w:sz="12" w:space="0"/>
            </w:tcBorders>
          </w:tcPr>
          <w:p>
            <w:pPr>
              <w:jc w:val="center"/>
              <w:rPr>
                <w:rFonts w:asciiTheme="minorEastAsia" w:hAnsiTheme="minorEastAsia" w:eastAsiaTheme="minorEastAsia"/>
                <w:szCs w:val="18"/>
              </w:rPr>
            </w:pPr>
            <w:r>
              <w:rPr>
                <w:rFonts w:hint="eastAsia" w:asciiTheme="minorEastAsia" w:hAnsiTheme="minorEastAsia" w:eastAsiaTheme="minorEastAsia"/>
                <w:szCs w:val="18"/>
              </w:rPr>
              <w:t>赋值</w:t>
            </w:r>
          </w:p>
        </w:tc>
        <w:tc>
          <w:tcPr>
            <w:tcW w:w="1701" w:type="dxa"/>
            <w:tcBorders>
              <w:top w:val="single" w:color="000000" w:sz="12" w:space="0"/>
            </w:tcBorders>
          </w:tcPr>
          <w:p>
            <w:pPr>
              <w:jc w:val="center"/>
              <w:rPr>
                <w:rFonts w:asciiTheme="minorEastAsia" w:hAnsiTheme="minorEastAsia" w:eastAsiaTheme="minorEastAsia"/>
                <w:szCs w:val="18"/>
              </w:rPr>
            </w:pPr>
            <w:r>
              <w:rPr>
                <w:rFonts w:hint="eastAsia" w:asciiTheme="minorEastAsia" w:hAnsiTheme="minorEastAsia" w:eastAsiaTheme="minorEastAsia"/>
                <w:szCs w:val="18"/>
              </w:rPr>
              <w:t>标识</w:t>
            </w:r>
          </w:p>
        </w:tc>
        <w:tc>
          <w:tcPr>
            <w:tcW w:w="6520" w:type="dxa"/>
            <w:tcBorders>
              <w:top w:val="single" w:color="000000" w:sz="12" w:space="0"/>
            </w:tcBorders>
          </w:tcPr>
          <w:p>
            <w:pPr>
              <w:jc w:val="center"/>
              <w:rPr>
                <w:rFonts w:asciiTheme="minorEastAsia" w:hAnsiTheme="minorEastAsia" w:eastAsiaTheme="minorEastAsia"/>
                <w:szCs w:val="18"/>
              </w:rPr>
            </w:pPr>
            <w:r>
              <w:rPr>
                <w:rFonts w:hint="eastAsia" w:asciiTheme="minorEastAsia" w:hAnsiTheme="minorEastAsia" w:eastAsiaTheme="minorEastAsia"/>
                <w:szCs w:val="18"/>
              </w:rPr>
              <w:t>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36"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5</w:t>
            </w:r>
          </w:p>
        </w:tc>
        <w:tc>
          <w:tcPr>
            <w:tcW w:w="1701"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极高</w:t>
            </w:r>
          </w:p>
        </w:tc>
        <w:tc>
          <w:tcPr>
            <w:tcW w:w="6520" w:type="dxa"/>
            <w:tcBorders>
              <w:top w:val="single" w:color="000000" w:sz="12" w:space="0"/>
            </w:tcBorders>
          </w:tcPr>
          <w:p>
            <w:pPr>
              <w:jc w:val="left"/>
              <w:rPr>
                <w:rFonts w:asciiTheme="minorEastAsia" w:hAnsiTheme="minorEastAsia" w:eastAsiaTheme="minorEastAsia"/>
                <w:szCs w:val="18"/>
              </w:rPr>
            </w:pPr>
            <w:r>
              <w:rPr>
                <w:rFonts w:hint="eastAsia" w:asciiTheme="minorEastAsia" w:hAnsiTheme="minorEastAsia" w:eastAsiaTheme="minorEastAsia"/>
                <w:szCs w:val="18"/>
              </w:rPr>
              <w:t>指组织最重要的机密，关系组织未来发展的前途命运，对组织根本利益有着决定性影响，如果泄漏会造成灾难性的影响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36"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4</w:t>
            </w:r>
          </w:p>
        </w:tc>
        <w:tc>
          <w:tcPr>
            <w:tcW w:w="1701"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高</w:t>
            </w:r>
          </w:p>
        </w:tc>
        <w:tc>
          <w:tcPr>
            <w:tcW w:w="6520" w:type="dxa"/>
          </w:tcPr>
          <w:p>
            <w:pPr>
              <w:jc w:val="left"/>
              <w:rPr>
                <w:rFonts w:asciiTheme="minorEastAsia" w:hAnsiTheme="minorEastAsia" w:eastAsiaTheme="minorEastAsia"/>
                <w:szCs w:val="18"/>
              </w:rPr>
            </w:pPr>
            <w:r>
              <w:rPr>
                <w:rFonts w:hint="eastAsia" w:asciiTheme="minorEastAsia" w:hAnsiTheme="minorEastAsia" w:eastAsiaTheme="minorEastAsia"/>
                <w:szCs w:val="18"/>
              </w:rPr>
              <w:t>是指包含组织的重要秘密，其泄露会使组织的安全和利益遭受严重损害</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36"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3</w:t>
            </w:r>
          </w:p>
        </w:tc>
        <w:tc>
          <w:tcPr>
            <w:tcW w:w="1701"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中等</w:t>
            </w:r>
          </w:p>
        </w:tc>
        <w:tc>
          <w:tcPr>
            <w:tcW w:w="6520" w:type="dxa"/>
          </w:tcPr>
          <w:p>
            <w:pPr>
              <w:jc w:val="left"/>
              <w:rPr>
                <w:rFonts w:asciiTheme="minorEastAsia" w:hAnsiTheme="minorEastAsia" w:eastAsiaTheme="minorEastAsia"/>
                <w:szCs w:val="18"/>
              </w:rPr>
            </w:pPr>
            <w:r>
              <w:rPr>
                <w:rFonts w:hint="eastAsia" w:asciiTheme="minorEastAsia" w:hAnsiTheme="minorEastAsia" w:eastAsiaTheme="minorEastAsia"/>
                <w:szCs w:val="18"/>
              </w:rPr>
              <w:t>是指包含组织一般性秘密，其泄露会使组织的安全和利益受到损害</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36"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2</w:t>
            </w:r>
          </w:p>
        </w:tc>
        <w:tc>
          <w:tcPr>
            <w:tcW w:w="1701"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低</w:t>
            </w:r>
          </w:p>
        </w:tc>
        <w:tc>
          <w:tcPr>
            <w:tcW w:w="6520" w:type="dxa"/>
          </w:tcPr>
          <w:p>
            <w:pPr>
              <w:jc w:val="left"/>
              <w:rPr>
                <w:rFonts w:asciiTheme="minorEastAsia" w:hAnsiTheme="minorEastAsia" w:eastAsiaTheme="minorEastAsia"/>
                <w:szCs w:val="18"/>
              </w:rPr>
            </w:pPr>
            <w:r>
              <w:rPr>
                <w:rFonts w:hint="eastAsia" w:asciiTheme="minorEastAsia" w:hAnsiTheme="minorEastAsia" w:eastAsiaTheme="minorEastAsia"/>
                <w:szCs w:val="18"/>
              </w:rPr>
              <w:t>指仅在组织内部或在组织某一部门内部公开,向外扩散有可能对组织的利益造成损害</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36"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1</w:t>
            </w:r>
          </w:p>
        </w:tc>
        <w:tc>
          <w:tcPr>
            <w:tcW w:w="1701"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可忽略</w:t>
            </w:r>
          </w:p>
        </w:tc>
        <w:tc>
          <w:tcPr>
            <w:tcW w:w="6520" w:type="dxa"/>
          </w:tcPr>
          <w:p>
            <w:pPr>
              <w:jc w:val="left"/>
              <w:rPr>
                <w:rFonts w:asciiTheme="minorEastAsia" w:hAnsiTheme="minorEastAsia" w:eastAsiaTheme="minorEastAsia"/>
                <w:szCs w:val="18"/>
              </w:rPr>
            </w:pPr>
            <w:r>
              <w:rPr>
                <w:rFonts w:hint="eastAsia" w:asciiTheme="minorEastAsia" w:hAnsiTheme="minorEastAsia" w:eastAsiaTheme="minorEastAsia"/>
                <w:szCs w:val="18"/>
              </w:rPr>
              <w:t>对社会公开的信息，公用的信息处理设备和系统资源等信息资产</w:t>
            </w:r>
          </w:p>
        </w:tc>
      </w:tr>
    </w:tbl>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asciiTheme="minorEastAsia" w:hAnsiTheme="minorEastAsia" w:eastAsiaTheme="minorEastAsia"/>
          <w:szCs w:val="28"/>
        </w:rPr>
        <w:t>资产</w:t>
      </w:r>
      <w:r>
        <w:rPr>
          <w:rFonts w:hint="eastAsia" w:asciiTheme="minorEastAsia" w:hAnsiTheme="minorEastAsia" w:eastAsiaTheme="minorEastAsia"/>
          <w:szCs w:val="28"/>
        </w:rPr>
        <w:t>完整性赋值</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根据资产完整性属性的不同，将它分为5个不同的等级，分别对应资产在完整性方面的价值或者在完整性方面受到损失时对整个评估的影响。</w:t>
      </w:r>
    </w:p>
    <w:tbl>
      <w:tblPr>
        <w:tblStyle w:val="38"/>
        <w:tblW w:w="905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98"/>
        <w:gridCol w:w="1800"/>
        <w:gridCol w:w="645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tcPr>
          <w:p>
            <w:pPr>
              <w:jc w:val="center"/>
              <w:rPr>
                <w:rFonts w:asciiTheme="minorEastAsia" w:hAnsiTheme="minorEastAsia" w:eastAsiaTheme="minorEastAsia"/>
                <w:szCs w:val="18"/>
              </w:rPr>
            </w:pPr>
            <w:r>
              <w:rPr>
                <w:rFonts w:hint="eastAsia" w:asciiTheme="minorEastAsia" w:hAnsiTheme="minorEastAsia" w:eastAsiaTheme="minorEastAsia"/>
                <w:szCs w:val="18"/>
              </w:rPr>
              <w:t>赋值</w:t>
            </w:r>
          </w:p>
        </w:tc>
        <w:tc>
          <w:tcPr>
            <w:tcW w:w="1800" w:type="dxa"/>
            <w:tcBorders>
              <w:top w:val="single" w:color="000000" w:sz="12" w:space="0"/>
            </w:tcBorders>
          </w:tcPr>
          <w:p>
            <w:pPr>
              <w:jc w:val="center"/>
              <w:rPr>
                <w:rFonts w:asciiTheme="minorEastAsia" w:hAnsiTheme="minorEastAsia" w:eastAsiaTheme="minorEastAsia"/>
                <w:szCs w:val="18"/>
              </w:rPr>
            </w:pPr>
            <w:r>
              <w:rPr>
                <w:rFonts w:hint="eastAsia" w:asciiTheme="minorEastAsia" w:hAnsiTheme="minorEastAsia" w:eastAsiaTheme="minorEastAsia"/>
                <w:szCs w:val="18"/>
              </w:rPr>
              <w:t>标识</w:t>
            </w:r>
          </w:p>
        </w:tc>
        <w:tc>
          <w:tcPr>
            <w:tcW w:w="6459" w:type="dxa"/>
            <w:tcBorders>
              <w:top w:val="single" w:color="000000" w:sz="12" w:space="0"/>
            </w:tcBorders>
          </w:tcPr>
          <w:p>
            <w:pPr>
              <w:jc w:val="center"/>
              <w:rPr>
                <w:rFonts w:asciiTheme="minorEastAsia" w:hAnsiTheme="minorEastAsia" w:eastAsiaTheme="minorEastAsia"/>
                <w:szCs w:val="18"/>
              </w:rPr>
            </w:pPr>
            <w:r>
              <w:rPr>
                <w:rFonts w:hint="eastAsia" w:asciiTheme="minorEastAsia" w:hAnsiTheme="minorEastAsia" w:eastAsiaTheme="minorEastAsia"/>
                <w:szCs w:val="18"/>
              </w:rPr>
              <w:t>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5</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极高</w:t>
            </w:r>
          </w:p>
        </w:tc>
        <w:tc>
          <w:tcPr>
            <w:tcW w:w="6459" w:type="dxa"/>
            <w:tcBorders>
              <w:top w:val="single" w:color="000000" w:sz="12" w:space="0"/>
            </w:tcBorders>
          </w:tcPr>
          <w:p>
            <w:pPr>
              <w:jc w:val="left"/>
              <w:rPr>
                <w:rFonts w:asciiTheme="minorEastAsia" w:hAnsiTheme="minorEastAsia" w:eastAsiaTheme="minorEastAsia"/>
                <w:szCs w:val="18"/>
              </w:rPr>
            </w:pPr>
            <w:r>
              <w:rPr>
                <w:rFonts w:hint="eastAsia" w:asciiTheme="minorEastAsia" w:hAnsiTheme="minorEastAsia" w:eastAsiaTheme="minorEastAsia"/>
                <w:szCs w:val="18"/>
              </w:rPr>
              <w:t>完整性价值非常关键，未经授权的修改或破坏会对评估体造成重大的或无法接受、特别不愿接受的影响，对业务冲击重大，并可能造成严重的业务中断，难以弥补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4</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高</w:t>
            </w:r>
          </w:p>
        </w:tc>
        <w:tc>
          <w:tcPr>
            <w:tcW w:w="6459" w:type="dxa"/>
          </w:tcPr>
          <w:p>
            <w:pPr>
              <w:jc w:val="left"/>
              <w:rPr>
                <w:rFonts w:asciiTheme="minorEastAsia" w:hAnsiTheme="minorEastAsia" w:eastAsiaTheme="minorEastAsia"/>
                <w:szCs w:val="18"/>
              </w:rPr>
            </w:pPr>
            <w:r>
              <w:rPr>
                <w:rFonts w:hint="eastAsia" w:asciiTheme="minorEastAsia" w:hAnsiTheme="minorEastAsia" w:eastAsiaTheme="minorEastAsia"/>
                <w:szCs w:val="18"/>
              </w:rPr>
              <w:t>完整性价值较高，未经授权的修改或破坏会对评估体造成重大影响，对业务冲击严重，比较难以弥补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3</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中等</w:t>
            </w:r>
          </w:p>
        </w:tc>
        <w:tc>
          <w:tcPr>
            <w:tcW w:w="6459" w:type="dxa"/>
          </w:tcPr>
          <w:p>
            <w:pPr>
              <w:jc w:val="left"/>
              <w:rPr>
                <w:rFonts w:asciiTheme="minorEastAsia" w:hAnsiTheme="minorEastAsia" w:eastAsiaTheme="minorEastAsia"/>
                <w:szCs w:val="18"/>
              </w:rPr>
            </w:pPr>
            <w:r>
              <w:rPr>
                <w:rFonts w:hint="eastAsia" w:asciiTheme="minorEastAsia" w:hAnsiTheme="minorEastAsia" w:eastAsiaTheme="minorEastAsia"/>
                <w:szCs w:val="18"/>
              </w:rPr>
              <w:t>完整性价值中等，未经授权的修改或破坏会对评估体造成影响，对业务冲击明显，但可以弥补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2</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低</w:t>
            </w:r>
          </w:p>
        </w:tc>
        <w:tc>
          <w:tcPr>
            <w:tcW w:w="6459" w:type="dxa"/>
          </w:tcPr>
          <w:p>
            <w:pPr>
              <w:jc w:val="left"/>
              <w:rPr>
                <w:rFonts w:asciiTheme="minorEastAsia" w:hAnsiTheme="minorEastAsia" w:eastAsiaTheme="minorEastAsia"/>
                <w:szCs w:val="18"/>
              </w:rPr>
            </w:pPr>
            <w:r>
              <w:rPr>
                <w:rFonts w:hint="eastAsia" w:asciiTheme="minorEastAsia" w:hAnsiTheme="minorEastAsia" w:eastAsiaTheme="minorEastAsia"/>
                <w:szCs w:val="18"/>
              </w:rPr>
              <w:t>完整性价值较低，未经授权的修改或破坏会对评估体造成轻微影响，可以忍受，对业务冲击轻微，容易弥补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1</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可忽略</w:t>
            </w:r>
          </w:p>
        </w:tc>
        <w:tc>
          <w:tcPr>
            <w:tcW w:w="6459" w:type="dxa"/>
          </w:tcPr>
          <w:p>
            <w:pPr>
              <w:jc w:val="left"/>
              <w:rPr>
                <w:rFonts w:asciiTheme="minorEastAsia" w:hAnsiTheme="minorEastAsia" w:eastAsiaTheme="minorEastAsia"/>
                <w:szCs w:val="18"/>
              </w:rPr>
            </w:pPr>
            <w:r>
              <w:rPr>
                <w:rFonts w:hint="eastAsia" w:asciiTheme="minorEastAsia" w:hAnsiTheme="minorEastAsia" w:eastAsiaTheme="minorEastAsia"/>
                <w:szCs w:val="18"/>
              </w:rPr>
              <w:t>完整性价值非常低，未经授权的修改或破坏会对评估体造成的影响可以忽略，对业务冲击可以忽略</w:t>
            </w:r>
          </w:p>
        </w:tc>
      </w:tr>
    </w:tbl>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asciiTheme="minorEastAsia" w:hAnsiTheme="minorEastAsia" w:eastAsiaTheme="minorEastAsia"/>
          <w:szCs w:val="28"/>
        </w:rPr>
        <w:t>资产</w:t>
      </w:r>
      <w:r>
        <w:rPr>
          <w:rFonts w:hint="eastAsia" w:asciiTheme="minorEastAsia" w:hAnsiTheme="minorEastAsia" w:eastAsiaTheme="minorEastAsia"/>
          <w:szCs w:val="28"/>
        </w:rPr>
        <w:t>可用性赋值</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根据资产可用性属性的不同，将它分为5个不同的等级，分别对应资产在可用性方面的价值或者在可用性方面受到损失时对整个评估体的影响。</w:t>
      </w:r>
    </w:p>
    <w:tbl>
      <w:tblPr>
        <w:tblStyle w:val="38"/>
        <w:tblW w:w="905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98"/>
        <w:gridCol w:w="1799"/>
        <w:gridCol w:w="64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赋值</w:t>
            </w:r>
          </w:p>
        </w:tc>
        <w:tc>
          <w:tcPr>
            <w:tcW w:w="1799"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标识</w:t>
            </w:r>
          </w:p>
        </w:tc>
        <w:tc>
          <w:tcPr>
            <w:tcW w:w="646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5</w:t>
            </w:r>
          </w:p>
        </w:tc>
        <w:tc>
          <w:tcPr>
            <w:tcW w:w="1799"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极高</w:t>
            </w:r>
          </w:p>
        </w:tc>
        <w:tc>
          <w:tcPr>
            <w:tcW w:w="6460" w:type="dxa"/>
            <w:tcBorders>
              <w:top w:val="single" w:color="000000" w:sz="12" w:space="0"/>
            </w:tcBorders>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可用性价值非常高，合法使用者对信息系统及资源的可用度达到年度99.9%以上</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4</w:t>
            </w:r>
          </w:p>
        </w:tc>
        <w:tc>
          <w:tcPr>
            <w:tcW w:w="1799"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高</w:t>
            </w:r>
          </w:p>
        </w:tc>
        <w:tc>
          <w:tcPr>
            <w:tcW w:w="6460"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可用性价值较高，合法使用者对信息系统及资源的可用度达到每天99%以上</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3</w:t>
            </w:r>
          </w:p>
        </w:tc>
        <w:tc>
          <w:tcPr>
            <w:tcW w:w="1799"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中等</w:t>
            </w:r>
          </w:p>
        </w:tc>
        <w:tc>
          <w:tcPr>
            <w:tcW w:w="6460"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可用性价值中等，合法使用者对信息系统及资源的可用度在正常上班时间达到90%以上</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2</w:t>
            </w:r>
          </w:p>
        </w:tc>
        <w:tc>
          <w:tcPr>
            <w:tcW w:w="1799"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低</w:t>
            </w:r>
          </w:p>
        </w:tc>
        <w:tc>
          <w:tcPr>
            <w:tcW w:w="6460"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可用性价值较低，合法使用者对信息系统及资源的可用度在正常上班时间达到25%以上</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1</w:t>
            </w:r>
          </w:p>
        </w:tc>
        <w:tc>
          <w:tcPr>
            <w:tcW w:w="1799"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可忽略</w:t>
            </w:r>
          </w:p>
        </w:tc>
        <w:tc>
          <w:tcPr>
            <w:tcW w:w="6460"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可用性价值可以忽略，法使用者对信息系统及资源的可用度在正常上班时间低于25%</w:t>
            </w:r>
          </w:p>
        </w:tc>
      </w:tr>
    </w:tbl>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最终资产价值可以通过违反资产的保密性、完整性和可用性三个方面的程度综合确定，资产的赋值采用定性的相对等级的方式。与以上安全属性的等级相对应，资产价值的等级可分为五级，从1到5由低到高分别代表五个级别的资产相对价值，等级越大，资产越重要。具体每一级别的资产价值定义参见下表。</w:t>
      </w:r>
    </w:p>
    <w:tbl>
      <w:tblPr>
        <w:tblStyle w:val="38"/>
        <w:tblW w:w="905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98"/>
        <w:gridCol w:w="1800"/>
        <w:gridCol w:w="645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等级</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标识</w:t>
            </w:r>
          </w:p>
        </w:tc>
        <w:tc>
          <w:tcPr>
            <w:tcW w:w="6459"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资产价值定义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5</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很高</w:t>
            </w:r>
          </w:p>
        </w:tc>
        <w:tc>
          <w:tcPr>
            <w:tcW w:w="6459" w:type="dxa"/>
            <w:tcBorders>
              <w:top w:val="single" w:color="000000" w:sz="12" w:space="0"/>
            </w:tcBorders>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资产的重要程度很高，其安全属性破坏后可能导致系统受到非常严重的影响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4</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高</w:t>
            </w:r>
          </w:p>
        </w:tc>
        <w:tc>
          <w:tcPr>
            <w:tcW w:w="6459"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资产的重要程度较高，其安全属性破坏后可能导致系统受到比较严重的影响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3</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中</w:t>
            </w:r>
          </w:p>
        </w:tc>
        <w:tc>
          <w:tcPr>
            <w:tcW w:w="6459"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资产的重要程度较高，其安全属性破坏后可能导致系统受到中等程度的影响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2</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低</w:t>
            </w:r>
          </w:p>
        </w:tc>
        <w:tc>
          <w:tcPr>
            <w:tcW w:w="6459"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资产的重要程度较低，其安全属性破坏后可能导致系统受到较低程度的影响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1</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很低</w:t>
            </w:r>
          </w:p>
        </w:tc>
        <w:tc>
          <w:tcPr>
            <w:tcW w:w="6459"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资产的重要程度都很低，其安全属性破坏后可能导致系统受到很低程度的影响，甚至忽略不计</w:t>
            </w:r>
          </w:p>
        </w:tc>
      </w:tr>
    </w:tbl>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威胁识别</w:t>
      </w:r>
    </w:p>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威胁定义及来源</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安全威胁是一种对机构及其资产构成潜在破坏的可能性因素或者事件。无论对于多么安全的信息系统，安全威胁是一个客观存在的事物，它是风险评估的重要因素之一。</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产生安全威胁的主要因素可以分为人为因素和环境因素。人为因素又可区分为有意和无意两种。环境因素包括自然界的不可抗的因素和其它物理因素。威胁作用形式可以是对信息系统直接或间接的攻击，例如非授权的泄露、篡改、删除等，在保密性、完整性或可用性等方面造成损害。也可能是偶发的、或蓄意的事件。一般来说，威胁总是要利用网络、系统、应用或数据的弱点才可能成功地对资产造成伤害。安全事件及其后果是分析威胁的重要依据。但是有相当一部分威胁发生时，由于未能造成后果，或者没有意识到，而被安全管理人员忽略。这将导致对安全威胁的认识出现偏差。</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分析存在哪些威胁种类，首先要考虑威胁的来源，信息系统的安全威胁来源可参考如下表。</w:t>
      </w:r>
    </w:p>
    <w:tbl>
      <w:tblPr>
        <w:tblStyle w:val="38"/>
        <w:tblW w:w="9351" w:type="dxa"/>
        <w:jc w:val="center"/>
        <w:tblLayout w:type="fixed"/>
        <w:tblCellMar>
          <w:top w:w="0" w:type="dxa"/>
          <w:left w:w="108" w:type="dxa"/>
          <w:bottom w:w="0" w:type="dxa"/>
          <w:right w:w="108" w:type="dxa"/>
        </w:tblCellMar>
      </w:tblPr>
      <w:tblGrid>
        <w:gridCol w:w="2405"/>
        <w:gridCol w:w="6946"/>
      </w:tblGrid>
      <w:tr>
        <w:tblPrEx>
          <w:tblCellMar>
            <w:top w:w="0" w:type="dxa"/>
            <w:left w:w="108" w:type="dxa"/>
            <w:bottom w:w="0" w:type="dxa"/>
            <w:right w:w="108" w:type="dxa"/>
          </w:tblCellMar>
        </w:tblPrEx>
        <w:trPr>
          <w:trHeight w:val="285" w:hRule="atLeast"/>
          <w:jc w:val="center"/>
        </w:trPr>
        <w:tc>
          <w:tcPr>
            <w:tcW w:w="2405" w:type="dxa"/>
            <w:tcBorders>
              <w:top w:val="single" w:color="auto" w:sz="4" w:space="0"/>
              <w:left w:val="single" w:color="auto" w:sz="4" w:space="0"/>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威胁来源</w:t>
            </w:r>
          </w:p>
        </w:tc>
        <w:tc>
          <w:tcPr>
            <w:tcW w:w="6946" w:type="dxa"/>
            <w:tcBorders>
              <w:top w:val="single" w:color="auto" w:sz="4" w:space="0"/>
              <w:left w:val="nil"/>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威胁来源描述</w:t>
            </w:r>
          </w:p>
        </w:tc>
      </w:tr>
      <w:tr>
        <w:tblPrEx>
          <w:tblCellMar>
            <w:top w:w="0" w:type="dxa"/>
            <w:left w:w="108" w:type="dxa"/>
            <w:bottom w:w="0" w:type="dxa"/>
            <w:right w:w="108" w:type="dxa"/>
          </w:tblCellMar>
        </w:tblPrEx>
        <w:trPr>
          <w:trHeight w:val="285" w:hRule="atLeast"/>
          <w:jc w:val="center"/>
        </w:trPr>
        <w:tc>
          <w:tcPr>
            <w:tcW w:w="2405" w:type="dxa"/>
            <w:tcBorders>
              <w:top w:val="single" w:color="auto" w:sz="4" w:space="0"/>
              <w:left w:val="single" w:color="auto" w:sz="4" w:space="0"/>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环境因素、意外事故或故障</w:t>
            </w:r>
          </w:p>
        </w:tc>
        <w:tc>
          <w:tcPr>
            <w:tcW w:w="6946" w:type="dxa"/>
            <w:tcBorders>
              <w:top w:val="single" w:color="auto" w:sz="4" w:space="0"/>
              <w:left w:val="nil"/>
              <w:bottom w:val="single" w:color="auto" w:sz="4" w:space="0"/>
              <w:right w:val="single" w:color="auto" w:sz="4" w:space="0"/>
            </w:tcBorders>
            <w:noWrap/>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由于</w:t>
            </w:r>
            <w:r>
              <w:rPr>
                <w:rFonts w:asciiTheme="minorEastAsia" w:hAnsiTheme="minorEastAsia" w:eastAsiaTheme="minorEastAsia"/>
                <w:szCs w:val="18"/>
              </w:rPr>
              <w:t>断电、静电、灰尘、</w:t>
            </w:r>
            <w:r>
              <w:rPr>
                <w:rFonts w:hint="eastAsia" w:asciiTheme="minorEastAsia" w:hAnsiTheme="minorEastAsia" w:eastAsiaTheme="minorEastAsia"/>
                <w:szCs w:val="18"/>
              </w:rPr>
              <w:t>潮湿、温度、鼠蚁虫害、</w:t>
            </w:r>
            <w:r>
              <w:rPr>
                <w:rFonts w:asciiTheme="minorEastAsia" w:hAnsiTheme="minorEastAsia" w:eastAsiaTheme="minorEastAsia"/>
                <w:szCs w:val="18"/>
              </w:rPr>
              <w:t>电磁干扰</w:t>
            </w:r>
            <w:r>
              <w:rPr>
                <w:rFonts w:hint="eastAsia" w:asciiTheme="minorEastAsia" w:hAnsiTheme="minorEastAsia" w:eastAsiaTheme="minorEastAsia"/>
                <w:szCs w:val="18"/>
              </w:rPr>
              <w:t>、</w:t>
            </w:r>
            <w:r>
              <w:rPr>
                <w:rFonts w:asciiTheme="minorEastAsia" w:hAnsiTheme="minorEastAsia" w:eastAsiaTheme="minorEastAsia"/>
                <w:szCs w:val="18"/>
              </w:rPr>
              <w:t>洪灾、火灾、地震等</w:t>
            </w:r>
            <w:r>
              <w:rPr>
                <w:rFonts w:hint="eastAsia" w:asciiTheme="minorEastAsia" w:hAnsiTheme="minorEastAsia" w:eastAsiaTheme="minorEastAsia"/>
                <w:szCs w:val="18"/>
              </w:rPr>
              <w:t>环境条件和</w:t>
            </w:r>
            <w:r>
              <w:rPr>
                <w:rFonts w:asciiTheme="minorEastAsia" w:hAnsiTheme="minorEastAsia" w:eastAsiaTheme="minorEastAsia"/>
                <w:szCs w:val="18"/>
              </w:rPr>
              <w:t>自然灾害</w:t>
            </w:r>
            <w:r>
              <w:rPr>
                <w:rFonts w:hint="eastAsia" w:asciiTheme="minorEastAsia" w:hAnsiTheme="minorEastAsia" w:eastAsiaTheme="minorEastAsia"/>
                <w:szCs w:val="18"/>
              </w:rPr>
              <w:t>；意外事故或由于</w:t>
            </w:r>
            <w:r>
              <w:rPr>
                <w:rFonts w:asciiTheme="minorEastAsia" w:hAnsiTheme="minorEastAsia" w:eastAsiaTheme="minorEastAsia"/>
                <w:szCs w:val="18"/>
              </w:rPr>
              <w:t>软件、硬件、数据、通讯线路方面的故障</w:t>
            </w:r>
          </w:p>
        </w:tc>
      </w:tr>
      <w:tr>
        <w:tblPrEx>
          <w:tblCellMar>
            <w:top w:w="0" w:type="dxa"/>
            <w:left w:w="108" w:type="dxa"/>
            <w:bottom w:w="0" w:type="dxa"/>
            <w:right w:w="108" w:type="dxa"/>
          </w:tblCellMar>
        </w:tblPrEx>
        <w:trPr>
          <w:trHeight w:val="285" w:hRule="atLeast"/>
          <w:jc w:val="center"/>
        </w:trPr>
        <w:tc>
          <w:tcPr>
            <w:tcW w:w="2405" w:type="dxa"/>
            <w:tcBorders>
              <w:top w:val="nil"/>
              <w:left w:val="single" w:color="auto" w:sz="4" w:space="0"/>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无恶意内部人员</w:t>
            </w:r>
          </w:p>
        </w:tc>
        <w:tc>
          <w:tcPr>
            <w:tcW w:w="6946" w:type="dxa"/>
            <w:tcBorders>
              <w:top w:val="nil"/>
              <w:left w:val="nil"/>
              <w:bottom w:val="single" w:color="auto" w:sz="4" w:space="0"/>
              <w:right w:val="single" w:color="auto" w:sz="4" w:space="0"/>
            </w:tcBorders>
            <w:noWrap/>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内部人员</w:t>
            </w:r>
            <w:r>
              <w:rPr>
                <w:rFonts w:asciiTheme="minorEastAsia" w:hAnsiTheme="minorEastAsia" w:eastAsiaTheme="minorEastAsia"/>
                <w:szCs w:val="18"/>
              </w:rPr>
              <w:t>由于缺乏责任心，或者由于不关心和不专注</w:t>
            </w:r>
            <w:r>
              <w:rPr>
                <w:rFonts w:hint="eastAsia" w:asciiTheme="minorEastAsia" w:hAnsiTheme="minorEastAsia" w:eastAsiaTheme="minorEastAsia"/>
                <w:szCs w:val="18"/>
              </w:rPr>
              <w:t>，或者没有遵循规章制度和操作流程</w:t>
            </w:r>
            <w:r>
              <w:rPr>
                <w:rFonts w:asciiTheme="minorEastAsia" w:hAnsiTheme="minorEastAsia" w:eastAsiaTheme="minorEastAsia"/>
                <w:szCs w:val="18"/>
              </w:rPr>
              <w:t>而导致</w:t>
            </w:r>
            <w:r>
              <w:rPr>
                <w:rFonts w:hint="eastAsia" w:asciiTheme="minorEastAsia" w:hAnsiTheme="minorEastAsia" w:eastAsiaTheme="minorEastAsia"/>
                <w:szCs w:val="18"/>
              </w:rPr>
              <w:t>故障或被攻击；内部人员</w:t>
            </w:r>
            <w:r>
              <w:rPr>
                <w:rFonts w:asciiTheme="minorEastAsia" w:hAnsiTheme="minorEastAsia" w:eastAsiaTheme="minorEastAsia"/>
                <w:szCs w:val="18"/>
              </w:rPr>
              <w:t>由于缺乏培训，专业技能不足,不具备岗位技能要求而导致信息系统</w:t>
            </w:r>
            <w:r>
              <w:rPr>
                <w:rFonts w:hint="eastAsia" w:asciiTheme="minorEastAsia" w:hAnsiTheme="minorEastAsia" w:eastAsiaTheme="minorEastAsia"/>
                <w:szCs w:val="18"/>
              </w:rPr>
              <w:t>故障或被攻击</w:t>
            </w:r>
          </w:p>
        </w:tc>
      </w:tr>
      <w:tr>
        <w:tblPrEx>
          <w:tblCellMar>
            <w:top w:w="0" w:type="dxa"/>
            <w:left w:w="108" w:type="dxa"/>
            <w:bottom w:w="0" w:type="dxa"/>
            <w:right w:w="108" w:type="dxa"/>
          </w:tblCellMar>
        </w:tblPrEx>
        <w:trPr>
          <w:trHeight w:val="285" w:hRule="atLeast"/>
          <w:jc w:val="center"/>
        </w:trPr>
        <w:tc>
          <w:tcPr>
            <w:tcW w:w="2405" w:type="dxa"/>
            <w:tcBorders>
              <w:top w:val="nil"/>
              <w:left w:val="single" w:color="auto" w:sz="4" w:space="0"/>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恶意内部人员</w:t>
            </w:r>
          </w:p>
        </w:tc>
        <w:tc>
          <w:tcPr>
            <w:tcW w:w="6946" w:type="dxa"/>
            <w:tcBorders>
              <w:top w:val="nil"/>
              <w:left w:val="nil"/>
              <w:bottom w:val="single" w:color="auto" w:sz="4" w:space="0"/>
              <w:right w:val="single" w:color="auto" w:sz="4" w:space="0"/>
            </w:tcBorders>
            <w:noWrap/>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不满的或有预谋的内部人员对信息系统进行恶意破坏；采用自主的或内外勾结的方式盗窃机密信息或进行篡改，获取利益</w:t>
            </w:r>
          </w:p>
        </w:tc>
      </w:tr>
      <w:tr>
        <w:tblPrEx>
          <w:tblCellMar>
            <w:top w:w="0" w:type="dxa"/>
            <w:left w:w="108" w:type="dxa"/>
            <w:bottom w:w="0" w:type="dxa"/>
            <w:right w:w="108" w:type="dxa"/>
          </w:tblCellMar>
        </w:tblPrEx>
        <w:trPr>
          <w:trHeight w:val="285" w:hRule="atLeast"/>
          <w:jc w:val="center"/>
        </w:trPr>
        <w:tc>
          <w:tcPr>
            <w:tcW w:w="2405" w:type="dxa"/>
            <w:tcBorders>
              <w:top w:val="nil"/>
              <w:left w:val="single" w:color="auto" w:sz="4" w:space="0"/>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第三方</w:t>
            </w:r>
          </w:p>
        </w:tc>
        <w:tc>
          <w:tcPr>
            <w:tcW w:w="6946" w:type="dxa"/>
            <w:tcBorders>
              <w:top w:val="nil"/>
              <w:left w:val="nil"/>
              <w:bottom w:val="single" w:color="auto" w:sz="4" w:space="0"/>
              <w:right w:val="single" w:color="auto" w:sz="4" w:space="0"/>
            </w:tcBorders>
            <w:noWrap/>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第三方合作伙伴和供应商，包括电信、移动、证券、税务等业务合作伙伴以及软件开发合作伙伴、系统集成商、服务商和产品供应商；包括第三方恶意的和无恶意的行为</w:t>
            </w:r>
          </w:p>
        </w:tc>
      </w:tr>
      <w:tr>
        <w:tblPrEx>
          <w:tblCellMar>
            <w:top w:w="0" w:type="dxa"/>
            <w:left w:w="108" w:type="dxa"/>
            <w:bottom w:w="0" w:type="dxa"/>
            <w:right w:w="108" w:type="dxa"/>
          </w:tblCellMar>
        </w:tblPrEx>
        <w:trPr>
          <w:trHeight w:val="285" w:hRule="atLeast"/>
          <w:jc w:val="center"/>
        </w:trPr>
        <w:tc>
          <w:tcPr>
            <w:tcW w:w="2405" w:type="dxa"/>
            <w:tcBorders>
              <w:top w:val="nil"/>
              <w:left w:val="single" w:color="auto" w:sz="4" w:space="0"/>
              <w:bottom w:val="single" w:color="auto" w:sz="4" w:space="0"/>
              <w:right w:val="single" w:color="auto" w:sz="4" w:space="0"/>
            </w:tcBorders>
            <w:noWrap/>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外部人员攻击</w:t>
            </w:r>
          </w:p>
        </w:tc>
        <w:tc>
          <w:tcPr>
            <w:tcW w:w="6946" w:type="dxa"/>
            <w:tcBorders>
              <w:top w:val="nil"/>
              <w:left w:val="nil"/>
              <w:bottom w:val="single" w:color="auto" w:sz="4" w:space="0"/>
              <w:right w:val="single" w:color="auto" w:sz="4" w:space="0"/>
            </w:tcBorders>
            <w:noWrap/>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外部人员利用信息系统的脆弱性，对网络和系统的机密性、完整性和可用性进行破坏，以获取利益或炫耀能力</w:t>
            </w:r>
          </w:p>
        </w:tc>
      </w:tr>
    </w:tbl>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威胁分类</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对安全威胁进行分类的方式有多种多样，针对上表威胁来源，可以将威胁分为以下种类。</w:t>
      </w:r>
    </w:p>
    <w:tbl>
      <w:tblPr>
        <w:tblStyle w:val="38"/>
        <w:tblW w:w="9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3799"/>
        <w:gridCol w:w="3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shd w:val="clear" w:color="auto" w:fill="A6A6A6"/>
            <w:vAlign w:val="center"/>
          </w:tcPr>
          <w:p>
            <w:pPr>
              <w:jc w:val="center"/>
              <w:rPr>
                <w:rFonts w:asciiTheme="minorEastAsia" w:hAnsiTheme="minorEastAsia" w:eastAsiaTheme="minorEastAsia"/>
                <w:szCs w:val="18"/>
              </w:rPr>
            </w:pPr>
            <w:r>
              <w:rPr>
                <w:rFonts w:asciiTheme="minorEastAsia" w:hAnsiTheme="minorEastAsia" w:eastAsiaTheme="minorEastAsia"/>
                <w:szCs w:val="18"/>
              </w:rPr>
              <w:t>威胁种类</w:t>
            </w:r>
          </w:p>
        </w:tc>
        <w:tc>
          <w:tcPr>
            <w:tcW w:w="3799" w:type="dxa"/>
            <w:shd w:val="clear" w:color="auto" w:fill="A6A6A6"/>
            <w:vAlign w:val="center"/>
          </w:tcPr>
          <w:p>
            <w:pPr>
              <w:jc w:val="center"/>
              <w:rPr>
                <w:rFonts w:asciiTheme="minorEastAsia" w:hAnsiTheme="minorEastAsia" w:eastAsiaTheme="minorEastAsia"/>
                <w:szCs w:val="18"/>
              </w:rPr>
            </w:pPr>
            <w:r>
              <w:rPr>
                <w:rFonts w:asciiTheme="minorEastAsia" w:hAnsiTheme="minorEastAsia" w:eastAsiaTheme="minorEastAsia"/>
                <w:szCs w:val="18"/>
              </w:rPr>
              <w:t>威胁描述</w:t>
            </w:r>
          </w:p>
        </w:tc>
        <w:tc>
          <w:tcPr>
            <w:tcW w:w="3714" w:type="dxa"/>
            <w:shd w:val="clear" w:color="auto" w:fill="A6A6A6"/>
          </w:tcPr>
          <w:p>
            <w:pPr>
              <w:jc w:val="center"/>
              <w:rPr>
                <w:rFonts w:asciiTheme="minorEastAsia" w:hAnsiTheme="minorEastAsia" w:eastAsiaTheme="minorEastAsia"/>
                <w:szCs w:val="18"/>
              </w:rPr>
            </w:pPr>
            <w:r>
              <w:rPr>
                <w:rFonts w:asciiTheme="minorEastAsia" w:hAnsiTheme="minorEastAsia" w:eastAsiaTheme="minorEastAsia"/>
                <w:szCs w:val="18"/>
              </w:rPr>
              <w:t>威胁子类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软硬件故障</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由于设备硬件故障、通讯链路中断、系统本身或软件缺陷造成对业务实施、系统稳定运行的影响。</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设备硬件故障、传输设备故障、存储媒体故障、系统软件故障、应用软件故障、数据库软件故障、开发环境故障。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物理环境影响</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断电、静电、灰尘、潮湿、温度、鼠蚁虫害、电磁干扰、洪灾、火灾、地震等环境问题或自然灾</w:t>
            </w:r>
            <w:r>
              <w:rPr>
                <w:rFonts w:hint="eastAsia" w:asciiTheme="minorEastAsia" w:hAnsiTheme="minorEastAsia" w:eastAsiaTheme="minorEastAsia"/>
                <w:szCs w:val="18"/>
              </w:rPr>
              <w:t>。。</w:t>
            </w:r>
          </w:p>
        </w:tc>
        <w:tc>
          <w:tcPr>
            <w:tcW w:w="3714" w:type="dxa"/>
            <w:vAlign w:val="center"/>
          </w:tcPr>
          <w:p>
            <w:pPr>
              <w:rPr>
                <w:rFonts w:asciiTheme="minorEastAsia" w:hAnsiTheme="minorEastAsia" w:eastAsiaTheme="minorEastAsia"/>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无作为或操作失误</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由于应该执行而没有执行相应的操作，或无意地执行了错误的操作，对系统造成的影响。</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维护错误、操作失误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管理不到位</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安全管理无法落实，不到位，造成安全管理不规范，或者管理混乱，从而破坏信息系统正常有序运行。</w:t>
            </w:r>
          </w:p>
        </w:tc>
        <w:tc>
          <w:tcPr>
            <w:tcW w:w="3714" w:type="dxa"/>
            <w:vAlign w:val="center"/>
          </w:tcPr>
          <w:p>
            <w:pPr>
              <w:rPr>
                <w:rFonts w:asciiTheme="minorEastAsia" w:hAnsiTheme="minorEastAsia" w:eastAsiaTheme="minorEastAsia"/>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恶意代码和病毒</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具有自我复制、自我传播能力，对信息系统构成破坏的程序代码</w:t>
            </w:r>
            <w:r>
              <w:rPr>
                <w:rFonts w:hint="eastAsia" w:asciiTheme="minorEastAsia" w:hAnsiTheme="minorEastAsia" w:eastAsiaTheme="minorEastAsia"/>
                <w:szCs w:val="18"/>
              </w:rPr>
              <w:t>。</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恶意代码、木马后门、网络病毒、间谍软件、窃听软件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越权或滥用</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通过采用一些措施，超越自己的权限访问了本来无权访问的资源；或者滥用自己的职权，做出破坏信息系统的行为。</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未授权访问网络资源、未授权访问系统资源、滥用权限非正常修改系统配置或数据、滥用权限泄露秘密信息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网络攻击</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利用工具和技术，例如侦察、密码破译、安装后门、嗅探、伪造和欺骗、拒绝服务等手段，对信息系统进行攻击和入侵</w:t>
            </w:r>
            <w:r>
              <w:rPr>
                <w:rFonts w:hint="eastAsia" w:asciiTheme="minorEastAsia" w:hAnsiTheme="minorEastAsia" w:eastAsiaTheme="minorEastAsia"/>
                <w:szCs w:val="18"/>
              </w:rPr>
              <w:t>。</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网络探测和信息采集、漏洞探测、嗅探（账户、口令、权限等）、用户身份伪造和欺骗、用户或业务数据的窃取和破坏、系统运行的控制和破坏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物理攻击</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通过物理的接触造成对软件、硬件、数据的破坏。</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物理接触、物理破坏、盗窃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泄密</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信息泄漏给不应了解的他人</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内部信息泄露、外部信息泄露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篡改</w:t>
            </w:r>
          </w:p>
        </w:tc>
        <w:tc>
          <w:tcPr>
            <w:tcW w:w="3799" w:type="dxa"/>
            <w:vAlign w:val="center"/>
          </w:tcPr>
          <w:p>
            <w:pPr>
              <w:rPr>
                <w:rFonts w:asciiTheme="minorEastAsia" w:hAnsiTheme="minorEastAsia" w:eastAsiaTheme="minorEastAsia"/>
                <w:szCs w:val="18"/>
              </w:rPr>
            </w:pPr>
            <w:r>
              <w:rPr>
                <w:rFonts w:asciiTheme="minorEastAsia" w:hAnsiTheme="minorEastAsia" w:eastAsiaTheme="minorEastAsia"/>
                <w:szCs w:val="18"/>
              </w:rPr>
              <w:t>非法修改信息，破坏信息的完整性，使系统的安全性降低或信息不可用</w:t>
            </w:r>
            <w:r>
              <w:rPr>
                <w:rFonts w:hint="eastAsia" w:asciiTheme="minorEastAsia" w:hAnsiTheme="minorEastAsia" w:eastAsiaTheme="minorEastAsia"/>
                <w:szCs w:val="18"/>
              </w:rPr>
              <w:t>。</w:t>
            </w:r>
          </w:p>
        </w:tc>
        <w:tc>
          <w:tcPr>
            <w:tcW w:w="3714" w:type="dxa"/>
            <w:vAlign w:val="center"/>
          </w:tcPr>
          <w:p>
            <w:pPr>
              <w:rPr>
                <w:rFonts w:asciiTheme="minorEastAsia" w:hAnsiTheme="minorEastAsia" w:eastAsiaTheme="minorEastAsia"/>
                <w:szCs w:val="18"/>
              </w:rPr>
            </w:pPr>
            <w:r>
              <w:rPr>
                <w:rFonts w:asciiTheme="minorEastAsia" w:hAnsiTheme="minorEastAsia" w:eastAsiaTheme="minorEastAsia"/>
                <w:szCs w:val="18"/>
              </w:rPr>
              <w:t>篡改网络配置信息、篡改系统配置信息、篡改安全配置信息、篡改用户身份信息或业务数据信息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45"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抵赖</w:t>
            </w:r>
          </w:p>
        </w:tc>
        <w:tc>
          <w:tcPr>
            <w:tcW w:w="3799" w:type="dxa"/>
            <w:vAlign w:val="center"/>
          </w:tcPr>
          <w:p>
            <w:pPr>
              <w:keepNext/>
              <w:rPr>
                <w:rFonts w:asciiTheme="minorEastAsia" w:hAnsiTheme="minorEastAsia" w:eastAsiaTheme="minorEastAsia"/>
                <w:szCs w:val="18"/>
              </w:rPr>
            </w:pPr>
            <w:r>
              <w:rPr>
                <w:rFonts w:asciiTheme="minorEastAsia" w:hAnsiTheme="minorEastAsia" w:eastAsiaTheme="minorEastAsia"/>
                <w:szCs w:val="18"/>
              </w:rPr>
              <w:t>不承认收到的信息和所作的操作和交易</w:t>
            </w:r>
          </w:p>
        </w:tc>
        <w:tc>
          <w:tcPr>
            <w:tcW w:w="3714" w:type="dxa"/>
            <w:vAlign w:val="center"/>
          </w:tcPr>
          <w:p>
            <w:pPr>
              <w:keepNext/>
              <w:rPr>
                <w:rFonts w:asciiTheme="minorEastAsia" w:hAnsiTheme="minorEastAsia" w:eastAsiaTheme="minorEastAsia"/>
                <w:szCs w:val="18"/>
              </w:rPr>
            </w:pPr>
            <w:r>
              <w:rPr>
                <w:rFonts w:asciiTheme="minorEastAsia" w:hAnsiTheme="minorEastAsia" w:eastAsiaTheme="minorEastAsia"/>
                <w:szCs w:val="18"/>
              </w:rPr>
              <w:t>原发抵赖、接收抵赖、第三方抵赖</w:t>
            </w:r>
          </w:p>
        </w:tc>
      </w:tr>
    </w:tbl>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asciiTheme="minorEastAsia" w:hAnsiTheme="minorEastAsia" w:eastAsiaTheme="minorEastAsia"/>
          <w:szCs w:val="28"/>
        </w:rPr>
        <w:t>威胁赋值</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评估确定威胁发生的可能性是威胁评估阶段的重要工作，评估者应根据经验和（或）有关的统计数据来判断威胁发生的频率或者发生的概率。其中，威胁发生的可能性受以下因素影响：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1.资产的吸引力；</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2.资产转化成报酬的难易程度；</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3.威胁的技术力量；</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4.脆弱性被利用的难易程度。</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实际评估过程中，威胁的可能性赋值，除了考虑上面几个因素，还需要参考下面三方面的资料和信息来源，综合考虑，形成在特定评估环境中各种威胁发生的可能性。</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1.通过过去的安全事件报告或记录，统计各种发生过的威胁和其发生频率；</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2.在评估体实际环境中，通过IDS系统获取的威胁发生数据的统计和分析，各种日志中威胁发生的数据的统计和分析；</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3.过去一年或两年来国际机构发布的对于整个社会或特定行业安全威胁发生频率的统计数据均值。</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威胁的评估就是综合了威胁来源和种类后得到的威胁列表，并对列表中的威胁发生可能性的评估。最终威胁的赋值采用定性的相对等级的方式。威胁的等级划分为五级，从1到5分别代表五个级别的威胁发生可能性。等级数值越大，威胁发生的可能性越大。</w:t>
      </w:r>
    </w:p>
    <w:tbl>
      <w:tblPr>
        <w:tblStyle w:val="38"/>
        <w:tblW w:w="937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70"/>
        <w:gridCol w:w="992"/>
        <w:gridCol w:w="751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0" w:type="dxa"/>
            <w:tcBorders>
              <w:top w:val="single" w:color="000000" w:sz="12" w:space="0"/>
            </w:tcBorders>
            <w:shd w:val="clear" w:color="auto" w:fill="A6A6A6"/>
            <w:vAlign w:val="center"/>
          </w:tcPr>
          <w:p>
            <w:pPr>
              <w:jc w:val="center"/>
              <w:rPr>
                <w:rFonts w:asciiTheme="minorEastAsia" w:hAnsiTheme="minorEastAsia" w:eastAsiaTheme="minorEastAsia"/>
                <w:szCs w:val="18"/>
              </w:rPr>
            </w:pPr>
            <w:r>
              <w:rPr>
                <w:rFonts w:asciiTheme="minorEastAsia" w:hAnsiTheme="minorEastAsia" w:eastAsiaTheme="minorEastAsia"/>
                <w:szCs w:val="18"/>
              </w:rPr>
              <w:t>等级</w:t>
            </w:r>
          </w:p>
        </w:tc>
        <w:tc>
          <w:tcPr>
            <w:tcW w:w="992" w:type="dxa"/>
            <w:tcBorders>
              <w:top w:val="single" w:color="000000" w:sz="12" w:space="0"/>
            </w:tcBorders>
            <w:shd w:val="clear" w:color="auto" w:fill="A6A6A6"/>
            <w:vAlign w:val="center"/>
          </w:tcPr>
          <w:p>
            <w:pPr>
              <w:jc w:val="center"/>
              <w:rPr>
                <w:rFonts w:asciiTheme="minorEastAsia" w:hAnsiTheme="minorEastAsia" w:eastAsiaTheme="minorEastAsia"/>
                <w:szCs w:val="18"/>
              </w:rPr>
            </w:pPr>
            <w:r>
              <w:rPr>
                <w:rFonts w:asciiTheme="minorEastAsia" w:hAnsiTheme="minorEastAsia" w:eastAsiaTheme="minorEastAsia"/>
                <w:szCs w:val="18"/>
              </w:rPr>
              <w:t>标识</w:t>
            </w:r>
          </w:p>
        </w:tc>
        <w:tc>
          <w:tcPr>
            <w:tcW w:w="7513" w:type="dxa"/>
            <w:tcBorders>
              <w:top w:val="single" w:color="000000" w:sz="12" w:space="0"/>
            </w:tcBorders>
            <w:shd w:val="clear" w:color="auto" w:fill="A6A6A6"/>
            <w:vAlign w:val="center"/>
          </w:tcPr>
          <w:p>
            <w:pPr>
              <w:jc w:val="center"/>
              <w:rPr>
                <w:rFonts w:asciiTheme="minorEastAsia" w:hAnsiTheme="minorEastAsia" w:eastAsiaTheme="minorEastAsia"/>
                <w:szCs w:val="18"/>
              </w:rPr>
            </w:pPr>
            <w:r>
              <w:rPr>
                <w:rFonts w:asciiTheme="minorEastAsia" w:hAnsiTheme="minorEastAsia" w:eastAsiaTheme="minorEastAsia"/>
                <w:szCs w:val="18"/>
              </w:rPr>
              <w:t>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0" w:type="dxa"/>
            <w:tcBorders>
              <w:top w:val="single" w:color="000000" w:sz="12" w:space="0"/>
            </w:tcBorders>
            <w:vAlign w:val="center"/>
          </w:tcPr>
          <w:p>
            <w:pPr>
              <w:jc w:val="center"/>
              <w:rPr>
                <w:rFonts w:asciiTheme="minorEastAsia" w:hAnsiTheme="minorEastAsia" w:eastAsiaTheme="minorEastAsia"/>
                <w:szCs w:val="18"/>
              </w:rPr>
            </w:pPr>
            <w:r>
              <w:rPr>
                <w:rFonts w:asciiTheme="minorEastAsia" w:hAnsiTheme="minorEastAsia" w:eastAsiaTheme="minorEastAsia"/>
                <w:szCs w:val="18"/>
              </w:rPr>
              <w:t>5</w:t>
            </w:r>
          </w:p>
        </w:tc>
        <w:tc>
          <w:tcPr>
            <w:tcW w:w="992" w:type="dxa"/>
            <w:tcBorders>
              <w:top w:val="single" w:color="000000" w:sz="12" w:space="0"/>
            </w:tcBorders>
            <w:vAlign w:val="center"/>
          </w:tcPr>
          <w:p>
            <w:pPr>
              <w:jc w:val="center"/>
              <w:rPr>
                <w:rFonts w:asciiTheme="minorEastAsia" w:hAnsiTheme="minorEastAsia" w:eastAsiaTheme="minorEastAsia"/>
                <w:szCs w:val="18"/>
              </w:rPr>
            </w:pPr>
            <w:r>
              <w:rPr>
                <w:rFonts w:asciiTheme="minorEastAsia" w:hAnsiTheme="minorEastAsia" w:eastAsiaTheme="minorEastAsia"/>
                <w:szCs w:val="18"/>
              </w:rPr>
              <w:t>很高</w:t>
            </w:r>
          </w:p>
        </w:tc>
        <w:tc>
          <w:tcPr>
            <w:tcW w:w="7513" w:type="dxa"/>
            <w:tcBorders>
              <w:top w:val="single" w:color="000000" w:sz="12" w:space="0"/>
            </w:tcBorders>
            <w:vAlign w:val="center"/>
          </w:tcPr>
          <w:p>
            <w:pPr>
              <w:jc w:val="left"/>
              <w:rPr>
                <w:rFonts w:asciiTheme="minorEastAsia" w:hAnsiTheme="minorEastAsia" w:eastAsiaTheme="minorEastAsia"/>
                <w:szCs w:val="18"/>
              </w:rPr>
            </w:pPr>
            <w:r>
              <w:rPr>
                <w:rFonts w:asciiTheme="minorEastAsia" w:hAnsiTheme="minorEastAsia" w:eastAsiaTheme="minorEastAsia"/>
                <w:szCs w:val="18"/>
              </w:rPr>
              <w:t>出现的频率很高（或≥1次/周），或在大多数情况下几乎不可避免；或可以证实经常发生过。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4</w:t>
            </w:r>
          </w:p>
        </w:tc>
        <w:tc>
          <w:tcPr>
            <w:tcW w:w="992"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高</w:t>
            </w:r>
          </w:p>
        </w:tc>
        <w:tc>
          <w:tcPr>
            <w:tcW w:w="7513"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出现的频率较高（或≥1次/月），或在大多数情况下很有可能会发生；或可以证实多次发生过。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3</w:t>
            </w:r>
          </w:p>
        </w:tc>
        <w:tc>
          <w:tcPr>
            <w:tcW w:w="992"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中</w:t>
            </w:r>
          </w:p>
        </w:tc>
        <w:tc>
          <w:tcPr>
            <w:tcW w:w="7513"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出现的频率中等（或&gt;1次/半年）；或在某种情况下可能会发生；或被证实曾经发生过。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2</w:t>
            </w:r>
          </w:p>
        </w:tc>
        <w:tc>
          <w:tcPr>
            <w:tcW w:w="992"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低</w:t>
            </w:r>
          </w:p>
        </w:tc>
        <w:tc>
          <w:tcPr>
            <w:tcW w:w="7513"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出现的频率较小，或一般不太可能发生；或没有被证实发生过。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1</w:t>
            </w:r>
          </w:p>
        </w:tc>
        <w:tc>
          <w:tcPr>
            <w:tcW w:w="992"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很低</w:t>
            </w:r>
          </w:p>
        </w:tc>
        <w:tc>
          <w:tcPr>
            <w:tcW w:w="7513"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威胁几乎不可能发生，仅可能在非常罕见和例外的情况下发生。</w:t>
            </w:r>
          </w:p>
        </w:tc>
      </w:tr>
    </w:tbl>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脆弱性识别</w:t>
      </w:r>
    </w:p>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脆弱性定义</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安全脆弱性评估也称为弱点评估，是安全风险评估中重要的内容。弱点是资产本身存在的，它可以被威胁利用、引起资产或商业目标的损害。弱点包括物理环境、组织、过程、人员、管理、配置、硬件、软件和信息等各种资产的脆弱性。</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值得注意的是，弱点虽然是资产本身固有的，但它本身不会造成损失，它只是一种条件或环境、可能导致被威胁利用而造成资产损失。所以如果没有相应的威胁发生，单纯的弱点并不会对资产造成损害。那些没有安全威胁的弱点可以不需要实施安全保护措施，但它们必须记录下来以确保当环境、条件有所变化时能随之加以改变。需要注意的是不正确的、起不到应有作用的或没有正确实施的安全保护措施本身就可能是一个安全薄弱环节。</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脆弱性评估将针对每一项需要保护的信息资产，找出每一种威胁所能利用的脆弱性，并对脆弱性的严重程度进行评估，即对脆弱性被威胁利用的可能性进行评估，最终为其赋相对等级值。在进行脆弱性评估时，提供的数据应该来自于这些资产的拥有者或使用者，来自于相关业务领域的专家以及软硬件信息系统方面的专业人员。脆弱性评估所采用的方法主要为：问卷调查、人员问询、工具扫描、手动检查、文档审查、渗透测试等。</w:t>
      </w:r>
    </w:p>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脆弱性分类</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脆弱性主要从技术和管理两个方面进行评估，涉及物理层、网络层、系统层、应用层、管理层等各个层面的安全问题。其中在技术方面主要是通过远程和本地两种方式进行系统扫描、对网络设备和主机等进行人工抽查，以保证技术脆弱性评估的全面性和有效性；管理脆弱性评估方面可以按照BS 7799等标准的安全管理要求对现有的安全管理制度及其执行情况进行检查，发现其中的管理漏洞和不足。</w:t>
      </w:r>
    </w:p>
    <w:tbl>
      <w:tblPr>
        <w:tblStyle w:val="38"/>
        <w:tblW w:w="9199"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760"/>
        <w:gridCol w:w="1984"/>
        <w:gridCol w:w="5387"/>
        <w:gridCol w:w="6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68" w:type="dxa"/>
          <w:jc w:val="center"/>
        </w:trPr>
        <w:tc>
          <w:tcPr>
            <w:tcW w:w="176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脆弱性分类</w:t>
            </w:r>
          </w:p>
        </w:tc>
        <w:tc>
          <w:tcPr>
            <w:tcW w:w="1984"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名称</w:t>
            </w:r>
          </w:p>
        </w:tc>
        <w:tc>
          <w:tcPr>
            <w:tcW w:w="5387"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包含内容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68" w:type="dxa"/>
          <w:cantSplit/>
          <w:trHeight w:val="525" w:hRule="atLeast"/>
          <w:jc w:val="center"/>
        </w:trPr>
        <w:tc>
          <w:tcPr>
            <w:tcW w:w="1760" w:type="dxa"/>
            <w:vMerge w:val="restart"/>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技术脆弱性</w:t>
            </w:r>
          </w:p>
        </w:tc>
        <w:tc>
          <w:tcPr>
            <w:tcW w:w="1984"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物理安全</w:t>
            </w:r>
          </w:p>
        </w:tc>
        <w:tc>
          <w:tcPr>
            <w:tcW w:w="5387" w:type="dxa"/>
            <w:tcBorders>
              <w:top w:val="single" w:color="000000" w:sz="12" w:space="0"/>
            </w:tcBorders>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物理设备的访问控制，电力供应等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68" w:type="dxa"/>
          <w:cantSplit/>
          <w:trHeight w:val="525" w:hRule="atLeast"/>
          <w:jc w:val="center"/>
        </w:trPr>
        <w:tc>
          <w:tcPr>
            <w:tcW w:w="1760" w:type="dxa"/>
            <w:vMerge w:val="continue"/>
            <w:vAlign w:val="center"/>
          </w:tcPr>
          <w:p>
            <w:pPr>
              <w:jc w:val="center"/>
              <w:rPr>
                <w:rFonts w:asciiTheme="minorEastAsia" w:hAnsiTheme="minorEastAsia" w:eastAsiaTheme="minorEastAsia"/>
                <w:szCs w:val="18"/>
              </w:rPr>
            </w:pPr>
          </w:p>
        </w:tc>
        <w:tc>
          <w:tcPr>
            <w:tcW w:w="1984"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网络安全</w:t>
            </w:r>
          </w:p>
        </w:tc>
        <w:tc>
          <w:tcPr>
            <w:tcW w:w="5387"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基础网络架构，网络传输加密，访问控制，网络设备安全漏洞，设备配置安全等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68" w:type="dxa"/>
          <w:cantSplit/>
          <w:jc w:val="center"/>
        </w:trPr>
        <w:tc>
          <w:tcPr>
            <w:tcW w:w="1760" w:type="dxa"/>
            <w:vMerge w:val="continue"/>
            <w:vAlign w:val="center"/>
          </w:tcPr>
          <w:p>
            <w:pPr>
              <w:jc w:val="center"/>
              <w:rPr>
                <w:rFonts w:asciiTheme="minorEastAsia" w:hAnsiTheme="minorEastAsia" w:eastAsiaTheme="minorEastAsia"/>
                <w:szCs w:val="18"/>
              </w:rPr>
            </w:pPr>
          </w:p>
        </w:tc>
        <w:tc>
          <w:tcPr>
            <w:tcW w:w="1984"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系统安全</w:t>
            </w:r>
          </w:p>
        </w:tc>
        <w:tc>
          <w:tcPr>
            <w:tcW w:w="5387"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系统软件安全漏洞，系统软件配置安全等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68" w:type="dxa"/>
          <w:cantSplit/>
          <w:jc w:val="center"/>
        </w:trPr>
        <w:tc>
          <w:tcPr>
            <w:tcW w:w="1760" w:type="dxa"/>
            <w:vMerge w:val="continue"/>
            <w:vAlign w:val="center"/>
          </w:tcPr>
          <w:p>
            <w:pPr>
              <w:jc w:val="center"/>
              <w:rPr>
                <w:rFonts w:asciiTheme="minorEastAsia" w:hAnsiTheme="minorEastAsia" w:eastAsiaTheme="minorEastAsia"/>
                <w:szCs w:val="18"/>
              </w:rPr>
            </w:pPr>
          </w:p>
        </w:tc>
        <w:tc>
          <w:tcPr>
            <w:tcW w:w="1984"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应用安全</w:t>
            </w:r>
          </w:p>
        </w:tc>
        <w:tc>
          <w:tcPr>
            <w:tcW w:w="5387"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应用软件安全漏洞，软件安全功能，数据防护等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76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管理脆弱性</w:t>
            </w:r>
          </w:p>
        </w:tc>
        <w:tc>
          <w:tcPr>
            <w:tcW w:w="1984"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安全管理</w:t>
            </w:r>
          </w:p>
        </w:tc>
        <w:tc>
          <w:tcPr>
            <w:tcW w:w="5455" w:type="dxa"/>
            <w:gridSpan w:val="2"/>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安全策略、组织安全、资产分类与控制、人员安全、物理和环境安全、通信与操作管理、访问控制、系统开发与维护、业务连续性、符合性</w:t>
            </w:r>
          </w:p>
        </w:tc>
      </w:tr>
    </w:tbl>
    <w:p>
      <w:pPr>
        <w:pStyle w:val="33"/>
        <w:numPr>
          <w:ilvl w:val="0"/>
          <w:numId w:val="33"/>
        </w:numPr>
        <w:shd w:val="clear" w:color="auto" w:fill="FFFFFF"/>
        <w:spacing w:beforeAutospacing="0" w:afterAutospacing="0"/>
        <w:rPr>
          <w:rFonts w:asciiTheme="minorEastAsia" w:hAnsiTheme="minorEastAsia" w:eastAsiaTheme="minorEastAsia"/>
          <w:szCs w:val="28"/>
        </w:rPr>
      </w:pPr>
      <w:r>
        <w:rPr>
          <w:rFonts w:hint="eastAsia" w:asciiTheme="minorEastAsia" w:hAnsiTheme="minorEastAsia" w:eastAsiaTheme="minorEastAsia"/>
          <w:szCs w:val="28"/>
        </w:rPr>
        <w:t>脆弱性赋值</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脆弱性评估</w:t>
      </w:r>
      <w:r>
        <w:rPr>
          <w:rFonts w:asciiTheme="minorEastAsia" w:hAnsiTheme="minorEastAsia" w:eastAsiaTheme="minorEastAsia"/>
          <w:szCs w:val="28"/>
        </w:rPr>
        <w:t>将针对每一项需要保护的信息资产，找出每一种威胁</w:t>
      </w:r>
      <w:r>
        <w:rPr>
          <w:rFonts w:hint="eastAsia" w:asciiTheme="minorEastAsia" w:hAnsiTheme="minorEastAsia" w:eastAsiaTheme="minorEastAsia"/>
          <w:szCs w:val="28"/>
        </w:rPr>
        <w:t>可</w:t>
      </w:r>
      <w:r>
        <w:rPr>
          <w:rFonts w:asciiTheme="minorEastAsia" w:hAnsiTheme="minorEastAsia" w:eastAsiaTheme="minorEastAsia"/>
          <w:szCs w:val="28"/>
        </w:rPr>
        <w:t>能利用的脆弱性，并对脆弱性的严重程度进行评估，换句话说，就是对脆弱性被威胁利用的可能性进行评估。</w:t>
      </w:r>
      <w:r>
        <w:rPr>
          <w:rFonts w:hint="eastAsia" w:asciiTheme="minorEastAsia" w:hAnsiTheme="minorEastAsia" w:eastAsiaTheme="minorEastAsia"/>
          <w:szCs w:val="28"/>
        </w:rPr>
        <w:t>最终脆弱性的赋值采用定性的相对等级的方式。脆弱性的等级建议划分为五级，从1到5分别代表五个级别的某种资产脆弱程度。等级越大，脆弱程度越高。评估者也可以根据被评估系统的实际情况自定义威胁的等级。具体每一级别的脆弱性脆弱程度定义参见下表。</w:t>
      </w:r>
    </w:p>
    <w:tbl>
      <w:tblPr>
        <w:tblStyle w:val="38"/>
        <w:tblW w:w="927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98"/>
        <w:gridCol w:w="1800"/>
        <w:gridCol w:w="667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等级</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标识</w:t>
            </w:r>
          </w:p>
        </w:tc>
        <w:tc>
          <w:tcPr>
            <w:tcW w:w="6675"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威胁可能性定义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5</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很高</w:t>
            </w:r>
          </w:p>
        </w:tc>
        <w:tc>
          <w:tcPr>
            <w:tcW w:w="6675" w:type="dxa"/>
            <w:tcBorders>
              <w:top w:val="single" w:color="000000" w:sz="12" w:space="0"/>
            </w:tcBorders>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威胁发生的可能性很高，在大多数情况下几乎不可避免或者可以证实发生过的频率较高</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4</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高</w:t>
            </w:r>
          </w:p>
        </w:tc>
        <w:tc>
          <w:tcPr>
            <w:tcW w:w="6675"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威胁发生的可能性较高，在大多数情况下很有可能会发生或者可以证实曾发生过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3</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中</w:t>
            </w:r>
          </w:p>
        </w:tc>
        <w:tc>
          <w:tcPr>
            <w:tcW w:w="6675"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威胁发生的可能性中等，在某种情况下可能会发生但未被证实发生过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2</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低</w:t>
            </w:r>
          </w:p>
        </w:tc>
        <w:tc>
          <w:tcPr>
            <w:tcW w:w="6675"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威胁发生的可能性较小，一般不太可能发生，也没有被证实发生过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1</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很低</w:t>
            </w:r>
          </w:p>
        </w:tc>
        <w:tc>
          <w:tcPr>
            <w:tcW w:w="6675" w:type="dxa"/>
            <w:vAlign w:val="center"/>
          </w:tcPr>
          <w:p>
            <w:pPr>
              <w:jc w:val="left"/>
              <w:rPr>
                <w:rFonts w:asciiTheme="minorEastAsia" w:hAnsiTheme="minorEastAsia" w:eastAsiaTheme="minorEastAsia"/>
                <w:szCs w:val="18"/>
              </w:rPr>
            </w:pPr>
            <w:r>
              <w:rPr>
                <w:rFonts w:hint="eastAsia" w:asciiTheme="minorEastAsia" w:hAnsiTheme="minorEastAsia" w:eastAsiaTheme="minorEastAsia"/>
                <w:szCs w:val="18"/>
              </w:rPr>
              <w:t>威胁几乎不可能发生，仅可能在非常罕见和例外的情况下发生</w:t>
            </w:r>
          </w:p>
        </w:tc>
      </w:tr>
    </w:tbl>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已有安全措施的确认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风险评估人员在识别资产脆弱性的同时，还应当详细分析针对该资产的已有或已规划的安全措施，并评价这些安全措施针的有效性。该部分不但要对技术措施进行分析，而且对系统现有管理制度的分析也要予以充分重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在风险评估中应对系统已采取的技术安全控制措施进行识别，并对控制措施有效性进行核查。核查包括对防火墙、IDS、交换机等网络、安全设备的安全配置检查；操作系统、数据库安全功能检查；应用软件安全功能验证等；将有效的安全控制措施继续保持，并进行优化，以避免不必要的工作和费用，防止控制措施的重复实施。对于那些确认为不适当的控制应取消，或者用更合适的控制代替。</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现行安全管理制度分析分为两个部分：一个是对安全产品统一管理分析，避免安全盲区的产生；另一个是对安全管理制度规范和安全意识的分析。希望通过现行管理制度分析，把分散的技术因素、人的因素，通过政策规则、运作流程协调整合成为一体。</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风险评估人员应对已采取的控制措施进行识别并对控制措施的有效性进行确认，将有效的安全控制措施继续保持，以避免不必要的工作和费用，防止控制措施的重复实施。对于那些确认为不适当的控制应核查是否应被取消，或者用更合适的控制代替。下表是安全措施分类：</w:t>
      </w:r>
    </w:p>
    <w:tbl>
      <w:tblPr>
        <w:tblStyle w:val="38"/>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0"/>
        <w:gridCol w:w="7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tcPr>
          <w:p>
            <w:pPr>
              <w:jc w:val="center"/>
              <w:rPr>
                <w:rFonts w:asciiTheme="minorEastAsia" w:hAnsiTheme="minorEastAsia" w:eastAsiaTheme="minorEastAsia"/>
                <w:szCs w:val="18"/>
              </w:rPr>
            </w:pPr>
            <w:r>
              <w:rPr>
                <w:rFonts w:asciiTheme="minorEastAsia" w:hAnsiTheme="minorEastAsia" w:eastAsiaTheme="minorEastAsia"/>
                <w:szCs w:val="18"/>
              </w:rPr>
              <w:t>安全措施分类</w:t>
            </w:r>
          </w:p>
        </w:tc>
        <w:tc>
          <w:tcPr>
            <w:tcW w:w="7229" w:type="dxa"/>
          </w:tcPr>
          <w:p>
            <w:pPr>
              <w:jc w:val="center"/>
              <w:rPr>
                <w:rFonts w:asciiTheme="minorEastAsia" w:hAnsiTheme="minorEastAsia" w:eastAsiaTheme="minorEastAsia"/>
                <w:szCs w:val="18"/>
              </w:rPr>
            </w:pPr>
            <w:r>
              <w:rPr>
                <w:rFonts w:asciiTheme="minorEastAsia" w:hAnsiTheme="minorEastAsia" w:eastAsiaTheme="minorEastAsia"/>
                <w:szCs w:val="18"/>
              </w:rPr>
              <w:t>包含的内容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管理性</w:t>
            </w:r>
          </w:p>
        </w:tc>
        <w:tc>
          <w:tcPr>
            <w:tcW w:w="7229"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对系统的开发、维护和使用实施管理的措施，包括安全策略、程序管理、风险管理、安全保障、系统生命周期管理等。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操作性</w:t>
            </w:r>
          </w:p>
        </w:tc>
        <w:tc>
          <w:tcPr>
            <w:tcW w:w="7229"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用来保护系统和应用操作的流程和机制，包括人员职责、应急响应、事件处理、意识培训、系统支持和操作、物理和环境安全等。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Align w:val="center"/>
          </w:tcPr>
          <w:p>
            <w:pPr>
              <w:jc w:val="center"/>
              <w:rPr>
                <w:rFonts w:asciiTheme="minorEastAsia" w:hAnsiTheme="minorEastAsia" w:eastAsiaTheme="minorEastAsia"/>
                <w:szCs w:val="18"/>
              </w:rPr>
            </w:pPr>
            <w:r>
              <w:rPr>
                <w:rFonts w:asciiTheme="minorEastAsia" w:hAnsiTheme="minorEastAsia" w:eastAsiaTheme="minorEastAsia"/>
                <w:szCs w:val="18"/>
              </w:rPr>
              <w:t>技术性</w:t>
            </w:r>
          </w:p>
        </w:tc>
        <w:tc>
          <w:tcPr>
            <w:tcW w:w="7229" w:type="dxa"/>
            <w:vAlign w:val="center"/>
          </w:tcPr>
          <w:p>
            <w:pPr>
              <w:jc w:val="left"/>
              <w:rPr>
                <w:rFonts w:asciiTheme="minorEastAsia" w:hAnsiTheme="minorEastAsia" w:eastAsiaTheme="minorEastAsia"/>
                <w:szCs w:val="18"/>
              </w:rPr>
            </w:pPr>
            <w:r>
              <w:rPr>
                <w:rFonts w:asciiTheme="minorEastAsia" w:hAnsiTheme="minorEastAsia" w:eastAsiaTheme="minorEastAsia"/>
                <w:szCs w:val="18"/>
              </w:rPr>
              <w:t>身份识别与认证、逻辑访问控制、日志审计、加密等。</w:t>
            </w:r>
          </w:p>
        </w:tc>
      </w:tr>
    </w:tbl>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风险识别</w:t>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6</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1 </w:t>
      </w:r>
      <w:r>
        <w:rPr>
          <w:rFonts w:hint="eastAsia" w:ascii="Times New Roman" w:hAnsi="Times New Roman" w:eastAsiaTheme="minorEastAsia"/>
          <w:color w:val="000000" w:themeColor="text1"/>
          <w14:textFill>
            <w14:solidFill>
              <w14:schemeClr w14:val="tx1"/>
            </w14:solidFill>
          </w14:textFill>
        </w:rPr>
        <w:t>风险计算</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风险计算是在完成资产评估、威胁评估和脆弱性评估后，针对评估过程中发现的信息系统脆弱性，进行脆弱性赋值、相关的威胁的关联度分析赋值，和安全措施对该脆弱性产生的消减影响分析，根据资产赋值、资产威胁赋值和调整后脆弱性赋值情况计算系统的资产风险值，最后根据风险值和系统风险等级赋值表得到系统风险等级。</w:t>
      </w:r>
    </w:p>
    <w:p>
      <w:pPr>
        <w:pStyle w:val="8"/>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4</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8</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3</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6</w:t>
      </w:r>
      <w:r>
        <w:rPr>
          <w:rFonts w:hint="eastAsia" w:ascii="Times New Roman" w:hAnsi="Times New Roman" w:eastAsiaTheme="minorEastAsia"/>
          <w:color w:val="000000" w:themeColor="text1"/>
          <w14:textFill>
            <w14:solidFill>
              <w14:schemeClr w14:val="tx1"/>
            </w14:solidFill>
          </w14:textFill>
        </w:rPr>
        <w:t>.</w:t>
      </w:r>
      <w:r>
        <w:rPr>
          <w:rFonts w:ascii="Times New Roman" w:hAnsi="Times New Roman" w:eastAsiaTheme="minorEastAsia"/>
          <w:color w:val="000000" w:themeColor="text1"/>
          <w14:textFill>
            <w14:solidFill>
              <w14:schemeClr w14:val="tx1"/>
            </w14:solidFill>
          </w14:textFill>
        </w:rPr>
        <w:t xml:space="preserve">2 </w:t>
      </w:r>
      <w:r>
        <w:rPr>
          <w:rFonts w:hint="eastAsia" w:ascii="Times New Roman" w:hAnsi="Times New Roman" w:eastAsiaTheme="minorEastAsia"/>
          <w:color w:val="000000" w:themeColor="text1"/>
          <w14:textFill>
            <w14:solidFill>
              <w14:schemeClr w14:val="tx1"/>
            </w14:solidFill>
          </w14:textFill>
        </w:rPr>
        <w:t>风险结果的判定</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asciiTheme="minorEastAsia" w:hAnsiTheme="minorEastAsia" w:eastAsiaTheme="minorEastAsia"/>
          <w:szCs w:val="28"/>
        </w:rPr>
        <w:t>1</w:t>
      </w:r>
      <w:r>
        <w:rPr>
          <w:rFonts w:hint="eastAsia" w:asciiTheme="minorEastAsia" w:hAnsiTheme="minorEastAsia" w:eastAsiaTheme="minorEastAsia"/>
          <w:szCs w:val="28"/>
        </w:rPr>
        <w:t>、风险等级的划分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确定风险数值的大小不是组织风险评估的最终目的，重要的是明确不同威胁对资产所产生的风险的相对值，即要确定不同风险的优先次序或等级，对于风险级别高的资产应被优先分配资源进行保护。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风险等级建议从1到5划分为五级。等级越大，风险越高。评估者也可以根据被评估系统的实际情况自定义风险的等级。</w:t>
      </w:r>
    </w:p>
    <w:tbl>
      <w:tblPr>
        <w:tblStyle w:val="38"/>
        <w:tblW w:w="927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98"/>
        <w:gridCol w:w="1800"/>
        <w:gridCol w:w="667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等级</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标识</w:t>
            </w:r>
          </w:p>
        </w:tc>
        <w:tc>
          <w:tcPr>
            <w:tcW w:w="6675"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风险定义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5</w:t>
            </w:r>
          </w:p>
        </w:tc>
        <w:tc>
          <w:tcPr>
            <w:tcW w:w="1800"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很高</w:t>
            </w:r>
          </w:p>
        </w:tc>
        <w:tc>
          <w:tcPr>
            <w:tcW w:w="6675" w:type="dxa"/>
            <w:tcBorders>
              <w:top w:val="single" w:color="000000" w:sz="12" w:space="0"/>
            </w:tcBorders>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风险很高，导致系统受到非常严重影响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4</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高</w:t>
            </w:r>
          </w:p>
        </w:tc>
        <w:tc>
          <w:tcPr>
            <w:tcW w:w="6675"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风险高，导致系统受到严重影响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3</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中</w:t>
            </w:r>
          </w:p>
        </w:tc>
        <w:tc>
          <w:tcPr>
            <w:tcW w:w="6675"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风险中，导致系统受到较重影响的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2</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低</w:t>
            </w:r>
          </w:p>
        </w:tc>
        <w:tc>
          <w:tcPr>
            <w:tcW w:w="6675"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风险低，导致系统受到一般影响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98"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1</w:t>
            </w:r>
          </w:p>
        </w:tc>
        <w:tc>
          <w:tcPr>
            <w:tcW w:w="1800"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很低</w:t>
            </w:r>
          </w:p>
        </w:tc>
        <w:tc>
          <w:tcPr>
            <w:tcW w:w="6675" w:type="dxa"/>
            <w:vAlign w:val="center"/>
          </w:tcPr>
          <w:p>
            <w:pPr>
              <w:jc w:val="center"/>
              <w:rPr>
                <w:rFonts w:asciiTheme="minorEastAsia" w:hAnsiTheme="minorEastAsia" w:eastAsiaTheme="minorEastAsia"/>
                <w:szCs w:val="18"/>
              </w:rPr>
            </w:pPr>
            <w:r>
              <w:rPr>
                <w:rFonts w:hint="eastAsia" w:asciiTheme="minorEastAsia" w:hAnsiTheme="minorEastAsia" w:eastAsiaTheme="minorEastAsia"/>
                <w:szCs w:val="18"/>
              </w:rPr>
              <w:t>风险很低，导致系统受到较小影响</w:t>
            </w:r>
          </w:p>
        </w:tc>
      </w:tr>
    </w:tbl>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2、控制措施的选择</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在对风险等级进行划分后，应考虑法律法规（包括客户及相关方）的要求、自身的发展要求、风险评估的结果确定安全水平，对不可接受的风险选择适当的处理方式及控制措施，并形成风险处理计划。风险处理的方式包括：回避风险，降低风险（降低发生的可能性或减小后果），转移风险，接受风险。控制措施的选择应兼顾管理与技术，具体针对各类风险应根据组织的实际情况考虑以下十个方面的控制：安全方针、组织安全、资产的分类与控制、人员安全、物理与环境安全、通讯与运作管理、访问控制、系统的开发与维护、业务持续性管理、符合性。在风险处理方式及控制措施的选择上，客户应考虑发展战略、企业文化、人员素质，并特别关注成本与风险的平衡，以处理安全风险以满足法律法规及相关方的要求，管理性与技术性的措施均可以降低风险。</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w:t>
      </w:r>
      <w:r>
        <w:rPr>
          <w:rFonts w:hint="eastAsia" w:asciiTheme="minorEastAsia" w:hAnsiTheme="minorEastAsia" w:eastAsiaTheme="minorEastAsia"/>
        </w:rPr>
        <w:t>残余风险的评价</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对于不可接受范围内的风险，应在选择了适当的控制措施后，对残余风险进行评价，判定风险是否已经降低到可接受的水平，为风险管理提供输入。残余风险的评价可以依据组织风险评估的准则进行，考虑选择的控制措施和已有的控制措施对于威胁发生的可能性的降低。某些风险可能在选择了适当的控制措施后仍处于不可接受的风险范围内，应通过管理层依据风险接受的原则，考虑是否接受此类风险或增加控制措施。为确保所选择控制措施的有效性，必要时可进行再评估，以判断实施控制措施后的残余风险是否是可被接受的。</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4、残余风险评价及处置</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对于不可接受范围内的风险，应在选择了适当的控制措施后，对残余风险进行评价，判定风险是否已经降低到可接受的水平，为风险管理提供输入。残余风险的评价可以依据组织风险评估的准则进行，考虑选择的控制措施和已有的控制措施对于威胁发生的可能性的降低。某些风险可能在选择了适当的控制措施后仍处于不可接受的风险范围内，应通过信息系统所有者依据风险接受的原则，考虑是否接受此类风险或增加控制措施。为确保所选择控制措施的有效性，必要时可进行再评估，以判断实施控制措施后的残余风险是否是可被接受的。</w:t>
      </w:r>
    </w:p>
    <w:p>
      <w:pPr>
        <w:pStyle w:val="2"/>
        <w:rPr>
          <w:color w:val="000000" w:themeColor="text1"/>
          <w14:textFill>
            <w14:solidFill>
              <w14:schemeClr w14:val="tx1"/>
            </w14:solidFill>
          </w14:textFill>
        </w:rPr>
      </w:pPr>
      <w:bookmarkStart w:id="319" w:name="_Toc118808268"/>
      <w:r>
        <w:rPr>
          <w:rFonts w:hint="eastAsia"/>
          <w:color w:val="000000" w:themeColor="text1"/>
          <w14:textFill>
            <w14:solidFill>
              <w14:schemeClr w14:val="tx1"/>
            </w14:solidFill>
          </w14:textFill>
        </w:rPr>
        <w:t>安全实施设计</w:t>
      </w:r>
      <w:bookmarkEnd w:id="319"/>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应用安全</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软件开发安全</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1、应确保开发环境与实际运行环境物理分开，开发人员和测试人员分离，测试数据和测试结果受到控制；</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2、应制定软件开发管理制度，明确说明开发过程的控制方法和人员行为准则；</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3、应制定代码编写安全规范，要求开发人员参照规范编写代码；</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4、应确保提供软件设计的相关文档和使用指南，并由专人负责保管；</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5、应确保对程序资源库的修改、更新、发布进行授权和批准。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6、保障源代码安全，配置源代码管理服务器，制定源代码版本管理办法，做好访问控制、版本升级、代码变更等工作。</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7、定期审核开发日志，组织开展代码自查，形成源代码自查记录，验证源代码安全性。</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8、应用系统在测试阶段，须对代码级进行跨站脚本、SQL注入、路径遍历、可疑数据库操作、标记Cookie操作、Session操作、文件访问操作、迭代函数调用、正则表达式调用以及对静态变量的修改操作等进行审查和分析。</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密码应用</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1、采用的密码算法必须符合国家密码管理局标准。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2、密钥的生命周期必须遵循密码设计时对密钥使用期限的规定，定期更换密钥。</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数据安全</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数据完整性保护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在操作系统中，采用密码机制或其它具有相应安全强度的完整性检验机制，对所存储和传输的业务数据、操作系统自身的重要数据及其安全功能数据的完整性检验提供支持，并对检出完整性受到破坏的数据进行一定恢复；采用回退技术实现处理过程中业务数据的完整性保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在数据库管理系统中，采用密码机制或其它具有相应安全强度的完整性检验机制，对所存储和传输的业务数据、数据库管理系统自身的重要数据及其安全功能数据的完整性检验提供支持，并对检出完整性受到破坏的数据时进行一定恢复；采用回退技术实现处理过程中业务数据的完整性保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在应用软件系统中，采用密码机制或其它具有相应安全强度的完整性检验机制，对所存储和传输的业务数据、应用软件系统自身的重要数据及其安全功能数据的完整性检验提供支持，并对检出完整性受到破坏的数据进行一定恢复。</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数据保密性保护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在操作系统中，采用密码机制或其它具有相应安全强度的保密性保护机制，对存储和传输的业务数据、操作系统自身的重要数据及其安全功能数据的保密性保护提供支持；对于动态管理和使用的存储重要数据信息的客体资源，在这些客体资源重新分配前，对其原使用者的数据信息进行清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在数据库管理系统中，采用密码机制或其它具有相应安全强度的保密性保护机制，对存储和传输的业务数据、数据库管理系统自身的重要数据及其安全功能数据的保密性保护提供支持；对于动态管理和使用的存储重要数据信息的客体资源，在这些客体资源重新分配前，对其原使用者的数据信息进行清除；</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在应用软件系统中，采用密码机制或其它具有相应安全强度的保密性保护机制，对存储和传输的业务数据、应用软件系统自身的重要数据及其安全功能数据的保密性保护提供支持；对使用过的动态分配资源，在释放前将其中的剩余信息清除。</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数据交换抗抵赖</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在应用软件系统中，采用由密码技术所提供的签名验证机制，实现数据交换抗原发抵赖和抗接收抵赖功能</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数据备份与恢复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在操作系统中，提供用户自我数据信息备份与恢复功能，由用户设定按天备份任务通过系统计划任务实现按天进行数据备份，并在用户数据受到破坏时，由用户用备份数据进行恢复；提供系统数据异地数据备份功能，由系统管理员定期（每月至少一次）进行系统数据的异地备份，当系统数据丢失或破坏后，由系统管理员用备份数据进行恢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在数据库管理系统中，提供用户自我数据信息备份与恢复功能，由用户定期进行自我数据备份，并在用户数据受到破坏时，由用户用备份数据进行恢复；提供系统数据异地备份功能，由系统管理员定期（每周至少一次）进行系统数据的异地备份，当系统数据丢失或破坏后，由系统管理员用备份数据进行恢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3、在应用软件系统中，提供用户自我数据信息备份与恢复功能，由用户定期进行自我数据备份，并在用户数据受到破坏时，由用户用备份数据进行恢复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4、所有重要信息应每天进行备份，备份介质应场外存放</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5、对各类备份数据每半年至少进行一次抽样性恢复演练</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数据访问控制</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智能咨询平台在公网部署的智能咨询库涉及的问题是业务人员“主动公开”的数据。</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网络安全</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网络区域划分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将网络划分为外部区域、访问区域、受理区域、内部区域。</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网络部署</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安全区域内每个主机需安装网络版防病毒系统，病毒库需更新为最新，定期进行升级。</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服务器安全</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操作系统</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系统安全</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服务器不允许安装与应用无关的软件，不能存放与应用无关的资料。</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安装必要软件时，应严格限制下载和使用免费软件或共享软件，应确保服务器系统安装的软件来源可靠，且在使用前进行测试。</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服务器禁止外部存储设备（软盘、移动硬盘、U盘等）存储，如必须使用外部存储设备时，所有外部存储设备在使用前应进行病毒扫描。</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定期更新操作系统安全补丁，及时修补安全漏洞。</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关闭操作系统非必需的服务和端口。</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权限控制</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严格控制操作系统重要目录及文件的访问权限。</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根据“业务必需”原则授予不同用户为完成各自承担任务所需的最小权限。严格限制默认用户的访问权限，重命名系统默认用户，修改默认用户密码，及时删除多余的、过期的用户。</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安全审计</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定期对操作系统进行安全审计，并生产审计报表。审计内容应包括重要用户行为、系统资源的异常使用和重要信息系统命令的使用等系统内重要的安全相关事件。</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保护审计记录，避免遭受未授权的删除、修改或覆盖。</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日志管理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日志系统应记录系统管理员登录的时间、登录系统的方式、失败的访问尝试、系统管理员的操作以及其他涉及数据安全的访问记录。</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严格控制系统日志的访问权限，只有工作需要并通过审批的岗位人员才能查看系统日志。</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定期检查日志，对其中可疑的记录进行分析审核。</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数据库系统</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每月定期更新数据库系统安全补丁，及时修补安全漏洞。</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数据库系统权限控制</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禁止开放数据库系统的外网访问权限。</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禁止以服务器主机操作系统管理员的身份启动数据库软件的进程。</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严格限制数据库相关文件的访问权限，保证只有数据库软件的拥有者才能有相应的权限，同组用户和其他数据库系统安全配置：</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在安装数据库系统时即更改数据库系统用户的默认密码，密码长度至少8位且同时包含字母和数字。</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对于采用静态口令认证技术的数据库，应配置当用户连续认证失败次数超过6次（不含6次），锁定该用户使用的账号。</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关闭数据库系统中非必须的服务和访问端口。</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通过配置数据库服务器本身或者防火墙，限制连接到数据库的客户端的IP。</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定期对数据库系统进行安全审计，并生产审计报表。审计内容应包括重要用户行为、系统资源的异常使用和重要信息系统命令的使用等系统内重要的安全相关事件。</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日志管理</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日志系统应记录系统管理员登录的时间、登录系统的方式、失败的访问尝试、系统管理员的操作以及其他涉及数据安全的访问记录。</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严格控制系统日志的访问权限，只有工作需要并通过审批的岗位人员才能查看系统日志。</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定期检查日志，对其中可疑的记录进行分析审核。</w:t>
      </w:r>
    </w:p>
    <w:p>
      <w:pPr>
        <w:pStyle w:val="33"/>
        <w:numPr>
          <w:ilvl w:val="0"/>
          <w:numId w:val="36"/>
        </w:numPr>
        <w:shd w:val="clear" w:color="auto" w:fill="FFFFFF"/>
        <w:spacing w:beforeAutospacing="0" w:afterAutospacing="0"/>
        <w:rPr>
          <w:rFonts w:asciiTheme="minorEastAsia" w:hAnsiTheme="minorEastAsia" w:eastAsiaTheme="minorEastAsia"/>
          <w:b/>
          <w:szCs w:val="28"/>
        </w:rPr>
      </w:pPr>
      <w:r>
        <w:rPr>
          <w:rFonts w:hint="eastAsia" w:asciiTheme="minorEastAsia" w:hAnsiTheme="minorEastAsia" w:eastAsiaTheme="minorEastAsia"/>
          <w:b/>
          <w:szCs w:val="28"/>
        </w:rPr>
        <w:t>灾难备份和恢复</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应建立重要数据的定期数据备份机制，至少每天进行一次完整的数据增量备份，并将备份介质存放在安全区域内。</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应对关键数据进行同城和异地的实时备份，保证业务应用能够实时切换。</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应制订灾难恢复计划并定期进行测试，确保各个恢复程序的正确性和整体计划的有效性。</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系统安全测试</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等保测评</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系统正式运行前应邀请国家信息安全等级保护工作协调小组办公室推荐测评机构对信息系统进行信息安全等级测评，按照国家等级保护2级测评要求协助通过测评，及时整改测评中发现的各类问题，直至通过测评，不存在中、高风险。</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具体工作包含下面2点：</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1.协助完成符合定级要求定级材料和定级备案工作。具体包括：</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结合业务特点进行系统安全等级需求分析，协助实施单位项目组人员分析定级思路，并协助编制定级报告等定级材料；</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协助组织专家定级评审所需要的相关材料并配合评审，直至通过评审；</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协助实施单位完成定级备案工作；</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针对已经完成定级但系统发生变化的信息系统，协助实施单位完成定级材料变更的一系列工作。</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2.协助完成信息安全等级保护测评工作。</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配合进行测评前准备、现场测评、测评整改等测评的相关工作。直至获得结论为“符合/基本符合”的测评报告。具体包括：</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针对测评内容进行安全自查，对可能存在的安全风险进行安全整改；</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在测评机构进场前，根据测评机构要求，协助实施单位整理并提交相关材料与文档；</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现场测评过程中，现场配合测评机构，与测评机构充分沟通，如实反馈安全建设情况，推动测评工作顺利开展；</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测评整改过程中，针对测评机构的意见与建议，进行充分讨论审视安全风险，并组织开展切实有效的安全整改工作，直至通过测评。</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渗透测试</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项目实施过程中应通过专业的信息安全渗透性测试攻击，渗透测试主要是模拟黑客的攻击方法，检测网站、网络协议、网络服务、网络设备、应用系统等各种信息资产所存在的安全隐患和漏洞。</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渗透测试主要分为扫描和人工两部分，依靠带有安全漏洞知识库的网络安全扫描工具以及安全专家对漏洞的深入了解，其特点是能对被评估目标进行覆盖面广泛而且更深度的安全漏洞查找，并且评估环境与被评估对象在线运行的环境完全一致，能较真实地反映网站及服务器系统、网络设备、应用系统所存在的安全问题和面临的安全威胁。</w:t>
      </w:r>
    </w:p>
    <w:p>
      <w:pPr>
        <w:pStyle w:val="7"/>
        <w:numPr>
          <w:ilvl w:val="4"/>
          <w:numId w:val="14"/>
        </w:num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风险评估</w:t>
      </w:r>
    </w:p>
    <w:p>
      <w:pPr>
        <w:pStyle w:val="33"/>
        <w:shd w:val="clear" w:color="auto" w:fill="FFFFFF"/>
        <w:spacing w:beforeAutospacing="0" w:afterAutospacing="0"/>
        <w:ind w:firstLine="560" w:firstLineChars="200"/>
        <w:rPr>
          <w:rFonts w:asciiTheme="minorEastAsia" w:hAnsiTheme="minorEastAsia" w:eastAsiaTheme="minorEastAsia"/>
          <w:szCs w:val="28"/>
        </w:rPr>
      </w:pPr>
      <w:r>
        <w:rPr>
          <w:rFonts w:hint="eastAsia" w:asciiTheme="minorEastAsia" w:hAnsiTheme="minorEastAsia" w:eastAsiaTheme="minorEastAsia"/>
          <w:szCs w:val="28"/>
        </w:rPr>
        <w:t>系统正式上线前应聘请具备信息安全测评服务资质的第三方专业安全公司和机构，对系统进行风险评估，对存在的风险和漏洞进行整改或采取有效的防范措施。</w:t>
      </w:r>
    </w:p>
    <w:p>
      <w:pPr>
        <w:pStyle w:val="5"/>
        <w:rPr>
          <w:rFonts w:asciiTheme="minorEastAsia" w:hAnsiTheme="minorEastAsia" w:eastAsiaTheme="minorEastAsia"/>
          <w:color w:val="000000" w:themeColor="text1"/>
          <w14:textFill>
            <w14:solidFill>
              <w14:schemeClr w14:val="tx1"/>
            </w14:solidFill>
          </w14:textFill>
        </w:rPr>
      </w:pPr>
      <w:bookmarkStart w:id="320" w:name="_Toc118808269"/>
      <w:r>
        <w:rPr>
          <w:rFonts w:hint="eastAsia" w:asciiTheme="minorEastAsia" w:hAnsiTheme="minorEastAsia" w:eastAsiaTheme="minorEastAsia"/>
          <w:color w:val="000000" w:themeColor="text1"/>
          <w14:textFill>
            <w14:solidFill>
              <w14:schemeClr w14:val="tx1"/>
            </w14:solidFill>
          </w14:textFill>
        </w:rPr>
        <w:t>备份系统设计</w:t>
      </w:r>
      <w:bookmarkEnd w:id="320"/>
    </w:p>
    <w:p>
      <w:pPr>
        <w:pStyle w:val="2"/>
        <w:rPr>
          <w:rFonts w:ascii="宋体" w:hAnsi="宋体" w:cs="仿宋"/>
          <w:color w:val="000000" w:themeColor="text1"/>
          <w:sz w:val="30"/>
          <w:szCs w:val="30"/>
          <w14:textFill>
            <w14:solidFill>
              <w14:schemeClr w14:val="tx1"/>
            </w14:solidFill>
          </w14:textFill>
        </w:rPr>
      </w:pPr>
      <w:bookmarkStart w:id="321" w:name="_Toc118808270"/>
      <w:r>
        <w:rPr>
          <w:rFonts w:hint="eastAsia" w:ascii="宋体" w:hAnsi="宋体" w:cs="仿宋"/>
          <w:color w:val="000000" w:themeColor="text1"/>
          <w:sz w:val="30"/>
          <w:szCs w:val="30"/>
          <w14:textFill>
            <w14:solidFill>
              <w14:schemeClr w14:val="tx1"/>
            </w14:solidFill>
          </w14:textFill>
        </w:rPr>
        <w:t>备份系统设计</w:t>
      </w:r>
      <w:bookmarkEnd w:id="321"/>
    </w:p>
    <w:p>
      <w:pPr>
        <w:ind w:firstLine="560" w:firstLineChars="200"/>
        <w:rPr>
          <w:rFonts w:ascii="宋体" w:hAnsi="宋体"/>
          <w:color w:val="000000" w:themeColor="text1"/>
          <w:lang w:eastAsia="zh-Hans"/>
          <w14:textFill>
            <w14:solidFill>
              <w14:schemeClr w14:val="tx1"/>
            </w14:solidFill>
          </w14:textFill>
        </w:rPr>
      </w:pPr>
      <w:r>
        <w:rPr>
          <w:rFonts w:hint="eastAsia" w:ascii="宋体" w:hAnsi="宋体"/>
          <w:color w:val="000000" w:themeColor="text1"/>
          <w:lang w:eastAsia="zh-Hans"/>
          <w14:textFill>
            <w14:solidFill>
              <w14:schemeClr w14:val="tx1"/>
            </w14:solidFill>
          </w14:textFill>
        </w:rPr>
        <w:t>系统采用分布式存储设计，所有的数据在运行时都存在多个副本，多个副本分布在不同的机器上，以保证任意一个存储节点发生故障时，系统可用性不受影响。每个存储系统的具体设计如下：</w:t>
      </w:r>
    </w:p>
    <w:p>
      <w:pPr>
        <w:pStyle w:val="6"/>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文件存储</w:t>
      </w:r>
    </w:p>
    <w:p>
      <w:pPr>
        <w:ind w:firstLine="56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文件存储使用对象存储服务minio，</w:t>
      </w:r>
      <w:r>
        <w:rPr>
          <w:rFonts w:hint="eastAsia" w:ascii="宋体" w:hAnsi="宋体"/>
          <w:color w:val="000000" w:themeColor="text1"/>
          <w14:textFill>
            <w14:solidFill>
              <w14:schemeClr w14:val="tx1"/>
            </w14:solidFill>
          </w14:textFill>
        </w:rPr>
        <w:t>是非常轻量级的软件，使用操作系统的文件系统作为存储介质，我们在向任意节点写数据的时候，minIO会自动同步数据到另外的节点，而机制叫做erasure code（纠删码）来保证集群的稳定，分布式 Minio 可以让你将多块硬盘（甚至在不同的机器上）组成一个对象存储服务。由于硬盘分布在不同的节点上，分布式 Minio 避免了单点故障</w:t>
      </w:r>
      <w:r>
        <w:rPr>
          <w:rFonts w:ascii="宋体" w:hAnsi="宋体"/>
          <w:color w:val="000000" w:themeColor="text1"/>
          <w14:textFill>
            <w14:solidFill>
              <w14:schemeClr w14:val="tx1"/>
            </w14:solidFill>
          </w14:textFill>
        </w:rPr>
        <w:t>，参考如下：</w:t>
      </w:r>
    </w:p>
    <w:p>
      <w:pPr>
        <w:widowControl/>
        <w:jc w:val="center"/>
        <w:rPr>
          <w:rFonts w:ascii="宋体" w:hAnsi="宋体"/>
          <w:color w:val="000000" w:themeColor="text1"/>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114300" distR="114300">
            <wp:extent cx="5172075" cy="3266440"/>
            <wp:effectExtent l="0" t="0" r="9525" b="10160"/>
            <wp:docPr id="6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descr="IMG_256"/>
                    <pic:cNvPicPr>
                      <a:picLocks noChangeAspect="1"/>
                    </pic:cNvPicPr>
                  </pic:nvPicPr>
                  <pic:blipFill>
                    <a:blip r:embed="rId97">
                      <a:extLst>
                        <a:ext uri="{96DAC541-7B7A-43D3-8B79-37D633B846F1}">
                          <asvg:svgBlip xmlns:asvg="http://schemas.microsoft.com/office/drawing/2016/SVG/main" r:embed="rId98"/>
                        </a:ext>
                      </a:extLst>
                    </a:blip>
                    <a:stretch>
                      <a:fillRect/>
                    </a:stretch>
                  </pic:blipFill>
                  <pic:spPr>
                    <a:xfrm>
                      <a:off x="0" y="0"/>
                      <a:ext cx="5172075" cy="3266440"/>
                    </a:xfrm>
                    <a:prstGeom prst="rect">
                      <a:avLst/>
                    </a:prstGeom>
                    <a:noFill/>
                  </pic:spPr>
                </pic:pic>
              </a:graphicData>
            </a:graphic>
          </wp:inline>
        </w:drawing>
      </w:r>
    </w:p>
    <w:p>
      <w:pPr>
        <w:jc w:val="center"/>
        <w:rPr>
          <w:rFonts w:ascii="宋体" w:hAnsi="宋体" w:cs="宋体"/>
          <w:color w:val="000000" w:themeColor="text1"/>
          <w:szCs w:val="28"/>
          <w14:textFill>
            <w14:solidFill>
              <w14:schemeClr w14:val="tx1"/>
            </w14:solidFill>
          </w14:textFill>
        </w:rPr>
      </w:pPr>
      <w:r>
        <w:rPr>
          <w:rFonts w:hint="eastAsia" w:ascii="宋体" w:hAnsi="宋体" w:cs="方正黑体_GBK"/>
          <w:color w:val="000000" w:themeColor="text1"/>
          <w:szCs w:val="28"/>
          <w:u w:color="000000"/>
          <w:lang w:eastAsia="zh-Hans"/>
          <w14:textFill>
            <w14:solidFill>
              <w14:schemeClr w14:val="tx1"/>
            </w14:solidFill>
          </w14:textFill>
        </w:rPr>
        <w:t>图</w:t>
      </w:r>
      <w:r>
        <w:rPr>
          <w:rFonts w:ascii="宋体" w:hAnsi="宋体" w:cs="方正黑体_GBK"/>
          <w:color w:val="000000" w:themeColor="text1"/>
          <w:szCs w:val="28"/>
          <w:u w:color="000000"/>
          <w:lang w:eastAsia="zh-Hans"/>
          <w14:textFill>
            <w14:solidFill>
              <w14:schemeClr w14:val="tx1"/>
            </w14:solidFill>
          </w14:textFill>
        </w:rPr>
        <w:t>4-9-1</w:t>
      </w:r>
      <w:r>
        <w:rPr>
          <w:rFonts w:ascii="宋体" w:hAnsi="宋体" w:cs="方正黑体_GBK"/>
          <w:color w:val="000000" w:themeColor="text1"/>
          <w:szCs w:val="28"/>
          <w:u w:color="000000"/>
          <w14:textFill>
            <w14:solidFill>
              <w14:schemeClr w14:val="tx1"/>
            </w14:solidFill>
          </w14:textFill>
        </w:rPr>
        <w:t xml:space="preserve"> </w:t>
      </w:r>
      <w:r>
        <w:rPr>
          <w:rFonts w:ascii="宋体" w:hAnsi="宋体" w:cs="宋体"/>
          <w:color w:val="000000" w:themeColor="text1"/>
          <w:szCs w:val="28"/>
          <w14:textFill>
            <w14:solidFill>
              <w14:schemeClr w14:val="tx1"/>
            </w14:solidFill>
          </w14:textFill>
        </w:rPr>
        <w:t>OSS高可用保障</w:t>
      </w:r>
    </w:p>
    <w:p>
      <w:pPr>
        <w:pStyle w:val="6"/>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MySQL</w:t>
      </w:r>
    </w:p>
    <w:p>
      <w:pPr>
        <w:ind w:firstLine="56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MySQL数据库使用 MySQL高可用版本，高可用方案采用两个节点一主一从模式，放置于同一个VLAN中，在正常情况下，主节点的数据会不断同步到从节点中（采用的是基于binlog的复制方式进行同步），当master节点发生故障后，利用高可用机制实现快速切换到slave节点。同时支持设置快照策略，对历史数据定期备份，如果数据出现问题，可以通过快照+增量日志的方式恢复数据。参考如下：</w:t>
      </w:r>
    </w:p>
    <w:p>
      <w:pPr>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drawing>
          <wp:inline distT="0" distB="0" distL="114300" distR="114300">
            <wp:extent cx="3576955" cy="1457325"/>
            <wp:effectExtent l="9525" t="9525" r="20320" b="190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99"/>
                    <a:stretch>
                      <a:fillRect/>
                    </a:stretch>
                  </pic:blipFill>
                  <pic:spPr>
                    <a:xfrm>
                      <a:off x="0" y="0"/>
                      <a:ext cx="3576955" cy="1457325"/>
                    </a:xfrm>
                    <a:prstGeom prst="rect">
                      <a:avLst/>
                    </a:prstGeom>
                    <a:noFill/>
                    <a:ln w="9525">
                      <a:solidFill>
                        <a:schemeClr val="bg1">
                          <a:lumMod val="95000"/>
                          <a:lumMod val="95000"/>
                          <a:lumMod val="95000"/>
                          <a:lumMod val="95000"/>
                          <a:lumMod val="95000"/>
                          <a:lumMod val="95000"/>
                          <a:lumMod val="95000"/>
                          <a:lumMod val="95000"/>
                          <a:lumMod val="95000"/>
                          <a:lumMod val="95000"/>
                          <a:lumMod val="95000"/>
                          <a:lumMod val="95000"/>
                          <a:lumMod val="95000"/>
                          <a:lumMod val="95000"/>
                          <a:lumMod val="95000"/>
                          <a:lumMod val="95000"/>
                        </a:schemeClr>
                      </a:solidFill>
                    </a:ln>
                  </pic:spPr>
                </pic:pic>
              </a:graphicData>
            </a:graphic>
          </wp:inline>
        </w:drawing>
      </w:r>
    </w:p>
    <w:p>
      <w:pPr>
        <w:jc w:val="center"/>
        <w:rPr>
          <w:rFonts w:ascii="宋体" w:hAnsi="宋体"/>
          <w:color w:val="000000" w:themeColor="text1"/>
          <w:sz w:val="40"/>
          <w:szCs w:val="32"/>
          <w14:textFill>
            <w14:solidFill>
              <w14:schemeClr w14:val="tx1"/>
            </w14:solidFill>
          </w14:textFill>
        </w:rPr>
      </w:pPr>
      <w:r>
        <w:rPr>
          <w:rFonts w:ascii="宋体" w:hAnsi="宋体" w:cs="宋体"/>
          <w:color w:val="000000" w:themeColor="text1"/>
          <w:szCs w:val="28"/>
          <w14:textFill>
            <w14:solidFill>
              <w14:schemeClr w14:val="tx1"/>
            </w14:solidFill>
          </w14:textFill>
        </w:rPr>
        <w:t xml:space="preserve"> </w:t>
      </w:r>
      <w:r>
        <w:rPr>
          <w:rFonts w:hint="eastAsia" w:ascii="宋体" w:hAnsi="宋体" w:cs="宋体"/>
          <w:color w:val="000000" w:themeColor="text1"/>
          <w:szCs w:val="28"/>
          <w:lang w:eastAsia="zh-Hans"/>
          <w14:textFill>
            <w14:solidFill>
              <w14:schemeClr w14:val="tx1"/>
            </w14:solidFill>
          </w14:textFill>
        </w:rPr>
        <w:t>图</w:t>
      </w:r>
      <w:r>
        <w:rPr>
          <w:rFonts w:ascii="宋体" w:hAnsi="宋体" w:cs="宋体"/>
          <w:color w:val="000000" w:themeColor="text1"/>
          <w:szCs w:val="28"/>
          <w:lang w:eastAsia="zh-Hans"/>
          <w14:textFill>
            <w14:solidFill>
              <w14:schemeClr w14:val="tx1"/>
            </w14:solidFill>
          </w14:textFill>
        </w:rPr>
        <w:t>4-9-2</w:t>
      </w:r>
      <w:r>
        <w:rPr>
          <w:rFonts w:ascii="宋体" w:hAnsi="宋体" w:cs="宋体"/>
          <w:color w:val="000000" w:themeColor="text1"/>
          <w:szCs w:val="28"/>
          <w14:textFill>
            <w14:solidFill>
              <w14:schemeClr w14:val="tx1"/>
            </w14:solidFill>
          </w14:textFill>
        </w:rPr>
        <w:t>基于主从复制的mysql高可用</w:t>
      </w:r>
    </w:p>
    <w:p>
      <w:pPr>
        <w:pStyle w:val="6"/>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MongoDB</w:t>
      </w:r>
    </w:p>
    <w:p>
      <w:pPr>
        <w:ind w:firstLine="56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MongoDB采用三节点副本集架构，多重备份，来保障数据存储的可靠性。三节点中，主节点（Primary）和备节点（Secondary）提供服务，当主节点出现故障，系统自动从三个节点中选举出新的主节点。 当备节点不可用，由隐藏节点（Hidden）接管服务，多重保障系统服务可用性。</w:t>
      </w:r>
    </w:p>
    <w:p>
      <w:pPr>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drawing>
          <wp:inline distT="0" distB="0" distL="114300" distR="114300">
            <wp:extent cx="4585970" cy="1905000"/>
            <wp:effectExtent l="9525" t="9525" r="14605" b="158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00"/>
                    <a:stretch>
                      <a:fillRect/>
                    </a:stretch>
                  </pic:blipFill>
                  <pic:spPr>
                    <a:xfrm>
                      <a:off x="0" y="0"/>
                      <a:ext cx="4585970" cy="1905000"/>
                    </a:xfrm>
                    <a:prstGeom prst="rect">
                      <a:avLst/>
                    </a:prstGeom>
                    <a:noFill/>
                    <a:ln w="9525">
                      <a:solidFill>
                        <a:schemeClr val="bg1">
                          <a:lumMod val="95000"/>
                          <a:lumMod val="95000"/>
                          <a:lumMod val="95000"/>
                          <a:lumMod val="95000"/>
                          <a:lumMod val="95000"/>
                          <a:lumMod val="95000"/>
                          <a:lumMod val="95000"/>
                          <a:lumMod val="95000"/>
                          <a:lumMod val="95000"/>
                          <a:lumMod val="95000"/>
                          <a:lumMod val="95000"/>
                          <a:lumMod val="95000"/>
                          <a:lumMod val="95000"/>
                          <a:lumMod val="95000"/>
                          <a:lumMod val="95000"/>
                          <a:lumMod val="95000"/>
                        </a:schemeClr>
                      </a:solidFill>
                    </a:ln>
                  </pic:spPr>
                </pic:pic>
              </a:graphicData>
            </a:graphic>
          </wp:inline>
        </w:drawing>
      </w:r>
    </w:p>
    <w:p>
      <w:pPr>
        <w:jc w:val="center"/>
        <w:rPr>
          <w:rFonts w:ascii="宋体" w:hAnsi="宋体"/>
          <w:color w:val="000000" w:themeColor="text1"/>
          <w14:textFill>
            <w14:solidFill>
              <w14:schemeClr w14:val="tx1"/>
            </w14:solidFill>
          </w14:textFill>
        </w:rPr>
      </w:pPr>
      <w:r>
        <w:rPr>
          <w:rFonts w:ascii="宋体" w:hAnsi="宋体" w:cs="方正黑体_GBK"/>
          <w:color w:val="000000" w:themeColor="text1"/>
          <w:szCs w:val="28"/>
          <w:u w:color="000000"/>
          <w14:textFill>
            <w14:solidFill>
              <w14:schemeClr w14:val="tx1"/>
            </w14:solidFill>
          </w14:textFill>
        </w:rPr>
        <w:t xml:space="preserve"> </w:t>
      </w:r>
      <w:r>
        <w:rPr>
          <w:rFonts w:hint="eastAsia" w:ascii="宋体" w:hAnsi="宋体" w:cs="方正黑体_GBK"/>
          <w:color w:val="000000" w:themeColor="text1"/>
          <w:szCs w:val="28"/>
          <w:u w:color="000000"/>
          <w:lang w:eastAsia="zh-Hans"/>
          <w14:textFill>
            <w14:solidFill>
              <w14:schemeClr w14:val="tx1"/>
            </w14:solidFill>
          </w14:textFill>
        </w:rPr>
        <w:t>图</w:t>
      </w:r>
      <w:r>
        <w:rPr>
          <w:rFonts w:ascii="宋体" w:hAnsi="宋体" w:cs="方正黑体_GBK"/>
          <w:color w:val="000000" w:themeColor="text1"/>
          <w:szCs w:val="28"/>
          <w:u w:color="000000"/>
          <w:lang w:eastAsia="zh-Hans"/>
          <w14:textFill>
            <w14:solidFill>
              <w14:schemeClr w14:val="tx1"/>
            </w14:solidFill>
          </w14:textFill>
        </w:rPr>
        <w:t xml:space="preserve">4-9-3 </w:t>
      </w:r>
      <w:r>
        <w:rPr>
          <w:rFonts w:ascii="宋体" w:hAnsi="宋体" w:cs="宋体"/>
          <w:color w:val="000000" w:themeColor="text1"/>
          <w:szCs w:val="28"/>
          <w14:textFill>
            <w14:solidFill>
              <w14:schemeClr w14:val="tx1"/>
            </w14:solidFill>
          </w14:textFill>
        </w:rPr>
        <w:t>MongoDB高可用</w:t>
      </w:r>
    </w:p>
    <w:p>
      <w:pPr>
        <w:pStyle w:val="6"/>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Redis</w:t>
      </w:r>
    </w:p>
    <w:p>
      <w:pPr>
        <w:ind w:firstLine="56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Redis采用Redis集群版，使用双机热备架构，系统工作时主节点（Master）和备节点（Slave）数据实时同步，主节点故障时系统自动秒级切换，备节点接管业务，全程自动且对业务无影响，主备架构保障系统服务具有高可用性。Redis高可用基于Sentinel机制，其部署架构主要包括两部分：Redis Sentinel集群和Redis数据集群。参考如下图所示：</w:t>
      </w:r>
    </w:p>
    <w:p>
      <w:pPr>
        <w:widowControl/>
        <w:ind w:firstLine="480"/>
        <w:jc w:val="center"/>
        <w:rPr>
          <w:rFonts w:ascii="宋体" w:hAnsi="宋体" w:cs="宋体"/>
          <w:color w:val="000000" w:themeColor="text1"/>
          <w:kern w:val="0"/>
          <w:sz w:val="24"/>
          <w:lang w:bidi="ar"/>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114300" distR="114300">
            <wp:extent cx="3648710" cy="3063240"/>
            <wp:effectExtent l="9525" t="9525" r="12065" b="13335"/>
            <wp:docPr id="7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descr="IMG_256"/>
                    <pic:cNvPicPr>
                      <a:picLocks noChangeAspect="1"/>
                    </pic:cNvPicPr>
                  </pic:nvPicPr>
                  <pic:blipFill>
                    <a:blip r:embed="rId101"/>
                    <a:stretch>
                      <a:fillRect/>
                    </a:stretch>
                  </pic:blipFill>
                  <pic:spPr>
                    <a:xfrm>
                      <a:off x="0" y="0"/>
                      <a:ext cx="3648710" cy="3063240"/>
                    </a:xfrm>
                    <a:prstGeom prst="rect">
                      <a:avLst/>
                    </a:prstGeom>
                    <a:noFill/>
                    <a:ln w="9525">
                      <a:solidFill>
                        <a:schemeClr val="bg1">
                          <a:lumMod val="95000"/>
                          <a:lumMod val="95000"/>
                          <a:lumMod val="95000"/>
                          <a:lumMod val="95000"/>
                          <a:lumMod val="95000"/>
                          <a:lumMod val="95000"/>
                          <a:lumMod val="95000"/>
                          <a:lumMod val="95000"/>
                          <a:lumMod val="95000"/>
                          <a:lumMod val="95000"/>
                          <a:lumMod val="95000"/>
                          <a:lumMod val="95000"/>
                          <a:lumMod val="95000"/>
                          <a:lumMod val="95000"/>
                          <a:lumMod val="95000"/>
                          <a:lumMod val="95000"/>
                        </a:schemeClr>
                      </a:solidFill>
                    </a:ln>
                  </pic:spPr>
                </pic:pic>
              </a:graphicData>
            </a:graphic>
          </wp:inline>
        </w:drawing>
      </w:r>
    </w:p>
    <w:p>
      <w:pPr>
        <w:widowControl/>
        <w:ind w:firstLine="480"/>
        <w:jc w:val="center"/>
        <w:rPr>
          <w:rFonts w:ascii="宋体" w:hAnsi="宋体"/>
          <w:color w:val="000000" w:themeColor="text1"/>
          <w:sz w:val="40"/>
          <w:szCs w:val="32"/>
          <w14:textFill>
            <w14:solidFill>
              <w14:schemeClr w14:val="tx1"/>
            </w14:solidFill>
          </w14:textFill>
        </w:rPr>
      </w:pPr>
      <w:r>
        <w:rPr>
          <w:rFonts w:ascii="宋体" w:hAnsi="宋体" w:cs="方正黑体_GBK"/>
          <w:color w:val="000000" w:themeColor="text1"/>
          <w:sz w:val="24"/>
          <w:szCs w:val="32"/>
          <w:u w:color="000000"/>
          <w14:textFill>
            <w14:solidFill>
              <w14:schemeClr w14:val="tx1"/>
            </w14:solidFill>
          </w14:textFill>
        </w:rPr>
        <w:t xml:space="preserve"> </w:t>
      </w:r>
      <w:r>
        <w:rPr>
          <w:rFonts w:hint="eastAsia" w:ascii="宋体" w:hAnsi="宋体" w:cs="方正黑体_GBK"/>
          <w:color w:val="000000" w:themeColor="text1"/>
          <w:szCs w:val="28"/>
          <w:u w:color="000000"/>
          <w:lang w:eastAsia="zh-Hans"/>
          <w14:textFill>
            <w14:solidFill>
              <w14:schemeClr w14:val="tx1"/>
            </w14:solidFill>
          </w14:textFill>
        </w:rPr>
        <w:t>图</w:t>
      </w:r>
      <w:r>
        <w:rPr>
          <w:rFonts w:ascii="宋体" w:hAnsi="宋体" w:cs="方正黑体_GBK"/>
          <w:color w:val="000000" w:themeColor="text1"/>
          <w:szCs w:val="28"/>
          <w:u w:color="000000"/>
          <w:lang w:eastAsia="zh-Hans"/>
          <w14:textFill>
            <w14:solidFill>
              <w14:schemeClr w14:val="tx1"/>
            </w14:solidFill>
          </w14:textFill>
        </w:rPr>
        <w:t>4-9-4</w:t>
      </w:r>
      <w:r>
        <w:rPr>
          <w:rFonts w:hint="eastAsia" w:ascii="宋体" w:hAnsi="宋体" w:cs="宋体"/>
          <w:color w:val="000000" w:themeColor="text1"/>
          <w:szCs w:val="28"/>
          <w14:textFill>
            <w14:solidFill>
              <w14:schemeClr w14:val="tx1"/>
            </w14:solidFill>
          </w14:textFill>
        </w:rPr>
        <w:t>基于Sentinel机制的Redis高可用保障</w:t>
      </w:r>
    </w:p>
    <w:p>
      <w:pPr>
        <w:pStyle w:val="6"/>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ElasticSearch</w:t>
      </w:r>
    </w:p>
    <w:p>
      <w:pPr>
        <w:ind w:firstLine="56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ElasticSearch使用Elasticsearch 7.6</w:t>
      </w:r>
      <w:r>
        <w:rPr>
          <w:rFonts w:hint="eastAsia" w:ascii="宋体" w:hAnsi="宋体"/>
          <w:color w:val="000000" w:themeColor="text1"/>
          <w:lang w:eastAsia="zh-Hans"/>
          <w14:textFill>
            <w14:solidFill>
              <w14:schemeClr w14:val="tx1"/>
            </w14:solidFill>
          </w14:textFill>
        </w:rPr>
        <w:t>高可用版，</w:t>
      </w:r>
      <w:r>
        <w:rPr>
          <w:rFonts w:ascii="宋体" w:hAnsi="宋体"/>
          <w:color w:val="000000" w:themeColor="text1"/>
          <w14:textFill>
            <w14:solidFill>
              <w14:schemeClr w14:val="tx1"/>
            </w14:solidFill>
          </w14:textFill>
        </w:rPr>
        <w:t>以共享存储CPFS（Cloud Paralleled File System）和读写分离架构为基础的Elasticsearch数据模型。依赖云存储多副本，保证数据可靠性。参考说明如下图：</w:t>
      </w:r>
    </w:p>
    <w:p>
      <w:pPr>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drawing>
          <wp:inline distT="0" distB="0" distL="114300" distR="114300">
            <wp:extent cx="4499610" cy="2628265"/>
            <wp:effectExtent l="0" t="0" r="8890"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2"/>
                    <a:stretch>
                      <a:fillRect/>
                    </a:stretch>
                  </pic:blipFill>
                  <pic:spPr>
                    <a:xfrm>
                      <a:off x="0" y="0"/>
                      <a:ext cx="4499610" cy="2628265"/>
                    </a:xfrm>
                    <a:prstGeom prst="rect">
                      <a:avLst/>
                    </a:prstGeom>
                  </pic:spPr>
                </pic:pic>
              </a:graphicData>
            </a:graphic>
          </wp:inline>
        </w:drawing>
      </w:r>
    </w:p>
    <w:p>
      <w:pPr>
        <w:jc w:val="center"/>
        <w:rPr>
          <w:rFonts w:ascii="宋体" w:hAnsi="宋体" w:cs="宋体"/>
          <w:color w:val="000000" w:themeColor="text1"/>
          <w:szCs w:val="28"/>
          <w:lang w:eastAsia="zh-Hans"/>
          <w14:textFill>
            <w14:solidFill>
              <w14:schemeClr w14:val="tx1"/>
            </w14:solidFill>
          </w14:textFill>
        </w:rPr>
      </w:pPr>
      <w:r>
        <w:rPr>
          <w:rFonts w:hint="eastAsia" w:ascii="宋体" w:hAnsi="宋体" w:cs="宋体"/>
          <w:color w:val="000000" w:themeColor="text1"/>
          <w:szCs w:val="28"/>
          <w:u w:color="000000"/>
          <w14:textFill>
            <w14:solidFill>
              <w14:schemeClr w14:val="tx1"/>
            </w14:solidFill>
          </w14:textFill>
        </w:rPr>
        <w:t xml:space="preserve"> </w:t>
      </w:r>
      <w:r>
        <w:rPr>
          <w:rFonts w:hint="eastAsia" w:ascii="宋体" w:hAnsi="宋体" w:cs="宋体"/>
          <w:color w:val="000000" w:themeColor="text1"/>
          <w:szCs w:val="28"/>
          <w:u w:color="000000"/>
          <w:lang w:eastAsia="zh-Hans"/>
          <w14:textFill>
            <w14:solidFill>
              <w14:schemeClr w14:val="tx1"/>
            </w14:solidFill>
          </w14:textFill>
        </w:rPr>
        <w:t>图4-</w:t>
      </w:r>
      <w:r>
        <w:rPr>
          <w:rFonts w:hint="eastAsia" w:ascii="宋体" w:hAnsi="宋体" w:cs="宋体"/>
          <w:color w:val="000000" w:themeColor="text1"/>
          <w:szCs w:val="28"/>
          <w:u w:color="000000"/>
          <w14:textFill>
            <w14:solidFill>
              <w14:schemeClr w14:val="tx1"/>
            </w14:solidFill>
          </w14:textFill>
        </w:rPr>
        <w:t>10</w:t>
      </w:r>
      <w:r>
        <w:rPr>
          <w:rFonts w:ascii="宋体" w:hAnsi="宋体" w:cs="宋体"/>
          <w:color w:val="000000" w:themeColor="text1"/>
          <w:szCs w:val="28"/>
          <w:u w:color="000000"/>
          <w:lang w:eastAsia="zh-Hans"/>
          <w14:textFill>
            <w14:solidFill>
              <w14:schemeClr w14:val="tx1"/>
            </w14:solidFill>
          </w14:textFill>
        </w:rPr>
        <w:t xml:space="preserve">-5 </w:t>
      </w:r>
      <w:r>
        <w:rPr>
          <w:rFonts w:hint="eastAsia" w:ascii="宋体" w:hAnsi="宋体" w:cs="宋体"/>
          <w:color w:val="000000" w:themeColor="text1"/>
          <w:szCs w:val="28"/>
          <w14:textFill>
            <w14:solidFill>
              <w14:schemeClr w14:val="tx1"/>
            </w14:solidFill>
          </w14:textFill>
        </w:rPr>
        <w:t>ElasticSearch高可用保障</w:t>
      </w:r>
    </w:p>
    <w:p>
      <w:pPr>
        <w:pStyle w:val="2"/>
        <w:rPr>
          <w:rFonts w:ascii="宋体" w:hAnsi="宋体" w:cs="仿宋"/>
          <w:color w:val="000000" w:themeColor="text1"/>
          <w:sz w:val="30"/>
          <w:szCs w:val="30"/>
          <w14:textFill>
            <w14:solidFill>
              <w14:schemeClr w14:val="tx1"/>
            </w14:solidFill>
          </w14:textFill>
        </w:rPr>
      </w:pPr>
      <w:bookmarkStart w:id="322" w:name="_Toc118808271"/>
      <w:r>
        <w:rPr>
          <w:rFonts w:hint="eastAsia" w:asciiTheme="minorEastAsia" w:hAnsiTheme="minorEastAsia" w:eastAsiaTheme="minorEastAsia"/>
          <w:color w:val="000000" w:themeColor="text1"/>
          <w14:textFill>
            <w14:solidFill>
              <w14:schemeClr w14:val="tx1"/>
            </w14:solidFill>
          </w14:textFill>
        </w:rPr>
        <w:t>运行维护处理</w:t>
      </w:r>
      <w:bookmarkEnd w:id="322"/>
    </w:p>
    <w:p>
      <w:pPr>
        <w:pStyle w:val="6"/>
        <w:rPr>
          <w:rFonts w:ascii="宋体" w:hAnsi="宋体" w:cs="仿宋"/>
          <w:color w:val="000000" w:themeColor="text1"/>
          <w:sz w:val="30"/>
          <w:szCs w:val="30"/>
          <w14:textFill>
            <w14:solidFill>
              <w14:schemeClr w14:val="tx1"/>
            </w14:solidFill>
          </w14:textFill>
        </w:rPr>
      </w:pPr>
      <w:r>
        <w:rPr>
          <w:rFonts w:hint="eastAsia" w:ascii="宋体" w:hAnsi="宋体" w:cs="仿宋"/>
          <w:color w:val="000000" w:themeColor="text1"/>
          <w:sz w:val="30"/>
          <w:szCs w:val="30"/>
          <w14:textFill>
            <w14:solidFill>
              <w14:schemeClr w14:val="tx1"/>
            </w14:solidFill>
          </w14:textFill>
        </w:rPr>
        <w:t>维护和问题处理</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程序部署后的目录结构，一般路径为/data/tanyibot目录下</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config    #配置文件目录</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docker-compose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 ai-call-back</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 ai-call-front</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 common</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docker-param  #配置文件存放目录，挂载到docker里面</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certs</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images   #镜像文件目录</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ai-call-back  #后端镜像文件目录</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ai-call-front  #前端镜像文件目录</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 common    #公共组件镜像文件目录</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logs   #日志存放目录，下级目录为具体服务对应的日志</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ai-call-qc-web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ai-text-service-web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analyze-phone-web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auth-service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dialog-flow-web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engine-quartz</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engine-web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message-router</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open-api</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ope-web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peers-callin</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peers-calljob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peers-cscalljob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peers-esl</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platform-web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qc-job</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yiwise-import-rearrange</w:t>
            </w:r>
          </w:p>
        </w:tc>
      </w:tr>
    </w:tbl>
    <w:p>
      <w:pPr>
        <w:rPr>
          <w:rStyle w:val="45"/>
          <w:rFonts w:ascii="宋体" w:hAnsi="宋体" w:cs="Songti SC Regular"/>
          <w:i w:val="0"/>
          <w:iCs w:val="0"/>
          <w:color w:val="000000" w:themeColor="text1"/>
          <w:szCs w:val="28"/>
          <w14:textFill>
            <w14:solidFill>
              <w14:schemeClr w14:val="tx1"/>
            </w14:solidFill>
          </w14:textFill>
        </w:rPr>
      </w:pPr>
      <w:r>
        <w:rPr>
          <w:rStyle w:val="45"/>
          <w:rFonts w:hint="eastAsia" w:ascii="宋体" w:hAnsi="宋体" w:cs="Songti SC Regular"/>
          <w:i w:val="0"/>
          <w:iCs w:val="0"/>
          <w:color w:val="000000" w:themeColor="text1"/>
          <w:szCs w:val="28"/>
          <w14:textFill>
            <w14:solidFill>
              <w14:schemeClr w14:val="tx1"/>
            </w14:solidFill>
          </w14:textFill>
        </w:rPr>
        <w:t>1</w:t>
      </w:r>
      <w:r>
        <w:rPr>
          <w:rStyle w:val="45"/>
          <w:rFonts w:hint="eastAsia" w:ascii="宋体" w:hAnsi="宋体" w:cs="Songti SC Regular"/>
          <w:i w:val="0"/>
          <w:iCs w:val="0"/>
          <w:color w:val="000000" w:themeColor="text1"/>
          <w:szCs w:val="28"/>
          <w:lang w:eastAsia="zh-Hans"/>
          <w14:textFill>
            <w14:solidFill>
              <w14:schemeClr w14:val="tx1"/>
            </w14:solidFill>
          </w14:textFill>
        </w:rPr>
        <w:t>）</w:t>
      </w:r>
      <w:r>
        <w:rPr>
          <w:rStyle w:val="45"/>
          <w:rFonts w:hint="eastAsia" w:ascii="宋体" w:hAnsi="宋体" w:cs="Songti SC Regular"/>
          <w:i w:val="0"/>
          <w:iCs w:val="0"/>
          <w:color w:val="000000" w:themeColor="text1"/>
          <w:szCs w:val="28"/>
          <w14:textFill>
            <w14:solidFill>
              <w14:schemeClr w14:val="tx1"/>
            </w14:solidFill>
          </w14:textFill>
        </w:rPr>
        <w:t xml:space="preserve"> 更新程序</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将更新包存放到images对应的目录下(先备份原来的文件)</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#加载更新文件</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load -i 需要更新的镜像文件地址</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#用新的镜像重启服务，如果是替换后端程序-f指定.service-compose.yml， 如果是替换公共组件-f指定.common-compose.yml，如果是替换前端文件，直接替换/data/tanyibot/aicc_web目录下对应文件夹</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dockcer -f /data/tanyibot/.service-compose.yml up –d</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#查看服务状态</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ps |grep 对应服务名</w:t>
            </w:r>
          </w:p>
        </w:tc>
      </w:tr>
    </w:tbl>
    <w:p>
      <w:pPr>
        <w:rPr>
          <w:rFonts w:ascii="宋体" w:hAnsi="宋体" w:cs="Songti SC Regular"/>
          <w:color w:val="000000" w:themeColor="text1"/>
          <w:szCs w:val="28"/>
          <w14:textFill>
            <w14:solidFill>
              <w14:schemeClr w14:val="tx1"/>
            </w14:solidFill>
          </w14:textFill>
        </w:rPr>
      </w:pPr>
    </w:p>
    <w:p>
      <w:pPr>
        <w:rPr>
          <w:rStyle w:val="45"/>
          <w:rFonts w:ascii="宋体" w:hAnsi="宋体" w:cs="Songti SC Regular"/>
          <w:i w:val="0"/>
          <w:iCs w:val="0"/>
          <w:color w:val="000000" w:themeColor="text1"/>
          <w:szCs w:val="28"/>
          <w14:textFill>
            <w14:solidFill>
              <w14:schemeClr w14:val="tx1"/>
            </w14:solidFill>
          </w14:textFill>
        </w:rPr>
      </w:pPr>
      <w:r>
        <w:rPr>
          <w:rStyle w:val="45"/>
          <w:rFonts w:hint="eastAsia" w:ascii="宋体" w:hAnsi="宋体" w:cs="Songti SC Regular"/>
          <w:i w:val="0"/>
          <w:iCs w:val="0"/>
          <w:color w:val="000000" w:themeColor="text1"/>
          <w:szCs w:val="28"/>
          <w14:textFill>
            <w14:solidFill>
              <w14:schemeClr w14:val="tx1"/>
            </w14:solidFill>
          </w14:textFill>
        </w:rPr>
        <w:t>2</w:t>
      </w:r>
      <w:r>
        <w:rPr>
          <w:rStyle w:val="45"/>
          <w:rFonts w:hint="eastAsia" w:ascii="宋体" w:hAnsi="宋体" w:cs="Songti SC Regular"/>
          <w:i w:val="0"/>
          <w:iCs w:val="0"/>
          <w:color w:val="000000" w:themeColor="text1"/>
          <w:szCs w:val="28"/>
          <w:lang w:eastAsia="zh-Hans"/>
          <w14:textFill>
            <w14:solidFill>
              <w14:schemeClr w14:val="tx1"/>
            </w14:solidFill>
          </w14:textFill>
        </w:rPr>
        <w:t>）</w:t>
      </w:r>
      <w:r>
        <w:rPr>
          <w:rStyle w:val="45"/>
          <w:rFonts w:hint="eastAsia" w:ascii="宋体" w:hAnsi="宋体" w:cs="Songti SC Regular"/>
          <w:i w:val="0"/>
          <w:iCs w:val="0"/>
          <w:color w:val="000000" w:themeColor="text1"/>
          <w:szCs w:val="28"/>
          <w14:textFill>
            <w14:solidFill>
              <w14:schemeClr w14:val="tx1"/>
            </w14:solidFill>
          </w14:textFill>
        </w:rPr>
        <w:t xml:space="preserve"> 程序报错处理</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进入/data/tanyibot/logs目录下对应报错的文件夹</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使用下面两种形式粗略过滤是否有报错产生</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grep  Exception 日志文件</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grep -i error 日志文件</w:t>
            </w:r>
          </w:p>
        </w:tc>
      </w:tr>
    </w:tbl>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如果有报错，需要具体查看，并且可能需要更新应用程序以修复问题</w:t>
      </w:r>
    </w:p>
    <w:p>
      <w:pPr>
        <w:rPr>
          <w:rStyle w:val="45"/>
          <w:rFonts w:ascii="宋体" w:hAnsi="宋体" w:cs="Songti SC Regular"/>
          <w:i w:val="0"/>
          <w:iCs w:val="0"/>
          <w:color w:val="000000" w:themeColor="text1"/>
          <w:szCs w:val="28"/>
          <w14:textFill>
            <w14:solidFill>
              <w14:schemeClr w14:val="tx1"/>
            </w14:solidFill>
          </w14:textFill>
        </w:rPr>
      </w:pPr>
      <w:r>
        <w:rPr>
          <w:rStyle w:val="45"/>
          <w:rFonts w:hint="eastAsia" w:ascii="宋体" w:hAnsi="宋体" w:cs="Songti SC Regular"/>
          <w:i w:val="0"/>
          <w:iCs w:val="0"/>
          <w:color w:val="000000" w:themeColor="text1"/>
          <w:szCs w:val="28"/>
          <w14:textFill>
            <w14:solidFill>
              <w14:schemeClr w14:val="tx1"/>
            </w14:solidFill>
          </w14:textFill>
        </w:rPr>
        <w:t>3</w:t>
      </w:r>
      <w:r>
        <w:rPr>
          <w:rStyle w:val="45"/>
          <w:rFonts w:hint="eastAsia" w:ascii="宋体" w:hAnsi="宋体" w:cs="Songti SC Regular"/>
          <w:i w:val="0"/>
          <w:iCs w:val="0"/>
          <w:color w:val="000000" w:themeColor="text1"/>
          <w:szCs w:val="28"/>
          <w:lang w:eastAsia="zh-Hans"/>
          <w14:textFill>
            <w14:solidFill>
              <w14:schemeClr w14:val="tx1"/>
            </w14:solidFill>
          </w14:textFill>
        </w:rPr>
        <w:t>）</w:t>
      </w:r>
      <w:r>
        <w:rPr>
          <w:rStyle w:val="45"/>
          <w:rFonts w:hint="eastAsia" w:ascii="宋体" w:hAnsi="宋体" w:cs="Songti SC Regular"/>
          <w:i w:val="0"/>
          <w:iCs w:val="0"/>
          <w:color w:val="000000" w:themeColor="text1"/>
          <w:szCs w:val="28"/>
          <w14:textFill>
            <w14:solidFill>
              <w14:schemeClr w14:val="tx1"/>
            </w14:solidFill>
          </w14:textFill>
        </w:rPr>
        <w:t xml:space="preserve"> 重启服务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如果服务器重启，因为所有服务都是docker部署的，只要确保docker跟随系统启动，服务会自动启动</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#查看docker服务状态</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systemctl status docker.service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#将docker服务加到开机启动</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systemctl enable docker.service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#启动docker服务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systemctl start docker.service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#停止docker服务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systemctl stop docker.service</w:t>
            </w:r>
          </w:p>
        </w:tc>
      </w:tr>
    </w:tbl>
    <w:p>
      <w:pPr>
        <w:rPr>
          <w:rFonts w:ascii="宋体" w:hAnsi="宋体" w:cs="Songti SC Regular"/>
          <w:color w:val="000000" w:themeColor="text1"/>
          <w:szCs w:val="28"/>
          <w14:textFill>
            <w14:solidFill>
              <w14:schemeClr w14:val="tx1"/>
            </w14:solidFill>
          </w14:textFill>
        </w:rPr>
      </w:pP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如果因为异常，导致某个服务没有启动，可以尝试手动启动，如果手动启动失败，需要进行程序报错处理，和排查故障</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#查看所有服务名</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ps -a --format "{{.Names}}"</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#单独启动一个服务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start 服务名</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#单独停止一个服务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stop 服务名</w:t>
            </w:r>
          </w:p>
        </w:tc>
      </w:tr>
    </w:tbl>
    <w:p>
      <w:pPr>
        <w:rPr>
          <w:rFonts w:ascii="宋体" w:hAnsi="宋体" w:cs="Songti SC Regular"/>
          <w:color w:val="000000" w:themeColor="text1"/>
          <w:szCs w:val="28"/>
          <w14:textFill>
            <w14:solidFill>
              <w14:schemeClr w14:val="tx1"/>
            </w14:solidFill>
          </w14:textFill>
        </w:rPr>
      </w:pPr>
    </w:p>
    <w:p>
      <w:pPr>
        <w:rPr>
          <w:rStyle w:val="45"/>
          <w:rFonts w:ascii="宋体" w:hAnsi="宋体" w:cs="Songti SC Regular"/>
          <w:i w:val="0"/>
          <w:iCs w:val="0"/>
          <w:color w:val="000000" w:themeColor="text1"/>
          <w:szCs w:val="28"/>
          <w14:textFill>
            <w14:solidFill>
              <w14:schemeClr w14:val="tx1"/>
            </w14:solidFill>
          </w14:textFill>
        </w:rPr>
      </w:pPr>
      <w:r>
        <w:rPr>
          <w:rStyle w:val="45"/>
          <w:rFonts w:hint="eastAsia" w:ascii="宋体" w:hAnsi="宋体" w:cs="Songti SC Regular"/>
          <w:i w:val="0"/>
          <w:iCs w:val="0"/>
          <w:color w:val="000000" w:themeColor="text1"/>
          <w:szCs w:val="28"/>
          <w14:textFill>
            <w14:solidFill>
              <w14:schemeClr w14:val="tx1"/>
            </w14:solidFill>
          </w14:textFill>
        </w:rPr>
        <w:t>4</w:t>
      </w:r>
      <w:r>
        <w:rPr>
          <w:rStyle w:val="45"/>
          <w:rFonts w:hint="eastAsia" w:ascii="宋体" w:hAnsi="宋体" w:cs="Songti SC Regular"/>
          <w:i w:val="0"/>
          <w:iCs w:val="0"/>
          <w:color w:val="000000" w:themeColor="text1"/>
          <w:szCs w:val="28"/>
          <w:lang w:eastAsia="zh-Hans"/>
          <w14:textFill>
            <w14:solidFill>
              <w14:schemeClr w14:val="tx1"/>
            </w14:solidFill>
          </w14:textFill>
        </w:rPr>
        <w:t>）</w:t>
      </w:r>
      <w:r>
        <w:rPr>
          <w:rStyle w:val="45"/>
          <w:rFonts w:hint="eastAsia" w:ascii="宋体" w:hAnsi="宋体" w:cs="Songti SC Regular"/>
          <w:i w:val="0"/>
          <w:iCs w:val="0"/>
          <w:color w:val="000000" w:themeColor="text1"/>
          <w:szCs w:val="28"/>
          <w14:textFill>
            <w14:solidFill>
              <w14:schemeClr w14:val="tx1"/>
            </w14:solidFill>
          </w14:textFill>
        </w:rPr>
        <w:t xml:space="preserve"> 修改配置文件</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配置文件在/data/tanyibot/config/docker-parm目录下，在docker-compose的配置文件中指定挂载到容器内部。</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如果修改这个目录下的配置文件，需要重启所有产生影响的服务</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#查看所有服务名</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ps -a --format "{{.Names}}"</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#单独停止一个服务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stop 服务名</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#单独删除一个服务</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docker rm 服务名</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#用新的镜像重启服务，如果是替换后端程序-f指定.service-compose.yml， 如果是替换公共组件-f指定.common-compose.yml，如果是替换前端文件，直接替换/data/tanyibot/aicc_web目录下对应文件夹</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dockcer -f /data/tanyibot/.service-compose.yml up –d</w:t>
            </w:r>
          </w:p>
        </w:tc>
      </w:tr>
    </w:tbl>
    <w:p>
      <w:pPr>
        <w:rPr>
          <w:rFonts w:ascii="宋体" w:hAnsi="宋体" w:cs="Songti SC Regular"/>
          <w:color w:val="000000" w:themeColor="text1"/>
          <w:szCs w:val="28"/>
          <w14:textFill>
            <w14:solidFill>
              <w14:schemeClr w14:val="tx1"/>
            </w14:solidFill>
          </w14:textFill>
        </w:rPr>
      </w:pP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修改docker-compose配置文件后的服务重启步骤：</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#用新的镜像重启服务，如果是替换后端程序-f指定.service-compose.yml， 如果是替换公共组件-f指定.common-compose.yml，如果是替换前端文件，直接替换/data/tanyibot/aicc_web目录下对应文件夹</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dockcer -f /data/tanyibot/.service-compose.yml up –d</w:t>
            </w:r>
          </w:p>
        </w:tc>
      </w:tr>
    </w:tbl>
    <w:p>
      <w:pPr>
        <w:pStyle w:val="6"/>
        <w:rPr>
          <w:rFonts w:ascii="宋体" w:hAnsi="宋体" w:cs="仿宋"/>
          <w:color w:val="000000" w:themeColor="text1"/>
          <w:sz w:val="30"/>
          <w:szCs w:val="30"/>
          <w14:textFill>
            <w14:solidFill>
              <w14:schemeClr w14:val="tx1"/>
            </w14:solidFill>
          </w14:textFill>
        </w:rPr>
      </w:pPr>
      <w:r>
        <w:rPr>
          <w:rFonts w:hint="eastAsia" w:ascii="宋体" w:hAnsi="宋体" w:cs="仿宋"/>
          <w:color w:val="000000" w:themeColor="text1"/>
          <w:sz w:val="30"/>
          <w:szCs w:val="30"/>
          <w14:textFill>
            <w14:solidFill>
              <w14:schemeClr w14:val="tx1"/>
            </w14:solidFill>
          </w14:textFill>
        </w:rPr>
        <w:t>系统故障排除</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D</w:t>
      </w:r>
      <w:r>
        <w:rPr>
          <w:rFonts w:asciiTheme="minorEastAsia" w:hAnsiTheme="minorEastAsia" w:eastAsiaTheme="minorEastAsia"/>
          <w:color w:val="000000" w:themeColor="text1"/>
          <w:szCs w:val="28"/>
          <w14:textFill>
            <w14:solidFill>
              <w14:schemeClr w14:val="tx1"/>
            </w14:solidFill>
          </w14:textFill>
        </w:rPr>
        <w:t>ocker</w:t>
      </w:r>
      <w:r>
        <w:rPr>
          <w:rFonts w:hint="eastAsia" w:asciiTheme="minorEastAsia" w:hAnsiTheme="minorEastAsia" w:eastAsiaTheme="minorEastAsia"/>
          <w:color w:val="000000" w:themeColor="text1"/>
          <w:szCs w:val="28"/>
          <w14:textFill>
            <w14:solidFill>
              <w14:schemeClr w14:val="tx1"/>
            </w14:solidFill>
          </w14:textFill>
        </w:rPr>
        <w:t>故障排除</w:t>
      </w:r>
    </w:p>
    <w:p>
      <w:pPr>
        <w:rPr>
          <w:rFonts w:ascii="宋体" w:hAnsi="宋体" w:cs="Songti SC Regular"/>
          <w:color w:val="000000" w:themeColor="text1"/>
          <w:szCs w:val="28"/>
          <w14:textFill>
            <w14:solidFill>
              <w14:schemeClr w14:val="tx1"/>
            </w14:solidFill>
          </w14:textFill>
        </w:rPr>
      </w:pPr>
      <w:r>
        <w:rPr>
          <w:rFonts w:ascii="宋体" w:hAnsi="宋体" w:cs="Songti SC Regular"/>
          <w:color w:val="000000" w:themeColor="text1"/>
          <w:szCs w:val="28"/>
          <w14:textFill>
            <w14:solidFill>
              <w14:schemeClr w14:val="tx1"/>
            </w14:solidFill>
          </w14:textFill>
        </w:rPr>
        <w:t>1</w:t>
      </w:r>
      <w:r>
        <w:rPr>
          <w:rFonts w:hint="eastAsia" w:ascii="宋体" w:hAnsi="宋体" w:cs="Songti SC Regular"/>
          <w:color w:val="000000" w:themeColor="text1"/>
          <w:szCs w:val="28"/>
          <w:lang w:eastAsia="zh-Hans"/>
          <w14:textFill>
            <w14:solidFill>
              <w14:schemeClr w14:val="tx1"/>
            </w14:solidFill>
          </w14:textFill>
        </w:rPr>
        <w:t>）</w:t>
      </w:r>
      <w:r>
        <w:rPr>
          <w:rFonts w:hint="eastAsia" w:ascii="宋体" w:hAnsi="宋体" w:cs="Songti SC Regular"/>
          <w:color w:val="000000" w:themeColor="text1"/>
          <w:szCs w:val="28"/>
          <w14:textFill>
            <w14:solidFill>
              <w14:schemeClr w14:val="tx1"/>
            </w14:solidFill>
          </w14:textFill>
        </w:rPr>
        <w:t>Docker无法正常启动</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通过系统日志查看docker报错信息：journalctl -fu docker，根据具体报错处理。</w:t>
      </w:r>
    </w:p>
    <w:p>
      <w:pPr>
        <w:rPr>
          <w:rFonts w:ascii="宋体" w:hAnsi="宋体" w:cs="Songti SC Regular"/>
          <w:color w:val="000000" w:themeColor="text1"/>
          <w:szCs w:val="28"/>
          <w14:textFill>
            <w14:solidFill>
              <w14:schemeClr w14:val="tx1"/>
            </w14:solidFill>
          </w14:textFill>
        </w:rPr>
      </w:pPr>
      <w:r>
        <w:rPr>
          <w:rFonts w:ascii="宋体" w:hAnsi="宋体" w:cs="Songti SC Regular"/>
          <w:color w:val="000000" w:themeColor="text1"/>
          <w:szCs w:val="28"/>
          <w14:textFill>
            <w14:solidFill>
              <w14:schemeClr w14:val="tx1"/>
            </w14:solidFill>
          </w14:textFill>
        </w:rPr>
        <w:t>2</w:t>
      </w:r>
      <w:r>
        <w:rPr>
          <w:rFonts w:hint="eastAsia" w:ascii="宋体" w:hAnsi="宋体" w:cs="Songti SC Regular"/>
          <w:color w:val="000000" w:themeColor="text1"/>
          <w:szCs w:val="28"/>
          <w:lang w:eastAsia="zh-Hans"/>
          <w14:textFill>
            <w14:solidFill>
              <w14:schemeClr w14:val="tx1"/>
            </w14:solidFill>
          </w14:textFill>
        </w:rPr>
        <w:t>）</w:t>
      </w:r>
      <w:r>
        <w:rPr>
          <w:rFonts w:hint="eastAsia" w:ascii="宋体" w:hAnsi="宋体" w:cs="Songti SC Regular"/>
          <w:color w:val="000000" w:themeColor="text1"/>
          <w:szCs w:val="28"/>
          <w14:textFill>
            <w14:solidFill>
              <w14:schemeClr w14:val="tx1"/>
            </w14:solidFill>
          </w14:textFill>
        </w:rPr>
        <w:t>部分服务没有启动</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查看端口是否已经被占用，当端口占用时部分服务可能出现无法启动。</w:t>
      </w:r>
    </w:p>
    <w:p>
      <w:pPr>
        <w:rPr>
          <w:rFonts w:ascii="宋体" w:hAnsi="宋体" w:cs="Songti SC Regular"/>
          <w:color w:val="000000" w:themeColor="text1"/>
          <w:szCs w:val="28"/>
          <w14:textFill>
            <w14:solidFill>
              <w14:schemeClr w14:val="tx1"/>
            </w14:solidFill>
          </w14:textFill>
        </w:rPr>
      </w:pPr>
      <w:r>
        <w:rPr>
          <w:rFonts w:ascii="宋体" w:hAnsi="宋体" w:cs="Songti SC Regular"/>
          <w:color w:val="000000" w:themeColor="text1"/>
          <w:szCs w:val="28"/>
          <w14:textFill>
            <w14:solidFill>
              <w14:schemeClr w14:val="tx1"/>
            </w14:solidFill>
          </w14:textFill>
        </w:rPr>
        <w:t>3</w:t>
      </w:r>
      <w:r>
        <w:rPr>
          <w:rFonts w:hint="eastAsia" w:ascii="宋体" w:hAnsi="宋体" w:cs="Songti SC Regular"/>
          <w:color w:val="000000" w:themeColor="text1"/>
          <w:szCs w:val="28"/>
          <w:lang w:eastAsia="zh-Hans"/>
          <w14:textFill>
            <w14:solidFill>
              <w14:schemeClr w14:val="tx1"/>
            </w14:solidFill>
          </w14:textFill>
        </w:rPr>
        <w:t>）</w:t>
      </w:r>
      <w:r>
        <w:rPr>
          <w:rFonts w:hint="eastAsia" w:ascii="宋体" w:hAnsi="宋体" w:cs="Songti SC Regular"/>
          <w:color w:val="000000" w:themeColor="text1"/>
          <w:szCs w:val="28"/>
          <w14:textFill>
            <w14:solidFill>
              <w14:schemeClr w14:val="tx1"/>
            </w14:solidFill>
          </w14:textFill>
        </w:rPr>
        <w:t>服务无法访问</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确认服务正常启动后，请等待大概三分钟服务启动正常提供服务需要一段时间，另外请排查selinux，防火墙是否限制。telnet 对应端口，查看端口是否正常</w:t>
      </w:r>
    </w:p>
    <w:p>
      <w:pPr>
        <w:rPr>
          <w:rFonts w:ascii="宋体" w:hAnsi="宋体" w:cs="Songti SC Regular"/>
          <w:color w:val="000000" w:themeColor="text1"/>
          <w:szCs w:val="28"/>
          <w14:textFill>
            <w14:solidFill>
              <w14:schemeClr w14:val="tx1"/>
            </w14:solidFill>
          </w14:textFill>
        </w:rPr>
      </w:pPr>
      <w:r>
        <w:rPr>
          <w:rFonts w:ascii="宋体" w:hAnsi="宋体" w:cs="Songti SC Regular"/>
          <w:color w:val="000000" w:themeColor="text1"/>
          <w:szCs w:val="28"/>
          <w14:textFill>
            <w14:solidFill>
              <w14:schemeClr w14:val="tx1"/>
            </w14:solidFill>
          </w14:textFill>
        </w:rPr>
        <w:t>4</w:t>
      </w:r>
      <w:r>
        <w:rPr>
          <w:rFonts w:hint="eastAsia" w:ascii="宋体" w:hAnsi="宋体" w:cs="Songti SC Regular"/>
          <w:color w:val="000000" w:themeColor="text1"/>
          <w:szCs w:val="28"/>
          <w:lang w:eastAsia="zh-Hans"/>
          <w14:textFill>
            <w14:solidFill>
              <w14:schemeClr w14:val="tx1"/>
            </w14:solidFill>
          </w14:textFill>
        </w:rPr>
        <w:t>）</w:t>
      </w:r>
      <w:r>
        <w:rPr>
          <w:rFonts w:hint="eastAsia" w:ascii="宋体" w:hAnsi="宋体" w:cs="Songti SC Regular"/>
          <w:color w:val="000000" w:themeColor="text1"/>
          <w:szCs w:val="28"/>
          <w14:textFill>
            <w14:solidFill>
              <w14:schemeClr w14:val="tx1"/>
            </w14:solidFill>
          </w14:textFill>
        </w:rPr>
        <w:t>CPU占用高，Docker容器出现经常重启或服务经常重启</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进入容器查看具体报错日志。一般是部分依赖服务有问题，导致程序重启，确认数据库等基础组件是否正常，能否正常登陆。查看对应服务进程是否存在 ps -ef | grep 进程关键字，</w:t>
      </w:r>
      <w:r>
        <w:rPr>
          <w:rFonts w:hint="eastAsia" w:ascii="PingFang SC" w:hAnsi="PingFang SC" w:eastAsia="PingFang SC" w:cs="PingFang SC"/>
          <w:color w:val="000000" w:themeColor="text1"/>
          <w:szCs w:val="28"/>
          <w14:textFill>
            <w14:solidFill>
              <w14:schemeClr w14:val="tx1"/>
            </w14:solidFill>
          </w14:textFill>
        </w:rPr>
        <w:t>⼏</w:t>
      </w:r>
      <w:r>
        <w:rPr>
          <w:rFonts w:hint="eastAsia" w:ascii="宋体" w:hAnsi="宋体" w:cs="宋体"/>
          <w:color w:val="000000" w:themeColor="text1"/>
          <w:szCs w:val="28"/>
          <w14:textFill>
            <w14:solidFill>
              <w14:schemeClr w14:val="tx1"/>
            </w14:solidFill>
          </w14:textFill>
        </w:rPr>
        <w:t>次，看看进程</w:t>
      </w:r>
      <w:r>
        <w:rPr>
          <w:rFonts w:hint="eastAsia" w:ascii="宋体" w:hAnsi="宋体" w:cs="Songti SC Regular"/>
          <w:color w:val="000000" w:themeColor="text1"/>
          <w:szCs w:val="28"/>
          <w14:textFill>
            <w14:solidFill>
              <w14:schemeClr w14:val="tx1"/>
            </w14:solidFill>
          </w14:textFill>
        </w:rPr>
        <w:t>id是否不变</w:t>
      </w:r>
    </w:p>
    <w:p>
      <w:pPr>
        <w:rPr>
          <w:rFonts w:ascii="宋体" w:hAnsi="宋体" w:cs="Songti SC Regular"/>
          <w:color w:val="000000" w:themeColor="text1"/>
          <w:szCs w:val="28"/>
          <w14:textFill>
            <w14:solidFill>
              <w14:schemeClr w14:val="tx1"/>
            </w14:solidFill>
          </w14:textFill>
        </w:rPr>
      </w:pPr>
      <w:r>
        <w:rPr>
          <w:rFonts w:ascii="宋体" w:hAnsi="宋体" w:cs="Songti SC Regular"/>
          <w:color w:val="000000" w:themeColor="text1"/>
          <w:szCs w:val="28"/>
          <w14:textFill>
            <w14:solidFill>
              <w14:schemeClr w14:val="tx1"/>
            </w14:solidFill>
          </w14:textFill>
        </w:rPr>
        <w:t>5</w:t>
      </w:r>
      <w:r>
        <w:rPr>
          <w:rFonts w:hint="eastAsia" w:ascii="宋体" w:hAnsi="宋体" w:cs="Songti SC Regular"/>
          <w:color w:val="000000" w:themeColor="text1"/>
          <w:szCs w:val="28"/>
          <w:lang w:eastAsia="zh-Hans"/>
          <w14:textFill>
            <w14:solidFill>
              <w14:schemeClr w14:val="tx1"/>
            </w14:solidFill>
          </w14:textFill>
        </w:rPr>
        <w:t>）</w:t>
      </w:r>
      <w:r>
        <w:rPr>
          <w:rFonts w:hint="eastAsia" w:ascii="宋体" w:hAnsi="宋体" w:cs="Songti SC Regular"/>
          <w:color w:val="000000" w:themeColor="text1"/>
          <w:szCs w:val="28"/>
          <w14:textFill>
            <w14:solidFill>
              <w14:schemeClr w14:val="tx1"/>
            </w14:solidFill>
          </w14:textFill>
        </w:rPr>
        <w:t>服务日志默认存放在/data/tanyibot/logs目录下(具体路径可能有变动)</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默认日志通过docker挂载在指定目录，实际遇到问题时请查看具体日志</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常用命令grep–A</w:t>
      </w:r>
      <w:r>
        <w:rPr>
          <w:rFonts w:ascii="宋体" w:hAnsi="宋体" w:cs="Songti SC Regular"/>
          <w:color w:val="000000" w:themeColor="text1"/>
          <w:szCs w:val="28"/>
          <w14:textFill>
            <w14:solidFill>
              <w14:schemeClr w14:val="tx1"/>
            </w14:solidFill>
          </w14:textFill>
        </w:rPr>
        <w:t xml:space="preserve"> </w:t>
      </w:r>
      <w:r>
        <w:rPr>
          <w:rFonts w:hint="eastAsia" w:ascii="宋体" w:hAnsi="宋体" w:cs="Songti SC Regular"/>
          <w:color w:val="000000" w:themeColor="text1"/>
          <w:szCs w:val="28"/>
          <w14:textFill>
            <w14:solidFill>
              <w14:schemeClr w14:val="tx1"/>
            </w14:solidFill>
          </w14:textFill>
        </w:rPr>
        <w:t>30 Exception xxxxxx.log查看报错日志</w:t>
      </w:r>
    </w:p>
    <w:p>
      <w:pPr>
        <w:rPr>
          <w:rFonts w:ascii="宋体" w:hAnsi="宋体" w:cs="Songti SC Regular"/>
          <w:color w:val="000000" w:themeColor="text1"/>
          <w:szCs w:val="28"/>
          <w14:textFill>
            <w14:solidFill>
              <w14:schemeClr w14:val="tx1"/>
            </w14:solidFill>
          </w14:textFill>
        </w:rPr>
      </w:pPr>
      <w:r>
        <w:rPr>
          <w:rFonts w:ascii="宋体" w:hAnsi="宋体" w:cs="Songti SC Regular"/>
          <w:color w:val="000000" w:themeColor="text1"/>
          <w:szCs w:val="28"/>
          <w14:textFill>
            <w14:solidFill>
              <w14:schemeClr w14:val="tx1"/>
            </w14:solidFill>
          </w14:textFill>
        </w:rPr>
        <w:t>6</w:t>
      </w:r>
      <w:r>
        <w:rPr>
          <w:rFonts w:hint="eastAsia" w:ascii="宋体" w:hAnsi="宋体" w:cs="Songti SC Regular"/>
          <w:color w:val="000000" w:themeColor="text1"/>
          <w:szCs w:val="28"/>
          <w:lang w:eastAsia="zh-Hans"/>
          <w14:textFill>
            <w14:solidFill>
              <w14:schemeClr w14:val="tx1"/>
            </w14:solidFill>
          </w14:textFill>
        </w:rPr>
        <w:t>）</w:t>
      </w:r>
      <w:r>
        <w:rPr>
          <w:rFonts w:hint="eastAsia" w:ascii="宋体" w:hAnsi="宋体" w:cs="Songti SC Regular"/>
          <w:color w:val="000000" w:themeColor="text1"/>
          <w:szCs w:val="28"/>
          <w14:textFill>
            <w14:solidFill>
              <w14:schemeClr w14:val="tx1"/>
            </w14:solidFill>
          </w14:textFill>
        </w:rPr>
        <w:t>系统异常可以看dmesg输出信息</w:t>
      </w: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peers-calljob日志清理</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清理peers-calljob容器的/tmp目录下的临时文件</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编辑宿主机的/etc/cron.daily/clean-docker-logs.sh文件，添加以下内容</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if [[ $(docker ps -q --filter "name=ai-call-back_peers-calljob" |wc -l) &gt; 0 ]]; then</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docker exec ai-call-back_peers-calljob find /tmp/TxtAndPlaceholder -mindepth 1 -maxdepth 1 -type d -mtime +3 -exec rm -rf {}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docker exec ai-call-back_peers-calljob find /tmp/DialogueRecording -mindepth 3 -maxdepth 3 -type d -mtime +3 -exec rm -rf {}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fi</w:t>
            </w:r>
          </w:p>
        </w:tc>
      </w:tr>
    </w:tbl>
    <w:p>
      <w:pPr>
        <w:rPr>
          <w:rFonts w:ascii="宋体" w:hAnsi="宋体" w:cs="Songti SC Regular"/>
          <w:color w:val="000000" w:themeColor="text1"/>
          <w:szCs w:val="28"/>
          <w14:textFill>
            <w14:solidFill>
              <w14:schemeClr w14:val="tx1"/>
            </w14:solidFill>
          </w14:textFill>
        </w:rPr>
      </w:pPr>
    </w:p>
    <w:p>
      <w:pPr>
        <w:pStyle w:val="33"/>
        <w:numPr>
          <w:ilvl w:val="0"/>
          <w:numId w:val="33"/>
        </w:numPr>
        <w:shd w:val="clear" w:color="auto" w:fill="FFFFFF"/>
        <w:spacing w:beforeAutospacing="0" w:afterAutospacing="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Nginx配置示例</w:t>
      </w:r>
    </w:p>
    <w:p>
      <w:pPr>
        <w:ind w:firstLine="560" w:firstLineChars="200"/>
        <w:rPr>
          <w:color w:val="000000" w:themeColor="text1"/>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以minio官网提供的参考配置为例：</w:t>
      </w:r>
    </w:p>
    <w:tbl>
      <w:tblPr>
        <w:tblStyle w:val="3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Proxy requests to the bucket "photos" to MinIO server running on port 9000</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location /photos/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X-Real-IP $remote_addr;</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X-Forwarded-For $proxy_add_x_forwarded_for;</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X-Forwarded-Proto $scheme;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Host $http_host;</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proxy_connect_timeout 300;</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Default is HTTP/1, keepalive is only enabled in HTTP/1.1</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proxy_http_version 1.1;</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Connection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chunked_transfer_encoding off;</w:t>
            </w:r>
          </w:p>
          <w:p>
            <w:pPr>
              <w:rPr>
                <w:rFonts w:ascii="宋体" w:hAnsi="宋体" w:cs="Songti SC Regular"/>
                <w:color w:val="000000" w:themeColor="text1"/>
                <w:szCs w:val="28"/>
                <w14:textFill>
                  <w14:solidFill>
                    <w14:schemeClr w14:val="tx1"/>
                  </w14:solidFill>
                </w14:textFill>
              </w:rPr>
            </w:pP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proxy_pass http://localhost:9000;</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Proxy any other request to the application server running on port 9001</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location /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X-Real-IP $remote_addr;</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X-Forwarded-For $proxy_add_x_forwarded_for;</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X-Forwarded-Proto $scheme;</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Host $http_host;</w:t>
            </w:r>
          </w:p>
          <w:p>
            <w:pPr>
              <w:rPr>
                <w:rFonts w:ascii="宋体" w:hAnsi="宋体" w:cs="Songti SC Regular"/>
                <w:color w:val="000000" w:themeColor="text1"/>
                <w:szCs w:val="28"/>
                <w14:textFill>
                  <w14:solidFill>
                    <w14:schemeClr w14:val="tx1"/>
                  </w14:solidFill>
                </w14:textFill>
              </w:rPr>
            </w:pP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proxy_connect_timeout 300;</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 Default is HTTP/1, keepalive is only enabled in HTTP/1.1</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proxy_http_version 1.1;</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proxy_set_header Connection "";</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chunked_transfer_encoding off;</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proxy_pass http://localhost:9001;</w:t>
            </w:r>
          </w:p>
          <w:p>
            <w:pPr>
              <w:rPr>
                <w:rFonts w:ascii="宋体" w:hAnsi="宋体" w:cs="Songti SC Regular"/>
                <w:color w:val="000000" w:themeColor="text1"/>
                <w:szCs w:val="28"/>
                <w14:textFill>
                  <w14:solidFill>
                    <w14:schemeClr w14:val="tx1"/>
                  </w14:solidFill>
                </w14:textFill>
              </w:rPr>
            </w:pPr>
            <w:r>
              <w:rPr>
                <w:rFonts w:hint="eastAsia" w:ascii="宋体" w:hAnsi="宋体" w:cs="Songti SC Regular"/>
                <w:color w:val="000000" w:themeColor="text1"/>
                <w:szCs w:val="28"/>
                <w14:textFill>
                  <w14:solidFill>
                    <w14:schemeClr w14:val="tx1"/>
                  </w14:solidFill>
                </w14:textFill>
              </w:rPr>
              <w:t xml:space="preserve"> }</w:t>
            </w:r>
          </w:p>
        </w:tc>
      </w:tr>
    </w:tbl>
    <w:p>
      <w:pPr>
        <w:pStyle w:val="4"/>
        <w:rPr>
          <w:color w:val="000000" w:themeColor="text1"/>
          <w14:textFill>
            <w14:solidFill>
              <w14:schemeClr w14:val="tx1"/>
            </w14:solidFill>
          </w14:textFill>
        </w:rPr>
      </w:pPr>
    </w:p>
    <w:p>
      <w:pPr>
        <w:pStyle w:val="5"/>
        <w:rPr>
          <w:rFonts w:asciiTheme="minorEastAsia" w:hAnsiTheme="minorEastAsia" w:eastAsiaTheme="minorEastAsia"/>
          <w:color w:val="000000" w:themeColor="text1"/>
          <w14:textFill>
            <w14:solidFill>
              <w14:schemeClr w14:val="tx1"/>
            </w14:solidFill>
          </w14:textFill>
        </w:rPr>
      </w:pPr>
      <w:bookmarkStart w:id="323" w:name="_Toc118808272"/>
      <w:r>
        <w:rPr>
          <w:rFonts w:hint="eastAsia" w:asciiTheme="minorEastAsia" w:hAnsiTheme="minorEastAsia" w:eastAsiaTheme="minorEastAsia"/>
          <w:color w:val="000000" w:themeColor="text1"/>
          <w14:textFill>
            <w14:solidFill>
              <w14:schemeClr w14:val="tx1"/>
            </w14:solidFill>
          </w14:textFill>
        </w:rPr>
        <w:t>运行维护系统设计</w:t>
      </w:r>
      <w:bookmarkEnd w:id="323"/>
    </w:p>
    <w:p>
      <w:pPr>
        <w:pStyle w:val="2"/>
        <w:rPr>
          <w:rFonts w:asciiTheme="minorEastAsia" w:hAnsiTheme="minorEastAsia" w:eastAsiaTheme="minorEastAsia"/>
          <w:color w:val="000000" w:themeColor="text1"/>
          <w14:textFill>
            <w14:solidFill>
              <w14:schemeClr w14:val="tx1"/>
            </w14:solidFill>
          </w14:textFill>
        </w:rPr>
      </w:pPr>
      <w:bookmarkStart w:id="324" w:name="_Toc118808273"/>
      <w:r>
        <w:rPr>
          <w:rFonts w:hint="eastAsia" w:asciiTheme="minorEastAsia" w:hAnsiTheme="minorEastAsia" w:eastAsiaTheme="minorEastAsia"/>
          <w:color w:val="000000" w:themeColor="text1"/>
          <w14:textFill>
            <w14:solidFill>
              <w14:schemeClr w14:val="tx1"/>
            </w14:solidFill>
          </w14:textFill>
        </w:rPr>
        <w:t>萧山“一呼解忧”部署</w:t>
      </w:r>
      <w:bookmarkEnd w:id="324"/>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安装说明</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萧山区“一呼解忧”项目12345现场环境由五台服务器组成，其中包括一台接口，文件服务器，三台应用服务器（采用docker部署），一台数据库服务器（采用docker部署）；</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部署环境：centos7.6。</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准备工作</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服务器分区：</w:t>
      </w:r>
    </w:p>
    <w:p>
      <w:pPr>
        <w:widowControl/>
        <w:jc w:val="center"/>
        <w:rPr>
          <w:rFonts w:asciiTheme="minorEastAsia" w:hAnsiTheme="minorEastAsia"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436870" cy="1877695"/>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3"/>
                    <a:stretch>
                      <a:fillRect/>
                    </a:stretch>
                  </pic:blipFill>
                  <pic:spPr>
                    <a:xfrm>
                      <a:off x="0" y="0"/>
                      <a:ext cx="5512575" cy="1903828"/>
                    </a:xfrm>
                    <a:prstGeom prst="rect">
                      <a:avLst/>
                    </a:prstGeom>
                    <a:noFill/>
                    <a:ln>
                      <a:noFill/>
                    </a:ln>
                  </pic:spPr>
                </pic:pic>
              </a:graphicData>
            </a:graphic>
          </wp:inline>
        </w:drawing>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设置服务器机器名，第一台服务器机器名docker1，其他docker2，docker3；（名字可以自己定义）；</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设置好服务器的时区，时间，如果有时间服务器，设置好时间同步。</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时区设置为东8区。</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部署数据库</w:t>
      </w:r>
    </w:p>
    <w:p>
      <w:pPr>
        <w:widowControl/>
        <w:ind w:firstLine="560" w:firstLineChars="200"/>
        <w:jc w:val="left"/>
        <w:rPr>
          <w:rFonts w:asciiTheme="minorEastAsia" w:hAnsiTheme="minorEastAsia" w:eastAsiaTheme="minorEastAsia"/>
          <w:color w:val="000000" w:themeColor="text1"/>
          <w:szCs w:val="28"/>
          <w:lang w:bidi="ar"/>
          <w14:textFill>
            <w14:solidFill>
              <w14:schemeClr w14:val="tx1"/>
            </w14:solidFill>
          </w14:textFill>
        </w:rPr>
      </w:pPr>
      <w:r>
        <w:rPr>
          <w:rFonts w:hint="eastAsia" w:asciiTheme="minorEastAsia" w:hAnsiTheme="minorEastAsia" w:eastAsiaTheme="minorEastAsia"/>
          <w:color w:val="000000" w:themeColor="text1"/>
          <w:szCs w:val="28"/>
          <w:lang w:bidi="ar"/>
          <w14:textFill>
            <w14:solidFill>
              <w14:schemeClr w14:val="tx1"/>
            </w14:solidFill>
          </w14:textFill>
        </w:rPr>
        <w:t>安装数据库（将与数据库有关的包上传到数据库的服务器中）</w:t>
      </w:r>
    </w:p>
    <w:p>
      <w:pPr>
        <w:widowControl/>
        <w:jc w:val="center"/>
        <w:rPr>
          <w:rFonts w:asciiTheme="minorEastAsia" w:hAnsiTheme="minorEastAsia"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4937125" cy="865505"/>
            <wp:effectExtent l="0" t="0" r="0"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04"/>
                    <a:stretch>
                      <a:fillRect/>
                    </a:stretch>
                  </pic:blipFill>
                  <pic:spPr>
                    <a:xfrm>
                      <a:off x="0" y="0"/>
                      <a:ext cx="4987105" cy="874363"/>
                    </a:xfrm>
                    <a:prstGeom prst="rect">
                      <a:avLst/>
                    </a:prstGeom>
                    <a:noFill/>
                    <a:ln>
                      <a:noFill/>
                    </a:ln>
                  </pic:spPr>
                </pic:pic>
              </a:graphicData>
            </a:graphic>
          </wp:inline>
        </w:drawing>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安装docker环境</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./1.install-docker.sh</w:t>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安装数据库</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./2.createdb.sh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2.createdb.sh 会安装并启动好oracle数据库，预计5到10分钟左右完成。</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数据库显示DATABASE IS READY TO USE!，表示数据库安装完成并能正常使用。</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0" distR="0">
            <wp:extent cx="5274310" cy="539750"/>
            <wp:effectExtent l="0" t="0" r="2540" b="1270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5"/>
                    <a:stretch>
                      <a:fillRect/>
                    </a:stretch>
                  </pic:blipFill>
                  <pic:spPr>
                    <a:xfrm>
                      <a:off x="0" y="0"/>
                      <a:ext cx="5274310" cy="539750"/>
                    </a:xfrm>
                    <a:prstGeom prst="rect">
                      <a:avLst/>
                    </a:prstGeom>
                  </pic:spPr>
                </pic:pic>
              </a:graphicData>
            </a:graphic>
          </wp:inline>
        </w:drawing>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数据库初始化</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./3.cshdb.sh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此脚本创建了数据库的用户名表空间，已经导入的相关的dmp文件；</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部署应用步骤</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注意：在确定数据库能正常使用后开始部署</w:t>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修改配置文件</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找到程序包，在sh文件夹下找到配置文件并修改。（所有服务器）</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配置文件名称 peizhi.txt</w:t>
      </w:r>
      <w:r>
        <w:rPr>
          <w:rFonts w:hint="eastAsia" w:eastAsiaTheme="minorEastAsia"/>
          <w:color w:val="000000" w:themeColor="text1"/>
          <w:szCs w:val="28"/>
          <w:lang w:bidi="ar"/>
          <w14:textFill>
            <w14:solidFill>
              <w14:schemeClr w14:val="tx1"/>
            </w14:solidFill>
          </w14:textFill>
        </w:rPr>
        <w:tab/>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根据实际情况修改镜像仓库ip地址（第一台服务器地址），文件服务器地址。</w:t>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上传程序包</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为了上传速度，第一台服务器全部上传，其他服务器可以只上传rpm、sh、application和start目录。</w:t>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安装文件服务器。（在文件服务器上执行。双机部署时两台服务器都要执行）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w:t>
      </w:r>
      <w:r>
        <w:rPr>
          <w:rFonts w:hint="eastAsia" w:eastAsiaTheme="minorEastAsia"/>
          <w:color w:val="000000" w:themeColor="text1"/>
          <w:szCs w:val="28"/>
          <w:lang w:bidi="ar"/>
          <w14:textFill>
            <w14:solidFill>
              <w14:schemeClr w14:val="tx1"/>
            </w14:solidFill>
          </w14:textFill>
        </w:rPr>
        <w:t>、给sh目录下所有程序授权</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chmod +x 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w:t>
      </w:r>
      <w:r>
        <w:rPr>
          <w:rFonts w:hint="eastAsia" w:eastAsiaTheme="minorEastAsia"/>
          <w:color w:val="000000" w:themeColor="text1"/>
          <w:szCs w:val="28"/>
          <w:lang w:bidi="ar"/>
          <w14:textFill>
            <w14:solidFill>
              <w14:schemeClr w14:val="tx1"/>
            </w14:solidFill>
          </w14:textFill>
        </w:rPr>
        <w:t>、进入sh目录</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执行nfs安装配置，如是centos7.6最小化安装，其它服务器需要安装yum install nfs-utils</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 0.setnfs.sh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验证：用其他服务器mount 测试，是否能正常挂载。</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双机部署时，主服务器会启用文件服务器共用地址，并挂载磁盘，启动nfs服务，当主服务器故障，会自动把磁盘、共用地址、nfs服务切换到备服务。</w:t>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安装docker（每台服务器都执行）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w:t>
      </w:r>
      <w:r>
        <w:rPr>
          <w:rFonts w:hint="eastAsia" w:eastAsiaTheme="minorEastAsia"/>
          <w:color w:val="000000" w:themeColor="text1"/>
          <w:szCs w:val="28"/>
          <w:lang w:bidi="ar"/>
          <w14:textFill>
            <w14:solidFill>
              <w14:schemeClr w14:val="tx1"/>
            </w14:solidFill>
          </w14:textFill>
        </w:rPr>
        <w:t>、给sh目录下所有程序授权</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chmod +x 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w:t>
      </w:r>
      <w:r>
        <w:rPr>
          <w:rFonts w:hint="eastAsia" w:eastAsiaTheme="minorEastAsia"/>
          <w:color w:val="000000" w:themeColor="text1"/>
          <w:szCs w:val="28"/>
          <w:lang w:bidi="ar"/>
          <w14:textFill>
            <w14:solidFill>
              <w14:schemeClr w14:val="tx1"/>
            </w14:solidFill>
          </w14:textFill>
        </w:rPr>
        <w:t>、进入sh目录</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执行docker安装</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./1.install-docker.sh</w:t>
      </w:r>
    </w:p>
    <w:p>
      <w:pPr>
        <w:pStyle w:val="89"/>
        <w:widowControl/>
        <w:numPr>
          <w:ilvl w:val="0"/>
          <w:numId w:val="37"/>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设置docker swarn集群</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w:t>
      </w:r>
      <w:r>
        <w:rPr>
          <w:rFonts w:hint="eastAsia" w:eastAsiaTheme="minorEastAsia"/>
          <w:color w:val="000000" w:themeColor="text1"/>
          <w:szCs w:val="28"/>
          <w:lang w:bidi="ar"/>
          <w14:textFill>
            <w14:solidFill>
              <w14:schemeClr w14:val="tx1"/>
            </w14:solidFill>
          </w14:textFill>
        </w:rPr>
        <w:t>、docker1服务器swarn集群初始化（只在docker1上执行）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docker swarm init</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如果出现以下错误，是由于多网卡IP引起。加入参数advertise-addr 解决。</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0" distR="0">
            <wp:extent cx="5688330" cy="3625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6"/>
                    <a:stretch>
                      <a:fillRect/>
                    </a:stretch>
                  </pic:blipFill>
                  <pic:spPr>
                    <a:xfrm>
                      <a:off x="0" y="0"/>
                      <a:ext cx="7100894" cy="453366"/>
                    </a:xfrm>
                    <a:prstGeom prst="rect">
                      <a:avLst/>
                    </a:prstGeom>
                  </pic:spPr>
                </pic:pic>
              </a:graphicData>
            </a:graphic>
          </wp:inline>
        </w:drawing>
      </w:r>
    </w:p>
    <w:p>
      <w:pPr>
        <w:widowControl/>
        <w:ind w:firstLine="360" w:firstLineChars="200"/>
        <w:jc w:val="left"/>
        <w:rPr>
          <w:rFonts w:eastAsiaTheme="minorEastAsia"/>
          <w:color w:val="000000" w:themeColor="text1"/>
          <w:szCs w:val="28"/>
          <w:lang w:bidi="ar"/>
          <w14:textFill>
            <w14:solidFill>
              <w14:schemeClr w14:val="tx1"/>
            </w14:solidFill>
          </w14:textFill>
        </w:rPr>
      </w:pPr>
      <w:r>
        <w:rPr>
          <w:color w:val="000000" w:themeColor="text1"/>
          <w:sz w:val="18"/>
          <w:szCs w:val="18"/>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4055745</wp:posOffset>
                </wp:positionH>
                <wp:positionV relativeFrom="paragraph">
                  <wp:posOffset>311785</wp:posOffset>
                </wp:positionV>
                <wp:extent cx="2116455" cy="711835"/>
                <wp:effectExtent l="0" t="0" r="17145" b="107315"/>
                <wp:wrapNone/>
                <wp:docPr id="53" name="圆角矩形标注 53"/>
                <wp:cNvGraphicFramePr/>
                <a:graphic xmlns:a="http://schemas.openxmlformats.org/drawingml/2006/main">
                  <a:graphicData uri="http://schemas.microsoft.com/office/word/2010/wordprocessingShape">
                    <wps:wsp>
                      <wps:cNvSpPr/>
                      <wps:spPr>
                        <a:xfrm>
                          <a:off x="0" y="0"/>
                          <a:ext cx="2116455" cy="712099"/>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sz w:val="21"/>
                                <w:szCs w:val="21"/>
                              </w:rPr>
                            </w:pPr>
                            <w:r>
                              <w:rPr>
                                <w:color w:val="FF0000"/>
                                <w:sz w:val="21"/>
                                <w:szCs w:val="21"/>
                              </w:rPr>
                              <w:t>记</w:t>
                            </w:r>
                            <w:r>
                              <w:rPr>
                                <w:rFonts w:hint="eastAsia"/>
                                <w:color w:val="FF0000"/>
                                <w:sz w:val="21"/>
                                <w:szCs w:val="21"/>
                              </w:rPr>
                              <w:t>下</w:t>
                            </w:r>
                            <w:r>
                              <w:rPr>
                                <w:color w:val="FF0000"/>
                                <w:sz w:val="21"/>
                                <w:szCs w:val="21"/>
                              </w:rPr>
                              <w:t>以下命令，后续服务器加入集群</w:t>
                            </w:r>
                            <w:r>
                              <w:rPr>
                                <w:rFonts w:hint="eastAsia"/>
                                <w:color w:val="FF0000"/>
                                <w:sz w:val="21"/>
                                <w:szCs w:val="21"/>
                              </w:rPr>
                              <w:t>执行</w:t>
                            </w:r>
                            <w:r>
                              <w:rPr>
                                <w:color w:val="FF0000"/>
                                <w:sz w:val="21"/>
                                <w:szCs w:val="21"/>
                              </w:rPr>
                              <w:t>这条命令即可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9.35pt;margin-top:24.55pt;height:56.05pt;width:166.65pt;z-index:251660288;v-text-anchor:middle;mso-width-relative:page;mso-height-relative:page;" fillcolor="#5B9BD5 [3204]" filled="t" stroked="t" coordsize="21600,21600" o:gfxdata="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BB8Fh2gAAAAoBAAAPAAAAAAAAAAEAIAAAACIAAABk&#10;cnMvZG93bnJldi54bWxQSwECFAAUAAAACACHTuJAK6Dn068CAAA/BQAADgAAAAAAAAABACAAAAAp&#10;AQAAZHJzL2Uyb0RvYy54bWxQSwUGAAAAAAYABgBZAQAASgYAAAAA&#10;" adj="6300,24300,14400">
                <v:fill on="t" focussize="0,0"/>
                <v:stroke weight="1pt" color="#41719C [3204]" miterlimit="8" joinstyle="miter"/>
                <v:imagedata o:title=""/>
                <o:lock v:ext="edit" aspectratio="f"/>
                <v:textbox>
                  <w:txbxContent>
                    <w:p>
                      <w:pPr>
                        <w:jc w:val="center"/>
                        <w:rPr>
                          <w:color w:val="FF0000"/>
                          <w:sz w:val="21"/>
                          <w:szCs w:val="21"/>
                        </w:rPr>
                      </w:pPr>
                      <w:r>
                        <w:rPr>
                          <w:color w:val="FF0000"/>
                          <w:sz w:val="21"/>
                          <w:szCs w:val="21"/>
                        </w:rPr>
                        <w:t>记</w:t>
                      </w:r>
                      <w:r>
                        <w:rPr>
                          <w:rFonts w:hint="eastAsia"/>
                          <w:color w:val="FF0000"/>
                          <w:sz w:val="21"/>
                          <w:szCs w:val="21"/>
                        </w:rPr>
                        <w:t>下</w:t>
                      </w:r>
                      <w:r>
                        <w:rPr>
                          <w:color w:val="FF0000"/>
                          <w:sz w:val="21"/>
                          <w:szCs w:val="21"/>
                        </w:rPr>
                        <w:t>以下命令，后续服务器加入集群</w:t>
                      </w:r>
                      <w:r>
                        <w:rPr>
                          <w:rFonts w:hint="eastAsia"/>
                          <w:color w:val="FF0000"/>
                          <w:sz w:val="21"/>
                          <w:szCs w:val="21"/>
                        </w:rPr>
                        <w:t>执行</w:t>
                      </w:r>
                      <w:r>
                        <w:rPr>
                          <w:color w:val="FF0000"/>
                          <w:sz w:val="21"/>
                          <w:szCs w:val="21"/>
                        </w:rPr>
                        <w:t>这条命令即可</w:t>
                      </w:r>
                    </w:p>
                  </w:txbxContent>
                </v:textbox>
              </v:shape>
            </w:pict>
          </mc:Fallback>
        </mc:AlternateContent>
      </w:r>
      <w:r>
        <w:rPr>
          <w:rFonts w:hint="eastAsia" w:eastAsiaTheme="minorEastAsia"/>
          <w:color w:val="000000" w:themeColor="text1"/>
          <w:szCs w:val="28"/>
          <w:lang w:bidi="ar"/>
          <w14:textFill>
            <w14:solidFill>
              <w14:schemeClr w14:val="tx1"/>
            </w14:solidFill>
          </w14:textFill>
        </w:rPr>
        <w:t>docker swarm init --advertise-addr 192.168.3.230（IP地址修改成实际IP）</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出现docker swarm join表示主节点初始化成功。</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0" distR="0">
            <wp:extent cx="5274310" cy="660400"/>
            <wp:effectExtent l="0" t="0" r="254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7"/>
                    <a:stretch>
                      <a:fillRect/>
                    </a:stretch>
                  </pic:blipFill>
                  <pic:spPr>
                    <a:xfrm>
                      <a:off x="0" y="0"/>
                      <a:ext cx="5274310" cy="660400"/>
                    </a:xfrm>
                    <a:prstGeom prst="rect">
                      <a:avLst/>
                    </a:prstGeom>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w:t>
      </w:r>
      <w:r>
        <w:rPr>
          <w:rFonts w:hint="eastAsia" w:eastAsiaTheme="minorEastAsia"/>
          <w:color w:val="000000" w:themeColor="text1"/>
          <w:szCs w:val="28"/>
          <w:lang w:bidi="ar"/>
          <w14:textFill>
            <w14:solidFill>
              <w14:schemeClr w14:val="tx1"/>
            </w14:solidFill>
          </w14:textFill>
        </w:rPr>
        <w:t>、其他节点加入swarn集群（除docker1外节点全部执行）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docker swarm join ***********************</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执行命令从主节点初始化成功界面中复制即可。</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3</w:t>
      </w:r>
      <w:r>
        <w:rPr>
          <w:rFonts w:hint="eastAsia" w:eastAsiaTheme="minorEastAsia"/>
          <w:color w:val="000000" w:themeColor="text1"/>
          <w:szCs w:val="28"/>
          <w:lang w:bidi="ar"/>
          <w14:textFill>
            <w14:solidFill>
              <w14:schemeClr w14:val="tx1"/>
            </w14:solidFill>
          </w14:textFill>
        </w:rPr>
        <w:t>、docker2、docker3节点提升为管理节点，并对节点做标记（只在docker1中执行）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./2.pz-swarn.sh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4</w:t>
      </w:r>
      <w:r>
        <w:rPr>
          <w:rFonts w:hint="eastAsia" w:eastAsiaTheme="minorEastAsia"/>
          <w:color w:val="000000" w:themeColor="text1"/>
          <w:szCs w:val="28"/>
          <w:lang w:bidi="ar"/>
          <w14:textFill>
            <w14:solidFill>
              <w14:schemeClr w14:val="tx1"/>
            </w14:solidFill>
          </w14:textFill>
        </w:rPr>
        <w:t>、查看docker swarn集群节点状态（docker1、docker2、docker3都可以执行）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docker node ls</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0" distR="0">
            <wp:extent cx="5991225" cy="55816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08"/>
                    <a:stretch>
                      <a:fillRect/>
                    </a:stretch>
                  </pic:blipFill>
                  <pic:spPr>
                    <a:xfrm>
                      <a:off x="0" y="0"/>
                      <a:ext cx="6086161" cy="567143"/>
                    </a:xfrm>
                    <a:prstGeom prst="rect">
                      <a:avLst/>
                    </a:prstGeom>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所有节点状态为ready即可，如果有问题，可以重启服务器</w:t>
      </w:r>
    </w:p>
    <w:p>
      <w:pPr>
        <w:pStyle w:val="89"/>
        <w:widowControl/>
        <w:numPr>
          <w:ilvl w:val="0"/>
          <w:numId w:val="38"/>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安装镜像仓库(镜像仓库选第一台服务器，只在docker1执行)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./3.create-registry.sh</w:t>
      </w:r>
    </w:p>
    <w:p>
      <w:pPr>
        <w:pStyle w:val="89"/>
        <w:widowControl/>
        <w:numPr>
          <w:ilvl w:val="0"/>
          <w:numId w:val="38"/>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加载镜像并上传镜像仓库（只在docker1执行）</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 4.load-images.sh</w:t>
      </w:r>
    </w:p>
    <w:p>
      <w:pPr>
        <w:pStyle w:val="89"/>
        <w:widowControl/>
        <w:numPr>
          <w:ilvl w:val="0"/>
          <w:numId w:val="38"/>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安装reids数据库</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 xml:space="preserve">./5.createredis </w:t>
      </w:r>
    </w:p>
    <w:p>
      <w:pPr>
        <w:pStyle w:val="89"/>
        <w:widowControl/>
        <w:numPr>
          <w:ilvl w:val="0"/>
          <w:numId w:val="38"/>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安装eureka</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./6.createeureka</w:t>
      </w:r>
    </w:p>
    <w:p>
      <w:pPr>
        <w:pStyle w:val="89"/>
        <w:widowControl/>
        <w:numPr>
          <w:ilvl w:val="0"/>
          <w:numId w:val="38"/>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安装萧山区“一呼解忧”应用（包括移动端，协办平台等）</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./7.create12345</w:t>
      </w:r>
    </w:p>
    <w:p>
      <w:pPr>
        <w:pStyle w:val="89"/>
        <w:widowControl/>
        <w:numPr>
          <w:ilvl w:val="0"/>
          <w:numId w:val="38"/>
        </w:numPr>
        <w:ind w:firstLineChars="0"/>
        <w:jc w:val="left"/>
        <w:rPr>
          <w:rFonts w:eastAsiaTheme="minorEastAsia"/>
          <w:b/>
          <w:color w:val="000000" w:themeColor="text1"/>
          <w:sz w:val="28"/>
          <w:szCs w:val="28"/>
          <w:lang w:bidi="ar"/>
          <w14:textFill>
            <w14:solidFill>
              <w14:schemeClr w14:val="tx1"/>
            </w14:solidFill>
          </w14:textFill>
        </w:rPr>
      </w:pPr>
      <w:r>
        <w:rPr>
          <w:rFonts w:hint="eastAsia" w:eastAsiaTheme="minorEastAsia"/>
          <w:b/>
          <w:color w:val="000000" w:themeColor="text1"/>
          <w:sz w:val="28"/>
          <w:szCs w:val="28"/>
          <w:lang w:bidi="ar"/>
          <w14:textFill>
            <w14:solidFill>
              <w14:schemeClr w14:val="tx1"/>
            </w14:solidFill>
          </w14:textFill>
        </w:rPr>
        <w:t>安装nginx代理应用</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./8.createnginx</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检查安装情况</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1、检查服务是否都已经运行，最好查看每个服务的日志。</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9865" cy="1840230"/>
            <wp:effectExtent l="0" t="0" r="6985" b="762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09"/>
                    <a:stretch>
                      <a:fillRect/>
                    </a:stretch>
                  </pic:blipFill>
                  <pic:spPr>
                    <a:xfrm>
                      <a:off x="0" y="0"/>
                      <a:ext cx="5269865" cy="1840230"/>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2、查看具体服务的日志。</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8595" cy="2254250"/>
            <wp:effectExtent l="0" t="0" r="8255" b="1270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110"/>
                    <a:stretch>
                      <a:fillRect/>
                    </a:stretch>
                  </pic:blipFill>
                  <pic:spPr>
                    <a:xfrm>
                      <a:off x="0" y="0"/>
                      <a:ext cx="5268595" cy="2254250"/>
                    </a:xfrm>
                    <a:prstGeom prst="rect">
                      <a:avLst/>
                    </a:prstGeom>
                    <a:noFill/>
                    <a:ln>
                      <a:noFill/>
                    </a:ln>
                  </pic:spPr>
                </pic:pic>
              </a:graphicData>
            </a:graphic>
          </wp:inline>
        </w:drawing>
      </w:r>
    </w:p>
    <w:p>
      <w:pPr>
        <w:pStyle w:val="2"/>
        <w:rPr>
          <w:rFonts w:asciiTheme="minorEastAsia" w:hAnsiTheme="minorEastAsia" w:eastAsiaTheme="minorEastAsia"/>
          <w:color w:val="000000" w:themeColor="text1"/>
          <w14:textFill>
            <w14:solidFill>
              <w14:schemeClr w14:val="tx1"/>
            </w14:solidFill>
          </w14:textFill>
        </w:rPr>
      </w:pPr>
      <w:bookmarkStart w:id="325" w:name="_Toc118808274"/>
      <w:r>
        <w:rPr>
          <w:rFonts w:hint="eastAsia" w:asciiTheme="minorEastAsia" w:hAnsiTheme="minorEastAsia" w:eastAsiaTheme="minorEastAsia"/>
          <w:color w:val="000000" w:themeColor="text1"/>
          <w14:textFill>
            <w14:solidFill>
              <w14:schemeClr w14:val="tx1"/>
            </w14:solidFill>
          </w14:textFill>
        </w:rPr>
        <w:t>萧山“一呼解忧”系统维护</w:t>
      </w:r>
      <w:bookmarkEnd w:id="325"/>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萧山区“一呼解忧”平台数据库</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w:t>
      </w:r>
      <w:r>
        <w:rPr>
          <w:rFonts w:hint="eastAsia" w:eastAsiaTheme="minorEastAsia"/>
          <w:color w:val="000000" w:themeColor="text1"/>
          <w:szCs w:val="28"/>
          <w:lang w:bidi="ar"/>
          <w14:textFill>
            <w14:solidFill>
              <w14:schemeClr w14:val="tx1"/>
            </w14:solidFill>
          </w14:textFill>
        </w:rPr>
        <w:t>、IP地址：以实际情况为准。</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w:t>
      </w:r>
      <w:r>
        <w:rPr>
          <w:rFonts w:hint="eastAsia" w:eastAsiaTheme="minorEastAsia"/>
          <w:color w:val="000000" w:themeColor="text1"/>
          <w:szCs w:val="28"/>
          <w:lang w:bidi="ar"/>
          <w14:textFill>
            <w14:solidFill>
              <w14:schemeClr w14:val="tx1"/>
            </w14:solidFill>
          </w14:textFill>
        </w:rPr>
        <w:t>、创建的用户和表空间：</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3529965" cy="2319655"/>
            <wp:effectExtent l="0" t="0" r="0" b="444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11"/>
                    <a:stretch>
                      <a:fillRect/>
                    </a:stretch>
                  </pic:blipFill>
                  <pic:spPr>
                    <a:xfrm>
                      <a:off x="0" y="0"/>
                      <a:ext cx="3532535" cy="2321322"/>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3</w:t>
      </w:r>
      <w:r>
        <w:rPr>
          <w:rFonts w:hint="eastAsia" w:eastAsiaTheme="minorEastAsia"/>
          <w:color w:val="000000" w:themeColor="text1"/>
          <w:szCs w:val="28"/>
          <w:lang w:bidi="ar"/>
          <w14:textFill>
            <w14:solidFill>
              <w14:schemeClr w14:val="tx1"/>
            </w14:solidFill>
          </w14:textFill>
        </w:rPr>
        <w:t>、SID和SYS密码：</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SID：</w:t>
      </w:r>
      <w:r>
        <w:rPr>
          <w:rFonts w:eastAsiaTheme="minorEastAsia"/>
          <w:color w:val="000000" w:themeColor="text1"/>
          <w:szCs w:val="28"/>
          <w:lang w:bidi="ar"/>
          <w14:textFill>
            <w14:solidFill>
              <w14:schemeClr w14:val="tx1"/>
            </w14:solidFill>
          </w14:textFill>
        </w:rPr>
        <w:t>****</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密码：</w:t>
      </w:r>
      <w:r>
        <w:rPr>
          <w:rFonts w:eastAsiaTheme="minorEastAsia"/>
          <w:color w:val="000000" w:themeColor="text1"/>
          <w:szCs w:val="28"/>
          <w:lang w:bidi="ar"/>
          <w14:textFill>
            <w14:solidFill>
              <w14:schemeClr w14:val="tx1"/>
            </w14:solidFill>
          </w14:textFill>
        </w:rPr>
        <w:t>****</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4</w:t>
      </w:r>
      <w:r>
        <w:rPr>
          <w:rFonts w:hint="eastAsia" w:eastAsiaTheme="minorEastAsia"/>
          <w:color w:val="000000" w:themeColor="text1"/>
          <w:szCs w:val="28"/>
          <w:lang w:bidi="ar"/>
          <w14:textFill>
            <w14:solidFill>
              <w14:schemeClr w14:val="tx1"/>
            </w14:solidFill>
          </w14:textFill>
        </w:rPr>
        <w:t>、查看数据库是否启动：</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9230" cy="568325"/>
            <wp:effectExtent l="0" t="0" r="7620" b="317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12"/>
                    <a:stretch>
                      <a:fillRect/>
                    </a:stretch>
                  </pic:blipFill>
                  <pic:spPr>
                    <a:xfrm>
                      <a:off x="0" y="0"/>
                      <a:ext cx="5269230" cy="56832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5、产看数据库日志：</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3658870" cy="2999105"/>
            <wp:effectExtent l="0" t="0" r="17780" b="10795"/>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113"/>
                    <a:stretch>
                      <a:fillRect/>
                    </a:stretch>
                  </pic:blipFill>
                  <pic:spPr>
                    <a:xfrm>
                      <a:off x="0" y="0"/>
                      <a:ext cx="3658870" cy="299910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6</w:t>
      </w:r>
      <w:r>
        <w:rPr>
          <w:rFonts w:hint="eastAsia" w:eastAsiaTheme="minorEastAsia"/>
          <w:color w:val="000000" w:themeColor="text1"/>
          <w:szCs w:val="28"/>
          <w:lang w:bidi="ar"/>
          <w14:textFill>
            <w14:solidFill>
              <w14:schemeClr w14:val="tx1"/>
            </w14:solidFill>
          </w14:textFill>
        </w:rPr>
        <w:t>、维护路径：</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3762375" cy="504825"/>
            <wp:effectExtent l="0" t="0" r="9525" b="9525"/>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114"/>
                    <a:stretch>
                      <a:fillRect/>
                    </a:stretch>
                  </pic:blipFill>
                  <pic:spPr>
                    <a:xfrm>
                      <a:off x="0" y="0"/>
                      <a:ext cx="3762375" cy="50482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停止数据库：./stoporacle.sh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开启数据库：./startoracle.sh</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倒库语句：</w:t>
      </w:r>
      <w:r>
        <w:rPr>
          <w:rFonts w:hint="eastAsia" w:eastAsiaTheme="minorEastAsia"/>
          <w:color w:val="000000" w:themeColor="text1"/>
          <w:sz w:val="24"/>
          <w:szCs w:val="28"/>
          <w:lang w:bidi="ar"/>
          <w14:textFill>
            <w14:solidFill>
              <w14:schemeClr w14:val="tx1"/>
            </w14:solidFill>
          </w14:textFill>
        </w:rPr>
        <w:t>imp yhmsb/Arkj1234@ar12345 file=/opt/oracle/oradata/tmp/yhmsb.dmp full=y log=/opt/oracle/oradata/tmp/yhmsb.log</w:t>
      </w:r>
      <w:r>
        <w:rPr>
          <w:rFonts w:hint="eastAsia" w:eastAsiaTheme="minorEastAsia"/>
          <w:color w:val="000000" w:themeColor="text1"/>
          <w:szCs w:val="28"/>
          <w:lang w:bidi="ar"/>
          <w14:textFill>
            <w14:solidFill>
              <w14:schemeClr w14:val="tx1"/>
            </w14:solidFill>
          </w14:textFill>
        </w:rPr>
        <w:t>（dmp文件路径自行修改）</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应用维护</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1</w:t>
      </w:r>
      <w:r>
        <w:rPr>
          <w:rFonts w:hint="eastAsia" w:eastAsiaTheme="minorEastAsia"/>
          <w:color w:val="000000" w:themeColor="text1"/>
          <w:szCs w:val="28"/>
          <w:lang w:bidi="ar"/>
          <w14:textFill>
            <w14:solidFill>
              <w14:schemeClr w14:val="tx1"/>
            </w14:solidFill>
          </w14:textFill>
        </w:rPr>
        <w:t>、查看docker集群：</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其中yhmsb1为管理节点：</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9865" cy="923290"/>
            <wp:effectExtent l="0" t="0" r="6985" b="10160"/>
            <wp:docPr id="4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5"/>
                    <pic:cNvPicPr>
                      <a:picLocks noChangeAspect="1"/>
                    </pic:cNvPicPr>
                  </pic:nvPicPr>
                  <pic:blipFill>
                    <a:blip r:embed="rId115"/>
                    <a:stretch>
                      <a:fillRect/>
                    </a:stretch>
                  </pic:blipFill>
                  <pic:spPr>
                    <a:xfrm>
                      <a:off x="0" y="0"/>
                      <a:ext cx="5269865" cy="923290"/>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2</w:t>
      </w:r>
      <w:r>
        <w:rPr>
          <w:rFonts w:hint="eastAsia" w:eastAsiaTheme="minorEastAsia"/>
          <w:color w:val="000000" w:themeColor="text1"/>
          <w:szCs w:val="28"/>
          <w:lang w:bidi="ar"/>
          <w14:textFill>
            <w14:solidFill>
              <w14:schemeClr w14:val="tx1"/>
            </w14:solidFill>
          </w14:textFill>
        </w:rPr>
        <w:t>、查看集群部署的应用：</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7325" cy="2012315"/>
            <wp:effectExtent l="0" t="0" r="9525" b="6985"/>
            <wp:docPr id="4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6"/>
                    <pic:cNvPicPr>
                      <a:picLocks noChangeAspect="1"/>
                    </pic:cNvPicPr>
                  </pic:nvPicPr>
                  <pic:blipFill>
                    <a:blip r:embed="rId116"/>
                    <a:stretch>
                      <a:fillRect/>
                    </a:stretch>
                  </pic:blipFill>
                  <pic:spPr>
                    <a:xfrm>
                      <a:off x="0" y="0"/>
                      <a:ext cx="5267325" cy="201231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3</w:t>
      </w:r>
      <w:r>
        <w:rPr>
          <w:rFonts w:hint="eastAsia" w:eastAsiaTheme="minorEastAsia"/>
          <w:color w:val="000000" w:themeColor="text1"/>
          <w:szCs w:val="28"/>
          <w:lang w:bidi="ar"/>
          <w14:textFill>
            <w14:solidFill>
              <w14:schemeClr w14:val="tx1"/>
            </w14:solidFill>
          </w14:textFill>
        </w:rPr>
        <w:t>、查看应用日志：</w:t>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例如：</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74310" cy="537845"/>
            <wp:effectExtent l="0" t="0" r="2540" b="14605"/>
            <wp:docPr id="4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8"/>
                    <pic:cNvPicPr>
                      <a:picLocks noChangeAspect="1"/>
                    </pic:cNvPicPr>
                  </pic:nvPicPr>
                  <pic:blipFill>
                    <a:blip r:embed="rId117"/>
                    <a:stretch>
                      <a:fillRect/>
                    </a:stretch>
                  </pic:blipFill>
                  <pic:spPr>
                    <a:xfrm>
                      <a:off x="0" y="0"/>
                      <a:ext cx="5274310" cy="53784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4</w:t>
      </w:r>
      <w:r>
        <w:rPr>
          <w:rFonts w:hint="eastAsia" w:eastAsiaTheme="minorEastAsia"/>
          <w:color w:val="000000" w:themeColor="text1"/>
          <w:szCs w:val="28"/>
          <w:lang w:bidi="ar"/>
          <w14:textFill>
            <w14:solidFill>
              <w14:schemeClr w14:val="tx1"/>
            </w14:solidFill>
          </w14:textFill>
        </w:rPr>
        <w:t>、应用管理路径：</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8595" cy="1039495"/>
            <wp:effectExtent l="0" t="0" r="8255" b="825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118"/>
                    <a:stretch>
                      <a:fillRect/>
                    </a:stretch>
                  </pic:blipFill>
                  <pic:spPr>
                    <a:xfrm>
                      <a:off x="0" y="0"/>
                      <a:ext cx="5268595" cy="103949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5</w:t>
      </w:r>
      <w:r>
        <w:rPr>
          <w:rFonts w:hint="eastAsia" w:eastAsiaTheme="minorEastAsia"/>
          <w:color w:val="000000" w:themeColor="text1"/>
          <w:szCs w:val="28"/>
          <w:lang w:bidi="ar"/>
          <w14:textFill>
            <w14:solidFill>
              <w14:schemeClr w14:val="tx1"/>
            </w14:solidFill>
          </w14:textFill>
        </w:rPr>
        <w:t>、应用启停路径：</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9230" cy="1369060"/>
            <wp:effectExtent l="0" t="0" r="7620" b="2540"/>
            <wp:docPr id="4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0"/>
                    <pic:cNvPicPr>
                      <a:picLocks noChangeAspect="1"/>
                    </pic:cNvPicPr>
                  </pic:nvPicPr>
                  <pic:blipFill>
                    <a:blip r:embed="rId119"/>
                    <a:stretch>
                      <a:fillRect/>
                    </a:stretch>
                  </pic:blipFill>
                  <pic:spPr>
                    <a:xfrm>
                      <a:off x="0" y="0"/>
                      <a:ext cx="5269230" cy="1369060"/>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hint="eastAsia" w:eastAsiaTheme="minorEastAsia"/>
          <w:color w:val="000000" w:themeColor="text1"/>
          <w:szCs w:val="28"/>
          <w:lang w:bidi="ar"/>
          <w14:textFill>
            <w14:solidFill>
              <w14:schemeClr w14:val="tx1"/>
            </w14:solidFill>
          </w14:textFill>
        </w:rPr>
        <w:t>再启停12345应用时，后面跟应用对应的号码：</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72405" cy="2413635"/>
            <wp:effectExtent l="0" t="0" r="4445" b="5715"/>
            <wp:docPr id="4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2"/>
                    <pic:cNvPicPr>
                      <a:picLocks noChangeAspect="1"/>
                    </pic:cNvPicPr>
                  </pic:nvPicPr>
                  <pic:blipFill>
                    <a:blip r:embed="rId120"/>
                    <a:stretch>
                      <a:fillRect/>
                    </a:stretch>
                  </pic:blipFill>
                  <pic:spPr>
                    <a:xfrm>
                      <a:off x="0" y="0"/>
                      <a:ext cx="5272405" cy="2413635"/>
                    </a:xfrm>
                    <a:prstGeom prst="rect">
                      <a:avLst/>
                    </a:prstGeom>
                    <a:noFill/>
                    <a:ln>
                      <a:noFill/>
                    </a:ln>
                  </pic:spPr>
                </pic:pic>
              </a:graphicData>
            </a:graphic>
          </wp:inline>
        </w:drawing>
      </w:r>
    </w:p>
    <w:p>
      <w:pPr>
        <w:widowControl/>
        <w:ind w:firstLine="560" w:firstLineChars="200"/>
        <w:jc w:val="left"/>
        <w:rPr>
          <w:rFonts w:eastAsiaTheme="minorEastAsia"/>
          <w:color w:val="000000" w:themeColor="text1"/>
          <w:szCs w:val="28"/>
          <w:lang w:bidi="ar"/>
          <w14:textFill>
            <w14:solidFill>
              <w14:schemeClr w14:val="tx1"/>
            </w14:solidFill>
          </w14:textFill>
        </w:rPr>
      </w:pPr>
      <w:r>
        <w:rPr>
          <w:rFonts w:eastAsiaTheme="minorEastAsia"/>
          <w:color w:val="000000" w:themeColor="text1"/>
          <w:szCs w:val="28"/>
          <w:lang w:bidi="ar"/>
          <w14:textFill>
            <w14:solidFill>
              <w14:schemeClr w14:val="tx1"/>
            </w14:solidFill>
          </w14:textFill>
        </w:rPr>
        <w:t>6</w:t>
      </w:r>
      <w:r>
        <w:rPr>
          <w:rFonts w:hint="eastAsia" w:eastAsiaTheme="minorEastAsia"/>
          <w:color w:val="000000" w:themeColor="text1"/>
          <w:szCs w:val="28"/>
          <w:lang w:bidi="ar"/>
          <w14:textFill>
            <w14:solidFill>
              <w14:schemeClr w14:val="tx1"/>
            </w14:solidFill>
          </w14:textFill>
        </w:rPr>
        <w:t>、查看应用具体跑在那个节点上：</w:t>
      </w:r>
    </w:p>
    <w:p>
      <w:pPr>
        <w:widowControl/>
        <w:jc w:val="center"/>
        <w:rPr>
          <w:rFonts w:eastAsiaTheme="minorEastAsia"/>
          <w:color w:val="000000" w:themeColor="text1"/>
          <w:szCs w:val="28"/>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9865" cy="1697990"/>
            <wp:effectExtent l="0" t="0" r="6985" b="16510"/>
            <wp:docPr id="4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3"/>
                    <pic:cNvPicPr>
                      <a:picLocks noChangeAspect="1"/>
                    </pic:cNvPicPr>
                  </pic:nvPicPr>
                  <pic:blipFill>
                    <a:blip r:embed="rId121"/>
                    <a:stretch>
                      <a:fillRect/>
                    </a:stretch>
                  </pic:blipFill>
                  <pic:spPr>
                    <a:xfrm>
                      <a:off x="0" y="0"/>
                      <a:ext cx="5269865" cy="1697990"/>
                    </a:xfrm>
                    <a:prstGeom prst="rect">
                      <a:avLst/>
                    </a:prstGeom>
                    <a:noFill/>
                    <a:ln>
                      <a:noFill/>
                    </a:ln>
                  </pic:spPr>
                </pic:pic>
              </a:graphicData>
            </a:graphic>
          </wp:inline>
        </w:drawing>
      </w:r>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olor w:val="000000" w:themeColor="text1"/>
          <w14:textFill>
            <w14:solidFill>
              <w14:schemeClr w14:val="tx1"/>
            </w14:solidFill>
          </w14:textFill>
        </w:rPr>
      </w:pPr>
      <w:bookmarkStart w:id="326" w:name="_Toc118808275"/>
      <w:r>
        <w:rPr>
          <w:rFonts w:hint="eastAsia" w:ascii="宋体" w:hAnsi="宋体" w:cs="仿宋"/>
          <w:color w:val="000000" w:themeColor="text1"/>
          <w:sz w:val="30"/>
          <w:szCs w:val="30"/>
          <w14:textFill>
            <w14:solidFill>
              <w14:schemeClr w14:val="tx1"/>
            </w14:solidFill>
          </w14:textFill>
        </w:rPr>
        <w:t>系统配置及主要软硬件选型原则</w:t>
      </w:r>
      <w:bookmarkEnd w:id="326"/>
    </w:p>
    <w:p>
      <w:pPr>
        <w:pStyle w:val="2"/>
        <w:rPr>
          <w:rFonts w:asciiTheme="minorEastAsia" w:hAnsiTheme="minorEastAsia" w:eastAsiaTheme="minorEastAsia"/>
          <w:color w:val="000000" w:themeColor="text1"/>
          <w14:textFill>
            <w14:solidFill>
              <w14:schemeClr w14:val="tx1"/>
            </w14:solidFill>
          </w14:textFill>
        </w:rPr>
      </w:pPr>
      <w:bookmarkStart w:id="327" w:name="_Toc118808276"/>
      <w:r>
        <w:rPr>
          <w:rFonts w:hint="eastAsia" w:asciiTheme="minorEastAsia" w:hAnsiTheme="minorEastAsia" w:eastAsiaTheme="minorEastAsia"/>
          <w:color w:val="000000" w:themeColor="text1"/>
          <w14:textFill>
            <w14:solidFill>
              <w14:schemeClr w14:val="tx1"/>
            </w14:solidFill>
          </w14:textFill>
        </w:rPr>
        <w:t>系统配置选型原则</w:t>
      </w:r>
      <w:bookmarkEnd w:id="327"/>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视频客服文件存储测算：</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按720P视频分辨率存储，码率H.264 计算大约3072Kbps，换算容量：3072Kbps/8=384KB/S，</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1个小时1个坐席视频文件大小：384KB*60*60=1382400KB =1.35G/h</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1个坐席每天预计接听电话4小时，在接听电话中，视频坐席和普通坐席共同使用，视频坐席比例按照50%计算；</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1个视频坐席1个月视频文件大小=1.35G/h*4*50%*30=81G</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20个坐席3个月视频文件大小=81*20*3=4860G/1024=4.7T</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从理论推测，系统在运行时，16核CPU占用率约为</w:t>
      </w:r>
      <w:r>
        <w:rPr>
          <w:rFonts w:asciiTheme="minorEastAsia" w:hAnsiTheme="minorEastAsia" w:eastAsiaTheme="minorEastAsia"/>
          <w:color w:val="000000" w:themeColor="text1"/>
          <w:sz w:val="28"/>
          <w14:textFill>
            <w14:solidFill>
              <w14:schemeClr w14:val="tx1"/>
            </w14:solidFill>
          </w14:textFill>
        </w:rPr>
        <w:t>75</w:t>
      </w:r>
      <w:r>
        <w:rPr>
          <w:rFonts w:hint="eastAsia" w:asciiTheme="minorEastAsia" w:hAnsiTheme="minorEastAsia" w:eastAsiaTheme="minorEastAsia"/>
          <w:color w:val="000000" w:themeColor="text1"/>
          <w:sz w:val="28"/>
          <w14:textFill>
            <w14:solidFill>
              <w14:schemeClr w14:val="tx1"/>
            </w14:solidFill>
          </w14:textFill>
        </w:rPr>
        <w:t>%以上，运行使用率普遍高于6</w:t>
      </w:r>
      <w:r>
        <w:rPr>
          <w:rFonts w:asciiTheme="minorEastAsia" w:hAnsiTheme="minorEastAsia" w:eastAsiaTheme="minorEastAsia"/>
          <w:color w:val="000000" w:themeColor="text1"/>
          <w:sz w:val="28"/>
          <w14:textFill>
            <w14:solidFill>
              <w14:schemeClr w14:val="tx1"/>
            </w14:solidFill>
          </w14:textFill>
        </w:rPr>
        <w:t>0%</w:t>
      </w:r>
      <w:r>
        <w:rPr>
          <w:rFonts w:hint="eastAsia" w:asciiTheme="minorEastAsia" w:hAnsiTheme="minorEastAsia" w:eastAsiaTheme="minorEastAsia"/>
          <w:color w:val="000000" w:themeColor="text1"/>
          <w:sz w:val="28"/>
          <w14:textFill>
            <w14:solidFill>
              <w14:schemeClr w14:val="tx1"/>
            </w14:solidFill>
          </w14:textFill>
        </w:rPr>
        <w:t>，CPU空闲时间百分比普遍低于3</w:t>
      </w:r>
      <w:r>
        <w:rPr>
          <w:rFonts w:asciiTheme="minorEastAsia" w:hAnsiTheme="minorEastAsia" w:eastAsiaTheme="minorEastAsia"/>
          <w:color w:val="000000" w:themeColor="text1"/>
          <w:sz w:val="28"/>
          <w14:textFill>
            <w14:solidFill>
              <w14:schemeClr w14:val="tx1"/>
            </w14:solidFill>
          </w14:textFill>
        </w:rPr>
        <w:t>0%</w:t>
      </w:r>
      <w:r>
        <w:rPr>
          <w:rFonts w:hint="eastAsia" w:asciiTheme="minorEastAsia" w:hAnsiTheme="minorEastAsia" w:eastAsiaTheme="minorEastAsia"/>
          <w:color w:val="000000" w:themeColor="text1"/>
          <w:sz w:val="28"/>
          <w14:textFill>
            <w14:solidFill>
              <w14:schemeClr w14:val="tx1"/>
            </w14:solidFill>
          </w14:textFill>
        </w:rPr>
        <w:t>。内存总共为64G，使用内存约在4</w:t>
      </w:r>
      <w:r>
        <w:rPr>
          <w:rFonts w:asciiTheme="minorEastAsia" w:hAnsiTheme="minorEastAsia" w:eastAsiaTheme="minorEastAsia"/>
          <w:color w:val="000000" w:themeColor="text1"/>
          <w:sz w:val="28"/>
          <w14:textFill>
            <w14:solidFill>
              <w14:schemeClr w14:val="tx1"/>
            </w14:solidFill>
          </w14:textFill>
        </w:rPr>
        <w:t>0G</w:t>
      </w:r>
      <w:r>
        <w:rPr>
          <w:rFonts w:hint="eastAsia" w:asciiTheme="minorEastAsia" w:hAnsiTheme="minorEastAsia" w:eastAsiaTheme="minorEastAsia"/>
          <w:color w:val="000000" w:themeColor="text1"/>
          <w:sz w:val="28"/>
          <w14:textFill>
            <w14:solidFill>
              <w14:schemeClr w14:val="tx1"/>
            </w14:solidFill>
          </w14:textFill>
        </w:rPr>
        <w:t>以上，占比和使用率均较高。从而得出，服务器的系统配置要求如下：</w:t>
      </w:r>
    </w:p>
    <w:tbl>
      <w:tblPr>
        <w:tblStyle w:val="38"/>
        <w:tblW w:w="9208" w:type="dxa"/>
        <w:jc w:val="center"/>
        <w:tblLayout w:type="fixed"/>
        <w:tblCellMar>
          <w:top w:w="0" w:type="dxa"/>
          <w:left w:w="108" w:type="dxa"/>
          <w:bottom w:w="0" w:type="dxa"/>
          <w:right w:w="108" w:type="dxa"/>
        </w:tblCellMar>
      </w:tblPr>
      <w:tblGrid>
        <w:gridCol w:w="470"/>
        <w:gridCol w:w="943"/>
        <w:gridCol w:w="850"/>
        <w:gridCol w:w="709"/>
        <w:gridCol w:w="1843"/>
        <w:gridCol w:w="850"/>
        <w:gridCol w:w="2693"/>
        <w:gridCol w:w="850"/>
      </w:tblGrid>
      <w:tr>
        <w:tblPrEx>
          <w:tblCellMar>
            <w:top w:w="0" w:type="dxa"/>
            <w:left w:w="108" w:type="dxa"/>
            <w:bottom w:w="0" w:type="dxa"/>
            <w:right w:w="108" w:type="dxa"/>
          </w:tblCellMar>
        </w:tblPrEx>
        <w:trPr>
          <w:trHeight w:val="624"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序号</w:t>
            </w:r>
          </w:p>
        </w:tc>
        <w:tc>
          <w:tcPr>
            <w:tcW w:w="94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资源</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 xml:space="preserve">CPU </w:t>
            </w:r>
            <w:r>
              <w:rPr>
                <w:rFonts w:ascii="宋体" w:hAnsi="宋体"/>
                <w:b/>
                <w:bCs/>
                <w:color w:val="000000" w:themeColor="text1"/>
                <w:kern w:val="0"/>
                <w:szCs w:val="28"/>
                <w14:textFill>
                  <w14:solidFill>
                    <w14:schemeClr w14:val="tx1"/>
                  </w14:solidFill>
                </w14:textFill>
              </w:rPr>
              <w:t>(</w:t>
            </w:r>
            <w:r>
              <w:rPr>
                <w:rFonts w:hint="eastAsia" w:ascii="宋体" w:hAnsi="宋体"/>
                <w:b/>
                <w:bCs/>
                <w:color w:val="000000" w:themeColor="text1"/>
                <w:kern w:val="0"/>
                <w:szCs w:val="28"/>
                <w14:textFill>
                  <w14:solidFill>
                    <w14:schemeClr w14:val="tx1"/>
                  </w14:solidFill>
                </w14:textFill>
              </w:rPr>
              <w:t>核</w:t>
            </w:r>
            <w:r>
              <w:rPr>
                <w:rFonts w:ascii="宋体" w:hAnsi="宋体"/>
                <w:b/>
                <w:bCs/>
                <w:color w:val="000000" w:themeColor="text1"/>
                <w:kern w:val="0"/>
                <w:szCs w:val="28"/>
                <w14:textFill>
                  <w14:solidFill>
                    <w14:schemeClr w14:val="tx1"/>
                  </w14:solidFill>
                </w14:textFill>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内存</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存储</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数量</w:t>
            </w:r>
          </w:p>
        </w:tc>
        <w:tc>
          <w:tcPr>
            <w:tcW w:w="26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说明</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备注</w:t>
            </w:r>
          </w:p>
        </w:tc>
      </w:tr>
      <w:tr>
        <w:tblPrEx>
          <w:tblCellMar>
            <w:top w:w="0" w:type="dxa"/>
            <w:left w:w="108" w:type="dxa"/>
            <w:bottom w:w="0" w:type="dxa"/>
            <w:right w:w="108" w:type="dxa"/>
          </w:tblCellMar>
        </w:tblPrEx>
        <w:trPr>
          <w:trHeight w:val="841"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4</w:t>
            </w:r>
          </w:p>
        </w:tc>
        <w:tc>
          <w:tcPr>
            <w:tcW w:w="2693" w:type="dxa"/>
            <w:tcBorders>
              <w:top w:val="single" w:color="000000" w:sz="4" w:space="0"/>
              <w:left w:val="single" w:color="000000" w:sz="4" w:space="0"/>
              <w:bottom w:val="nil"/>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docker集群部署(15个服务，每服务按最大1</w:t>
            </w:r>
            <w:r>
              <w:rPr>
                <w:rFonts w:ascii="宋体" w:hAnsi="宋体"/>
                <w:color w:val="000000" w:themeColor="text1"/>
                <w:kern w:val="0"/>
                <w:szCs w:val="28"/>
                <w14:textFill>
                  <w14:solidFill>
                    <w14:schemeClr w14:val="tx1"/>
                  </w14:solidFill>
                </w14:textFill>
              </w:rPr>
              <w:t>G</w:t>
            </w:r>
            <w:r>
              <w:rPr>
                <w:rFonts w:hint="eastAsia" w:ascii="宋体" w:hAnsi="宋体"/>
                <w:color w:val="000000" w:themeColor="text1"/>
                <w:kern w:val="0"/>
                <w:szCs w:val="28"/>
                <w14:textFill>
                  <w14:solidFill>
                    <w14:schemeClr w14:val="tx1"/>
                  </w14:solidFill>
                </w14:textFill>
              </w:rPr>
              <w:t>内存分配)：注册中心、单点登录服务、网关服务、数字字典服务、机构用户资源服务、对象存储（依赖minio）、节假日服务、大屏服务、短信服务、流程管理服务、通知公告服务、一呼解忧移动端、治理端、后台管理平台、坐席辅助服务等</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云资源申请，不在本次招标范围内。</w:t>
            </w:r>
          </w:p>
        </w:tc>
      </w:tr>
      <w:tr>
        <w:tblPrEx>
          <w:tblCellMar>
            <w:top w:w="0" w:type="dxa"/>
            <w:left w:w="108" w:type="dxa"/>
            <w:bottom w:w="0" w:type="dxa"/>
            <w:right w:w="108" w:type="dxa"/>
          </w:tblCellMar>
        </w:tblPrEx>
        <w:trPr>
          <w:trHeight w:val="6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5G消息服务器,数据交换平台(第三方数据对接)</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color w:val="000000" w:themeColor="text1"/>
                <w:szCs w:val="28"/>
                <w14:textFill>
                  <w14:solidFill>
                    <w14:schemeClr w14:val="tx1"/>
                  </w14:solidFill>
                </w14:textFill>
              </w:rPr>
            </w:pPr>
            <w:r>
              <w:rPr>
                <w:rFonts w:ascii="宋体" w:hAnsi="宋体"/>
                <w:color w:val="000000" w:themeColor="text1"/>
                <w:kern w:val="0"/>
                <w:szCs w:val="28"/>
                <w14:textFill>
                  <w14:solidFill>
                    <w14:schemeClr w14:val="tx1"/>
                  </w14:solidFill>
                </w14:textFill>
              </w:rPr>
              <w:t>60</w:t>
            </w:r>
            <w:r>
              <w:rPr>
                <w:rFonts w:hint="eastAsia" w:ascii="宋体" w:hAnsi="宋体"/>
                <w:color w:val="000000" w:themeColor="text1"/>
                <w:kern w:val="0"/>
                <w:szCs w:val="28"/>
                <w14:textFill>
                  <w14:solidFill>
                    <w14:schemeClr w14:val="tx1"/>
                  </w14:solidFill>
                </w14:textFill>
              </w:rPr>
              <w:t>路视频IVR服务，主备业务服务、动态媒体合成服务、信令服务，分布式部署</w:t>
            </w:r>
            <w:r>
              <w:rPr>
                <w:rFonts w:hint="eastAsia"/>
                <w:color w:val="000000" w:themeColor="text1"/>
                <w:szCs w:val="28"/>
                <w14:textFill>
                  <w14:solidFill>
                    <w14:schemeClr w14:val="tx1"/>
                  </w14:solidFill>
                </w14:textFill>
              </w:rPr>
              <w:t xml:space="preserve"> </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4</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color w:val="000000" w:themeColor="text1"/>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20路视频客服，媒体处理服务、录播服务，分布式部署</w:t>
            </w:r>
            <w:r>
              <w:rPr>
                <w:rFonts w:hint="eastAsia"/>
                <w:color w:val="000000" w:themeColor="text1"/>
                <w:szCs w:val="28"/>
                <w14:textFill>
                  <w14:solidFill>
                    <w14:schemeClr w14:val="tx1"/>
                  </w14:solidFill>
                </w14:textFill>
              </w:rPr>
              <w:t xml:space="preserve"> </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5</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4</w:t>
            </w:r>
            <w:r>
              <w:rPr>
                <w:rFonts w:hint="eastAsia" w:ascii="宋体" w:hAnsi="宋体"/>
                <w:color w:val="000000" w:themeColor="text1"/>
                <w:kern w:val="0"/>
                <w:szCs w:val="28"/>
                <w14:textFill>
                  <w14:solidFill>
                    <w14:schemeClr w14:val="tx1"/>
                  </w14:solidFill>
                </w14:textFill>
              </w:rPr>
              <w:t>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w:t>
            </w:r>
            <w:r>
              <w:rPr>
                <w:rFonts w:ascii="宋体" w:hAnsi="宋体"/>
                <w:color w:val="000000" w:themeColor="text1"/>
                <w:kern w:val="0"/>
                <w:szCs w:val="28"/>
                <w14:textFill>
                  <w14:solidFill>
                    <w14:schemeClr w14:val="tx1"/>
                  </w14:solidFill>
                </w14:textFill>
              </w:rPr>
              <w:t>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数据盘6TB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存储服务，视频录制存储，存储最近</w:t>
            </w:r>
            <w:r>
              <w:rPr>
                <w:rFonts w:ascii="宋体" w:hAnsi="宋体"/>
                <w:color w:val="000000" w:themeColor="text1"/>
                <w:kern w:val="0"/>
                <w:szCs w:val="28"/>
                <w14:textFill>
                  <w14:solidFill>
                    <w14:schemeClr w14:val="tx1"/>
                  </w14:solidFill>
                </w14:textFill>
              </w:rPr>
              <w:t>3</w:t>
            </w:r>
            <w:r>
              <w:rPr>
                <w:rFonts w:hint="eastAsia" w:ascii="宋体" w:hAnsi="宋体"/>
                <w:color w:val="000000" w:themeColor="text1"/>
                <w:kern w:val="0"/>
                <w:szCs w:val="28"/>
                <w14:textFill>
                  <w14:solidFill>
                    <w14:schemeClr w14:val="tx1"/>
                  </w14:solidFill>
                </w14:textFill>
              </w:rPr>
              <w:t>个月视频回放录像</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24"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6</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数据盘500GB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智能派单算法服务（4套模型），非结构化文件：视频IVR图片、文件等附件</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bl>
    <w:p>
      <w:pPr>
        <w:pStyle w:val="2"/>
        <w:rPr>
          <w:rFonts w:asciiTheme="minorEastAsia" w:hAnsiTheme="minorEastAsia" w:eastAsiaTheme="minorEastAsia"/>
          <w:color w:val="000000" w:themeColor="text1"/>
          <w14:textFill>
            <w14:solidFill>
              <w14:schemeClr w14:val="tx1"/>
            </w14:solidFill>
          </w14:textFill>
        </w:rPr>
      </w:pPr>
      <w:bookmarkStart w:id="328" w:name="_Toc118808277"/>
      <w:r>
        <w:rPr>
          <w:rFonts w:hint="eastAsia" w:asciiTheme="minorEastAsia" w:hAnsiTheme="minorEastAsia" w:eastAsiaTheme="minorEastAsia"/>
          <w:color w:val="000000" w:themeColor="text1"/>
          <w14:textFill>
            <w14:solidFill>
              <w14:schemeClr w14:val="tx1"/>
            </w14:solidFill>
          </w14:textFill>
        </w:rPr>
        <w:t>主要软硬件选型原则</w:t>
      </w:r>
      <w:bookmarkEnd w:id="328"/>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为了保证建成的系统是一个相融合的成熟、稳定的系统，系统主要软硬件选型原则将从如下几个方面进行考虑，保证设备选型的先进性和成熟性：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1</w:t>
      </w:r>
      <w:r>
        <w:rPr>
          <w:rFonts w:hint="eastAsia" w:asciiTheme="minorEastAsia" w:hAnsiTheme="minorEastAsia" w:eastAsiaTheme="minorEastAsia"/>
          <w:color w:val="000000" w:themeColor="text1"/>
          <w:sz w:val="28"/>
          <w14:textFill>
            <w14:solidFill>
              <w14:schemeClr w14:val="tx1"/>
            </w14:solidFill>
          </w14:textFill>
        </w:rPr>
        <w:t>、扩展性考虑</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在本项目中的通信设备，我局选择有一定预留能力的设备，以便将来扩展。同时，在设备接口上，优先考虑接续全系列接口，以保证对未来新业务的支持。</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2</w:t>
      </w:r>
      <w:r>
        <w:rPr>
          <w:rFonts w:hint="eastAsia" w:asciiTheme="minorEastAsia" w:hAnsiTheme="minorEastAsia" w:eastAsiaTheme="minorEastAsia"/>
          <w:color w:val="000000" w:themeColor="text1"/>
          <w:sz w:val="28"/>
          <w14:textFill>
            <w14:solidFill>
              <w14:schemeClr w14:val="tx1"/>
            </w14:solidFill>
          </w14:textFill>
        </w:rPr>
        <w:t>、可靠性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系统的可靠性，其重要性不言而喻，一旦瘫痪则影响巨大，因此，一定要考虑设备和系统软件的可靠性。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3</w:t>
      </w:r>
      <w:r>
        <w:rPr>
          <w:rFonts w:hint="eastAsia" w:asciiTheme="minorEastAsia" w:hAnsiTheme="minorEastAsia" w:eastAsiaTheme="minorEastAsia"/>
          <w:color w:val="000000" w:themeColor="text1"/>
          <w:sz w:val="28"/>
          <w14:textFill>
            <w14:solidFill>
              <w14:schemeClr w14:val="tx1"/>
            </w14:solidFill>
          </w14:textFill>
        </w:rPr>
        <w:t>、可管理性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系统的可管理程度的高低直接影响着运行成本和业务质量。因此，系统的所有节点都应是可管理的，而且需要有一个强有力且简洁的管理系统，能够对系统的业务流程情况、运行状况等进行全方位的监控和管理。</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4</w:t>
      </w:r>
      <w:r>
        <w:rPr>
          <w:rFonts w:hint="eastAsia" w:asciiTheme="minorEastAsia" w:hAnsiTheme="minorEastAsia" w:eastAsiaTheme="minorEastAsia"/>
          <w:color w:val="000000" w:themeColor="text1"/>
          <w:sz w:val="28"/>
          <w14:textFill>
            <w14:solidFill>
              <w14:schemeClr w14:val="tx1"/>
            </w14:solidFill>
          </w14:textFill>
        </w:rPr>
        <w:t>、安全性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随着网络的普及和发展，各种各样的攻击也在威胁着系统的网络安全。因此，我公司在本项目的设备选型中优先考虑了设备的安全性。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asciiTheme="minorEastAsia" w:hAnsiTheme="minorEastAsia" w:eastAsiaTheme="minorEastAsia"/>
          <w:color w:val="000000" w:themeColor="text1"/>
          <w:sz w:val="28"/>
          <w14:textFill>
            <w14:solidFill>
              <w14:schemeClr w14:val="tx1"/>
            </w14:solidFill>
          </w14:textFill>
        </w:rPr>
        <w:t>5</w:t>
      </w:r>
      <w:r>
        <w:rPr>
          <w:rFonts w:hint="eastAsia" w:asciiTheme="minorEastAsia" w:hAnsiTheme="minorEastAsia" w:eastAsiaTheme="minorEastAsia"/>
          <w:color w:val="000000" w:themeColor="text1"/>
          <w:sz w:val="28"/>
          <w14:textFill>
            <w14:solidFill>
              <w14:schemeClr w14:val="tx1"/>
            </w14:solidFill>
          </w14:textFill>
        </w:rPr>
        <w:t>、标准性和开放性</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由于系统往往是一个具有多种厂商设备的环境，因此，所选择的设备能够支持业界通用的开放标准和协议，以便能够和其他厂商的设备有效地互通。</w:t>
      </w:r>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olor w:val="000000" w:themeColor="text1"/>
          <w14:textFill>
            <w14:solidFill>
              <w14:schemeClr w14:val="tx1"/>
            </w14:solidFill>
          </w14:textFill>
        </w:rPr>
      </w:pPr>
      <w:bookmarkStart w:id="329" w:name="_Toc118808278"/>
      <w:bookmarkStart w:id="330" w:name="_Toc80881258"/>
      <w:r>
        <w:rPr>
          <w:rFonts w:hint="eastAsia" w:ascii="宋体" w:hAnsi="宋体"/>
          <w:color w:val="000000" w:themeColor="text1"/>
          <w14:textFill>
            <w14:solidFill>
              <w14:schemeClr w14:val="tx1"/>
            </w14:solidFill>
          </w14:textFill>
        </w:rPr>
        <w:t>系统软硬件资源的共享与利用</w:t>
      </w:r>
      <w:bookmarkEnd w:id="329"/>
    </w:p>
    <w:p>
      <w:pPr>
        <w:pStyle w:val="2"/>
        <w:rPr>
          <w:rFonts w:asciiTheme="minorEastAsia" w:hAnsiTheme="minorEastAsia" w:eastAsiaTheme="minorEastAsia"/>
          <w:color w:val="000000" w:themeColor="text1"/>
          <w14:textFill>
            <w14:solidFill>
              <w14:schemeClr w14:val="tx1"/>
            </w14:solidFill>
          </w14:textFill>
        </w:rPr>
      </w:pPr>
      <w:bookmarkStart w:id="331" w:name="_Toc118808279"/>
      <w:r>
        <w:rPr>
          <w:rFonts w:hint="eastAsia" w:asciiTheme="minorEastAsia" w:hAnsiTheme="minorEastAsia" w:eastAsiaTheme="minorEastAsia"/>
          <w:color w:val="000000" w:themeColor="text1"/>
          <w14:textFill>
            <w14:solidFill>
              <w14:schemeClr w14:val="tx1"/>
            </w14:solidFill>
          </w14:textFill>
        </w:rPr>
        <w:t>调用组件清单</w:t>
      </w:r>
      <w:bookmarkEnd w:id="331"/>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政务服务网个人用户单点登录</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功能介绍：调用个人用户单点登录接口。</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基本信息如下所示：</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drawing>
          <wp:inline distT="0" distB="0" distL="0" distR="0">
            <wp:extent cx="6188710" cy="1622425"/>
            <wp:effectExtent l="19050" t="19050" r="21590" b="158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188710" cy="1622425"/>
                    </a:xfrm>
                    <a:prstGeom prst="rect">
                      <a:avLst/>
                    </a:prstGeom>
                    <a:ln>
                      <a:solidFill>
                        <a:schemeClr val="tx1"/>
                      </a:solidFill>
                    </a:ln>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组织架构与用户体系（浙政钉）</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本项目需获取浙政钉通讯录信息。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中文名：根据组织Code查询详情；</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接口名：/mozi/organization/getOrganizationByCode；</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所在目录：获取通讯录部门信息；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调用方式：POST（HTTPS）。</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基本信息如下所示：</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drawing>
          <wp:inline distT="0" distB="0" distL="0" distR="0">
            <wp:extent cx="6188710" cy="1663065"/>
            <wp:effectExtent l="19050" t="19050" r="21590" b="133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188710" cy="1663065"/>
                    </a:xfrm>
                    <a:prstGeom prst="rect">
                      <a:avLst/>
                    </a:prstGeom>
                    <a:ln>
                      <a:solidFill>
                        <a:schemeClr val="tx1"/>
                      </a:solidFill>
                    </a:ln>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浙政钉—消息通知</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发布单位：省大数据局。</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该组件用户发送用户提醒，包括工作通知、普通会话消息、钉消息等等。</w:t>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统一消息短信</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对接省数据共享平台——IRS平台的短信组件。需进行申请使用，审批后调用短信组件，使用短信功能。进行短信组件的调用对接，支持发送短信功能。</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本次短信功能包含：</w:t>
      </w:r>
    </w:p>
    <w:p>
      <w:pPr>
        <w:pStyle w:val="89"/>
        <w:widowControl/>
        <w:numPr>
          <w:ilvl w:val="0"/>
          <w:numId w:val="28"/>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交办部门的办件与到期提醒</w:t>
      </w:r>
    </w:p>
    <w:p>
      <w:pPr>
        <w:pStyle w:val="89"/>
        <w:widowControl/>
        <w:numPr>
          <w:ilvl w:val="0"/>
          <w:numId w:val="28"/>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市民侧通知作用</w:t>
      </w:r>
    </w:p>
    <w:p>
      <w:pPr>
        <w:pStyle w:val="89"/>
        <w:widowControl/>
        <w:numPr>
          <w:ilvl w:val="0"/>
          <w:numId w:val="28"/>
        </w:numPr>
        <w:ind w:firstLineChars="0"/>
        <w:jc w:val="left"/>
        <w:rPr>
          <w:rFonts w:asciiTheme="minorEastAsia" w:hAnsiTheme="minorEastAsia" w:eastAsiaTheme="minorEastAsia"/>
          <w:color w:val="000000" w:themeColor="text1"/>
          <w:sz w:val="28"/>
          <w:szCs w:val="28"/>
          <w14:textFill>
            <w14:solidFill>
              <w14:schemeClr w14:val="tx1"/>
            </w14:solidFill>
          </w14:textFill>
        </w:rPr>
      </w:pPr>
      <w:r>
        <w:rPr>
          <w:rFonts w:hint="eastAsia" w:asciiTheme="minorEastAsia" w:hAnsiTheme="minorEastAsia" w:eastAsiaTheme="minorEastAsia"/>
          <w:color w:val="000000" w:themeColor="text1"/>
          <w:sz w:val="28"/>
          <w:szCs w:val="28"/>
          <w14:textFill>
            <w14:solidFill>
              <w14:schemeClr w14:val="tx1"/>
            </w14:solidFill>
          </w14:textFill>
        </w:rPr>
        <w:t>满意度回访评价</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调用萧山平台统一消息短信发送组件，提供短信的推送服务，各政务系统通过调用“城市大脑·萧山平台”的统一消息服务接口向指定用户发送指定类型的消息内容。</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基本信息如下所示：</w:t>
      </w:r>
    </w:p>
    <w:p>
      <w:pPr>
        <w:widowControl/>
        <w:jc w:val="center"/>
        <w:rPr>
          <w:rFonts w:asciiTheme="minorEastAsia" w:hAnsiTheme="minorEastAsia" w:eastAsiaTheme="minorEastAsia"/>
          <w:color w:val="000000" w:themeColor="text1"/>
          <w:szCs w:val="21"/>
          <w14:textFill>
            <w14:solidFill>
              <w14:schemeClr w14:val="tx1"/>
            </w14:solidFill>
          </w14:textFill>
        </w:rPr>
      </w:pPr>
      <w:r>
        <w:rPr>
          <w:rFonts w:asciiTheme="minorEastAsia" w:hAnsiTheme="minorEastAsia" w:eastAsiaTheme="minorEastAsia"/>
          <w:color w:val="000000" w:themeColor="text1"/>
          <w:szCs w:val="21"/>
          <w14:textFill>
            <w14:solidFill>
              <w14:schemeClr w14:val="tx1"/>
            </w14:solidFill>
          </w14:textFill>
        </w:rPr>
        <w:drawing>
          <wp:inline distT="0" distB="0" distL="0" distR="0">
            <wp:extent cx="6188710" cy="1595755"/>
            <wp:effectExtent l="19050" t="19050" r="21590" b="2349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188710" cy="1595755"/>
                    </a:xfrm>
                    <a:prstGeom prst="rect">
                      <a:avLst/>
                    </a:prstGeom>
                    <a:ln>
                      <a:solidFill>
                        <a:schemeClr val="tx1"/>
                      </a:solidFill>
                    </a:ln>
                  </pic:spPr>
                </pic:pic>
              </a:graphicData>
            </a:graphic>
          </wp:inline>
        </w:drawing>
      </w:r>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网络安全威胁检测</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提供丰富的安全数据，包含互联网中存在的威胁IP、威胁域名、威胁文件hash值、威胁URL、威胁邮箱地址等资源库。业务应用系统及平台在接收到互联网侧发起的注册、访问、登录、上传数据等行为时，业务应用系统及平台通过业务逻辑调用安全数据共享与协同组件的接口，实时对互联网的行为进行比对；当发现威胁请求时能自动告警及日志记录，实现业务应用的安全防范与安全追溯。</w:t>
      </w:r>
    </w:p>
    <w:p>
      <w:pPr>
        <w:pStyle w:val="2"/>
        <w:rPr>
          <w:rFonts w:asciiTheme="minorEastAsia" w:hAnsiTheme="minorEastAsia" w:eastAsiaTheme="minorEastAsia"/>
          <w:color w:val="000000" w:themeColor="text1"/>
          <w14:textFill>
            <w14:solidFill>
              <w14:schemeClr w14:val="tx1"/>
            </w14:solidFill>
          </w14:textFill>
        </w:rPr>
      </w:pPr>
      <w:bookmarkStart w:id="332" w:name="_Toc118808280"/>
      <w:r>
        <w:rPr>
          <w:rFonts w:hint="eastAsia" w:asciiTheme="minorEastAsia" w:hAnsiTheme="minorEastAsia" w:eastAsiaTheme="minorEastAsia"/>
          <w:color w:val="000000" w:themeColor="text1"/>
          <w14:textFill>
            <w14:solidFill>
              <w14:schemeClr w14:val="tx1"/>
            </w14:solidFill>
          </w14:textFill>
        </w:rPr>
        <w:t>产生组件清单</w:t>
      </w:r>
      <w:bookmarkEnd w:id="332"/>
    </w:p>
    <w:p>
      <w:pPr>
        <w:pStyle w:val="6"/>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政策速递组件（服务端）</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组件名称：政策速递；</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开放范围：省域；</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组件介绍：常见/热点部门政策速递。</w:t>
      </w:r>
    </w:p>
    <w:p>
      <w:pPr>
        <w:widowControl/>
        <w:ind w:firstLine="560" w:firstLineChars="200"/>
        <w:jc w:val="left"/>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14:textFill>
            <w14:solidFill>
              <w14:schemeClr w14:val="tx1"/>
            </w14:solidFill>
          </w14:textFill>
        </w:rPr>
        <w:t>组件说明：</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该组件通过系统提供交通、社保、综合、公积金等不同的目录结构后，展示相应的政策/热点问答功能。为方便用户查找所需内容，提供全文检索功能，用户输入关键字，可快速查找定位所需内容。</w:t>
      </w:r>
    </w:p>
    <w:p>
      <w:pPr>
        <w:pStyle w:val="14"/>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为方便使用灵活功能配置，系统提供后端二级菜单功能添加配置功能，根据用户需求自定义添加配置功能。</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展示各个部门不同场景的新兴政策，如新冠疫苗、浙A区域号牌等新政策。</w:t>
      </w:r>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olor w:val="000000" w:themeColor="text1"/>
          <w14:textFill>
            <w14:solidFill>
              <w14:schemeClr w14:val="tx1"/>
            </w14:solidFill>
          </w14:textFill>
        </w:rPr>
      </w:pPr>
      <w:bookmarkStart w:id="333" w:name="_Toc7123"/>
      <w:bookmarkStart w:id="334" w:name="_Toc118808281"/>
      <w:bookmarkStart w:id="335" w:name="_Toc29507"/>
      <w:r>
        <w:rPr>
          <w:rFonts w:hint="eastAsia" w:ascii="宋体" w:hAnsi="宋体" w:cs="仿宋"/>
          <w:color w:val="000000" w:themeColor="text1"/>
          <w:sz w:val="30"/>
          <w:szCs w:val="30"/>
          <w14:textFill>
            <w14:solidFill>
              <w14:schemeClr w14:val="tx1"/>
            </w14:solidFill>
          </w14:textFill>
        </w:rPr>
        <w:t>系统软硬件配置清单</w:t>
      </w:r>
      <w:bookmarkEnd w:id="333"/>
      <w:bookmarkEnd w:id="334"/>
      <w:bookmarkEnd w:id="335"/>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根据项目的业务需求和服务器资源情况，本项目将采用云资源配置。</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本项目可根据萧山区政务云所提供的国产化操作系统进行适配，支持与国产化数据库、服务器、中间件、操作系统等适配，并兼容国产化浏览器。</w:t>
      </w:r>
    </w:p>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基础资源配置清单如下：</w:t>
      </w:r>
    </w:p>
    <w:tbl>
      <w:tblPr>
        <w:tblStyle w:val="38"/>
        <w:tblW w:w="9208" w:type="dxa"/>
        <w:jc w:val="center"/>
        <w:tblLayout w:type="fixed"/>
        <w:tblCellMar>
          <w:top w:w="0" w:type="dxa"/>
          <w:left w:w="108" w:type="dxa"/>
          <w:bottom w:w="0" w:type="dxa"/>
          <w:right w:w="108" w:type="dxa"/>
        </w:tblCellMar>
      </w:tblPr>
      <w:tblGrid>
        <w:gridCol w:w="470"/>
        <w:gridCol w:w="943"/>
        <w:gridCol w:w="850"/>
        <w:gridCol w:w="709"/>
        <w:gridCol w:w="1843"/>
        <w:gridCol w:w="850"/>
        <w:gridCol w:w="2693"/>
        <w:gridCol w:w="850"/>
      </w:tblGrid>
      <w:tr>
        <w:tblPrEx>
          <w:tblCellMar>
            <w:top w:w="0" w:type="dxa"/>
            <w:left w:w="108" w:type="dxa"/>
            <w:bottom w:w="0" w:type="dxa"/>
            <w:right w:w="108" w:type="dxa"/>
          </w:tblCellMar>
        </w:tblPrEx>
        <w:trPr>
          <w:trHeight w:val="624"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序号</w:t>
            </w:r>
          </w:p>
        </w:tc>
        <w:tc>
          <w:tcPr>
            <w:tcW w:w="94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资源</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 xml:space="preserve">CPU </w:t>
            </w:r>
            <w:r>
              <w:rPr>
                <w:rFonts w:ascii="宋体" w:hAnsi="宋体"/>
                <w:b/>
                <w:bCs/>
                <w:color w:val="000000" w:themeColor="text1"/>
                <w:kern w:val="0"/>
                <w:szCs w:val="28"/>
                <w14:textFill>
                  <w14:solidFill>
                    <w14:schemeClr w14:val="tx1"/>
                  </w14:solidFill>
                </w14:textFill>
              </w:rPr>
              <w:t>(</w:t>
            </w:r>
            <w:r>
              <w:rPr>
                <w:rFonts w:hint="eastAsia" w:ascii="宋体" w:hAnsi="宋体"/>
                <w:b/>
                <w:bCs/>
                <w:color w:val="000000" w:themeColor="text1"/>
                <w:kern w:val="0"/>
                <w:szCs w:val="28"/>
                <w14:textFill>
                  <w14:solidFill>
                    <w14:schemeClr w14:val="tx1"/>
                  </w14:solidFill>
                </w14:textFill>
              </w:rPr>
              <w:t>核</w:t>
            </w:r>
            <w:r>
              <w:rPr>
                <w:rFonts w:ascii="宋体" w:hAnsi="宋体"/>
                <w:b/>
                <w:bCs/>
                <w:color w:val="000000" w:themeColor="text1"/>
                <w:kern w:val="0"/>
                <w:szCs w:val="28"/>
                <w14:textFill>
                  <w14:solidFill>
                    <w14:schemeClr w14:val="tx1"/>
                  </w14:solidFill>
                </w14:textFill>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内存</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存储</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数量</w:t>
            </w:r>
          </w:p>
        </w:tc>
        <w:tc>
          <w:tcPr>
            <w:tcW w:w="26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说明</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备注</w:t>
            </w:r>
          </w:p>
        </w:tc>
      </w:tr>
      <w:tr>
        <w:tblPrEx>
          <w:tblCellMar>
            <w:top w:w="0" w:type="dxa"/>
            <w:left w:w="108" w:type="dxa"/>
            <w:bottom w:w="0" w:type="dxa"/>
            <w:right w:w="108" w:type="dxa"/>
          </w:tblCellMar>
        </w:tblPrEx>
        <w:trPr>
          <w:trHeight w:val="841"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4</w:t>
            </w:r>
          </w:p>
        </w:tc>
        <w:tc>
          <w:tcPr>
            <w:tcW w:w="2693" w:type="dxa"/>
            <w:tcBorders>
              <w:top w:val="single" w:color="000000" w:sz="4" w:space="0"/>
              <w:left w:val="single" w:color="000000" w:sz="4" w:space="0"/>
              <w:bottom w:val="nil"/>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docker集群部署(15个服务，每服务按最大1</w:t>
            </w:r>
            <w:r>
              <w:rPr>
                <w:rFonts w:ascii="宋体" w:hAnsi="宋体"/>
                <w:color w:val="000000" w:themeColor="text1"/>
                <w:kern w:val="0"/>
                <w:szCs w:val="28"/>
                <w14:textFill>
                  <w14:solidFill>
                    <w14:schemeClr w14:val="tx1"/>
                  </w14:solidFill>
                </w14:textFill>
              </w:rPr>
              <w:t>G</w:t>
            </w:r>
            <w:r>
              <w:rPr>
                <w:rFonts w:hint="eastAsia" w:ascii="宋体" w:hAnsi="宋体"/>
                <w:color w:val="000000" w:themeColor="text1"/>
                <w:kern w:val="0"/>
                <w:szCs w:val="28"/>
                <w14:textFill>
                  <w14:solidFill>
                    <w14:schemeClr w14:val="tx1"/>
                  </w14:solidFill>
                </w14:textFill>
              </w:rPr>
              <w:t>内存分配)：注册中心、单点登录服务、网关服务、数字字典服务、机构用户资源服务、对象存储（依赖minio）、节假日服务、大屏服务、短信服务、流程管理服务、通知公告服务、一呼解忧移动端、治理端、后台管理平台、坐席辅助服务等</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云资源申请，不在本次招标范围内。</w:t>
            </w:r>
          </w:p>
        </w:tc>
      </w:tr>
      <w:tr>
        <w:tblPrEx>
          <w:tblCellMar>
            <w:top w:w="0" w:type="dxa"/>
            <w:left w:w="108" w:type="dxa"/>
            <w:bottom w:w="0" w:type="dxa"/>
            <w:right w:w="108" w:type="dxa"/>
          </w:tblCellMar>
        </w:tblPrEx>
        <w:trPr>
          <w:trHeight w:val="6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5G消息服务器,数据交换平台(第三方数据对接)</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color w:val="000000" w:themeColor="text1"/>
                <w:szCs w:val="28"/>
                <w14:textFill>
                  <w14:solidFill>
                    <w14:schemeClr w14:val="tx1"/>
                  </w14:solidFill>
                </w14:textFill>
              </w:rPr>
            </w:pPr>
            <w:r>
              <w:rPr>
                <w:rFonts w:ascii="宋体" w:hAnsi="宋体"/>
                <w:color w:val="000000" w:themeColor="text1"/>
                <w:kern w:val="0"/>
                <w:szCs w:val="28"/>
                <w14:textFill>
                  <w14:solidFill>
                    <w14:schemeClr w14:val="tx1"/>
                  </w14:solidFill>
                </w14:textFill>
              </w:rPr>
              <w:t>60</w:t>
            </w:r>
            <w:r>
              <w:rPr>
                <w:rFonts w:hint="eastAsia" w:ascii="宋体" w:hAnsi="宋体"/>
                <w:color w:val="000000" w:themeColor="text1"/>
                <w:kern w:val="0"/>
                <w:szCs w:val="28"/>
                <w14:textFill>
                  <w14:solidFill>
                    <w14:schemeClr w14:val="tx1"/>
                  </w14:solidFill>
                </w14:textFill>
              </w:rPr>
              <w:t>路视频IVR服务，主备业务服务、动态媒体合成服务、信令服务，分布式部署</w:t>
            </w:r>
            <w:r>
              <w:rPr>
                <w:rFonts w:hint="eastAsia"/>
                <w:color w:val="000000" w:themeColor="text1"/>
                <w:szCs w:val="28"/>
                <w14:textFill>
                  <w14:solidFill>
                    <w14:schemeClr w14:val="tx1"/>
                  </w14:solidFill>
                </w14:textFill>
              </w:rPr>
              <w:t xml:space="preserve"> </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4</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color w:val="000000" w:themeColor="text1"/>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20路视频客服，媒体处理服务、录播服务，分布式部署</w:t>
            </w:r>
            <w:r>
              <w:rPr>
                <w:rFonts w:hint="eastAsia"/>
                <w:color w:val="000000" w:themeColor="text1"/>
                <w:szCs w:val="28"/>
                <w14:textFill>
                  <w14:solidFill>
                    <w14:schemeClr w14:val="tx1"/>
                  </w14:solidFill>
                </w14:textFill>
              </w:rPr>
              <w:t xml:space="preserve"> </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5</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4</w:t>
            </w:r>
            <w:r>
              <w:rPr>
                <w:rFonts w:hint="eastAsia" w:ascii="宋体" w:hAnsi="宋体"/>
                <w:color w:val="000000" w:themeColor="text1"/>
                <w:kern w:val="0"/>
                <w:szCs w:val="28"/>
                <w14:textFill>
                  <w14:solidFill>
                    <w14:schemeClr w14:val="tx1"/>
                  </w14:solidFill>
                </w14:textFill>
              </w:rPr>
              <w:t>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w:t>
            </w:r>
            <w:r>
              <w:rPr>
                <w:rFonts w:ascii="宋体" w:hAnsi="宋体"/>
                <w:color w:val="000000" w:themeColor="text1"/>
                <w:kern w:val="0"/>
                <w:szCs w:val="28"/>
                <w14:textFill>
                  <w14:solidFill>
                    <w14:schemeClr w14:val="tx1"/>
                  </w14:solidFill>
                </w14:textFill>
              </w:rPr>
              <w:t>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数据盘6TB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存储服务，视频录制存储，存储最近</w:t>
            </w:r>
            <w:r>
              <w:rPr>
                <w:rFonts w:ascii="宋体" w:hAnsi="宋体"/>
                <w:color w:val="000000" w:themeColor="text1"/>
                <w:kern w:val="0"/>
                <w:szCs w:val="28"/>
                <w14:textFill>
                  <w14:solidFill>
                    <w14:schemeClr w14:val="tx1"/>
                  </w14:solidFill>
                </w14:textFill>
              </w:rPr>
              <w:t>3</w:t>
            </w:r>
            <w:r>
              <w:rPr>
                <w:rFonts w:hint="eastAsia" w:ascii="宋体" w:hAnsi="宋体"/>
                <w:color w:val="000000" w:themeColor="text1"/>
                <w:kern w:val="0"/>
                <w:szCs w:val="28"/>
                <w14:textFill>
                  <w14:solidFill>
                    <w14:schemeClr w14:val="tx1"/>
                  </w14:solidFill>
                </w14:textFill>
              </w:rPr>
              <w:t>个月视频回放录像</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24"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6</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数据盘500GB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智能派单算法服务（4套模型），非结构化文件：视频IVR图片、文件等附件</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bl>
    <w:p>
      <w:pPr>
        <w:pStyle w:val="14"/>
        <w:spacing w:line="360" w:lineRule="auto"/>
        <w:ind w:firstLine="560" w:firstLineChars="200"/>
        <w:rPr>
          <w:rFonts w:asciiTheme="minorEastAsia" w:hAnsiTheme="minorEastAsia" w:eastAsiaTheme="minorEastAsia"/>
          <w:color w:val="000000" w:themeColor="text1"/>
          <w:sz w:val="28"/>
          <w14:textFill>
            <w14:solidFill>
              <w14:schemeClr w14:val="tx1"/>
            </w14:solidFill>
          </w14:textFill>
        </w:rPr>
      </w:pPr>
    </w:p>
    <w:p>
      <w:pPr>
        <w:pStyle w:val="4"/>
        <w:rPr>
          <w:color w:val="000000" w:themeColor="text1"/>
          <w14:textFill>
            <w14:solidFill>
              <w14:schemeClr w14:val="tx1"/>
            </w14:solidFill>
          </w14:textFill>
        </w:rPr>
      </w:pPr>
    </w:p>
    <w:p>
      <w:pPr>
        <w:pStyle w:val="3"/>
        <w:rPr>
          <w:rFonts w:asciiTheme="minorEastAsia" w:hAnsiTheme="minorEastAsia" w:eastAsiaTheme="minorEastAsia"/>
          <w:color w:val="000000" w:themeColor="text1"/>
          <w14:textFill>
            <w14:solidFill>
              <w14:schemeClr w14:val="tx1"/>
            </w14:solidFill>
          </w14:textFill>
        </w:rPr>
      </w:pPr>
      <w:bookmarkStart w:id="336" w:name="_Toc118808282"/>
      <w:r>
        <w:rPr>
          <w:rFonts w:hint="eastAsia" w:ascii="宋体" w:hAnsi="宋体"/>
          <w:color w:val="000000" w:themeColor="text1"/>
          <w:szCs w:val="32"/>
          <w14:textFill>
            <w14:solidFill>
              <w14:schemeClr w14:val="tx1"/>
            </w14:solidFill>
          </w14:textFill>
        </w:rPr>
        <w:t>项目建设与运行管理</w:t>
      </w:r>
      <w:bookmarkEnd w:id="336"/>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s="仿宋"/>
          <w:color w:val="000000" w:themeColor="text1"/>
          <w:sz w:val="30"/>
          <w:szCs w:val="30"/>
          <w14:textFill>
            <w14:solidFill>
              <w14:schemeClr w14:val="tx1"/>
            </w14:solidFill>
          </w14:textFill>
        </w:rPr>
      </w:pPr>
      <w:bookmarkStart w:id="337" w:name="_Toc118808283"/>
      <w:r>
        <w:rPr>
          <w:rFonts w:hint="eastAsia" w:ascii="宋体" w:hAnsi="宋体" w:cs="仿宋"/>
          <w:color w:val="000000" w:themeColor="text1"/>
          <w:sz w:val="30"/>
          <w:szCs w:val="30"/>
          <w14:textFill>
            <w14:solidFill>
              <w14:schemeClr w14:val="tx1"/>
            </w14:solidFill>
          </w14:textFill>
        </w:rPr>
        <w:t>领导和管理机构</w:t>
      </w:r>
      <w:bookmarkEnd w:id="337"/>
    </w:p>
    <w:p>
      <w:pPr>
        <w:ind w:firstLine="560" w:firstLineChars="200"/>
        <w:rPr>
          <w:rFonts w:ascii="宋体" w:hAnsi="宋体" w:cs="宋体"/>
          <w:color w:val="000000" w:themeColor="text1"/>
          <w14:textFill>
            <w14:solidFill>
              <w14:schemeClr w14:val="tx1"/>
            </w14:solidFill>
          </w14:textFill>
        </w:rPr>
      </w:pPr>
      <w:bookmarkStart w:id="338" w:name="_Toc6442"/>
      <w:bookmarkStart w:id="339" w:name="_Toc12965"/>
      <w:bookmarkStart w:id="340" w:name="_Toc42592604"/>
      <w:bookmarkStart w:id="341" w:name="_Toc5858"/>
      <w:bookmarkStart w:id="342" w:name="_Toc692"/>
      <w:bookmarkStart w:id="343" w:name="_Toc15286"/>
      <w:bookmarkStart w:id="344" w:name="_Toc20247"/>
      <w:r>
        <w:rPr>
          <w:rFonts w:hint="eastAsia" w:ascii="宋体" w:hAnsi="宋体" w:cs="宋体"/>
          <w:color w:val="000000" w:themeColor="text1"/>
          <w14:textFill>
            <w14:solidFill>
              <w14:schemeClr w14:val="tx1"/>
            </w14:solidFill>
          </w14:textFill>
        </w:rPr>
        <w:t>本项目管理机构是萧山区政府。建议成立萧山区政府12345平台项目领导小组。为保证项目加快推进、顺利实施，需要成立萧山区政府12345平台项目建设工作领导小组。全面萧山区政府12345平台项目的建设，负责项目建设过程中的重大问题的决策、指挥、协调。</w:t>
      </w:r>
    </w:p>
    <w:bookmarkEnd w:id="338"/>
    <w:bookmarkEnd w:id="339"/>
    <w:bookmarkEnd w:id="340"/>
    <w:bookmarkEnd w:id="341"/>
    <w:bookmarkEnd w:id="342"/>
    <w:bookmarkEnd w:id="343"/>
    <w:bookmarkEnd w:id="344"/>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s="仿宋"/>
          <w:color w:val="000000" w:themeColor="text1"/>
          <w:sz w:val="30"/>
          <w:szCs w:val="30"/>
          <w14:textFill>
            <w14:solidFill>
              <w14:schemeClr w14:val="tx1"/>
            </w14:solidFill>
          </w14:textFill>
        </w:rPr>
      </w:pPr>
      <w:bookmarkStart w:id="345" w:name="_Toc22962"/>
      <w:bookmarkStart w:id="346" w:name="_Toc28798"/>
      <w:bookmarkStart w:id="347" w:name="_Toc118808284"/>
      <w:r>
        <w:rPr>
          <w:rFonts w:hint="eastAsia" w:ascii="宋体" w:hAnsi="宋体" w:cs="仿宋"/>
          <w:color w:val="000000" w:themeColor="text1"/>
          <w:sz w:val="30"/>
          <w:szCs w:val="30"/>
          <w14:textFill>
            <w14:solidFill>
              <w14:schemeClr w14:val="tx1"/>
            </w14:solidFill>
          </w14:textFill>
        </w:rPr>
        <w:t>运行维护机构</w:t>
      </w:r>
      <w:bookmarkEnd w:id="345"/>
      <w:bookmarkEnd w:id="346"/>
      <w:bookmarkEnd w:id="347"/>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本项目属于萧山区政府投资项目，其日常运行管理由萧山区信访局承担，日常运行维护管理的组织机构和人员安排由区信访局确定。</w:t>
      </w:r>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s="仿宋"/>
          <w:color w:val="000000" w:themeColor="text1"/>
          <w:sz w:val="30"/>
          <w:szCs w:val="30"/>
          <w14:textFill>
            <w14:solidFill>
              <w14:schemeClr w14:val="tx1"/>
            </w14:solidFill>
          </w14:textFill>
        </w:rPr>
      </w:pPr>
      <w:bookmarkStart w:id="348" w:name="_Toc31312"/>
      <w:bookmarkStart w:id="349" w:name="_Toc20014"/>
      <w:bookmarkStart w:id="350" w:name="_Toc118808285"/>
      <w:r>
        <w:rPr>
          <w:rFonts w:hint="eastAsia" w:ascii="宋体" w:hAnsi="宋体" w:cs="仿宋"/>
          <w:color w:val="000000" w:themeColor="text1"/>
          <w:sz w:val="30"/>
          <w:szCs w:val="30"/>
          <w14:textFill>
            <w14:solidFill>
              <w14:schemeClr w14:val="tx1"/>
            </w14:solidFill>
          </w14:textFill>
        </w:rPr>
        <w:t>项目进度方案</w:t>
      </w:r>
      <w:bookmarkEnd w:id="348"/>
      <w:bookmarkEnd w:id="349"/>
      <w:bookmarkEnd w:id="350"/>
    </w:p>
    <w:p>
      <w:pPr>
        <w:ind w:firstLine="56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本次项目的建设，</w:t>
      </w:r>
      <w:r>
        <w:rPr>
          <w:rFonts w:hint="eastAsia" w:ascii="宋体" w:hAnsi="宋体"/>
          <w:color w:val="000000" w:themeColor="text1"/>
          <w14:textFill>
            <w14:solidFill>
              <w14:schemeClr w14:val="tx1"/>
            </w14:solidFill>
          </w14:textFill>
        </w:rPr>
        <w:t>计划按照以下里程碑节点进行。项目预计在合同签订后5个月完成项目整体验收。（具体节点进度以招标文件为准）</w:t>
      </w:r>
    </w:p>
    <w:tbl>
      <w:tblPr>
        <w:tblStyle w:val="38"/>
        <w:tblW w:w="8514" w:type="dxa"/>
        <w:jc w:val="center"/>
        <w:tblLayout w:type="fixed"/>
        <w:tblCellMar>
          <w:top w:w="0" w:type="dxa"/>
          <w:left w:w="108" w:type="dxa"/>
          <w:bottom w:w="0" w:type="dxa"/>
          <w:right w:w="108" w:type="dxa"/>
        </w:tblCellMar>
      </w:tblPr>
      <w:tblGrid>
        <w:gridCol w:w="1445"/>
        <w:gridCol w:w="588"/>
        <w:gridCol w:w="588"/>
        <w:gridCol w:w="589"/>
        <w:gridCol w:w="592"/>
        <w:gridCol w:w="587"/>
        <w:gridCol w:w="587"/>
        <w:gridCol w:w="587"/>
        <w:gridCol w:w="594"/>
        <w:gridCol w:w="587"/>
        <w:gridCol w:w="587"/>
        <w:gridCol w:w="587"/>
        <w:gridCol w:w="590"/>
        <w:gridCol w:w="6"/>
      </w:tblGrid>
      <w:tr>
        <w:tblPrEx>
          <w:tblCellMar>
            <w:top w:w="0" w:type="dxa"/>
            <w:left w:w="108" w:type="dxa"/>
            <w:bottom w:w="0" w:type="dxa"/>
            <w:right w:w="108" w:type="dxa"/>
          </w:tblCellMar>
        </w:tblPrEx>
        <w:trPr>
          <w:trHeight w:val="301" w:hRule="atLeast"/>
          <w:jc w:val="center"/>
        </w:trPr>
        <w:tc>
          <w:tcPr>
            <w:tcW w:w="1445" w:type="dxa"/>
            <w:tcBorders>
              <w:top w:val="single" w:color="auto" w:sz="12" w:space="0"/>
              <w:left w:val="single" w:color="auto" w:sz="12" w:space="0"/>
              <w:bottom w:val="single" w:color="auto" w:sz="8" w:space="0"/>
              <w:right w:val="single" w:color="auto" w:sz="8" w:space="0"/>
            </w:tcBorders>
            <w:vAlign w:val="center"/>
          </w:tcPr>
          <w:p>
            <w:pPr>
              <w:pStyle w:val="312"/>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项目</w:t>
            </w:r>
            <w:r>
              <w:rPr>
                <w:rFonts w:hint="eastAsia" w:ascii="宋体" w:hAnsi="宋体"/>
                <w:color w:val="000000" w:themeColor="text1"/>
                <w14:textFill>
                  <w14:solidFill>
                    <w14:schemeClr w14:val="tx1"/>
                  </w14:solidFill>
                </w14:textFill>
              </w:rPr>
              <w:t>启动</w:t>
            </w:r>
          </w:p>
        </w:tc>
        <w:tc>
          <w:tcPr>
            <w:tcW w:w="2357" w:type="dxa"/>
            <w:gridSpan w:val="4"/>
            <w:tcBorders>
              <w:top w:val="single" w:color="auto" w:sz="12" w:space="0"/>
              <w:left w:val="nil"/>
              <w:bottom w:val="single" w:color="auto" w:sz="8" w:space="0"/>
              <w:right w:val="single" w:color="000000" w:sz="8" w:space="0"/>
            </w:tcBorders>
            <w:vAlign w:val="center"/>
          </w:tcPr>
          <w:p>
            <w:pPr>
              <w:pStyle w:val="312"/>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第一个月</w:t>
            </w:r>
          </w:p>
        </w:tc>
        <w:tc>
          <w:tcPr>
            <w:tcW w:w="2355" w:type="dxa"/>
            <w:gridSpan w:val="4"/>
            <w:tcBorders>
              <w:top w:val="single" w:color="auto" w:sz="12" w:space="0"/>
              <w:left w:val="nil"/>
              <w:bottom w:val="single" w:color="auto" w:sz="8" w:space="0"/>
              <w:right w:val="single" w:color="000000" w:sz="8" w:space="0"/>
            </w:tcBorders>
            <w:vAlign w:val="center"/>
          </w:tcPr>
          <w:p>
            <w:pPr>
              <w:pStyle w:val="312"/>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第三个月</w:t>
            </w:r>
          </w:p>
        </w:tc>
        <w:tc>
          <w:tcPr>
            <w:tcW w:w="2357" w:type="dxa"/>
            <w:gridSpan w:val="5"/>
            <w:tcBorders>
              <w:top w:val="single" w:color="auto" w:sz="12" w:space="0"/>
              <w:left w:val="nil"/>
              <w:bottom w:val="single" w:color="auto" w:sz="8" w:space="0"/>
              <w:right w:val="single" w:color="000000" w:sz="12" w:space="0"/>
            </w:tcBorders>
            <w:vAlign w:val="center"/>
          </w:tcPr>
          <w:p>
            <w:pPr>
              <w:pStyle w:val="312"/>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第五个月</w:t>
            </w: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可行性研究</w:t>
            </w:r>
          </w:p>
        </w:tc>
        <w:tc>
          <w:tcPr>
            <w:tcW w:w="588"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项目审批</w:t>
            </w:r>
          </w:p>
        </w:tc>
        <w:tc>
          <w:tcPr>
            <w:tcW w:w="588"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招标签订合同</w:t>
            </w: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shd w:val="clear" w:color="auto" w:fill="FFFFFF" w:themeFill="background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FFFFFF" w:themeFill="background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FFFFFF" w:themeFill="background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FFFFFF" w:themeFill="background1"/>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需求分析与研发测试</w:t>
            </w: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000000" w:themeFill="text1"/>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设备到货</w:t>
            </w:r>
            <w:r>
              <w:rPr>
                <w:rFonts w:hint="eastAsia" w:ascii="宋体" w:hAnsi="宋体"/>
                <w:color w:val="000000" w:themeColor="text1"/>
                <w14:textFill>
                  <w14:solidFill>
                    <w14:schemeClr w14:val="tx1"/>
                  </w14:solidFill>
                </w14:textFill>
              </w:rPr>
              <w:t>与安装调试</w:t>
            </w: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项目初验</w:t>
            </w: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8"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试运行</w:t>
            </w: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8"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8" w:space="0"/>
              <w:right w:val="single" w:color="auto" w:sz="8" w:space="0"/>
            </w:tcBorders>
            <w:shd w:val="clear" w:color="000000" w:fill="000000"/>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8" w:space="0"/>
              <w:right w:val="single" w:color="auto" w:sz="12" w:space="0"/>
            </w:tcBorders>
            <w:vAlign w:val="center"/>
          </w:tcPr>
          <w:p>
            <w:pPr>
              <w:pStyle w:val="312"/>
              <w:rPr>
                <w:rFonts w:ascii="宋体" w:hAnsi="宋体"/>
                <w:color w:val="000000" w:themeColor="text1"/>
                <w14:textFill>
                  <w14:solidFill>
                    <w14:schemeClr w14:val="tx1"/>
                  </w14:solidFill>
                </w14:textFill>
              </w:rPr>
            </w:pPr>
          </w:p>
        </w:tc>
      </w:tr>
      <w:tr>
        <w:tblPrEx>
          <w:tblCellMar>
            <w:top w:w="0" w:type="dxa"/>
            <w:left w:w="108" w:type="dxa"/>
            <w:bottom w:w="0" w:type="dxa"/>
            <w:right w:w="108" w:type="dxa"/>
          </w:tblCellMar>
        </w:tblPrEx>
        <w:trPr>
          <w:gridAfter w:val="1"/>
          <w:wAfter w:w="6" w:type="dxa"/>
          <w:trHeight w:val="286" w:hRule="atLeast"/>
          <w:jc w:val="center"/>
        </w:trPr>
        <w:tc>
          <w:tcPr>
            <w:tcW w:w="1445" w:type="dxa"/>
            <w:tcBorders>
              <w:top w:val="nil"/>
              <w:left w:val="single" w:color="auto" w:sz="12" w:space="0"/>
              <w:bottom w:val="single" w:color="auto" w:sz="12" w:space="0"/>
              <w:right w:val="single" w:color="auto" w:sz="8" w:space="0"/>
            </w:tcBorders>
            <w:shd w:val="clear" w:color="auto" w:fill="auto"/>
            <w:vAlign w:val="center"/>
          </w:tcPr>
          <w:p>
            <w:pPr>
              <w:pStyle w:val="312"/>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终验</w:t>
            </w:r>
          </w:p>
        </w:tc>
        <w:tc>
          <w:tcPr>
            <w:tcW w:w="588"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8"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9"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2"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4"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87" w:type="dxa"/>
            <w:tcBorders>
              <w:top w:val="nil"/>
              <w:left w:val="nil"/>
              <w:bottom w:val="single" w:color="auto" w:sz="12" w:space="0"/>
              <w:right w:val="single" w:color="auto" w:sz="8" w:space="0"/>
            </w:tcBorders>
            <w:shd w:val="clear" w:color="auto" w:fill="auto"/>
            <w:vAlign w:val="center"/>
          </w:tcPr>
          <w:p>
            <w:pPr>
              <w:pStyle w:val="312"/>
              <w:rPr>
                <w:rFonts w:ascii="宋体" w:hAnsi="宋体"/>
                <w:color w:val="000000" w:themeColor="text1"/>
                <w14:textFill>
                  <w14:solidFill>
                    <w14:schemeClr w14:val="tx1"/>
                  </w14:solidFill>
                </w14:textFill>
              </w:rPr>
            </w:pPr>
          </w:p>
        </w:tc>
        <w:tc>
          <w:tcPr>
            <w:tcW w:w="590" w:type="dxa"/>
            <w:tcBorders>
              <w:top w:val="nil"/>
              <w:left w:val="nil"/>
              <w:bottom w:val="single" w:color="auto" w:sz="12" w:space="0"/>
              <w:right w:val="single" w:color="auto" w:sz="12" w:space="0"/>
            </w:tcBorders>
            <w:shd w:val="clear" w:color="000000" w:fill="000000"/>
            <w:vAlign w:val="center"/>
          </w:tcPr>
          <w:p>
            <w:pPr>
              <w:pStyle w:val="312"/>
              <w:rPr>
                <w:rFonts w:ascii="宋体" w:hAnsi="宋体"/>
                <w:color w:val="000000" w:themeColor="text1"/>
                <w14:textFill>
                  <w14:solidFill>
                    <w14:schemeClr w14:val="tx1"/>
                  </w14:solidFill>
                </w14:textFill>
              </w:rPr>
            </w:pPr>
          </w:p>
        </w:tc>
      </w:tr>
    </w:tbl>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s="仿宋"/>
          <w:color w:val="000000" w:themeColor="text1"/>
          <w:sz w:val="30"/>
          <w:szCs w:val="30"/>
          <w14:textFill>
            <w14:solidFill>
              <w14:schemeClr w14:val="tx1"/>
            </w14:solidFill>
          </w14:textFill>
        </w:rPr>
      </w:pPr>
      <w:bookmarkStart w:id="351" w:name="_Toc18423"/>
      <w:bookmarkStart w:id="352" w:name="_Toc13553"/>
      <w:bookmarkStart w:id="353" w:name="_Toc118808286"/>
      <w:r>
        <w:rPr>
          <w:rFonts w:hint="eastAsia" w:ascii="宋体" w:hAnsi="宋体" w:cs="仿宋"/>
          <w:color w:val="000000" w:themeColor="text1"/>
          <w:sz w:val="30"/>
          <w:szCs w:val="30"/>
          <w14:textFill>
            <w14:solidFill>
              <w14:schemeClr w14:val="tx1"/>
            </w14:solidFill>
          </w14:textFill>
        </w:rPr>
        <w:t>相关管理制度</w:t>
      </w:r>
      <w:bookmarkEnd w:id="351"/>
      <w:bookmarkEnd w:id="352"/>
      <w:bookmarkEnd w:id="353"/>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运行维护管理规范主要包含：</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1、以各系统（应用系统、网络系统、安全系统、系统相关设备）正常运转为第一目标。</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2、日常维护与排除故障并重。</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3、独立解决问题为主，请求技术支持为辅。</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4、保证各系统无故障运行的同时优化系统性能。</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5、为操作人员提供全面的技术支持、业务培训支持。</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6、定期检查各系统的运行状况，及时发现解决问题，优化日常维护工作程序。</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7、及时对应用系统及其运行环境中发生的问题进行响应。</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8、对定期运维工作进行详细记录，形成运维手册，运维手册详细记录运维时各系统状态。</w:t>
      </w:r>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9、对出现的各种问题详细记录，问题解决后详细记录问题的解决方法。</w:t>
      </w:r>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10、提供系统三年维保，</w:t>
      </w:r>
      <w:r>
        <w:rPr>
          <w:rFonts w:hint="eastAsia"/>
          <w:color w:val="000000" w:themeColor="text1"/>
          <w14:textFill>
            <w14:solidFill>
              <w14:schemeClr w14:val="tx1"/>
            </w14:solidFill>
          </w14:textFill>
        </w:rPr>
        <w:t>话机耳麦质保一年</w:t>
      </w:r>
      <w:r>
        <w:rPr>
          <w:color w:val="000000" w:themeColor="text1"/>
          <w14:textFill>
            <w14:solidFill>
              <w14:schemeClr w14:val="tx1"/>
            </w14:solidFill>
          </w14:textFill>
        </w:rPr>
        <w:t>，保障系统及硬件正常运行。</w:t>
      </w:r>
    </w:p>
    <w:p>
      <w:pPr>
        <w:pStyle w:val="3"/>
        <w:rPr>
          <w:rFonts w:asciiTheme="minorEastAsia" w:hAnsiTheme="minorEastAsia" w:eastAsiaTheme="minorEastAsia"/>
          <w:color w:val="000000" w:themeColor="text1"/>
          <w14:textFill>
            <w14:solidFill>
              <w14:schemeClr w14:val="tx1"/>
            </w14:solidFill>
          </w14:textFill>
        </w:rPr>
      </w:pPr>
      <w:bookmarkStart w:id="354" w:name="_Toc118808287"/>
      <w:r>
        <w:rPr>
          <w:rFonts w:asciiTheme="minorEastAsia" w:hAnsiTheme="minorEastAsia" w:eastAsiaTheme="minorEastAsia"/>
          <w:color w:val="000000" w:themeColor="text1"/>
          <w14:textFill>
            <w14:solidFill>
              <w14:schemeClr w14:val="tx1"/>
            </w14:solidFill>
          </w14:textFill>
        </w:rPr>
        <w:t>人员</w:t>
      </w:r>
      <w:bookmarkEnd w:id="330"/>
      <w:r>
        <w:rPr>
          <w:rFonts w:hint="eastAsia" w:asciiTheme="minorEastAsia" w:hAnsiTheme="minorEastAsia" w:eastAsiaTheme="minorEastAsia"/>
          <w:color w:val="000000" w:themeColor="text1"/>
          <w14:textFill>
            <w14:solidFill>
              <w14:schemeClr w14:val="tx1"/>
            </w14:solidFill>
          </w14:textFill>
        </w:rPr>
        <w:t>配置与培训</w:t>
      </w:r>
      <w:bookmarkEnd w:id="354"/>
    </w:p>
    <w:p>
      <w:pPr>
        <w:pStyle w:val="5"/>
        <w:rPr>
          <w:color w:val="000000" w:themeColor="text1"/>
          <w14:textFill>
            <w14:solidFill>
              <w14:schemeClr w14:val="tx1"/>
            </w14:solidFill>
          </w14:textFill>
        </w:rPr>
      </w:pPr>
      <w:bookmarkStart w:id="355" w:name="_Toc118808288"/>
      <w:bookmarkStart w:id="356" w:name="_Toc80881259"/>
      <w:r>
        <w:rPr>
          <w:rFonts w:hint="eastAsia"/>
          <w:color w:val="000000" w:themeColor="text1"/>
          <w14:textFill>
            <w14:solidFill>
              <w14:schemeClr w14:val="tx1"/>
            </w14:solidFill>
          </w14:textFill>
        </w:rPr>
        <w:t>人员配置计划</w:t>
      </w:r>
      <w:bookmarkEnd w:id="355"/>
    </w:p>
    <w:bookmarkEnd w:id="356"/>
    <w:p>
      <w:pPr>
        <w:pStyle w:val="2"/>
        <w:numPr>
          <w:ilvl w:val="2"/>
          <w:numId w:val="39"/>
        </w:numPr>
        <w:tabs>
          <w:tab w:val="left" w:pos="360"/>
        </w:tabs>
        <w:ind w:left="0" w:firstLine="0"/>
        <w:rPr>
          <w:rFonts w:ascii="Times New Roman" w:hAnsi="Times New Roman"/>
          <w:color w:val="000000" w:themeColor="text1"/>
          <w:sz w:val="30"/>
          <w:szCs w:val="30"/>
          <w14:textFill>
            <w14:solidFill>
              <w14:schemeClr w14:val="tx1"/>
            </w14:solidFill>
          </w14:textFill>
        </w:rPr>
      </w:pPr>
      <w:bookmarkStart w:id="357" w:name="_Toc87625825"/>
      <w:bookmarkStart w:id="358" w:name="_Toc118808289"/>
      <w:bookmarkStart w:id="359" w:name="_Toc9440"/>
      <w:r>
        <w:rPr>
          <w:rFonts w:ascii="Times New Roman" w:hAnsi="Times New Roman"/>
          <w:color w:val="000000" w:themeColor="text1"/>
          <w:sz w:val="30"/>
          <w:szCs w:val="30"/>
          <w14:textFill>
            <w14:solidFill>
              <w14:schemeClr w14:val="tx1"/>
            </w14:solidFill>
          </w14:textFill>
        </w:rPr>
        <w:t>项目建设领导小组</w:t>
      </w:r>
      <w:bookmarkEnd w:id="357"/>
      <w:bookmarkEnd w:id="358"/>
      <w:bookmarkEnd w:id="359"/>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负责项目建设过程中重大事项的协调和决策工作，确定项目建设目标和建设内容，审查建设方案，按照既定的建设方案领导实施。</w:t>
      </w:r>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 xml:space="preserve">项目领导：萧山区信访局 </w:t>
      </w:r>
    </w:p>
    <w:p>
      <w:pPr>
        <w:pStyle w:val="2"/>
        <w:numPr>
          <w:ilvl w:val="2"/>
          <w:numId w:val="39"/>
        </w:numPr>
        <w:tabs>
          <w:tab w:val="left" w:pos="360"/>
        </w:tabs>
        <w:ind w:left="0" w:firstLine="0"/>
        <w:rPr>
          <w:rFonts w:ascii="Times New Roman" w:hAnsi="Times New Roman"/>
          <w:color w:val="000000" w:themeColor="text1"/>
          <w:sz w:val="30"/>
          <w:szCs w:val="30"/>
          <w14:textFill>
            <w14:solidFill>
              <w14:schemeClr w14:val="tx1"/>
            </w14:solidFill>
          </w14:textFill>
        </w:rPr>
      </w:pPr>
      <w:bookmarkStart w:id="360" w:name="_Toc13561"/>
      <w:bookmarkStart w:id="361" w:name="_Toc118808290"/>
      <w:bookmarkStart w:id="362" w:name="_Toc87625826"/>
      <w:r>
        <w:rPr>
          <w:rFonts w:ascii="Times New Roman" w:hAnsi="Times New Roman"/>
          <w:color w:val="000000" w:themeColor="text1"/>
          <w:sz w:val="30"/>
          <w:szCs w:val="30"/>
          <w14:textFill>
            <w14:solidFill>
              <w14:schemeClr w14:val="tx1"/>
            </w14:solidFill>
          </w14:textFill>
        </w:rPr>
        <w:t>项目工作办公室</w:t>
      </w:r>
      <w:bookmarkEnd w:id="360"/>
      <w:bookmarkEnd w:id="361"/>
      <w:bookmarkEnd w:id="362"/>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项目建设领导小组下设项目工作办公室，统一组织、协调本项目的建设工作，具体负责项目建设工作。办公室由相关领导及人员和萧山区信访局相关领导及人员组成。</w:t>
      </w:r>
    </w:p>
    <w:p>
      <w:pPr>
        <w:pStyle w:val="2"/>
        <w:numPr>
          <w:ilvl w:val="2"/>
          <w:numId w:val="39"/>
        </w:numPr>
        <w:tabs>
          <w:tab w:val="left" w:pos="360"/>
        </w:tabs>
        <w:ind w:left="0" w:firstLine="0"/>
        <w:rPr>
          <w:rFonts w:ascii="Times New Roman" w:hAnsi="Times New Roman"/>
          <w:color w:val="000000" w:themeColor="text1"/>
          <w:sz w:val="30"/>
          <w:szCs w:val="30"/>
          <w14:textFill>
            <w14:solidFill>
              <w14:schemeClr w14:val="tx1"/>
            </w14:solidFill>
          </w14:textFill>
        </w:rPr>
      </w:pPr>
      <w:bookmarkStart w:id="363" w:name="_Toc20594"/>
      <w:bookmarkStart w:id="364" w:name="_Toc118808291"/>
      <w:bookmarkStart w:id="365" w:name="_Toc87625827"/>
      <w:r>
        <w:rPr>
          <w:rFonts w:ascii="Times New Roman" w:hAnsi="Times New Roman"/>
          <w:color w:val="000000" w:themeColor="text1"/>
          <w:sz w:val="30"/>
          <w:szCs w:val="30"/>
          <w14:textFill>
            <w14:solidFill>
              <w14:schemeClr w14:val="tx1"/>
            </w14:solidFill>
          </w14:textFill>
        </w:rPr>
        <w:t>专家委员会</w:t>
      </w:r>
      <w:bookmarkEnd w:id="363"/>
      <w:bookmarkEnd w:id="364"/>
      <w:bookmarkEnd w:id="365"/>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负责为本项目的设计与实施提供咨询和建议，协助审核各阶段的计划、实施方案，参与工程设计方案的评审、工程验收。</w:t>
      </w:r>
    </w:p>
    <w:p>
      <w:pPr>
        <w:pStyle w:val="2"/>
        <w:numPr>
          <w:ilvl w:val="2"/>
          <w:numId w:val="39"/>
        </w:numPr>
        <w:tabs>
          <w:tab w:val="left" w:pos="360"/>
        </w:tabs>
        <w:ind w:left="0" w:firstLine="0"/>
        <w:rPr>
          <w:rFonts w:ascii="Times New Roman" w:hAnsi="Times New Roman"/>
          <w:color w:val="000000" w:themeColor="text1"/>
          <w:sz w:val="30"/>
          <w:szCs w:val="30"/>
          <w14:textFill>
            <w14:solidFill>
              <w14:schemeClr w14:val="tx1"/>
            </w14:solidFill>
          </w14:textFill>
        </w:rPr>
      </w:pPr>
      <w:bookmarkStart w:id="366" w:name="_Toc87625828"/>
      <w:bookmarkStart w:id="367" w:name="_Toc118808292"/>
      <w:bookmarkStart w:id="368" w:name="_Toc6252"/>
      <w:r>
        <w:rPr>
          <w:rFonts w:ascii="Times New Roman" w:hAnsi="Times New Roman"/>
          <w:color w:val="000000" w:themeColor="text1"/>
          <w:sz w:val="30"/>
          <w:szCs w:val="30"/>
          <w14:textFill>
            <w14:solidFill>
              <w14:schemeClr w14:val="tx1"/>
            </w14:solidFill>
          </w14:textFill>
        </w:rPr>
        <w:t>系统实施组</w:t>
      </w:r>
      <w:bookmarkEnd w:id="366"/>
      <w:bookmarkEnd w:id="367"/>
      <w:bookmarkEnd w:id="368"/>
    </w:p>
    <w:p>
      <w:pPr>
        <w:ind w:firstLine="560" w:firstLineChars="200"/>
        <w:rPr>
          <w:color w:val="000000" w:themeColor="text1"/>
          <w14:textFill>
            <w14:solidFill>
              <w14:schemeClr w14:val="tx1"/>
            </w14:solidFill>
          </w14:textFill>
        </w:rPr>
      </w:pPr>
      <w:r>
        <w:rPr>
          <w:color w:val="000000" w:themeColor="text1"/>
          <w14:textFill>
            <w14:solidFill>
              <w14:schemeClr w14:val="tx1"/>
            </w14:solidFill>
          </w14:textFill>
        </w:rPr>
        <w:t>负责项目技术工作；负责系统技术方案的编写审核；负责系统相关功能的开发、测试和部署，系统运行的技术支持；负责工程验收移交。</w:t>
      </w:r>
    </w:p>
    <w:p>
      <w:pPr>
        <w:rPr>
          <w:color w:val="000000" w:themeColor="text1"/>
          <w14:textFill>
            <w14:solidFill>
              <w14:schemeClr w14:val="tx1"/>
            </w14:solidFill>
          </w14:textFill>
        </w:rPr>
      </w:pPr>
      <w:r>
        <w:rPr>
          <w:color w:val="000000" w:themeColor="text1"/>
          <w14:textFill>
            <w14:solidFill>
              <w14:schemeClr w14:val="tx1"/>
            </w14:solidFill>
          </w14:textFill>
        </w:rPr>
        <w:t>服务器运行环境由萧山区信访局负责运营维护，包括应用系统的运维、应用系统网络的运维、系统安全的运维、系统相关设备的运维。</w:t>
      </w:r>
    </w:p>
    <w:p>
      <w:pPr>
        <w:pStyle w:val="5"/>
        <w:rPr>
          <w:rFonts w:asciiTheme="minorEastAsia" w:hAnsiTheme="minorEastAsia" w:eastAsiaTheme="minorEastAsia"/>
          <w:color w:val="000000" w:themeColor="text1"/>
          <w14:textFill>
            <w14:solidFill>
              <w14:schemeClr w14:val="tx1"/>
            </w14:solidFill>
          </w14:textFill>
        </w:rPr>
      </w:pPr>
      <w:bookmarkStart w:id="369" w:name="_Toc80881260"/>
      <w:bookmarkStart w:id="370" w:name="_Toc118808293"/>
      <w:r>
        <w:rPr>
          <w:rFonts w:asciiTheme="minorEastAsia" w:hAnsiTheme="minorEastAsia" w:eastAsiaTheme="minorEastAsia"/>
          <w:color w:val="000000" w:themeColor="text1"/>
          <w14:textFill>
            <w14:solidFill>
              <w14:schemeClr w14:val="tx1"/>
            </w14:solidFill>
          </w14:textFill>
        </w:rPr>
        <w:t>人员培训方案</w:t>
      </w:r>
      <w:bookmarkEnd w:id="369"/>
      <w:bookmarkEnd w:id="370"/>
    </w:p>
    <w:p>
      <w:pPr>
        <w:pStyle w:val="2"/>
        <w:rPr>
          <w:rFonts w:asciiTheme="minorEastAsia" w:hAnsiTheme="minorEastAsia" w:eastAsiaTheme="minorEastAsia"/>
          <w:color w:val="000000" w:themeColor="text1"/>
          <w14:textFill>
            <w14:solidFill>
              <w14:schemeClr w14:val="tx1"/>
            </w14:solidFill>
          </w14:textFill>
        </w:rPr>
      </w:pPr>
      <w:bookmarkStart w:id="371" w:name="_Toc118808294"/>
      <w:bookmarkStart w:id="372" w:name="_Toc80881261"/>
      <w:r>
        <w:rPr>
          <w:rFonts w:asciiTheme="minorEastAsia" w:hAnsiTheme="minorEastAsia" w:eastAsiaTheme="minorEastAsia"/>
          <w:color w:val="000000" w:themeColor="text1"/>
          <w14:textFill>
            <w14:solidFill>
              <w14:schemeClr w14:val="tx1"/>
            </w14:solidFill>
          </w14:textFill>
        </w:rPr>
        <w:t>培训目的</w:t>
      </w:r>
      <w:bookmarkEnd w:id="371"/>
      <w:bookmarkEnd w:id="372"/>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培训工作是信息系统建设项目非常重要的组成部分，是建设项目成功与否的重要环节。有效的培训工作能提高本项目的建设水平，降低项目风险；同时为项目人员带来实际的知识和应用技能，提高系统从业人员的素质，为应用系统的建设、维护和应用打好基础。</w:t>
      </w:r>
    </w:p>
    <w:p>
      <w:pPr>
        <w:pStyle w:val="2"/>
        <w:rPr>
          <w:rFonts w:asciiTheme="minorEastAsia" w:hAnsiTheme="minorEastAsia" w:eastAsiaTheme="minorEastAsia"/>
          <w:color w:val="000000" w:themeColor="text1"/>
          <w14:textFill>
            <w14:solidFill>
              <w14:schemeClr w14:val="tx1"/>
            </w14:solidFill>
          </w14:textFill>
        </w:rPr>
      </w:pPr>
      <w:bookmarkStart w:id="373" w:name="_Toc80881262"/>
      <w:bookmarkStart w:id="374" w:name="_Toc118808295"/>
      <w:r>
        <w:rPr>
          <w:rFonts w:asciiTheme="minorEastAsia" w:hAnsiTheme="minorEastAsia" w:eastAsiaTheme="minorEastAsia"/>
          <w:color w:val="000000" w:themeColor="text1"/>
          <w14:textFill>
            <w14:solidFill>
              <w14:schemeClr w14:val="tx1"/>
            </w14:solidFill>
          </w14:textFill>
        </w:rPr>
        <w:t>培训对象和培训内容</w:t>
      </w:r>
      <w:bookmarkEnd w:id="373"/>
      <w:bookmarkEnd w:id="374"/>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培训对象：业务平台工作人员，管理人员、一般使用人员，网络技术维护人员。</w:t>
      </w:r>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培训内容：业务平台改造工程及改造后各系统的使用及操作、项目管理及系统运行与维护培训课程、网络技术课程、安全技术课程、服务器系统课程、应用系统维护课程和应用系统使用课程。</w:t>
      </w:r>
    </w:p>
    <w:p>
      <w:pPr>
        <w:pStyle w:val="2"/>
        <w:rPr>
          <w:rFonts w:asciiTheme="minorEastAsia" w:hAnsiTheme="minorEastAsia" w:eastAsiaTheme="minorEastAsia"/>
          <w:color w:val="000000" w:themeColor="text1"/>
          <w14:textFill>
            <w14:solidFill>
              <w14:schemeClr w14:val="tx1"/>
            </w14:solidFill>
          </w14:textFill>
        </w:rPr>
      </w:pPr>
      <w:bookmarkStart w:id="375" w:name="_Toc80881263"/>
      <w:bookmarkStart w:id="376" w:name="_Toc118808296"/>
      <w:r>
        <w:rPr>
          <w:rFonts w:asciiTheme="minorEastAsia" w:hAnsiTheme="minorEastAsia" w:eastAsiaTheme="minorEastAsia"/>
          <w:color w:val="000000" w:themeColor="text1"/>
          <w14:textFill>
            <w14:solidFill>
              <w14:schemeClr w14:val="tx1"/>
            </w14:solidFill>
          </w14:textFill>
        </w:rPr>
        <w:t>培训方式</w:t>
      </w:r>
      <w:bookmarkEnd w:id="375"/>
      <w:bookmarkEnd w:id="376"/>
    </w:p>
    <w:p>
      <w:pPr>
        <w:ind w:firstLine="56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培训方式包括：技术课程采用集中技术理论课程讲授与现场实践技能培养相结合的培训方式，应用推广采用逐级集中培训的方法。</w:t>
      </w:r>
    </w:p>
    <w:p>
      <w:pPr>
        <w:widowControl/>
        <w:jc w:val="left"/>
        <w:rPr>
          <w:rFonts w:asciiTheme="minorEastAsia" w:hAnsiTheme="minorEastAsia" w:eastAsiaTheme="minorEastAsia"/>
          <w:b/>
          <w:bCs/>
          <w:color w:val="000000" w:themeColor="text1"/>
          <w:szCs w:val="28"/>
          <w14:textFill>
            <w14:solidFill>
              <w14:schemeClr w14:val="tx1"/>
            </w14:solidFill>
          </w14:textFill>
        </w:rPr>
      </w:pPr>
      <w:r>
        <w:rPr>
          <w:rFonts w:asciiTheme="minorEastAsia" w:hAnsiTheme="minorEastAsia" w:eastAsiaTheme="minorEastAsia"/>
          <w:b/>
          <w:bCs/>
          <w:color w:val="000000" w:themeColor="text1"/>
          <w:szCs w:val="28"/>
          <w14:textFill>
            <w14:solidFill>
              <w14:schemeClr w14:val="tx1"/>
            </w14:solidFill>
          </w14:textFill>
        </w:rPr>
        <w:br w:type="page"/>
      </w:r>
    </w:p>
    <w:p>
      <w:pPr>
        <w:pStyle w:val="3"/>
        <w:rPr>
          <w:rFonts w:asciiTheme="minorEastAsia" w:hAnsiTheme="minorEastAsia" w:eastAsiaTheme="minorEastAsia"/>
          <w:color w:val="000000" w:themeColor="text1"/>
          <w14:textFill>
            <w14:solidFill>
              <w14:schemeClr w14:val="tx1"/>
            </w14:solidFill>
          </w14:textFill>
        </w:rPr>
      </w:pPr>
      <w:bookmarkStart w:id="377" w:name="_Toc118808297"/>
      <w:bookmarkStart w:id="378" w:name="_Toc71654658"/>
      <w:bookmarkStart w:id="379" w:name="_Toc67933928"/>
      <w:bookmarkStart w:id="380" w:name="_Toc72400875"/>
      <w:bookmarkStart w:id="381" w:name="_Toc22351"/>
      <w:r>
        <w:rPr>
          <w:rFonts w:hint="eastAsia" w:ascii="宋体" w:hAnsi="宋体"/>
          <w:color w:val="000000" w:themeColor="text1"/>
          <w:szCs w:val="32"/>
          <w14:textFill>
            <w14:solidFill>
              <w14:schemeClr w14:val="tx1"/>
            </w14:solidFill>
          </w14:textFill>
        </w:rPr>
        <w:t>风险及效益分析</w:t>
      </w:r>
      <w:bookmarkEnd w:id="377"/>
    </w:p>
    <w:p>
      <w:pPr>
        <w:pStyle w:val="5"/>
        <w:rPr>
          <w:color w:val="000000" w:themeColor="text1"/>
          <w14:textFill>
            <w14:solidFill>
              <w14:schemeClr w14:val="tx1"/>
            </w14:solidFill>
          </w14:textFill>
        </w:rPr>
      </w:pPr>
      <w:bookmarkStart w:id="382" w:name="_Toc118808298"/>
      <w:r>
        <w:rPr>
          <w:rFonts w:hint="eastAsia" w:ascii="宋体" w:hAnsi="宋体" w:cs="仿宋"/>
          <w:color w:val="000000" w:themeColor="text1"/>
          <w:sz w:val="30"/>
          <w:szCs w:val="30"/>
          <w14:textFill>
            <w14:solidFill>
              <w14:schemeClr w14:val="tx1"/>
            </w14:solidFill>
          </w14:textFill>
        </w:rPr>
        <w:t>风险分析及对策</w:t>
      </w:r>
      <w:bookmarkEnd w:id="382"/>
    </w:p>
    <w:p>
      <w:pPr>
        <w:pStyle w:val="2"/>
        <w:spacing w:before="312" w:after="234"/>
        <w:rPr>
          <w:rFonts w:ascii="宋体" w:hAnsi="宋体" w:cs="仿宋"/>
          <w:color w:val="000000" w:themeColor="text1"/>
          <w:szCs w:val="28"/>
          <w14:textFill>
            <w14:solidFill>
              <w14:schemeClr w14:val="tx1"/>
            </w14:solidFill>
          </w14:textFill>
        </w:rPr>
      </w:pPr>
      <w:bookmarkStart w:id="383" w:name="_Toc118808299"/>
      <w:r>
        <w:rPr>
          <w:rFonts w:hint="eastAsia" w:ascii="宋体" w:hAnsi="宋体" w:cs="仿宋"/>
          <w:color w:val="000000" w:themeColor="text1"/>
          <w:szCs w:val="28"/>
          <w14:textFill>
            <w14:solidFill>
              <w14:schemeClr w14:val="tx1"/>
            </w14:solidFill>
          </w14:textFill>
        </w:rPr>
        <w:t>风险识别和分析</w:t>
      </w:r>
      <w:bookmarkEnd w:id="383"/>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作为应用软件开发为主的建设项目，其存在以下几点风险：</w:t>
      </w:r>
    </w:p>
    <w:p>
      <w:pPr>
        <w:pStyle w:val="6"/>
        <w:rPr>
          <w:rFonts w:asciiTheme="minorEastAsia" w:hAnsiTheme="minorEastAsia" w:eastAsiaTheme="minorEastAsia"/>
          <w:color w:val="000000" w:themeColor="text1"/>
          <w:szCs w:val="32"/>
          <w14:textFill>
            <w14:solidFill>
              <w14:schemeClr w14:val="tx1"/>
            </w14:solidFill>
          </w14:textFill>
        </w:rPr>
      </w:pPr>
      <w:r>
        <w:rPr>
          <w:rFonts w:hint="eastAsia" w:asciiTheme="minorEastAsia" w:hAnsiTheme="minorEastAsia" w:eastAsiaTheme="minorEastAsia"/>
          <w:color w:val="000000" w:themeColor="text1"/>
          <w:szCs w:val="32"/>
          <w14:textFill>
            <w14:solidFill>
              <w14:schemeClr w14:val="tx1"/>
            </w14:solidFill>
          </w14:textFill>
        </w:rPr>
        <w:t>软件项目管理</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应用软件系统建设内容较多，时间资金有限。为了使该软件开发项目能够按照预定的成本、进度、质量顺利完成，需对成本、人员、进度、质量、风险等进行分析和管理。将开发人员的个人开发能力转化成团队的开发能力，降低项目开发风险。</w:t>
      </w:r>
    </w:p>
    <w:p>
      <w:pPr>
        <w:pStyle w:val="6"/>
        <w:rPr>
          <w:rFonts w:asciiTheme="minorEastAsia" w:hAnsiTheme="minorEastAsia" w:eastAsiaTheme="minorEastAsia"/>
          <w:color w:val="000000" w:themeColor="text1"/>
          <w:szCs w:val="32"/>
          <w14:textFill>
            <w14:solidFill>
              <w14:schemeClr w14:val="tx1"/>
            </w14:solidFill>
          </w14:textFill>
        </w:rPr>
      </w:pPr>
      <w:r>
        <w:rPr>
          <w:rFonts w:hint="eastAsia" w:asciiTheme="minorEastAsia" w:hAnsiTheme="minorEastAsia" w:eastAsiaTheme="minorEastAsia"/>
          <w:color w:val="000000" w:themeColor="text1"/>
          <w:szCs w:val="32"/>
          <w14:textFill>
            <w14:solidFill>
              <w14:schemeClr w14:val="tx1"/>
            </w14:solidFill>
          </w14:textFill>
        </w:rPr>
        <w:t>软件系统需求分析</w:t>
      </w:r>
    </w:p>
    <w:p>
      <w:pPr>
        <w:spacing w:before="120"/>
        <w:ind w:firstLine="560" w:firstLineChars="200"/>
        <w:rPr>
          <w:rFonts w:ascii="宋体" w:hAnsi="宋体"/>
          <w:color w:val="000000" w:themeColor="text1"/>
          <w14:textFill>
            <w14:solidFill>
              <w14:schemeClr w14:val="tx1"/>
            </w14:solidFill>
          </w14:textFill>
        </w:rPr>
      </w:pPr>
      <w:bookmarkStart w:id="384" w:name="_Hlk71205305"/>
      <w:r>
        <w:rPr>
          <w:rFonts w:hint="eastAsia" w:ascii="宋体" w:hAnsi="宋体"/>
          <w:color w:val="000000" w:themeColor="text1"/>
          <w14:textFill>
            <w14:solidFill>
              <w14:schemeClr w14:val="tx1"/>
            </w14:solidFill>
          </w14:textFill>
        </w:rPr>
        <w:t>软件系统的需求分析将直接影响到软件系统的开发。而前期承建方的调研工作是否仔细、到位、方法是否得当和业主是否能够准确地表达自己的需求等等都将影响需求分析的准确性。</w:t>
      </w:r>
      <w:bookmarkEnd w:id="384"/>
    </w:p>
    <w:p>
      <w:pPr>
        <w:pStyle w:val="6"/>
        <w:rPr>
          <w:rFonts w:asciiTheme="minorEastAsia" w:hAnsiTheme="minorEastAsia" w:eastAsiaTheme="minorEastAsia"/>
          <w:color w:val="000000" w:themeColor="text1"/>
          <w:szCs w:val="32"/>
          <w14:textFill>
            <w14:solidFill>
              <w14:schemeClr w14:val="tx1"/>
            </w14:solidFill>
          </w14:textFill>
        </w:rPr>
      </w:pPr>
      <w:r>
        <w:rPr>
          <w:rFonts w:hint="eastAsia" w:asciiTheme="minorEastAsia" w:hAnsiTheme="minorEastAsia" w:eastAsiaTheme="minorEastAsia"/>
          <w:color w:val="000000" w:themeColor="text1"/>
          <w:szCs w:val="32"/>
          <w14:textFill>
            <w14:solidFill>
              <w14:schemeClr w14:val="tx1"/>
            </w14:solidFill>
          </w14:textFill>
        </w:rPr>
        <w:t>需求变更管理</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软件系统的开发，需求变更是经常发生的事情。如何管理和控制需求变更是应用系统开发的工作难点和重点。</w:t>
      </w:r>
    </w:p>
    <w:p>
      <w:pPr>
        <w:pStyle w:val="6"/>
        <w:rPr>
          <w:rFonts w:asciiTheme="minorEastAsia" w:hAnsiTheme="minorEastAsia" w:eastAsiaTheme="minorEastAsia"/>
          <w:color w:val="000000" w:themeColor="text1"/>
          <w:szCs w:val="32"/>
          <w14:textFill>
            <w14:solidFill>
              <w14:schemeClr w14:val="tx1"/>
            </w14:solidFill>
          </w14:textFill>
        </w:rPr>
      </w:pPr>
      <w:r>
        <w:rPr>
          <w:rFonts w:hint="eastAsia" w:asciiTheme="minorEastAsia" w:hAnsiTheme="minorEastAsia" w:eastAsiaTheme="minorEastAsia"/>
          <w:color w:val="000000" w:themeColor="text1"/>
          <w:szCs w:val="32"/>
          <w14:textFill>
            <w14:solidFill>
              <w14:schemeClr w14:val="tx1"/>
            </w14:solidFill>
          </w14:textFill>
        </w:rPr>
        <w:t>开发进度的控制</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软件系统的开发过程中，由于技术障碍、需求变更等原因会造成一些进度上的延迟。对整体开发进度的控制，将是应用系统开发监理工作的重点。</w:t>
      </w:r>
    </w:p>
    <w:p>
      <w:pPr>
        <w:pStyle w:val="6"/>
        <w:rPr>
          <w:rFonts w:asciiTheme="minorEastAsia" w:hAnsiTheme="minorEastAsia" w:eastAsiaTheme="minorEastAsia"/>
          <w:color w:val="000000" w:themeColor="text1"/>
          <w:szCs w:val="32"/>
          <w14:textFill>
            <w14:solidFill>
              <w14:schemeClr w14:val="tx1"/>
            </w14:solidFill>
          </w14:textFill>
        </w:rPr>
      </w:pPr>
      <w:r>
        <w:rPr>
          <w:rFonts w:hint="eastAsia" w:asciiTheme="minorEastAsia" w:hAnsiTheme="minorEastAsia" w:eastAsiaTheme="minorEastAsia"/>
          <w:color w:val="000000" w:themeColor="text1"/>
          <w:szCs w:val="32"/>
          <w14:textFill>
            <w14:solidFill>
              <w14:schemeClr w14:val="tx1"/>
            </w14:solidFill>
          </w14:textFill>
        </w:rPr>
        <w:t>软件系统的推广和应用</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软件系统开发完成后，推广应用工作是最重要的。只有推广软件系统，让用户开始使用，并且能够起到效果，整个软件系统开发才算成功。</w:t>
      </w:r>
    </w:p>
    <w:p>
      <w:pPr>
        <w:pStyle w:val="5"/>
        <w:keepNext w:val="0"/>
        <w:keepLines w:val="0"/>
        <w:tabs>
          <w:tab w:val="left" w:pos="420"/>
          <w:tab w:val="left" w:pos="600"/>
        </w:tabs>
        <w:adjustRightInd w:val="0"/>
        <w:snapToGrid w:val="0"/>
        <w:spacing w:before="312" w:beforeLines="100" w:after="234" w:afterLines="75" w:line="360" w:lineRule="auto"/>
        <w:ind w:right="238"/>
        <w:rPr>
          <w:rFonts w:ascii="宋体" w:hAnsi="宋体" w:cs="仿宋"/>
          <w:color w:val="000000" w:themeColor="text1"/>
          <w:sz w:val="30"/>
          <w:szCs w:val="30"/>
          <w14:textFill>
            <w14:solidFill>
              <w14:schemeClr w14:val="tx1"/>
            </w14:solidFill>
          </w14:textFill>
        </w:rPr>
      </w:pPr>
      <w:bookmarkStart w:id="385" w:name="_Toc24122"/>
      <w:bookmarkStart w:id="386" w:name="_Toc118808300"/>
      <w:bookmarkStart w:id="387" w:name="_Toc32132"/>
      <w:r>
        <w:rPr>
          <w:rFonts w:hint="eastAsia" w:ascii="宋体" w:hAnsi="宋体" w:cs="仿宋"/>
          <w:color w:val="000000" w:themeColor="text1"/>
          <w:sz w:val="30"/>
          <w:szCs w:val="30"/>
          <w14:textFill>
            <w14:solidFill>
              <w14:schemeClr w14:val="tx1"/>
            </w14:solidFill>
          </w14:textFill>
        </w:rPr>
        <w:t>经济和社会效益分析</w:t>
      </w:r>
      <w:bookmarkEnd w:id="385"/>
      <w:bookmarkEnd w:id="386"/>
      <w:bookmarkEnd w:id="387"/>
    </w:p>
    <w:p>
      <w:pPr>
        <w:pStyle w:val="2"/>
        <w:spacing w:before="312" w:after="234"/>
        <w:rPr>
          <w:rFonts w:ascii="宋体" w:hAnsi="宋体" w:cs="仿宋"/>
          <w:color w:val="000000" w:themeColor="text1"/>
          <w:szCs w:val="28"/>
          <w14:textFill>
            <w14:solidFill>
              <w14:schemeClr w14:val="tx1"/>
            </w14:solidFill>
          </w14:textFill>
        </w:rPr>
      </w:pPr>
      <w:bookmarkStart w:id="388" w:name="_Toc29349"/>
      <w:bookmarkStart w:id="389" w:name="_Toc118808301"/>
      <w:bookmarkStart w:id="390" w:name="_Toc28248"/>
      <w:r>
        <w:rPr>
          <w:rFonts w:hint="eastAsia" w:ascii="宋体" w:hAnsi="宋体" w:cs="仿宋"/>
          <w:color w:val="000000" w:themeColor="text1"/>
          <w:szCs w:val="28"/>
          <w14:textFill>
            <w14:solidFill>
              <w14:schemeClr w14:val="tx1"/>
            </w14:solidFill>
          </w14:textFill>
        </w:rPr>
        <w:t>经济效益分析</w:t>
      </w:r>
      <w:bookmarkEnd w:id="388"/>
      <w:bookmarkEnd w:id="389"/>
      <w:bookmarkEnd w:id="390"/>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作为服务于群众和企业办事方便性的数智化服务项目，是政府直接投资建设的没有直接经济效益的非经营性公共产品，此类项目建设的目的是实现社会效益最大化。但是通过项目的建设所产生的无形经济效益是明显的：</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1、降低群众咨询和获取信息的成本。一方面对于群众的热线咨询，AI咨询助手能够基于市民的提问进行回复，另一方面，AI基于市民画像提供来连续服务和主动服务。</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2、降低人工服务压力，通过提升线上化服务能力，引导群众养成线上服务的使用习惯。逐步把线下和电话的服务压力转移到线上。</w:t>
      </w:r>
    </w:p>
    <w:p>
      <w:pPr>
        <w:spacing w:before="120"/>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3、提供更多决策依据。智能服务平台沉淀群众的咨询数据，统计关键咨询指标，形成可视化的图表，为管理者提供更多决策依据。</w:t>
      </w:r>
    </w:p>
    <w:p>
      <w:pPr>
        <w:pStyle w:val="2"/>
        <w:spacing w:before="312" w:after="234"/>
        <w:rPr>
          <w:rFonts w:ascii="宋体" w:hAnsi="宋体" w:cs="仿宋"/>
          <w:color w:val="000000" w:themeColor="text1"/>
          <w:szCs w:val="28"/>
          <w14:textFill>
            <w14:solidFill>
              <w14:schemeClr w14:val="tx1"/>
            </w14:solidFill>
          </w14:textFill>
        </w:rPr>
      </w:pPr>
      <w:bookmarkStart w:id="391" w:name="_Toc255"/>
      <w:bookmarkStart w:id="392" w:name="_Toc79498713"/>
      <w:bookmarkStart w:id="393" w:name="_Toc118808302"/>
      <w:bookmarkStart w:id="394" w:name="_Toc1988"/>
      <w:r>
        <w:rPr>
          <w:rFonts w:hint="eastAsia" w:ascii="宋体" w:hAnsi="宋体" w:cs="仿宋"/>
          <w:color w:val="000000" w:themeColor="text1"/>
          <w:szCs w:val="28"/>
          <w14:textFill>
            <w14:solidFill>
              <w14:schemeClr w14:val="tx1"/>
            </w14:solidFill>
          </w14:textFill>
        </w:rPr>
        <w:t>社会效益分析</w:t>
      </w:r>
      <w:bookmarkEnd w:id="391"/>
      <w:bookmarkEnd w:id="392"/>
      <w:bookmarkEnd w:id="393"/>
      <w:bookmarkEnd w:id="394"/>
    </w:p>
    <w:p>
      <w:pPr>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把老百姓的事当作天大的事，努力打造一座善于倾听、知冷知暖的城市。坚持群众想什么、我们就干什么，努力打造一座实心办事、以行践诺的城市。聚焦社会评价等反馈意见，在更高水平上实现幼有所育、学有所教、劳有所得、病有所医、老有所养、住有所居、弱有所扶，使共同富裕成为人民群众可感可知可及的幸福体验。从最热点的问题抓起、从最具体的小事做起、从最困难的群体入手，让人民群众看到变化、得到实惠。让数字化改革成果真正造福于民，努力打造场景惠民、成果智享的城市。万物智联时代催生了更多个性化民生需求，也为创造美好生活提供了无限可能。坚持以数字化改革为牵引，聚焦百姓、企业、基层的高频事项，此次上线的数字平台，就是要形成社情民意点点通、急事难事件件办、办理结果事事回、满意与否人人评的工作闭环。让“一呼解忧”贯穿一切工作、惠及每个市民，使城市更具温度、更有情怀。</w:t>
      </w:r>
    </w:p>
    <w:p>
      <w:pPr>
        <w:pStyle w:val="3"/>
        <w:rPr>
          <w:rFonts w:asciiTheme="minorEastAsia" w:hAnsiTheme="minorEastAsia" w:eastAsiaTheme="minorEastAsia"/>
          <w:color w:val="000000" w:themeColor="text1"/>
          <w14:textFill>
            <w14:solidFill>
              <w14:schemeClr w14:val="tx1"/>
            </w14:solidFill>
          </w14:textFill>
        </w:rPr>
      </w:pPr>
      <w:bookmarkStart w:id="395" w:name="_Toc72400882"/>
      <w:bookmarkStart w:id="396" w:name="_Toc23407"/>
      <w:bookmarkStart w:id="397" w:name="_Toc468182568"/>
      <w:bookmarkStart w:id="398" w:name="_Toc460164917"/>
      <w:bookmarkStart w:id="399" w:name="_Toc9594055"/>
      <w:bookmarkStart w:id="400" w:name="_Toc461264219"/>
      <w:bookmarkStart w:id="401" w:name="_Toc9594158"/>
      <w:bookmarkStart w:id="402" w:name="_Toc527558104"/>
      <w:bookmarkStart w:id="403" w:name="_Toc451764317"/>
      <w:bookmarkStart w:id="404" w:name="_Toc67933935"/>
      <w:bookmarkStart w:id="405" w:name="_Toc461053001"/>
      <w:bookmarkStart w:id="406" w:name="_Toc71654665"/>
      <w:bookmarkStart w:id="407" w:name="_Toc461376418"/>
      <w:bookmarkStart w:id="408" w:name="_Toc512279745"/>
      <w:bookmarkStart w:id="409" w:name="_Toc118808303"/>
      <w:bookmarkStart w:id="410" w:name="_Toc106118947"/>
      <w:bookmarkStart w:id="411" w:name="_Toc373401751"/>
      <w:r>
        <w:rPr>
          <w:rFonts w:asciiTheme="minorEastAsia" w:hAnsiTheme="minorEastAsia" w:eastAsiaTheme="minorEastAsia"/>
          <w:color w:val="000000" w:themeColor="text1"/>
          <w14:textFill>
            <w14:solidFill>
              <w14:schemeClr w14:val="tx1"/>
            </w14:solidFill>
          </w14:textFill>
        </w:rPr>
        <w:t>项目</w:t>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Pr>
          <w:rFonts w:hint="eastAsia" w:asciiTheme="minorEastAsia" w:hAnsiTheme="minorEastAsia" w:eastAsiaTheme="minorEastAsia"/>
          <w:color w:val="000000" w:themeColor="text1"/>
          <w14:textFill>
            <w14:solidFill>
              <w14:schemeClr w14:val="tx1"/>
            </w14:solidFill>
          </w14:textFill>
        </w:rPr>
        <w:t>运行维护方案</w:t>
      </w:r>
      <w:bookmarkEnd w:id="409"/>
      <w:bookmarkEnd w:id="410"/>
    </w:p>
    <w:p>
      <w:pPr>
        <w:pStyle w:val="5"/>
        <w:rPr>
          <w:rFonts w:asciiTheme="minorEastAsia" w:hAnsiTheme="minorEastAsia" w:eastAsiaTheme="minorEastAsia"/>
          <w:color w:val="000000" w:themeColor="text1"/>
          <w14:textFill>
            <w14:solidFill>
              <w14:schemeClr w14:val="tx1"/>
            </w14:solidFill>
          </w14:textFill>
        </w:rPr>
      </w:pPr>
      <w:bookmarkStart w:id="412" w:name="_Toc106118948"/>
      <w:bookmarkStart w:id="413" w:name="_Toc118808304"/>
      <w:r>
        <w:rPr>
          <w:rFonts w:hint="eastAsia" w:asciiTheme="minorEastAsia" w:hAnsiTheme="minorEastAsia" w:eastAsiaTheme="minorEastAsia"/>
          <w:color w:val="000000" w:themeColor="text1"/>
          <w14:textFill>
            <w14:solidFill>
              <w14:schemeClr w14:val="tx1"/>
            </w14:solidFill>
          </w14:textFill>
        </w:rPr>
        <w:t>运行管理单位</w:t>
      </w:r>
      <w:bookmarkEnd w:id="412"/>
      <w:bookmarkEnd w:id="413"/>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项目建成后由中标单位负责运行管理，全面负责系统的运行、维护和组织管理；协调系统内部有关系统运行的工作。</w:t>
      </w:r>
    </w:p>
    <w:p>
      <w:pPr>
        <w:pStyle w:val="5"/>
        <w:rPr>
          <w:rFonts w:asciiTheme="minorEastAsia" w:hAnsiTheme="minorEastAsia" w:eastAsiaTheme="minorEastAsia"/>
          <w:color w:val="000000" w:themeColor="text1"/>
          <w14:textFill>
            <w14:solidFill>
              <w14:schemeClr w14:val="tx1"/>
            </w14:solidFill>
          </w14:textFill>
        </w:rPr>
      </w:pPr>
      <w:bookmarkStart w:id="414" w:name="_Toc118808305"/>
      <w:bookmarkStart w:id="415" w:name="_Toc106118949"/>
      <w:r>
        <w:rPr>
          <w:rFonts w:hint="eastAsia" w:asciiTheme="minorEastAsia" w:hAnsiTheme="minorEastAsia" w:eastAsiaTheme="minorEastAsia"/>
          <w:color w:val="000000" w:themeColor="text1"/>
          <w14:textFill>
            <w14:solidFill>
              <w14:schemeClr w14:val="tx1"/>
            </w14:solidFill>
          </w14:textFill>
        </w:rPr>
        <w:t>运维管理规范</w:t>
      </w:r>
      <w:bookmarkEnd w:id="414"/>
      <w:bookmarkEnd w:id="41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项目运维管理过程中需建立运维管理规范：</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（1）明确对项目运维人员的管理，包括运维人员的工作职责规范，保密规范，安全规范，运维人员的考核规范等内容；</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（2）明确项目的部署、升级、维护等流程的操作规范，使运维管理类工作规范化；</w:t>
      </w:r>
    </w:p>
    <w:p>
      <w:pPr>
        <w:ind w:firstLine="560" w:firstLineChars="200"/>
        <w:rPr>
          <w:rStyle w:val="94"/>
          <w:rFonts w:hint="default"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（3）明确项目例行巡检规范，确保尽早发现问题，解决问题。</w:t>
      </w:r>
    </w:p>
    <w:p>
      <w:pPr>
        <w:pStyle w:val="5"/>
        <w:rPr>
          <w:rFonts w:asciiTheme="minorEastAsia" w:hAnsiTheme="minorEastAsia" w:eastAsiaTheme="minorEastAsia"/>
          <w:color w:val="000000" w:themeColor="text1"/>
          <w14:textFill>
            <w14:solidFill>
              <w14:schemeClr w14:val="tx1"/>
            </w14:solidFill>
          </w14:textFill>
        </w:rPr>
      </w:pPr>
      <w:bookmarkStart w:id="416" w:name="_Toc106118950"/>
      <w:bookmarkStart w:id="417" w:name="_Toc118808306"/>
      <w:r>
        <w:rPr>
          <w:rFonts w:hint="eastAsia" w:asciiTheme="minorEastAsia" w:hAnsiTheme="minorEastAsia" w:eastAsiaTheme="minorEastAsia"/>
          <w:color w:val="000000" w:themeColor="text1"/>
          <w14:textFill>
            <w14:solidFill>
              <w14:schemeClr w14:val="tx1"/>
            </w14:solidFill>
          </w14:textFill>
        </w:rPr>
        <w:t>运维服务内容</w:t>
      </w:r>
      <w:bookmarkEnd w:id="416"/>
      <w:bookmarkEnd w:id="417"/>
    </w:p>
    <w:p>
      <w:pPr>
        <w:pStyle w:val="2"/>
        <w:rPr>
          <w:rFonts w:asciiTheme="minorEastAsia" w:hAnsiTheme="minorEastAsia" w:eastAsiaTheme="minorEastAsia"/>
          <w:color w:val="000000" w:themeColor="text1"/>
          <w14:textFill>
            <w14:solidFill>
              <w14:schemeClr w14:val="tx1"/>
            </w14:solidFill>
          </w14:textFill>
        </w:rPr>
      </w:pPr>
      <w:bookmarkStart w:id="418" w:name="_Toc118808307"/>
      <w:bookmarkStart w:id="419" w:name="_Toc106118951"/>
      <w:r>
        <w:rPr>
          <w:rFonts w:hint="eastAsia" w:asciiTheme="minorEastAsia" w:hAnsiTheme="minorEastAsia" w:eastAsiaTheme="minorEastAsia"/>
          <w:color w:val="000000" w:themeColor="text1"/>
          <w14:textFill>
            <w14:solidFill>
              <w14:schemeClr w14:val="tx1"/>
            </w14:solidFill>
          </w14:textFill>
        </w:rPr>
        <w:t>提供相关资源与文档</w:t>
      </w:r>
      <w:bookmarkEnd w:id="418"/>
      <w:bookmarkEnd w:id="419"/>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系统验收后，交付文档存贮介质；为保证对本系统的服务质量，在系统维护期间，派遣专职并具有丰富系统管理及维护经验的工程师协助完善文档存贮管理机构，有效保存、更新及完善版本控制工作提供相应技术文档。</w:t>
      </w:r>
    </w:p>
    <w:p>
      <w:pPr>
        <w:pStyle w:val="2"/>
        <w:rPr>
          <w:rFonts w:asciiTheme="minorEastAsia" w:hAnsiTheme="minorEastAsia" w:eastAsiaTheme="minorEastAsia"/>
          <w:color w:val="000000" w:themeColor="text1"/>
          <w14:textFill>
            <w14:solidFill>
              <w14:schemeClr w14:val="tx1"/>
            </w14:solidFill>
          </w14:textFill>
        </w:rPr>
      </w:pPr>
      <w:bookmarkStart w:id="420" w:name="_Toc106118952"/>
      <w:bookmarkStart w:id="421" w:name="_Toc118808308"/>
      <w:r>
        <w:rPr>
          <w:rFonts w:hint="eastAsia" w:asciiTheme="minorEastAsia" w:hAnsiTheme="minorEastAsia" w:eastAsiaTheme="minorEastAsia"/>
          <w:color w:val="000000" w:themeColor="text1"/>
          <w14:textFill>
            <w14:solidFill>
              <w14:schemeClr w14:val="tx1"/>
            </w14:solidFill>
          </w14:textFill>
        </w:rPr>
        <w:t>提供系统运行情况的跟踪服务</w:t>
      </w:r>
      <w:bookmarkEnd w:id="420"/>
      <w:bookmarkEnd w:id="421"/>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在系统验收后，进入质保期内，在该段时间内由运维人员来解决实际运作中的问题，检查数据库情况，优化数据库。并协助项目管理、提供技术资源，并随时响应用户的各种技术需求。</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（1）服务器、存储设备及机房的运行维护</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系统部署涉及的服务器、存储设备及机房运行需要维护。</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（2）系统的升级与扩展</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结合业务实际，不断升级和扩展业务模块，使系统更加完善和实用。根据实用性的原则和业务实际情况，升级与扩展网络系统和硬件设施。确保系统在升级和扩展中对历史数据的向下兼容。</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（3）数据库系统运行和维护服务</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数据库运行维护服务包括主动数据库性能管理及数据加载等运维服务，通过主动式性能管理可了解数据库的日常运行状态，识别数据库的性能问题发生在什么地方，有针对性地进行优化。同时，密切注意数据库的变化，主动地预防可能发生的问题。快速发现、诊断和解决性能问题，在出现问题时，及时找出性能瓶颈，解决数据库性能问题，维护高效的应用系统。</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中间件运维服务：对中间件的日常维护管理和监控工作，提高对中间件平台事件的分析解决能力，确保中间件平台持续稳定运行。中间件监控指标包括配置信息管理、故障监控、性能监控。</w:t>
      </w:r>
    </w:p>
    <w:p>
      <w:pPr>
        <w:pStyle w:val="2"/>
        <w:rPr>
          <w:rFonts w:asciiTheme="minorEastAsia" w:hAnsiTheme="minorEastAsia" w:eastAsiaTheme="minorEastAsia"/>
          <w:color w:val="000000" w:themeColor="text1"/>
          <w14:textFill>
            <w14:solidFill>
              <w14:schemeClr w14:val="tx1"/>
            </w14:solidFill>
          </w14:textFill>
        </w:rPr>
      </w:pPr>
      <w:bookmarkStart w:id="422" w:name="_Toc118808309"/>
      <w:bookmarkStart w:id="423" w:name="_Toc106118953"/>
      <w:r>
        <w:rPr>
          <w:rFonts w:hint="eastAsia" w:asciiTheme="minorEastAsia" w:hAnsiTheme="minorEastAsia" w:eastAsiaTheme="minorEastAsia"/>
          <w:color w:val="000000" w:themeColor="text1"/>
          <w14:textFill>
            <w14:solidFill>
              <w14:schemeClr w14:val="tx1"/>
            </w14:solidFill>
          </w14:textFill>
        </w:rPr>
        <w:t>现场故障维护服务</w:t>
      </w:r>
      <w:bookmarkEnd w:id="422"/>
      <w:bookmarkEnd w:id="423"/>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现场设置专职工程师，为客户提供及时、便捷的技术服务。</w:t>
      </w:r>
    </w:p>
    <w:p>
      <w:pPr>
        <w:pStyle w:val="2"/>
        <w:rPr>
          <w:rFonts w:asciiTheme="minorEastAsia" w:hAnsiTheme="minorEastAsia" w:eastAsiaTheme="minorEastAsia"/>
          <w:color w:val="000000" w:themeColor="text1"/>
          <w14:textFill>
            <w14:solidFill>
              <w14:schemeClr w14:val="tx1"/>
            </w14:solidFill>
          </w14:textFill>
        </w:rPr>
      </w:pPr>
      <w:bookmarkStart w:id="424" w:name="_Toc118808310"/>
      <w:bookmarkStart w:id="425" w:name="_Toc106118954"/>
      <w:r>
        <w:rPr>
          <w:rFonts w:hint="eastAsia" w:asciiTheme="minorEastAsia" w:hAnsiTheme="minorEastAsia" w:eastAsiaTheme="minorEastAsia"/>
          <w:color w:val="000000" w:themeColor="text1"/>
          <w14:textFill>
            <w14:solidFill>
              <w14:schemeClr w14:val="tx1"/>
            </w14:solidFill>
          </w14:textFill>
        </w:rPr>
        <w:t>系统管理培训及维护培训</w:t>
      </w:r>
      <w:bookmarkEnd w:id="424"/>
      <w:bookmarkEnd w:id="42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提供售后现场的系统操作及维护培训服务，协助建设单位建立完善的持续的培训管理机制，以保证新人及调岗人员得到可持续的操作培训。</w:t>
      </w:r>
    </w:p>
    <w:p>
      <w:pPr>
        <w:pStyle w:val="2"/>
        <w:rPr>
          <w:rFonts w:asciiTheme="minorEastAsia" w:hAnsiTheme="minorEastAsia" w:eastAsiaTheme="minorEastAsia"/>
          <w:color w:val="000000" w:themeColor="text1"/>
          <w14:textFill>
            <w14:solidFill>
              <w14:schemeClr w14:val="tx1"/>
            </w14:solidFill>
          </w14:textFill>
        </w:rPr>
      </w:pPr>
      <w:bookmarkStart w:id="426" w:name="_Toc106118955"/>
      <w:bookmarkStart w:id="427" w:name="_Toc118808311"/>
      <w:r>
        <w:rPr>
          <w:rFonts w:hint="eastAsia" w:asciiTheme="minorEastAsia" w:hAnsiTheme="minorEastAsia" w:eastAsiaTheme="minorEastAsia"/>
          <w:color w:val="000000" w:themeColor="text1"/>
          <w14:textFill>
            <w14:solidFill>
              <w14:schemeClr w14:val="tx1"/>
            </w14:solidFill>
          </w14:textFill>
        </w:rPr>
        <w:t>技术指导咨询</w:t>
      </w:r>
      <w:bookmarkEnd w:id="426"/>
      <w:bookmarkEnd w:id="427"/>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关于技术或小故障而无法解决时，技术支持热线能给满意的答复的，直至问题的解决。</w:t>
      </w:r>
    </w:p>
    <w:p>
      <w:pPr>
        <w:pStyle w:val="5"/>
        <w:rPr>
          <w:rFonts w:asciiTheme="minorEastAsia" w:hAnsiTheme="minorEastAsia" w:eastAsiaTheme="minorEastAsia"/>
          <w:color w:val="000000" w:themeColor="text1"/>
          <w14:textFill>
            <w14:solidFill>
              <w14:schemeClr w14:val="tx1"/>
            </w14:solidFill>
          </w14:textFill>
        </w:rPr>
      </w:pPr>
      <w:bookmarkStart w:id="428" w:name="_Toc118808312"/>
      <w:bookmarkStart w:id="429" w:name="_Toc106118956"/>
      <w:r>
        <w:rPr>
          <w:rFonts w:hint="eastAsia" w:asciiTheme="minorEastAsia" w:hAnsiTheme="minorEastAsia" w:eastAsiaTheme="minorEastAsia"/>
          <w:color w:val="000000" w:themeColor="text1"/>
          <w14:textFill>
            <w14:solidFill>
              <w14:schemeClr w14:val="tx1"/>
            </w14:solidFill>
          </w14:textFill>
        </w:rPr>
        <w:t>系统运行维护管理</w:t>
      </w:r>
      <w:bookmarkEnd w:id="428"/>
      <w:bookmarkEnd w:id="429"/>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为了保证本项目所建系统能够稳定可靠地运行，开发单位应承诺为本项目提供优质、及时的技术支持。同时，优质的售后服务是任何信息系统稳定运行的强有力的保证。</w:t>
      </w:r>
    </w:p>
    <w:p>
      <w:pPr>
        <w:pStyle w:val="2"/>
        <w:rPr>
          <w:rFonts w:asciiTheme="minorEastAsia" w:hAnsiTheme="minorEastAsia" w:eastAsiaTheme="minorEastAsia"/>
          <w:color w:val="000000" w:themeColor="text1"/>
          <w14:textFill>
            <w14:solidFill>
              <w14:schemeClr w14:val="tx1"/>
            </w14:solidFill>
          </w14:textFill>
        </w:rPr>
      </w:pPr>
      <w:bookmarkStart w:id="430" w:name="_Toc106118957"/>
      <w:bookmarkStart w:id="431" w:name="_Toc118808313"/>
      <w:r>
        <w:rPr>
          <w:rFonts w:hint="eastAsia" w:asciiTheme="minorEastAsia" w:hAnsiTheme="minorEastAsia" w:eastAsiaTheme="minorEastAsia"/>
          <w:color w:val="000000" w:themeColor="text1"/>
          <w14:textFill>
            <w14:solidFill>
              <w14:schemeClr w14:val="tx1"/>
            </w14:solidFill>
          </w14:textFill>
        </w:rPr>
        <w:t>建立技术知识库</w:t>
      </w:r>
      <w:bookmarkEnd w:id="430"/>
      <w:bookmarkEnd w:id="431"/>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建立技术支持知识库对保证整个系统稳定运行至关重要。</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本项目的实施过程以及技术支持与服务过程中，技术人员应在技术支持知识库中实时统计记录发生的技术问题，同时，在每季度末将安排客服中心资深技术支持人员把本项目中出现的技术问题及解决办法进行汇总分类，然后提交给项目单位，并协助项目单位在内部服务器上开辟技术支持知识库栏目，及时向项目单位的技术人员发布。</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在技术支持与服务的过程中，技术支持人员还会不断跟踪技术的最新发展，并把最新的技术信息提交给项目单位，帮助项目单位对知识库进行丰富和更新，以便项目单位技术人员能够了解和掌握最新的技术信息。</w:t>
      </w:r>
    </w:p>
    <w:p>
      <w:pPr>
        <w:pStyle w:val="2"/>
        <w:rPr>
          <w:rFonts w:asciiTheme="minorEastAsia" w:hAnsiTheme="minorEastAsia" w:eastAsiaTheme="minorEastAsia"/>
          <w:color w:val="000000" w:themeColor="text1"/>
          <w14:textFill>
            <w14:solidFill>
              <w14:schemeClr w14:val="tx1"/>
            </w14:solidFill>
          </w14:textFill>
        </w:rPr>
      </w:pPr>
      <w:bookmarkStart w:id="432" w:name="_Toc106118958"/>
      <w:bookmarkStart w:id="433" w:name="_Toc118808314"/>
      <w:r>
        <w:rPr>
          <w:rFonts w:hint="eastAsia" w:asciiTheme="minorEastAsia" w:hAnsiTheme="minorEastAsia" w:eastAsiaTheme="minorEastAsia"/>
          <w:color w:val="000000" w:themeColor="text1"/>
          <w14:textFill>
            <w14:solidFill>
              <w14:schemeClr w14:val="tx1"/>
            </w14:solidFill>
          </w14:textFill>
        </w:rPr>
        <w:t>故障报告预防</w:t>
      </w:r>
      <w:bookmarkEnd w:id="432"/>
      <w:bookmarkEnd w:id="433"/>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本项目的实施过程以及技术支持与售后服务过程中，技术人员在技术支持知识库中实时统计记录发生的技术问题，客服中心的技术人员根据知识库的记录，对系统中发生的故障及处理方法进行整理和统计分析，按季度给出技术支持服务总结报告、问题清单和技术分析报告。其中，总结报告是对本季度系统运行过程中发生问题的汇总统计，与问题清单相结合，便于项目单位对于系统运行过程中出现的故障问题、解决方法、处理结果和问题分布情况进行及时地了解；技术分析报告是从技术的角度对于本季度出现的典型问题进行分析，并且提出相应的改进意见，以利于用户单位分析系统运行状态，总结问题产生的原因及采取相应的预防措施。报告的格式描述如下：</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系统技术支持服务总结报告（年</w:t>
      </w:r>
      <w:r>
        <w:rPr>
          <w:rFonts w:asciiTheme="minorEastAsia" w:hAnsiTheme="minorEastAsia" w:eastAsiaTheme="minorEastAsia"/>
          <w:color w:val="000000" w:themeColor="text1"/>
          <w:szCs w:val="28"/>
          <w14:textFill>
            <w14:solidFill>
              <w14:schemeClr w14:val="tx1"/>
            </w14:solidFill>
          </w14:textFill>
        </w:rPr>
        <w:t>/</w:t>
      </w:r>
      <w:r>
        <w:rPr>
          <w:rFonts w:hint="eastAsia" w:asciiTheme="minorEastAsia" w:hAnsiTheme="minorEastAsia" w:eastAsiaTheme="minorEastAsia"/>
          <w:color w:val="000000" w:themeColor="text1"/>
          <w:szCs w:val="28"/>
          <w14:textFill>
            <w14:solidFill>
              <w14:schemeClr w14:val="tx1"/>
            </w14:solidFill>
          </w14:textFill>
        </w:rPr>
        <w:t>季度）</w:t>
      </w:r>
    </w:p>
    <w:tbl>
      <w:tblPr>
        <w:tblStyle w:val="38"/>
        <w:tblW w:w="96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5"/>
        <w:gridCol w:w="1647"/>
        <w:gridCol w:w="1647"/>
        <w:gridCol w:w="1481"/>
        <w:gridCol w:w="1581"/>
        <w:gridCol w:w="1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3322" w:type="dxa"/>
            <w:gridSpan w:val="2"/>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本季度情况汇总</w:t>
            </w:r>
          </w:p>
        </w:tc>
        <w:tc>
          <w:tcPr>
            <w:tcW w:w="6317" w:type="dxa"/>
            <w:gridSpan w:val="4"/>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16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问题类型</w:t>
            </w:r>
          </w:p>
        </w:tc>
        <w:tc>
          <w:tcPr>
            <w:tcW w:w="1647"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问题描述</w:t>
            </w:r>
          </w:p>
        </w:tc>
        <w:tc>
          <w:tcPr>
            <w:tcW w:w="1647"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发生次数</w:t>
            </w:r>
          </w:p>
        </w:tc>
        <w:tc>
          <w:tcPr>
            <w:tcW w:w="148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平均解决时间</w:t>
            </w:r>
          </w:p>
        </w:tc>
        <w:tc>
          <w:tcPr>
            <w:tcW w:w="158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解决办法</w:t>
            </w:r>
          </w:p>
        </w:tc>
        <w:tc>
          <w:tcPr>
            <w:tcW w:w="1608"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来源分布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6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47"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47"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48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58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08"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6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47"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47"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48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58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08"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r>
    </w:tbl>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系统技术支持服务问题清单（年/季度）</w:t>
      </w:r>
    </w:p>
    <w:tbl>
      <w:tblPr>
        <w:tblStyle w:val="38"/>
        <w:tblW w:w="96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1606"/>
        <w:gridCol w:w="1375"/>
        <w:gridCol w:w="1375"/>
        <w:gridCol w:w="1376"/>
        <w:gridCol w:w="1376"/>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42"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序号</w:t>
            </w:r>
          </w:p>
        </w:tc>
        <w:tc>
          <w:tcPr>
            <w:tcW w:w="160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用户信息</w:t>
            </w:r>
          </w:p>
        </w:tc>
        <w:tc>
          <w:tcPr>
            <w:tcW w:w="13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问题描述</w:t>
            </w:r>
          </w:p>
        </w:tc>
        <w:tc>
          <w:tcPr>
            <w:tcW w:w="13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发生时间</w:t>
            </w: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解决时间</w:t>
            </w: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当前状态</w:t>
            </w: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用户意见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142"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0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1142"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0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5"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376"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r>
    </w:tbl>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系统技术支持服务技术分析报告（年/季度）</w:t>
      </w:r>
    </w:p>
    <w:tbl>
      <w:tblPr>
        <w:tblStyle w:val="38"/>
        <w:tblW w:w="9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9"/>
        <w:gridCol w:w="2310"/>
        <w:gridCol w:w="1651"/>
        <w:gridCol w:w="1650"/>
        <w:gridCol w:w="1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9660" w:type="dxa"/>
            <w:gridSpan w:val="5"/>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本季度情况汇总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2339"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典型问题类型</w:t>
            </w:r>
          </w:p>
        </w:tc>
        <w:tc>
          <w:tcPr>
            <w:tcW w:w="2310"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典型问题描述</w:t>
            </w:r>
          </w:p>
        </w:tc>
        <w:tc>
          <w:tcPr>
            <w:tcW w:w="165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解决方法</w:t>
            </w:r>
          </w:p>
        </w:tc>
        <w:tc>
          <w:tcPr>
            <w:tcW w:w="1650"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问题根源</w:t>
            </w:r>
          </w:p>
        </w:tc>
        <w:tc>
          <w:tcPr>
            <w:tcW w:w="1710"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r>
              <w:rPr>
                <w:rFonts w:hint="eastAsia" w:asciiTheme="minorEastAsia" w:hAnsiTheme="minorEastAsia" w:eastAsiaTheme="minorEastAsia"/>
                <w:color w:val="000000" w:themeColor="text1"/>
                <w:shd w:val="clear" w:color="auto" w:fill="FFFFFF"/>
                <w14:textFill>
                  <w14:solidFill>
                    <w14:schemeClr w14:val="tx1"/>
                  </w14:solidFill>
                </w14:textFill>
              </w:rPr>
              <w:t>相关建议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2339"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2310"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51"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650"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c>
          <w:tcPr>
            <w:tcW w:w="1710" w:type="dxa"/>
            <w:shd w:val="clear" w:color="auto" w:fill="auto"/>
          </w:tcPr>
          <w:p>
            <w:pPr>
              <w:jc w:val="center"/>
              <w:rPr>
                <w:rFonts w:asciiTheme="minorEastAsia" w:hAnsiTheme="minorEastAsia" w:eastAsiaTheme="minorEastAsia"/>
                <w:color w:val="000000" w:themeColor="text1"/>
                <w:shd w:val="clear" w:color="auto" w:fill="FFFFFF"/>
                <w14:textFill>
                  <w14:solidFill>
                    <w14:schemeClr w14:val="tx1"/>
                  </w14:solidFill>
                </w14:textFill>
              </w:rPr>
            </w:pPr>
          </w:p>
        </w:tc>
      </w:tr>
    </w:tbl>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同时客服中心技术人员会利用电子邮件系统、电子公告板等渠道，随时发布各种故障的处理方法，以利于及时解决问题和提高应对能力，及时了解本项目系统运行的最新状况，并且获得相关的改进方案和技术资料。</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系统进入稳定运行阶段之后，客服中心的技术人员会通过巡检的方式深入到项目单位，对系统的运行状态进行监视和诊断，同时向项目单位技术人员了解系统运行中出现的各种现象，及时的发现问题隐患，上报客服中心总部，并且提出相应的解决方案，加强对系统故障的预防。</w:t>
      </w:r>
    </w:p>
    <w:p>
      <w:pPr>
        <w:pStyle w:val="2"/>
        <w:rPr>
          <w:rFonts w:asciiTheme="minorEastAsia" w:hAnsiTheme="minorEastAsia" w:eastAsiaTheme="minorEastAsia"/>
          <w:color w:val="000000" w:themeColor="text1"/>
          <w14:textFill>
            <w14:solidFill>
              <w14:schemeClr w14:val="tx1"/>
            </w14:solidFill>
          </w14:textFill>
        </w:rPr>
      </w:pPr>
      <w:bookmarkStart w:id="434" w:name="_Toc106118959"/>
      <w:bookmarkStart w:id="435" w:name="_Toc118808315"/>
      <w:r>
        <w:rPr>
          <w:rFonts w:hint="eastAsia" w:asciiTheme="minorEastAsia" w:hAnsiTheme="minorEastAsia" w:eastAsiaTheme="minorEastAsia"/>
          <w:color w:val="000000" w:themeColor="text1"/>
          <w14:textFill>
            <w14:solidFill>
              <w14:schemeClr w14:val="tx1"/>
            </w14:solidFill>
          </w14:textFill>
        </w:rPr>
        <w:t>系统安装调试</w:t>
      </w:r>
      <w:bookmarkEnd w:id="434"/>
      <w:bookmarkEnd w:id="43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系统开发单位应协助项目单位完成本项目所开发系统在服务器上的安装及调试，将对整个软件安装过程进行记录，包括安装步骤、出现问题及解决方法等，以便为系统维护工作积累经验。</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在系统安装与调试过程中，邀请用户一起参与，使用户对系统的部署和安装过程有直观的了解和体会。</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系统性能优化：开发单位需为用户提供系统性能优化的技术支持工作。将随时与用户保持联系，了解系统当前运行状况，并根据实际情况为应用系统提供性能优化方案。</w:t>
      </w:r>
    </w:p>
    <w:p>
      <w:pPr>
        <w:pStyle w:val="2"/>
        <w:rPr>
          <w:rFonts w:asciiTheme="minorEastAsia" w:hAnsiTheme="minorEastAsia" w:eastAsiaTheme="minorEastAsia"/>
          <w:color w:val="000000" w:themeColor="text1"/>
          <w14:textFill>
            <w14:solidFill>
              <w14:schemeClr w14:val="tx1"/>
            </w14:solidFill>
          </w14:textFill>
        </w:rPr>
      </w:pPr>
      <w:bookmarkStart w:id="436" w:name="_Toc118808316"/>
      <w:bookmarkStart w:id="437" w:name="_Toc106118960"/>
      <w:r>
        <w:rPr>
          <w:rFonts w:hint="eastAsia" w:asciiTheme="minorEastAsia" w:hAnsiTheme="minorEastAsia" w:eastAsiaTheme="minorEastAsia"/>
          <w:color w:val="000000" w:themeColor="text1"/>
          <w14:textFill>
            <w14:solidFill>
              <w14:schemeClr w14:val="tx1"/>
            </w14:solidFill>
          </w14:textFill>
        </w:rPr>
        <w:t>技术信息交流</w:t>
      </w:r>
      <w:bookmarkEnd w:id="436"/>
      <w:bookmarkEnd w:id="437"/>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当今信息技术发展日新月异，为了帮助项目单位的技术人员及时巩固和更新相关技术知识，提高系统管理和维护的水平，客服中心的技术人员将时刻跟踪相关技术的最新发展，收集整理相关资料，根据项目单位的实际情况和需求与项目单位的技术人员进行技术交流，并采用电话、传真、邮件等方式将最新的信息传送给项目单位的技术人员。</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对项目单位技术人员提出的技术交流需求，客服中心的技术人员将会详细了解和分析具体的服务需求，并回答项目单位技术人员提出的问题，然后以最快的速度从技术支持知识库中提取相应内容（或从其他途径获得相应技术资料）并反馈给项目单位技术人员，最后如有必要对知识库进行相应的更新。</w:t>
      </w:r>
    </w:p>
    <w:p>
      <w:pPr>
        <w:pStyle w:val="2"/>
        <w:rPr>
          <w:rFonts w:asciiTheme="minorEastAsia" w:hAnsiTheme="minorEastAsia" w:eastAsiaTheme="minorEastAsia"/>
          <w:color w:val="000000" w:themeColor="text1"/>
          <w14:textFill>
            <w14:solidFill>
              <w14:schemeClr w14:val="tx1"/>
            </w14:solidFill>
          </w14:textFill>
        </w:rPr>
      </w:pPr>
      <w:bookmarkStart w:id="438" w:name="_Toc118808317"/>
      <w:bookmarkStart w:id="439" w:name="_Toc106118961"/>
      <w:r>
        <w:rPr>
          <w:rFonts w:hint="eastAsia" w:asciiTheme="minorEastAsia" w:hAnsiTheme="minorEastAsia" w:eastAsiaTheme="minorEastAsia"/>
          <w:color w:val="000000" w:themeColor="text1"/>
          <w14:textFill>
            <w14:solidFill>
              <w14:schemeClr w14:val="tx1"/>
            </w14:solidFill>
          </w14:textFill>
        </w:rPr>
        <w:t>FAQ解决方法</w:t>
      </w:r>
      <w:bookmarkEnd w:id="438"/>
      <w:bookmarkEnd w:id="439"/>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为了帮助用户更有效地使用和维护系统，开发单位应把长期在系统应用和维护工作中遇到的难题和解决方法汇编成册并提交给用户，目的是为了让用户充分利用已有的成果，减少用户在曾经遇到的问题上浪费时间和精力。而且应不断总结新的经验和教训并对该手册进行扩充与完善。</w:t>
      </w:r>
    </w:p>
    <w:p>
      <w:pPr>
        <w:pStyle w:val="5"/>
        <w:rPr>
          <w:rFonts w:asciiTheme="minorEastAsia" w:hAnsiTheme="minorEastAsia" w:eastAsiaTheme="minorEastAsia"/>
          <w:color w:val="000000" w:themeColor="text1"/>
          <w14:textFill>
            <w14:solidFill>
              <w14:schemeClr w14:val="tx1"/>
            </w14:solidFill>
          </w14:textFill>
        </w:rPr>
      </w:pPr>
      <w:bookmarkStart w:id="440" w:name="_Toc106118962"/>
      <w:bookmarkStart w:id="441" w:name="_Toc118808318"/>
      <w:r>
        <w:rPr>
          <w:rFonts w:hint="eastAsia" w:asciiTheme="minorEastAsia" w:hAnsiTheme="minorEastAsia" w:eastAsiaTheme="minorEastAsia"/>
          <w:color w:val="000000" w:themeColor="text1"/>
          <w14:textFill>
            <w14:solidFill>
              <w14:schemeClr w14:val="tx1"/>
            </w14:solidFill>
          </w14:textFill>
        </w:rPr>
        <w:t>运维服务提供方式</w:t>
      </w:r>
      <w:bookmarkEnd w:id="440"/>
      <w:bookmarkEnd w:id="441"/>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（1）电话技术支持</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（2）技术支持</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（3）传真技术支持</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（4）远程维护支持</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（5）现场维护支持</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（6）定期回访服务</w:t>
      </w:r>
    </w:p>
    <w:p>
      <w:pPr>
        <w:pStyle w:val="5"/>
        <w:rPr>
          <w:rFonts w:asciiTheme="minorEastAsia" w:hAnsiTheme="minorEastAsia" w:eastAsiaTheme="minorEastAsia"/>
          <w:color w:val="000000" w:themeColor="text1"/>
          <w14:textFill>
            <w14:solidFill>
              <w14:schemeClr w14:val="tx1"/>
            </w14:solidFill>
          </w14:textFill>
        </w:rPr>
      </w:pPr>
      <w:bookmarkStart w:id="442" w:name="_Toc118808319"/>
      <w:bookmarkStart w:id="443" w:name="_Toc106118963"/>
      <w:r>
        <w:rPr>
          <w:rFonts w:hint="eastAsia" w:asciiTheme="minorEastAsia" w:hAnsiTheme="minorEastAsia" w:eastAsiaTheme="minorEastAsia"/>
          <w:color w:val="000000" w:themeColor="text1"/>
          <w14:textFill>
            <w14:solidFill>
              <w14:schemeClr w14:val="tx1"/>
            </w14:solidFill>
          </w14:textFill>
        </w:rPr>
        <w:t>应急措施</w:t>
      </w:r>
      <w:bookmarkEnd w:id="442"/>
      <w:bookmarkEnd w:id="443"/>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突发事件是指系统运行过程中突然出现的造成服务中断或服务质量下降的突发现象，突发事件的处理目标是尽可能地快速的处理事故，恢复信息化资源的正常运行，避免业务中断，使事故对业务运营的影响降至最低，以保证信息化资源的可用性水平与保持信息化运维的最佳服务水平。</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当突发事件出现时，根据运行维护管理方案中的应急方案，首先对事件进行记录，再经过分类和初步的支持、调查与诊断试图进行故障解决和恢复，直至解决该事件并与建设单位进行确认，最后进行关闭。如果某一事件在规定的时间内不能由一线支持小组解决，则需要对事件进行升级，让更多有经验的人员和有更高权限的人员参与其中。</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hint="eastAsia" w:asciiTheme="minorEastAsia" w:hAnsiTheme="minorEastAsia" w:eastAsiaTheme="minorEastAsia"/>
          <w:color w:val="000000" w:themeColor="text1"/>
          <w:szCs w:val="28"/>
          <w14:textFill>
            <w14:solidFill>
              <w14:schemeClr w14:val="tx1"/>
            </w14:solidFill>
          </w14:textFill>
        </w:rPr>
        <w:t>突发事件的处理过程中，事件记录员负责事件的记录、寻找相应的人员对事件进行分析处理、对后续的事件跟踪和编写事件分析报告；事件分析员对突发事件进行分析解决，并反馈事件产生的原因以及解决办法。</w:t>
      </w:r>
    </w:p>
    <w:p>
      <w:pPr>
        <w:pStyle w:val="5"/>
        <w:rPr>
          <w:rFonts w:asciiTheme="minorEastAsia" w:hAnsiTheme="minorEastAsia" w:eastAsiaTheme="minorEastAsia"/>
          <w:color w:val="000000" w:themeColor="text1"/>
          <w14:textFill>
            <w14:solidFill>
              <w14:schemeClr w14:val="tx1"/>
            </w14:solidFill>
          </w14:textFill>
        </w:rPr>
      </w:pPr>
      <w:bookmarkStart w:id="444" w:name="_Toc15588"/>
      <w:bookmarkStart w:id="445" w:name="_Toc355702234"/>
      <w:bookmarkStart w:id="446" w:name="_Toc71654670"/>
      <w:bookmarkStart w:id="447" w:name="_Toc451764322"/>
      <w:bookmarkStart w:id="448" w:name="_Toc512279747"/>
      <w:bookmarkStart w:id="449" w:name="_Toc331366865"/>
      <w:bookmarkStart w:id="450" w:name="_Toc271804438"/>
      <w:bookmarkStart w:id="451" w:name="_Toc72400887"/>
      <w:bookmarkStart w:id="452" w:name="_Toc259782129"/>
      <w:bookmarkStart w:id="453" w:name="_Toc461053006"/>
      <w:bookmarkStart w:id="454" w:name="_Toc259694564"/>
      <w:bookmarkStart w:id="455" w:name="_Toc67933940"/>
      <w:bookmarkStart w:id="456" w:name="_Toc460164919"/>
      <w:bookmarkStart w:id="457" w:name="_Toc461264224"/>
      <w:bookmarkStart w:id="458" w:name="_Toc461376423"/>
      <w:bookmarkStart w:id="459" w:name="_Toc201595852"/>
      <w:bookmarkStart w:id="460" w:name="_Toc9594163"/>
      <w:bookmarkStart w:id="461" w:name="_Toc527558109"/>
      <w:bookmarkStart w:id="462" w:name="_Toc106118964"/>
      <w:bookmarkStart w:id="463" w:name="_Toc468182570"/>
      <w:bookmarkStart w:id="464" w:name="_Toc118808320"/>
      <w:bookmarkStart w:id="465" w:name="_Toc9594060"/>
      <w:r>
        <w:rPr>
          <w:rFonts w:asciiTheme="minorEastAsia" w:hAnsiTheme="minorEastAsia" w:eastAsiaTheme="minorEastAsia"/>
          <w:color w:val="000000" w:themeColor="text1"/>
          <w14:textFill>
            <w14:solidFill>
              <w14:schemeClr w14:val="tx1"/>
            </w14:solidFill>
          </w14:textFill>
        </w:rPr>
        <w:t>风险对策和管理</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针对本项目中存在的风险，</w:t>
      </w:r>
      <w:r>
        <w:rPr>
          <w:rFonts w:hint="eastAsia" w:asciiTheme="minorEastAsia" w:hAnsiTheme="minorEastAsia" w:eastAsiaTheme="minorEastAsia"/>
          <w:color w:val="000000" w:themeColor="text1"/>
          <w:szCs w:val="28"/>
          <w14:textFill>
            <w14:solidFill>
              <w14:schemeClr w14:val="tx1"/>
            </w14:solidFill>
          </w14:textFill>
        </w:rPr>
        <w:t>将</w:t>
      </w:r>
      <w:r>
        <w:rPr>
          <w:rFonts w:asciiTheme="minorEastAsia" w:hAnsiTheme="minorEastAsia" w:eastAsiaTheme="minorEastAsia"/>
          <w:color w:val="000000" w:themeColor="text1"/>
          <w:szCs w:val="28"/>
          <w14:textFill>
            <w14:solidFill>
              <w14:schemeClr w14:val="tx1"/>
            </w14:solidFill>
          </w14:textFill>
        </w:rPr>
        <w:t>采取</w:t>
      </w:r>
      <w:r>
        <w:rPr>
          <w:rFonts w:hint="eastAsia" w:asciiTheme="minorEastAsia" w:hAnsiTheme="minorEastAsia" w:eastAsiaTheme="minorEastAsia"/>
          <w:color w:val="000000" w:themeColor="text1"/>
          <w:szCs w:val="28"/>
          <w14:textFill>
            <w14:solidFill>
              <w14:schemeClr w14:val="tx1"/>
            </w14:solidFill>
          </w14:textFill>
        </w:rPr>
        <w:t>以下</w:t>
      </w:r>
      <w:r>
        <w:rPr>
          <w:rFonts w:asciiTheme="minorEastAsia" w:hAnsiTheme="minorEastAsia" w:eastAsiaTheme="minorEastAsia"/>
          <w:color w:val="000000" w:themeColor="text1"/>
          <w:szCs w:val="28"/>
          <w14:textFill>
            <w14:solidFill>
              <w14:schemeClr w14:val="tx1"/>
            </w14:solidFill>
          </w14:textFill>
        </w:rPr>
        <w:t>工程措施对项目风险进行管理</w:t>
      </w:r>
      <w:r>
        <w:rPr>
          <w:rFonts w:hint="eastAsia" w:asciiTheme="minorEastAsia" w:hAnsiTheme="minorEastAsia" w:eastAsiaTheme="minorEastAsia"/>
          <w:color w:val="000000" w:themeColor="text1"/>
          <w:szCs w:val="28"/>
          <w14:textFill>
            <w14:solidFill>
              <w14:schemeClr w14:val="tx1"/>
            </w14:solidFill>
          </w14:textFill>
        </w:rPr>
        <w:t>：</w:t>
      </w:r>
    </w:p>
    <w:p>
      <w:pPr>
        <w:pStyle w:val="2"/>
        <w:rPr>
          <w:rFonts w:asciiTheme="minorEastAsia" w:hAnsiTheme="minorEastAsia" w:eastAsiaTheme="minorEastAsia"/>
          <w:color w:val="000000" w:themeColor="text1"/>
          <w14:textFill>
            <w14:solidFill>
              <w14:schemeClr w14:val="tx1"/>
            </w14:solidFill>
          </w14:textFill>
        </w:rPr>
      </w:pPr>
      <w:bookmarkStart w:id="466" w:name="_Toc259694565"/>
      <w:bookmarkStart w:id="467" w:name="_Toc9594164"/>
      <w:bookmarkStart w:id="468" w:name="_Toc461376424"/>
      <w:bookmarkStart w:id="469" w:name="_Toc2773"/>
      <w:bookmarkStart w:id="470" w:name="_Toc72400888"/>
      <w:bookmarkStart w:id="471" w:name="_Toc527558110"/>
      <w:bookmarkStart w:id="472" w:name="_Toc71654671"/>
      <w:bookmarkStart w:id="473" w:name="_Toc461264225"/>
      <w:bookmarkStart w:id="474" w:name="_Toc67933941"/>
      <w:bookmarkStart w:id="475" w:name="_Toc9594061"/>
      <w:bookmarkStart w:id="476" w:name="_Toc461053007"/>
      <w:bookmarkStart w:id="477" w:name="_Toc118808321"/>
      <w:bookmarkStart w:id="478" w:name="_Toc106118965"/>
      <w:bookmarkStart w:id="479" w:name="_Toc451764323"/>
      <w:r>
        <w:rPr>
          <w:rFonts w:asciiTheme="minorEastAsia" w:hAnsiTheme="minorEastAsia" w:eastAsiaTheme="minorEastAsia"/>
          <w:color w:val="000000" w:themeColor="text1"/>
          <w14:textFill>
            <w14:solidFill>
              <w14:schemeClr w14:val="tx1"/>
            </w14:solidFill>
          </w14:textFill>
        </w:rPr>
        <w:t>技术风险对策</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项目组一定要本着项目的实际要求，选用合适、成熟的技术，千万不要无视项目的实际情况而选用一些虽然先进但并非项目所必须且自己又不熟悉的技术。如果项目成员对项目所要求的技术不具备或者掌握不够，则需要重点关注该风险因素。预防这种风险的办法是选用项目所必须的技术、在技术应用之前，针对相关人员开展好技术培训工作。</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目前国内已有很多与该平台规模相当的成功案例，可以充分借助这些成功案例的经验及相关领域专家的支持，采用外包咨询服务的方式。</w:t>
      </w:r>
    </w:p>
    <w:p>
      <w:pPr>
        <w:pStyle w:val="2"/>
        <w:rPr>
          <w:rFonts w:asciiTheme="minorEastAsia" w:hAnsiTheme="minorEastAsia" w:eastAsiaTheme="minorEastAsia"/>
          <w:color w:val="000000" w:themeColor="text1"/>
          <w14:textFill>
            <w14:solidFill>
              <w14:schemeClr w14:val="tx1"/>
            </w14:solidFill>
          </w14:textFill>
        </w:rPr>
      </w:pPr>
      <w:bookmarkStart w:id="480" w:name="_Toc106118966"/>
      <w:bookmarkStart w:id="481" w:name="_Toc118808322"/>
      <w:r>
        <w:rPr>
          <w:rFonts w:asciiTheme="minorEastAsia" w:hAnsiTheme="minorEastAsia" w:eastAsiaTheme="minorEastAsia"/>
          <w:color w:val="000000" w:themeColor="text1"/>
          <w14:textFill>
            <w14:solidFill>
              <w14:schemeClr w14:val="tx1"/>
            </w14:solidFill>
          </w14:textFill>
        </w:rPr>
        <w:t>管理风险对策</w:t>
      </w:r>
      <w:bookmarkEnd w:id="480"/>
      <w:bookmarkEnd w:id="481"/>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为降低项目建设内容复杂性对项目实施带来的风险，建议选择具有实施经验的承建单位和项目经理，同时建议选择具有大型信息化项目咨询和监理经验的项目监理公司，协助建设单位做好项目管理工作。</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在项目管理过程中，将风险计划列入项目计划中，定期对项目风险进行动态检查，是一项很好的风险管理措施。</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在项目实施初期，应对项目需求进行详细调研，根据调研结果优化设计方案，同时充分考虑本项目实际情况，参考同类项目实施经验，制定切合实际的详细的项目基准计划，制定详细的项目实施方案。在项目实施过程中，对项目质量、进度、投资等要素进行监控，敦促项目按计划进行，对于项目实施中出现的非预期情况进行分析，尽快采取恰当的措施进行处理，根据变更（项目范围变更、需求变更、方案变更、工期变更等等）调整基准计划，即对项目基准计划进行动态管理。在应用软件需求调研阶段，可以利用用户界面原型来收集高质量的需求，并可运用分阶段交付的方法不断完善改进应用系统。</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对于分包风险，首先要对总包商所选分包商的资质、技术及经济实力进行严格审查，并要求总包商在分包合同签订和项目启动前，明确本项目总包商及分包商的工作范围。这包括项目需求、所有要完成的任务及完成任务的基础条件，并根据已明确的项目范围制定相应的验收标准，作为验收时的依据。</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同时要求项目承建商与业主签订保密协议，确保项目系统安全、数据安全。</w:t>
      </w:r>
    </w:p>
    <w:p>
      <w:pPr>
        <w:pStyle w:val="2"/>
        <w:rPr>
          <w:rFonts w:asciiTheme="minorEastAsia" w:hAnsiTheme="minorEastAsia" w:eastAsiaTheme="minorEastAsia"/>
          <w:color w:val="000000" w:themeColor="text1"/>
          <w14:textFill>
            <w14:solidFill>
              <w14:schemeClr w14:val="tx1"/>
            </w14:solidFill>
          </w14:textFill>
        </w:rPr>
      </w:pPr>
      <w:bookmarkStart w:id="482" w:name="_Toc72400890"/>
      <w:bookmarkStart w:id="483" w:name="_Toc9594166"/>
      <w:bookmarkStart w:id="484" w:name="_Toc451764325"/>
      <w:bookmarkStart w:id="485" w:name="_Toc25508"/>
      <w:bookmarkStart w:id="486" w:name="_Toc461264227"/>
      <w:bookmarkStart w:id="487" w:name="_Toc9594063"/>
      <w:bookmarkStart w:id="488" w:name="_Toc527558112"/>
      <w:bookmarkStart w:id="489" w:name="_Toc461053009"/>
      <w:bookmarkStart w:id="490" w:name="_Toc259694567"/>
      <w:bookmarkStart w:id="491" w:name="_Toc67933943"/>
      <w:bookmarkStart w:id="492" w:name="_Toc71654673"/>
      <w:bookmarkStart w:id="493" w:name="_Toc461376426"/>
      <w:bookmarkStart w:id="494" w:name="_Toc106118967"/>
      <w:bookmarkStart w:id="495" w:name="_Toc118808323"/>
      <w:r>
        <w:rPr>
          <w:rFonts w:asciiTheme="minorEastAsia" w:hAnsiTheme="minorEastAsia" w:eastAsiaTheme="minorEastAsia"/>
          <w:color w:val="000000" w:themeColor="text1"/>
          <w14:textFill>
            <w14:solidFill>
              <w14:schemeClr w14:val="tx1"/>
            </w14:solidFill>
          </w14:textFill>
        </w:rPr>
        <w:t>组织风险对策</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为了规避或降低项目的组织风险，建议项目建设单位从领导层开始对本项目建设给予高度重视，通过召开项目动员大会动员管理层、业务人员对项目建设给予支持和配合，挖掘潜在的需求，与承建单位项目实施人员一起对项目设计的业务流程、业务数据进行梳理，对业务流程进行优化设计。</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在项目建设过程中做好项目计划，并将项目沟通计划纳入项目计划中。针对各子系统实际情况，可采用监理例会、专题会议、电话、邮件等多种方式及时沟通协调各方，保障项目实施按计划顺利进行。</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建议在项目招标时要选择抗资金风险能力较强的项目实施单位，以避免因项目款支付不及时而延误项目工期。</w:t>
      </w:r>
    </w:p>
    <w:p>
      <w:pPr>
        <w:ind w:firstLine="560" w:firstLineChars="200"/>
        <w:rPr>
          <w:rFonts w:asciiTheme="minorEastAsia" w:hAnsiTheme="minorEastAsia" w:eastAsiaTheme="minorEastAsia"/>
          <w:color w:val="000000" w:themeColor="text1"/>
          <w:szCs w:val="28"/>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t>建议在本项目实施过程中，先选择几个具有代表性的单位作为试点单位在项目试用期内显现试用，实施单位在试用期间对反馈问题和需求提升建议进行快速跟进开发和修改，待系统稳定后再对所有单位用户进行分批集中培训，全面推广到所有单位中使用，并通过制定各系统运行管理办法确立运行管理模式，保障系统长效稳定协调运转。</w:t>
      </w:r>
      <w:bookmarkEnd w:id="411"/>
    </w:p>
    <w:p>
      <w:pPr>
        <w:tabs>
          <w:tab w:val="left" w:pos="8192"/>
        </w:tabs>
        <w:rPr>
          <w:color w:val="000000" w:themeColor="text1"/>
          <w14:textFill>
            <w14:solidFill>
              <w14:schemeClr w14:val="tx1"/>
            </w14:solidFill>
          </w14:textFill>
        </w:rPr>
      </w:pPr>
      <w:r>
        <w:rPr>
          <w:color w:val="000000" w:themeColor="text1"/>
          <w14:textFill>
            <w14:solidFill>
              <w14:schemeClr w14:val="tx1"/>
            </w14:solidFill>
          </w14:textFill>
        </w:rPr>
        <w:tab/>
      </w:r>
    </w:p>
    <w:bookmarkEnd w:id="99"/>
    <w:bookmarkEnd w:id="100"/>
    <w:bookmarkEnd w:id="101"/>
    <w:bookmarkEnd w:id="102"/>
    <w:bookmarkEnd w:id="103"/>
    <w:bookmarkEnd w:id="104"/>
    <w:bookmarkEnd w:id="378"/>
    <w:bookmarkEnd w:id="379"/>
    <w:bookmarkEnd w:id="380"/>
    <w:bookmarkEnd w:id="381"/>
    <w:p>
      <w:pPr>
        <w:pStyle w:val="3"/>
        <w:rPr>
          <w:rFonts w:ascii="宋体" w:hAnsi="宋体"/>
          <w:color w:val="000000" w:themeColor="text1"/>
          <w:szCs w:val="32"/>
          <w14:textFill>
            <w14:solidFill>
              <w14:schemeClr w14:val="tx1"/>
            </w14:solidFill>
          </w14:textFill>
        </w:rPr>
      </w:pPr>
      <w:bookmarkStart w:id="496" w:name="_Toc118808324"/>
      <w:r>
        <w:rPr>
          <w:rFonts w:hint="eastAsia" w:ascii="宋体" w:hAnsi="宋体"/>
          <w:color w:val="000000" w:themeColor="text1"/>
          <w:szCs w:val="32"/>
          <w14:textFill>
            <w14:solidFill>
              <w14:schemeClr w14:val="tx1"/>
            </w14:solidFill>
          </w14:textFill>
        </w:rPr>
        <w:t>附件说明</w:t>
      </w:r>
      <w:bookmarkEnd w:id="496"/>
    </w:p>
    <w:p>
      <w:pPr>
        <w:pStyle w:val="5"/>
        <w:rPr>
          <w:color w:val="000000" w:themeColor="text1"/>
          <w14:textFill>
            <w14:solidFill>
              <w14:schemeClr w14:val="tx1"/>
            </w14:solidFill>
          </w14:textFill>
        </w:rPr>
      </w:pPr>
      <w:bookmarkStart w:id="497" w:name="_Toc118808325"/>
      <w:r>
        <w:rPr>
          <w:rFonts w:hint="eastAsia"/>
          <w:color w:val="000000" w:themeColor="text1"/>
          <w14:textFill>
            <w14:solidFill>
              <w14:schemeClr w14:val="tx1"/>
            </w14:solidFill>
          </w14:textFill>
        </w:rPr>
        <w:t>附件1</w:t>
      </w:r>
      <w:r>
        <w:rPr>
          <w:color w:val="000000" w:themeColor="text1"/>
          <w14:textFill>
            <w14:solidFill>
              <w14:schemeClr w14:val="tx1"/>
            </w14:solidFill>
          </w14:textFill>
        </w:rPr>
        <w:t xml:space="preserve"> </w:t>
      </w:r>
      <w:r>
        <w:rPr>
          <w:rFonts w:hint="eastAsia" w:ascii="Times New Roman" w:hAnsi="Times New Roman"/>
          <w:color w:val="000000" w:themeColor="text1"/>
          <w:szCs w:val="44"/>
          <w14:textFill>
            <w14:solidFill>
              <w14:schemeClr w14:val="tx1"/>
            </w14:solidFill>
          </w14:textFill>
        </w:rPr>
        <w:t>项目软硬件配置清单</w:t>
      </w:r>
      <w:bookmarkEnd w:id="497"/>
    </w:p>
    <w:tbl>
      <w:tblPr>
        <w:tblStyle w:val="38"/>
        <w:tblW w:w="9208" w:type="dxa"/>
        <w:jc w:val="center"/>
        <w:tblLayout w:type="fixed"/>
        <w:tblCellMar>
          <w:top w:w="0" w:type="dxa"/>
          <w:left w:w="108" w:type="dxa"/>
          <w:bottom w:w="0" w:type="dxa"/>
          <w:right w:w="108" w:type="dxa"/>
        </w:tblCellMar>
      </w:tblPr>
      <w:tblGrid>
        <w:gridCol w:w="470"/>
        <w:gridCol w:w="943"/>
        <w:gridCol w:w="850"/>
        <w:gridCol w:w="709"/>
        <w:gridCol w:w="1843"/>
        <w:gridCol w:w="850"/>
        <w:gridCol w:w="2693"/>
        <w:gridCol w:w="850"/>
      </w:tblGrid>
      <w:tr>
        <w:tblPrEx>
          <w:tblCellMar>
            <w:top w:w="0" w:type="dxa"/>
            <w:left w:w="108" w:type="dxa"/>
            <w:bottom w:w="0" w:type="dxa"/>
            <w:right w:w="108" w:type="dxa"/>
          </w:tblCellMar>
        </w:tblPrEx>
        <w:trPr>
          <w:trHeight w:val="624"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序号</w:t>
            </w:r>
          </w:p>
        </w:tc>
        <w:tc>
          <w:tcPr>
            <w:tcW w:w="94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资源</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 xml:space="preserve">CPU </w:t>
            </w:r>
            <w:r>
              <w:rPr>
                <w:rFonts w:ascii="宋体" w:hAnsi="宋体"/>
                <w:b/>
                <w:bCs/>
                <w:color w:val="000000" w:themeColor="text1"/>
                <w:kern w:val="0"/>
                <w:szCs w:val="28"/>
                <w14:textFill>
                  <w14:solidFill>
                    <w14:schemeClr w14:val="tx1"/>
                  </w14:solidFill>
                </w14:textFill>
              </w:rPr>
              <w:t>(</w:t>
            </w:r>
            <w:r>
              <w:rPr>
                <w:rFonts w:hint="eastAsia" w:ascii="宋体" w:hAnsi="宋体"/>
                <w:b/>
                <w:bCs/>
                <w:color w:val="000000" w:themeColor="text1"/>
                <w:kern w:val="0"/>
                <w:szCs w:val="28"/>
                <w14:textFill>
                  <w14:solidFill>
                    <w14:schemeClr w14:val="tx1"/>
                  </w14:solidFill>
                </w14:textFill>
              </w:rPr>
              <w:t>核</w:t>
            </w:r>
            <w:r>
              <w:rPr>
                <w:rFonts w:ascii="宋体" w:hAnsi="宋体"/>
                <w:b/>
                <w:bCs/>
                <w:color w:val="000000" w:themeColor="text1"/>
                <w:kern w:val="0"/>
                <w:szCs w:val="28"/>
                <w14:textFill>
                  <w14:solidFill>
                    <w14:schemeClr w14:val="tx1"/>
                  </w14:solidFill>
                </w14:textFill>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内存</w:t>
            </w:r>
          </w:p>
        </w:tc>
        <w:tc>
          <w:tcPr>
            <w:tcW w:w="184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存储</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数量</w:t>
            </w:r>
          </w:p>
        </w:tc>
        <w:tc>
          <w:tcPr>
            <w:tcW w:w="26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说明</w:t>
            </w:r>
          </w:p>
        </w:tc>
        <w:tc>
          <w:tcPr>
            <w:tcW w:w="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jc w:val="center"/>
              <w:rPr>
                <w:rFonts w:ascii="宋体" w:hAnsi="宋体"/>
                <w:b/>
                <w:bCs/>
                <w:color w:val="000000" w:themeColor="text1"/>
                <w:kern w:val="0"/>
                <w:szCs w:val="28"/>
                <w14:textFill>
                  <w14:solidFill>
                    <w14:schemeClr w14:val="tx1"/>
                  </w14:solidFill>
                </w14:textFill>
              </w:rPr>
            </w:pPr>
            <w:r>
              <w:rPr>
                <w:rFonts w:hint="eastAsia" w:ascii="宋体" w:hAnsi="宋体"/>
                <w:b/>
                <w:bCs/>
                <w:color w:val="000000" w:themeColor="text1"/>
                <w:kern w:val="0"/>
                <w:szCs w:val="28"/>
                <w14:textFill>
                  <w14:solidFill>
                    <w14:schemeClr w14:val="tx1"/>
                  </w14:solidFill>
                </w14:textFill>
              </w:rPr>
              <w:t>备注</w:t>
            </w:r>
          </w:p>
        </w:tc>
      </w:tr>
      <w:tr>
        <w:tblPrEx>
          <w:tblCellMar>
            <w:top w:w="0" w:type="dxa"/>
            <w:left w:w="108" w:type="dxa"/>
            <w:bottom w:w="0" w:type="dxa"/>
            <w:right w:w="108" w:type="dxa"/>
          </w:tblCellMar>
        </w:tblPrEx>
        <w:trPr>
          <w:trHeight w:val="841"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4</w:t>
            </w:r>
          </w:p>
        </w:tc>
        <w:tc>
          <w:tcPr>
            <w:tcW w:w="2693" w:type="dxa"/>
            <w:tcBorders>
              <w:top w:val="single" w:color="000000" w:sz="4" w:space="0"/>
              <w:left w:val="single" w:color="000000" w:sz="4" w:space="0"/>
              <w:bottom w:val="nil"/>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docker集群部署(15个服务，每服务按最大1</w:t>
            </w:r>
            <w:r>
              <w:rPr>
                <w:rFonts w:ascii="宋体" w:hAnsi="宋体"/>
                <w:color w:val="000000" w:themeColor="text1"/>
                <w:kern w:val="0"/>
                <w:szCs w:val="28"/>
                <w14:textFill>
                  <w14:solidFill>
                    <w14:schemeClr w14:val="tx1"/>
                  </w14:solidFill>
                </w14:textFill>
              </w:rPr>
              <w:t>G</w:t>
            </w:r>
            <w:r>
              <w:rPr>
                <w:rFonts w:hint="eastAsia" w:ascii="宋体" w:hAnsi="宋体"/>
                <w:color w:val="000000" w:themeColor="text1"/>
                <w:kern w:val="0"/>
                <w:szCs w:val="28"/>
                <w14:textFill>
                  <w14:solidFill>
                    <w14:schemeClr w14:val="tx1"/>
                  </w14:solidFill>
                </w14:textFill>
              </w:rPr>
              <w:t>内存分配)：注册中心、单点登录服务、网关服务、数字字典服务、机构用户资源服务、对象存储（依赖minio）、节假日服务、大屏服务、短信服务、流程管理服务、通知公告服务、一呼解忧移动端、治理端、后台管理平台、坐席辅助服务等</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云资源申请，不在本次招标范围之内。</w:t>
            </w:r>
          </w:p>
        </w:tc>
      </w:tr>
      <w:tr>
        <w:tblPrEx>
          <w:tblCellMar>
            <w:top w:w="0" w:type="dxa"/>
            <w:left w:w="108" w:type="dxa"/>
            <w:bottom w:w="0" w:type="dxa"/>
            <w:right w:w="108" w:type="dxa"/>
          </w:tblCellMar>
        </w:tblPrEx>
        <w:trPr>
          <w:trHeight w:val="6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5G消息服务器,数据交换平台(第三方数据对接)</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color w:val="000000" w:themeColor="text1"/>
                <w:szCs w:val="28"/>
                <w14:textFill>
                  <w14:solidFill>
                    <w14:schemeClr w14:val="tx1"/>
                  </w14:solidFill>
                </w14:textFill>
              </w:rPr>
            </w:pPr>
            <w:r>
              <w:rPr>
                <w:rFonts w:ascii="宋体" w:hAnsi="宋体"/>
                <w:color w:val="000000" w:themeColor="text1"/>
                <w:kern w:val="0"/>
                <w:szCs w:val="28"/>
                <w14:textFill>
                  <w14:solidFill>
                    <w14:schemeClr w14:val="tx1"/>
                  </w14:solidFill>
                </w14:textFill>
              </w:rPr>
              <w:t>60</w:t>
            </w:r>
            <w:r>
              <w:rPr>
                <w:rFonts w:hint="eastAsia" w:ascii="宋体" w:hAnsi="宋体"/>
                <w:color w:val="000000" w:themeColor="text1"/>
                <w:kern w:val="0"/>
                <w:szCs w:val="28"/>
                <w14:textFill>
                  <w14:solidFill>
                    <w14:schemeClr w14:val="tx1"/>
                  </w14:solidFill>
                </w14:textFill>
              </w:rPr>
              <w:t>路视频IVR服务，主备业务服务、动态媒体合成服务、信令服务，分布式部署</w:t>
            </w:r>
            <w:r>
              <w:rPr>
                <w:rFonts w:hint="eastAsia"/>
                <w:color w:val="000000" w:themeColor="text1"/>
                <w:szCs w:val="28"/>
                <w14:textFill>
                  <w14:solidFill>
                    <w14:schemeClr w14:val="tx1"/>
                  </w14:solidFill>
                </w14:textFill>
              </w:rPr>
              <w:t xml:space="preserve"> </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4</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数据盘200GB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color w:val="000000" w:themeColor="text1"/>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20路视频客服，媒体处理服务、录播服务，分布式部署</w:t>
            </w:r>
            <w:r>
              <w:rPr>
                <w:rFonts w:hint="eastAsia"/>
                <w:color w:val="000000" w:themeColor="text1"/>
                <w:szCs w:val="28"/>
                <w14:textFill>
                  <w14:solidFill>
                    <w14:schemeClr w14:val="tx1"/>
                  </w14:solidFill>
                </w14:textFill>
              </w:rPr>
              <w:t xml:space="preserve"> </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72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5</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4</w:t>
            </w:r>
            <w:r>
              <w:rPr>
                <w:rFonts w:hint="eastAsia" w:ascii="宋体" w:hAnsi="宋体"/>
                <w:color w:val="000000" w:themeColor="text1"/>
                <w:kern w:val="0"/>
                <w:szCs w:val="28"/>
                <w14:textFill>
                  <w14:solidFill>
                    <w14:schemeClr w14:val="tx1"/>
                  </w14:solidFill>
                </w14:textFill>
              </w:rPr>
              <w:t>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8</w:t>
            </w:r>
            <w:r>
              <w:rPr>
                <w:rFonts w:ascii="宋体" w:hAnsi="宋体"/>
                <w:color w:val="000000" w:themeColor="text1"/>
                <w:kern w:val="0"/>
                <w:szCs w:val="28"/>
                <w14:textFill>
                  <w14:solidFill>
                    <w14:schemeClr w14:val="tx1"/>
                  </w14:solidFill>
                </w14:textFill>
              </w:rPr>
              <w:t>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数据盘6TB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存储服务，视频录制存储，存储最近</w:t>
            </w:r>
            <w:r>
              <w:rPr>
                <w:rFonts w:ascii="宋体" w:hAnsi="宋体"/>
                <w:color w:val="000000" w:themeColor="text1"/>
                <w:kern w:val="0"/>
                <w:szCs w:val="28"/>
                <w14:textFill>
                  <w14:solidFill>
                    <w14:schemeClr w14:val="tx1"/>
                  </w14:solidFill>
                </w14:textFill>
              </w:rPr>
              <w:t>3</w:t>
            </w:r>
            <w:r>
              <w:rPr>
                <w:rFonts w:hint="eastAsia" w:ascii="宋体" w:hAnsi="宋体"/>
                <w:color w:val="000000" w:themeColor="text1"/>
                <w:kern w:val="0"/>
                <w:szCs w:val="28"/>
                <w14:textFill>
                  <w14:solidFill>
                    <w14:schemeClr w14:val="tx1"/>
                  </w14:solidFill>
                </w14:textFill>
              </w:rPr>
              <w:t>个月视频回放录像</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624"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6</w:t>
            </w:r>
          </w:p>
        </w:tc>
        <w:tc>
          <w:tcPr>
            <w:tcW w:w="9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云主机ECS</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16核</w:t>
            </w:r>
          </w:p>
        </w:tc>
        <w:tc>
          <w:tcPr>
            <w:tcW w:w="709"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32G</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系统盘</w:t>
            </w:r>
            <w:r>
              <w:rPr>
                <w:rFonts w:hint="eastAsia" w:ascii="宋体" w:hAnsi="宋体"/>
                <w:color w:val="000000" w:themeColor="text1"/>
                <w:kern w:val="0"/>
                <w:szCs w:val="28"/>
                <w14:textFill>
                  <w14:solidFill>
                    <w14:schemeClr w14:val="tx1"/>
                  </w14:solidFill>
                </w14:textFill>
              </w:rPr>
              <w:t>1</w:t>
            </w:r>
            <w:r>
              <w:rPr>
                <w:rFonts w:ascii="宋体" w:hAnsi="宋体"/>
                <w:color w:val="000000" w:themeColor="text1"/>
                <w:kern w:val="0"/>
                <w:szCs w:val="28"/>
                <w14:textFill>
                  <w14:solidFill>
                    <w14:schemeClr w14:val="tx1"/>
                  </w14:solidFill>
                </w14:textFill>
              </w:rPr>
              <w:t>00GB</w:t>
            </w:r>
          </w:p>
          <w:p>
            <w:pPr>
              <w:widowControl/>
              <w:spacing w:line="400" w:lineRule="exact"/>
              <w:rPr>
                <w:rFonts w:ascii="宋体" w:hAnsi="宋体"/>
                <w:color w:val="000000" w:themeColor="text1"/>
                <w:kern w:val="0"/>
                <w:szCs w:val="28"/>
                <w14:textFill>
                  <w14:solidFill>
                    <w14:schemeClr w14:val="tx1"/>
                  </w14:solidFill>
                </w14:textFill>
              </w:rPr>
            </w:pPr>
            <w:r>
              <w:rPr>
                <w:rFonts w:ascii="宋体" w:hAnsi="宋体"/>
                <w:color w:val="000000" w:themeColor="text1"/>
                <w:kern w:val="0"/>
                <w:szCs w:val="28"/>
                <w14:textFill>
                  <w14:solidFill>
                    <w14:schemeClr w14:val="tx1"/>
                  </w14:solidFill>
                </w14:textFill>
              </w:rPr>
              <w:t>数据盘500GB</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2</w:t>
            </w:r>
          </w:p>
        </w:tc>
        <w:tc>
          <w:tcPr>
            <w:tcW w:w="269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left"/>
              <w:rPr>
                <w:rFonts w:ascii="宋体" w:hAnsi="宋体"/>
                <w:color w:val="000000" w:themeColor="text1"/>
                <w:kern w:val="0"/>
                <w:szCs w:val="28"/>
                <w14:textFill>
                  <w14:solidFill>
                    <w14:schemeClr w14:val="tx1"/>
                  </w14:solidFill>
                </w14:textFill>
              </w:rPr>
            </w:pPr>
            <w:r>
              <w:rPr>
                <w:rFonts w:hint="eastAsia" w:ascii="宋体" w:hAnsi="宋体"/>
                <w:color w:val="000000" w:themeColor="text1"/>
                <w:kern w:val="0"/>
                <w:szCs w:val="28"/>
                <w14:textFill>
                  <w14:solidFill>
                    <w14:schemeClr w14:val="tx1"/>
                  </w14:solidFill>
                </w14:textFill>
              </w:rPr>
              <w:t>智能派单算法服务（4套模型），非结构化文件：视频IVR图片、文件等附件</w:t>
            </w: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rFonts w:ascii="宋体" w:hAnsi="宋体"/>
                <w:color w:val="000000" w:themeColor="text1"/>
                <w:kern w:val="0"/>
                <w:szCs w:val="28"/>
                <w14:textFill>
                  <w14:solidFill>
                    <w14:schemeClr w14:val="tx1"/>
                  </w14:solidFill>
                </w14:textFill>
              </w:rPr>
            </w:pPr>
          </w:p>
        </w:tc>
      </w:tr>
    </w:tbl>
    <w:p>
      <w:pPr>
        <w:pStyle w:val="4"/>
        <w:tabs>
          <w:tab w:val="left" w:pos="5616"/>
        </w:tabs>
        <w:rPr>
          <w:color w:val="000000" w:themeColor="text1"/>
          <w14:textFill>
            <w14:solidFill>
              <w14:schemeClr w14:val="tx1"/>
            </w14:solidFill>
          </w14:textFill>
        </w:rPr>
      </w:pPr>
    </w:p>
    <w:p>
      <w:pPr>
        <w:pStyle w:val="5"/>
        <w:rPr>
          <w:rFonts w:ascii="宋体" w:hAnsi="宋体"/>
          <w:color w:val="000000" w:themeColor="text1"/>
          <w:lang w:eastAsia="zh-Hans"/>
          <w14:textFill>
            <w14:solidFill>
              <w14:schemeClr w14:val="tx1"/>
            </w14:solidFill>
          </w14:textFill>
        </w:rPr>
      </w:pPr>
      <w:bookmarkStart w:id="498" w:name="_Toc118808326"/>
      <w:r>
        <w:rPr>
          <w:rFonts w:hint="eastAsia" w:ascii="宋体" w:hAnsi="宋体"/>
          <w:color w:val="000000" w:themeColor="text1"/>
          <w:lang w:eastAsia="zh-Hans"/>
          <w14:textFill>
            <w14:solidFill>
              <w14:schemeClr w14:val="tx1"/>
            </w14:solidFill>
          </w14:textFill>
        </w:rPr>
        <w:t>附件</w:t>
      </w:r>
      <w:r>
        <w:rPr>
          <w:rFonts w:hint="eastAsia" w:ascii="宋体" w:hAnsi="宋体"/>
          <w:color w:val="000000" w:themeColor="text1"/>
          <w14:textFill>
            <w14:solidFill>
              <w14:schemeClr w14:val="tx1"/>
            </w14:solidFill>
          </w14:textFill>
        </w:rPr>
        <w:t>2</w:t>
      </w:r>
      <w:r>
        <w:rPr>
          <w:rFonts w:ascii="宋体" w:hAnsi="宋体"/>
          <w:color w:val="000000" w:themeColor="text1"/>
          <w14:textFill>
            <w14:solidFill>
              <w14:schemeClr w14:val="tx1"/>
            </w14:solidFill>
          </w14:textFill>
        </w:rPr>
        <w:t xml:space="preserve"> </w:t>
      </w:r>
      <w:r>
        <w:rPr>
          <w:rFonts w:hint="eastAsia" w:ascii="宋体" w:hAnsi="宋体"/>
          <w:color w:val="000000" w:themeColor="text1"/>
          <w:lang w:eastAsia="zh-Hans"/>
          <w14:textFill>
            <w14:solidFill>
              <w14:schemeClr w14:val="tx1"/>
            </w14:solidFill>
          </w14:textFill>
        </w:rPr>
        <w:t>系统网络拓扑图</w:t>
      </w:r>
      <w:bookmarkEnd w:id="498"/>
    </w:p>
    <w:p>
      <w:pPr>
        <w:jc w:val="center"/>
        <w:rPr>
          <w:color w:val="000000" w:themeColor="text1"/>
          <w:lang w:eastAsia="zh-Hans"/>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drawing>
          <wp:inline distT="0" distB="0" distL="0" distR="0">
            <wp:extent cx="6188710" cy="3895090"/>
            <wp:effectExtent l="19050" t="19050" r="21590" b="1016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6188710" cy="3895090"/>
                    </a:xfrm>
                    <a:prstGeom prst="rect">
                      <a:avLst/>
                    </a:prstGeom>
                    <a:ln>
                      <a:solidFill>
                        <a:schemeClr val="tx1"/>
                      </a:solidFill>
                    </a:ln>
                  </pic:spPr>
                </pic:pic>
              </a:graphicData>
            </a:graphic>
          </wp:inline>
        </w:drawing>
      </w:r>
    </w:p>
    <w:p>
      <w:pPr>
        <w:pStyle w:val="5"/>
        <w:rPr>
          <w:rFonts w:ascii="宋体" w:hAnsi="宋体"/>
          <w:color w:val="000000" w:themeColor="text1"/>
          <w:lang w:eastAsia="zh-Hans"/>
          <w14:textFill>
            <w14:solidFill>
              <w14:schemeClr w14:val="tx1"/>
            </w14:solidFill>
          </w14:textFill>
        </w:rPr>
      </w:pPr>
      <w:bookmarkStart w:id="499" w:name="_Toc118808327"/>
      <w:r>
        <w:rPr>
          <w:rFonts w:hint="eastAsia" w:ascii="宋体" w:hAnsi="宋体"/>
          <w:color w:val="000000" w:themeColor="text1"/>
          <w:lang w:eastAsia="zh-Hans"/>
          <w14:textFill>
            <w14:solidFill>
              <w14:schemeClr w14:val="tx1"/>
            </w14:solidFill>
          </w14:textFill>
        </w:rPr>
        <w:t>附件</w:t>
      </w:r>
      <w:r>
        <w:rPr>
          <w:rFonts w:hint="eastAsia" w:ascii="宋体" w:hAnsi="宋体"/>
          <w:color w:val="000000" w:themeColor="text1"/>
          <w14:textFill>
            <w14:solidFill>
              <w14:schemeClr w14:val="tx1"/>
            </w14:solidFill>
          </w14:textFill>
        </w:rPr>
        <w:t>3</w:t>
      </w:r>
      <w:r>
        <w:rPr>
          <w:rFonts w:ascii="宋体" w:hAnsi="宋体"/>
          <w:color w:val="000000" w:themeColor="text1"/>
          <w14:textFill>
            <w14:solidFill>
              <w14:schemeClr w14:val="tx1"/>
            </w14:solidFill>
          </w14:textFill>
        </w:rPr>
        <w:t xml:space="preserve"> </w:t>
      </w:r>
      <w:r>
        <w:rPr>
          <w:rFonts w:hint="eastAsia" w:ascii="宋体" w:hAnsi="宋体"/>
          <w:color w:val="000000" w:themeColor="text1"/>
          <w:lang w:eastAsia="zh-Hans"/>
          <w14:textFill>
            <w14:solidFill>
              <w14:schemeClr w14:val="tx1"/>
            </w14:solidFill>
          </w14:textFill>
        </w:rPr>
        <w:t>系统软硬件物理布置图</w:t>
      </w:r>
      <w:r>
        <w:rPr>
          <w:rFonts w:hint="eastAsia" w:ascii="宋体" w:hAnsi="宋体"/>
          <w:color w:val="000000" w:themeColor="text1"/>
          <w14:textFill>
            <w14:solidFill>
              <w14:schemeClr w14:val="tx1"/>
            </w14:solidFill>
          </w14:textFill>
        </w:rPr>
        <w:t>(本次申请无物理机</w:t>
      </w:r>
      <w:r>
        <w:rPr>
          <w:rFonts w:ascii="宋体" w:hAnsi="宋体"/>
          <w:color w:val="000000" w:themeColor="text1"/>
          <w14:textFill>
            <w14:solidFill>
              <w14:schemeClr w14:val="tx1"/>
            </w14:solidFill>
          </w14:textFill>
        </w:rPr>
        <w:t>)</w:t>
      </w:r>
      <w:bookmarkEnd w:id="499"/>
    </w:p>
    <w:p>
      <w:pPr>
        <w:jc w:val="center"/>
        <w:rPr>
          <w:color w:val="000000" w:themeColor="text1"/>
          <w:lang w:eastAsia="zh-Hans"/>
          <w14:textFill>
            <w14:solidFill>
              <w14:schemeClr w14:val="tx1"/>
            </w14:solidFill>
          </w14:textFill>
        </w:rPr>
      </w:pPr>
      <w:r>
        <w:rPr>
          <w:rFonts w:asciiTheme="minorEastAsia" w:hAnsiTheme="minorEastAsia" w:eastAsiaTheme="minorEastAsia"/>
          <w:color w:val="000000" w:themeColor="text1"/>
          <w:szCs w:val="28"/>
          <w14:textFill>
            <w14:solidFill>
              <w14:schemeClr w14:val="tx1"/>
            </w14:solidFill>
          </w14:textFill>
        </w:rPr>
        <w:drawing>
          <wp:inline distT="0" distB="0" distL="0" distR="0">
            <wp:extent cx="6188710" cy="3895090"/>
            <wp:effectExtent l="19050" t="19050" r="21590" b="1016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6188710" cy="3895090"/>
                    </a:xfrm>
                    <a:prstGeom prst="rect">
                      <a:avLst/>
                    </a:prstGeom>
                    <a:ln>
                      <a:solidFill>
                        <a:schemeClr val="tx1"/>
                      </a:solidFill>
                    </a:ln>
                  </pic:spPr>
                </pic:pic>
              </a:graphicData>
            </a:graphic>
          </wp:inline>
        </w:drawing>
      </w:r>
    </w:p>
    <w:p>
      <w:pPr>
        <w:pStyle w:val="5"/>
        <w:rPr>
          <w:rFonts w:ascii="宋体" w:hAnsi="宋体"/>
          <w:color w:val="000000" w:themeColor="text1"/>
          <w:lang w:eastAsia="zh-Hans"/>
          <w14:textFill>
            <w14:solidFill>
              <w14:schemeClr w14:val="tx1"/>
            </w14:solidFill>
          </w14:textFill>
        </w:rPr>
      </w:pPr>
      <w:bookmarkStart w:id="500" w:name="_Toc118808328"/>
      <w:r>
        <w:rPr>
          <w:rFonts w:hint="eastAsia"/>
          <w:color w:val="000000" w:themeColor="text1"/>
          <w14:textFill>
            <w14:solidFill>
              <w14:schemeClr w14:val="tx1"/>
            </w14:solidFill>
          </w14:textFill>
        </w:rPr>
        <w:t>附件4</w:t>
      </w:r>
      <w:r>
        <w:rPr>
          <w:color w:val="000000" w:themeColor="text1"/>
          <w14:textFill>
            <w14:solidFill>
              <w14:schemeClr w14:val="tx1"/>
            </w14:solidFill>
          </w14:textFill>
        </w:rPr>
        <w:t xml:space="preserve"> </w:t>
      </w:r>
      <w:r>
        <w:rPr>
          <w:rFonts w:hint="eastAsia" w:ascii="宋体" w:hAnsi="宋体"/>
          <w:color w:val="000000" w:themeColor="text1"/>
          <w:lang w:eastAsia="zh-Hans"/>
          <w14:textFill>
            <w14:solidFill>
              <w14:schemeClr w14:val="tx1"/>
            </w14:solidFill>
          </w14:textFill>
        </w:rPr>
        <w:t>应用系统定制开发工作量核算表</w:t>
      </w:r>
      <w:bookmarkEnd w:id="500"/>
    </w:p>
    <w:tbl>
      <w:tblPr>
        <w:tblStyle w:val="38"/>
        <w:tblW w:w="9204" w:type="dxa"/>
        <w:jc w:val="center"/>
        <w:tblLayout w:type="autofit"/>
        <w:tblCellMar>
          <w:top w:w="0" w:type="dxa"/>
          <w:left w:w="108" w:type="dxa"/>
          <w:bottom w:w="0" w:type="dxa"/>
          <w:right w:w="108" w:type="dxa"/>
        </w:tblCellMar>
      </w:tblPr>
      <w:tblGrid>
        <w:gridCol w:w="576"/>
        <w:gridCol w:w="1115"/>
        <w:gridCol w:w="993"/>
        <w:gridCol w:w="992"/>
        <w:gridCol w:w="1843"/>
        <w:gridCol w:w="3685"/>
      </w:tblGrid>
      <w:tr>
        <w:tblPrEx>
          <w:tblCellMar>
            <w:top w:w="0" w:type="dxa"/>
            <w:left w:w="108" w:type="dxa"/>
            <w:bottom w:w="0" w:type="dxa"/>
            <w:right w:w="108" w:type="dxa"/>
          </w:tblCellMar>
        </w:tblPrEx>
        <w:trPr>
          <w:trHeight w:val="600" w:hRule="atLeast"/>
          <w:jc w:val="center"/>
        </w:trPr>
        <w:tc>
          <w:tcPr>
            <w:tcW w:w="576" w:type="dxa"/>
            <w:tcBorders>
              <w:top w:val="single" w:color="000000" w:sz="8" w:space="0"/>
              <w:left w:val="single" w:color="000000" w:sz="8" w:space="0"/>
              <w:bottom w:val="single" w:color="000000" w:sz="8" w:space="0"/>
              <w:right w:val="single" w:color="000000" w:sz="8" w:space="0"/>
            </w:tcBorders>
            <w:shd w:val="clear" w:color="000000" w:fill="B4C6E7"/>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序号</w:t>
            </w:r>
          </w:p>
        </w:tc>
        <w:tc>
          <w:tcPr>
            <w:tcW w:w="1115" w:type="dxa"/>
            <w:tcBorders>
              <w:top w:val="single" w:color="000000" w:sz="8" w:space="0"/>
              <w:left w:val="nil"/>
              <w:bottom w:val="single" w:color="000000" w:sz="8" w:space="0"/>
              <w:right w:val="single" w:color="000000" w:sz="8" w:space="0"/>
            </w:tcBorders>
            <w:shd w:val="clear" w:color="000000" w:fill="B4C6E7"/>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建设内容</w:t>
            </w:r>
          </w:p>
        </w:tc>
        <w:tc>
          <w:tcPr>
            <w:tcW w:w="993" w:type="dxa"/>
            <w:tcBorders>
              <w:top w:val="single" w:color="000000" w:sz="8" w:space="0"/>
              <w:left w:val="nil"/>
              <w:bottom w:val="single" w:color="000000" w:sz="8" w:space="0"/>
              <w:right w:val="single" w:color="000000" w:sz="8" w:space="0"/>
            </w:tcBorders>
            <w:shd w:val="clear" w:color="000000" w:fill="B4C6E7"/>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建设模块</w:t>
            </w:r>
          </w:p>
        </w:tc>
        <w:tc>
          <w:tcPr>
            <w:tcW w:w="992" w:type="dxa"/>
            <w:tcBorders>
              <w:top w:val="single" w:color="000000" w:sz="8" w:space="0"/>
              <w:left w:val="nil"/>
              <w:bottom w:val="single" w:color="000000" w:sz="8" w:space="0"/>
              <w:right w:val="single" w:color="000000" w:sz="8" w:space="0"/>
            </w:tcBorders>
            <w:shd w:val="clear" w:color="000000" w:fill="B4C6E7"/>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建设功能</w:t>
            </w:r>
          </w:p>
        </w:tc>
        <w:tc>
          <w:tcPr>
            <w:tcW w:w="5528" w:type="dxa"/>
            <w:gridSpan w:val="2"/>
            <w:tcBorders>
              <w:top w:val="single" w:color="000000" w:sz="8" w:space="0"/>
              <w:left w:val="nil"/>
              <w:bottom w:val="single" w:color="000000" w:sz="8" w:space="0"/>
              <w:right w:val="single" w:color="000000" w:sz="8" w:space="0"/>
            </w:tcBorders>
            <w:shd w:val="clear" w:color="000000" w:fill="B4C6E7"/>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功能说明</w:t>
            </w:r>
          </w:p>
        </w:tc>
      </w:tr>
      <w:tr>
        <w:tblPrEx>
          <w:tblCellMar>
            <w:top w:w="0" w:type="dxa"/>
            <w:left w:w="108" w:type="dxa"/>
            <w:bottom w:w="0" w:type="dxa"/>
            <w:right w:w="108" w:type="dxa"/>
          </w:tblCellMar>
        </w:tblPrEx>
        <w:trPr>
          <w:trHeight w:val="2113"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w:t>
            </w:r>
          </w:p>
        </w:tc>
        <w:tc>
          <w:tcPr>
            <w:tcW w:w="1115"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“萧山一呼解忧”服务端                    设计与开发</w:t>
            </w: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浙里办</w:t>
            </w: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服务端页面</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增加一呼解忧导航栏，一呼解忧页面的我要问、我要帮、我要报UI一级别和二级工单界面设计。我要问、我要帮、我要报功能开发，工单支持姓名、联系方式、性别、咨询事项以及自动获取地址信息等功能，系统支持短信认证。</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 xml:space="preserve">智能解答                   </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 xml:space="preserve">UI界面设计，系统可通过业务模块选择常见问题，例如：社保、医保等 </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提供7*24小时的智能文本解答服务</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基于一呼解忧业务场景基础上，提供社保、医保等不同场景的建设</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转人工服务以及问题推荐</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政策速递</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设计菜单栏目功能，增加交通、社保、综合、公积金等不同的目录结构后，展示相应的政策/热点问答功能。</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支持全文检索功能</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后端支持二级菜单功能添加配置功能。</w:t>
            </w:r>
          </w:p>
        </w:tc>
      </w:tr>
      <w:tr>
        <w:tblPrEx>
          <w:tblCellMar>
            <w:top w:w="0" w:type="dxa"/>
            <w:left w:w="108" w:type="dxa"/>
            <w:bottom w:w="0" w:type="dxa"/>
            <w:right w:w="108" w:type="dxa"/>
          </w:tblCellMar>
        </w:tblPrEx>
        <w:trPr>
          <w:trHeight w:val="196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我的查询</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1、待受理模块：查询用户已提交代办理的事件工单列表，可点击查看具体工单事件内容。显示受理编号、工单代办类型、姓名、电话、处理状态、反应内容、紧急程度等相应信息。</w:t>
            </w:r>
          </w:p>
        </w:tc>
      </w:tr>
      <w:tr>
        <w:tblPrEx>
          <w:tblCellMar>
            <w:top w:w="0" w:type="dxa"/>
            <w:left w:w="108" w:type="dxa"/>
            <w:bottom w:w="0" w:type="dxa"/>
            <w:right w:w="108" w:type="dxa"/>
          </w:tblCellMar>
        </w:tblPrEx>
        <w:trPr>
          <w:trHeight w:val="253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2、已受理模块：查询统计用户提交已经办理后的内容列表，点击单个信息科查看具体工单的受理编号、工单类型、姓名、电话、处理状态、反应内容、紧急程度、回复信息、回复单位、处理结果等。点击立即评价，可提供对已回复的事件提供立即评价功能。</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3、已回复模块：提供为用户提供已回复的模块查询列表。通过点击可逐条查看具体内容以及已回复内容信息提供立即评价功能。</w:t>
            </w:r>
          </w:p>
        </w:tc>
      </w:tr>
      <w:tr>
        <w:tblPrEx>
          <w:tblCellMar>
            <w:top w:w="0" w:type="dxa"/>
            <w:left w:w="108" w:type="dxa"/>
            <w:bottom w:w="0" w:type="dxa"/>
            <w:right w:w="108" w:type="dxa"/>
          </w:tblCellMar>
        </w:tblPrEx>
        <w:trPr>
          <w:trHeight w:val="128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4、已评价模块： 提供为用户提供已评价的模块查询列表。通过点击可逐条查看具体内容以及已评价内容信息。</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一键呼</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一键呼叫萧山12345热线服务，可依据自动地理定位技术，精准呼转至镇街的话务坐席，增强属地化的及时响应能力和社会治理能力。</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w:t>
            </w:r>
          </w:p>
        </w:tc>
        <w:tc>
          <w:tcPr>
            <w:tcW w:w="1115"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萧山“一呼解忧”                移动治理端（浙政钉）</w:t>
            </w: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工单签收功能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手机端在线实时工单签收，随时随地可移动高效响应服务和工单处理。</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审核功能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移动端工单审核功能</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审批功能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移动端线上审批功能</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督办功能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移动端线上督办功能</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查询功能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移动端线上工单查询功能、进度查询功能、办理结果查询</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预警提示功能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移动端预警信息提示，针对各类监测预警场景设定提供移动端预警服务</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应急预案功能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预警提示后，提供应急预案参考信息，可以弹窗或详情页，内容可在一呼解忧智治系统进行模板自定义设置和知识库维护。</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分享推送功能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推送分享信息功能</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22</w:t>
            </w:r>
          </w:p>
        </w:tc>
        <w:tc>
          <w:tcPr>
            <w:tcW w:w="1115"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 xml:space="preserve">萧山“一呼解忧”                      智治系统                            </w:t>
            </w: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通信系统集成</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与话务系统集成改造(包含镇街坐席整套通信系统的集成、部署、调试等服务。</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镇街坐席</w:t>
            </w: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三级业务流转</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萧山区12345业务流程可调整为业务三级流转，即“区——镇街——村、社区”，准确将办件派发到社区、对应部门。</w:t>
            </w:r>
          </w:p>
        </w:tc>
      </w:tr>
      <w:tr>
        <w:tblPrEx>
          <w:tblCellMar>
            <w:top w:w="0" w:type="dxa"/>
            <w:left w:w="108" w:type="dxa"/>
            <w:bottom w:w="0" w:type="dxa"/>
            <w:right w:w="108" w:type="dxa"/>
          </w:tblCellMar>
        </w:tblPrEx>
        <w:trPr>
          <w:trHeight w:val="187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20路坐席许可</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各镇街将设立规模为20路的镇街坐席，给予系统三级账号，将区一级派发的工单进行相应的业务流转，使工单精准派发到村、社区的对应部门进行办件处理（3年-20路坐席）。</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智能坐席授权</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基于原12345系统集成和适配建设智能辅助坐席20路。</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话务报表</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针对镇街话务业务统计报表</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业务流转</w:t>
            </w: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镇街自建系统对接</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提供统一接口，对接具备自建能力的镇街一级自建系统，实现萧山区工单业务流转功能和数据同步。</w:t>
            </w:r>
          </w:p>
        </w:tc>
      </w:tr>
      <w:tr>
        <w:tblPrEx>
          <w:tblCellMar>
            <w:top w:w="0" w:type="dxa"/>
            <w:left w:w="108" w:type="dxa"/>
            <w:bottom w:w="0" w:type="dxa"/>
            <w:right w:w="108" w:type="dxa"/>
          </w:tblCellMar>
        </w:tblPrEx>
        <w:trPr>
          <w:trHeight w:val="163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增设“浙里访”平台流转</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根据调研，一网通管平台给出的一些答复意见过于简单，不符合信访答复要求。于此，各镇街工单增加浙里访平台流转，即建设为一网通管、浙里访“双平台流转”，使给出的答复意见满足信访的答复要求。</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29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首页设计与开发</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业务协同管理平台的页面UI设计以及功能的开发，包含：通知公告、办结事件、业务记录、案件满意度、案件分析等快捷模块设计</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业务受理</w:t>
            </w: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多媒体受理</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直接答复</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网络交办</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暂存</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设为无效件</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退回件受理</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直接答复</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网络交办</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暂存</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设为无效件</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办理流程辅助</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部门推荐</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根据历史工单交办部门，结合案件信息形成案件部门匹配模型，新受理案件通过匹配模型进行匹配，形成相关部门推荐信息</w:t>
            </w:r>
          </w:p>
        </w:tc>
      </w:tr>
      <w:tr>
        <w:tblPrEx>
          <w:tblCellMar>
            <w:top w:w="0" w:type="dxa"/>
            <w:left w:w="108" w:type="dxa"/>
            <w:bottom w:w="0" w:type="dxa"/>
            <w:right w:w="108" w:type="dxa"/>
          </w:tblCellMar>
        </w:tblPrEx>
        <w:trPr>
          <w:trHeight w:val="207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39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政策推荐</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工作人员在处理案件时，系统会根据案件描述提取关键字并进行建模，将关键字模型和描述相结合与政策库中知识进行特征匹配，将匹配度最高的结果推荐给工作人员。</w:t>
            </w:r>
          </w:p>
        </w:tc>
      </w:tr>
      <w:tr>
        <w:tblPrEx>
          <w:tblCellMar>
            <w:top w:w="0" w:type="dxa"/>
            <w:left w:w="108" w:type="dxa"/>
            <w:bottom w:w="0" w:type="dxa"/>
            <w:right w:w="108" w:type="dxa"/>
          </w:tblCellMar>
        </w:tblPrEx>
        <w:trPr>
          <w:trHeight w:val="205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关联案件推荐</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根据历史工单信息，反映人信息与案件信息，提取相应关键字，匹配相似度较高的工单进行推荐，新受理案件可与历史案件相关联。</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待办事项</w:t>
            </w: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中心分流</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工单交办</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针对需交办给镇街处理的工单，可交办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工单退回</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针对描述不清或信息补充错误的工单，可退回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继续受理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针对需交办给多个镇街的工单，可继续受理交办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未办理件</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工单反馈</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针对镇街能解答的工单，可看反馈给中心</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工单退回</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针对中心交办错的工单，可退回。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延期申请</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针对期限内无法办理的工单，可向中心申请延期</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新接收件</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签收</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已反馈件</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办结</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49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已督办件</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中心可查看已督办的件。</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已办理件</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镇街单位已反馈或已退回的件。</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已退回件</w:t>
            </w: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退回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2835"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延期申请审核</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针对镇街提交的延期申请，中心可通过或驳回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新收督办件</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督办反馈</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镇街可反馈中心的督办。</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详情</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基本信息</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展示该件基本信息</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业务流转信息</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展示该件业务流转信息</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审核信息</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展示该件的所有延期申请审核信息</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督查办理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展示该件的所有的督办信息</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nil"/>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已办事项</w:t>
            </w: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已交办件</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备注</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针对已交办的工单，中心可填写备注。</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nil"/>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督办</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针对重要的工单，中心可督办。</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办结事项</w:t>
            </w: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已办结件</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回访</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针对已办结的件，中心可抽查回访</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不满意件</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回访</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针对不满意的件，中心需回访。</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统计报表功能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受理报表:“一呼解忧”全渠道的受理量、在线服务以及内容类报表</w:t>
            </w:r>
          </w:p>
        </w:tc>
      </w:tr>
      <w:tr>
        <w:tblPrEx>
          <w:tblCellMar>
            <w:top w:w="0" w:type="dxa"/>
            <w:left w:w="108" w:type="dxa"/>
            <w:bottom w:w="0" w:type="dxa"/>
            <w:right w:w="108" w:type="dxa"/>
          </w:tblCellMar>
        </w:tblPrEx>
        <w:trPr>
          <w:trHeight w:val="100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处理报表: “一呼解忧”回访量、交办处报表，办理单位统计报表，根据转办时间统计办理单位的按时办复率、按时反馈率、办结率、逾期次数</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综合报表: “一呼解忧”运营管理统计报表</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智慧信访</w:t>
            </w: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智能派单模块</w:t>
            </w:r>
          </w:p>
        </w:tc>
        <w:tc>
          <w:tcPr>
            <w:tcW w:w="1843"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AI算法模型：算法模型开发。基于历史真实分派数据进行深度学习，构建智能分派算法模型，从而实现信件的智能分派。</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数据清洗：在用户反映内容中，对用户反映内容最终目的的识别是无效的，甚至会产生负面影响，对该类数据进行剔除。</w:t>
            </w:r>
          </w:p>
        </w:tc>
      </w:tr>
      <w:tr>
        <w:tblPrEx>
          <w:tblCellMar>
            <w:top w:w="0" w:type="dxa"/>
            <w:left w:w="108" w:type="dxa"/>
            <w:bottom w:w="0" w:type="dxa"/>
            <w:right w:w="108" w:type="dxa"/>
          </w:tblCellMar>
        </w:tblPrEx>
        <w:trPr>
          <w:trHeight w:val="30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vMerge w:val="continue"/>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特征工程：经过无用词剔除后的用户反映内容较为干净，但是一段文本中每个词对其表达的核心思想的贡献程度是不同的。特征工程就是找出对核心思想贡献较多的一部分词，用作计算机识别用户反映内容类别和推交办部门推荐的特征。</w:t>
            </w:r>
          </w:p>
        </w:tc>
      </w:tr>
      <w:tr>
        <w:tblPrEx>
          <w:tblCellMar>
            <w:top w:w="0" w:type="dxa"/>
            <w:left w:w="108" w:type="dxa"/>
            <w:bottom w:w="0" w:type="dxa"/>
            <w:right w:w="108" w:type="dxa"/>
          </w:tblCellMar>
        </w:tblPrEx>
        <w:trPr>
          <w:trHeight w:val="24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vMerge w:val="continue"/>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内容类别分类模型设计：通过用户反映内容、发生地、反映内容、信访途径、是否扬言、目的、内容分类、办理方式、办结信息、回访情况等特征，用深度学习模型构建反映内容分类器。</w:t>
            </w:r>
          </w:p>
        </w:tc>
      </w:tr>
      <w:tr>
        <w:tblPrEx>
          <w:tblCellMar>
            <w:top w:w="0" w:type="dxa"/>
            <w:left w:w="108" w:type="dxa"/>
            <w:bottom w:w="0" w:type="dxa"/>
            <w:right w:w="108" w:type="dxa"/>
          </w:tblCellMar>
        </w:tblPrEx>
        <w:trPr>
          <w:trHeight w:val="358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vMerge w:val="continue"/>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交办部门推荐设计：交办部门的推荐基于用户反映内容，用户反映内容的类别，用户反映内容的目的三个特征向用户推荐交办部门。通过textCNN文本分类器模型来对用户反映内容进行特征提取，从而完成交办部门的推荐。</w:t>
            </w:r>
          </w:p>
        </w:tc>
      </w:tr>
      <w:tr>
        <w:tblPrEx>
          <w:tblCellMar>
            <w:top w:w="0" w:type="dxa"/>
            <w:left w:w="108" w:type="dxa"/>
            <w:bottom w:w="0" w:type="dxa"/>
            <w:right w:w="108" w:type="dxa"/>
          </w:tblCellMar>
        </w:tblPrEx>
        <w:trPr>
          <w:trHeight w:val="372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69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vMerge w:val="continue"/>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训练用户反映内容分类模型和交办部门推荐模型：基于近几年的工单历史数据，来构建一个可以准确实现分类的模型，并通过微调，保证模型可以充分挖掘用户反映内容句子中每一个关键信息，实现识别准确率的最大化。</w:t>
            </w:r>
          </w:p>
        </w:tc>
      </w:tr>
      <w:tr>
        <w:tblPrEx>
          <w:tblCellMar>
            <w:top w:w="0" w:type="dxa"/>
            <w:left w:w="108" w:type="dxa"/>
            <w:bottom w:w="0" w:type="dxa"/>
            <w:right w:w="108" w:type="dxa"/>
          </w:tblCellMar>
        </w:tblPrEx>
        <w:trPr>
          <w:trHeight w:val="106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RPA流程自动化：机器人流程定制化开发。</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机器人工厂（RPA 设计器）：智能派单业务流程梳理与设计</w:t>
            </w:r>
          </w:p>
        </w:tc>
      </w:tr>
      <w:tr>
        <w:tblPrEx>
          <w:tblCellMar>
            <w:top w:w="0" w:type="dxa"/>
            <w:left w:w="108" w:type="dxa"/>
            <w:bottom w:w="0" w:type="dxa"/>
            <w:right w:w="108" w:type="dxa"/>
          </w:tblCellMar>
        </w:tblPrEx>
        <w:trPr>
          <w:trHeight w:val="114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vMerge w:val="continue"/>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终端机器人设计器流程加载，实现业务流程自动化运行</w:t>
            </w:r>
          </w:p>
        </w:tc>
      </w:tr>
      <w:tr>
        <w:tblPrEx>
          <w:tblCellMar>
            <w:top w:w="0" w:type="dxa"/>
            <w:left w:w="108" w:type="dxa"/>
            <w:bottom w:w="0" w:type="dxa"/>
            <w:right w:w="108" w:type="dxa"/>
          </w:tblCellMar>
        </w:tblPrEx>
        <w:trPr>
          <w:trHeight w:val="1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接口开发：完成机器人流程与算法模型之间的信息互通交换接口开发工作，保证系统间各部分子模块间可以正常协作完成工作。</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重点信访人员                                    数据采集                                   统计分析                           监测预警（需要业主方提供数据支持）</w:t>
            </w: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进京集体访</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来省集体访</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进京扰序未依法及时处置或未及时化解</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60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被送至国家分流安置点后未及时劝返接离和落地交接，发生滞 留或倒流的</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户籍地、居住地和事权地不一致的</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来信、走访、网上信访诉 求总量</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79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百万人口进京走访量</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国家信访局登记的来信和网上信访件</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来信、走访、网上初次信访事项化解率</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来信、 走访、网上重复信访比率</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信访积案化解清零</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已交办信访积案全部清零</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已清零信访积案每月再次信访率</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统计分析，进行平台和信息预警，提供应急处置预案模板可自定义，可在驾驶舱呈现</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极端访监测</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扬言件、信访积案</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重点镇街监测</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镇街、重点信访人数、较上期同比对比分析</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满意率统计分析</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国家信访局登记的信访事项</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89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事权单位和信访机构信访事项处理群众满意率</w:t>
            </w:r>
          </w:p>
        </w:tc>
      </w:tr>
      <w:tr>
        <w:tblPrEx>
          <w:tblCellMar>
            <w:top w:w="0" w:type="dxa"/>
            <w:left w:w="108" w:type="dxa"/>
            <w:bottom w:w="0" w:type="dxa"/>
            <w:right w:w="108" w:type="dxa"/>
          </w:tblCellMar>
        </w:tblPrEx>
        <w:trPr>
          <w:trHeight w:val="163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萧山乡镇（街道）五色图</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对驾驶舱进行建设，增加乡镇（街道）国家级、省级信访积案化解进度“动态五色图”应用展示，可以进行乡镇与机关单位的互相切换。（需要业主方提供数据支持）</w:t>
            </w:r>
          </w:p>
        </w:tc>
      </w:tr>
      <w:tr>
        <w:tblPrEx>
          <w:tblCellMar>
            <w:top w:w="0" w:type="dxa"/>
            <w:left w:w="108" w:type="dxa"/>
            <w:bottom w:w="0" w:type="dxa"/>
            <w:right w:w="108" w:type="dxa"/>
          </w:tblCellMar>
        </w:tblPrEx>
        <w:trPr>
          <w:trHeight w:val="219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效能指数</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按照杭州效能指数考核要求（市系统数据），展现交办数、按期办结率、回访核实率、群众评价满意率、重复交办率、并根据考核公式（萧山信访局提供）模拟计算得分，按照市系统刷新频率一天一更新。可在驾驶舱呈现。</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七张清单</w:t>
            </w: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突发预警</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按照镇街和分类进行切换，包括所属街道、承办量、环比对比分析</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重点案件监测</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按照督办件和批示件进行切换，包括分类、所属镇街、反映内容</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四大专项行动</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依据四大专项行动的监管内容进行数据采集、统计分析、监测预警、成果展示、可视化展现（需要业主方提供数据支持）</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十三专班</w:t>
            </w:r>
          </w:p>
        </w:tc>
        <w:tc>
          <w:tcPr>
            <w:tcW w:w="5528" w:type="dxa"/>
            <w:gridSpan w:val="2"/>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依据十三专班工作职责和范围进行对应数据采集、监测预警、成果展示、可视化展现（需要业主方提供数据支持）</w:t>
            </w:r>
          </w:p>
        </w:tc>
      </w:tr>
      <w:tr>
        <w:tblPrEx>
          <w:tblCellMar>
            <w:top w:w="0" w:type="dxa"/>
            <w:left w:w="108" w:type="dxa"/>
            <w:bottom w:w="0" w:type="dxa"/>
            <w:right w:w="108" w:type="dxa"/>
          </w:tblCellMar>
        </w:tblPrEx>
        <w:trPr>
          <w:trHeight w:val="327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tcBorders>
              <w:top w:val="nil"/>
              <w:left w:val="nil"/>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坐席监控管理</w:t>
            </w:r>
          </w:p>
        </w:tc>
        <w:tc>
          <w:tcPr>
            <w:tcW w:w="6520" w:type="dxa"/>
            <w:gridSpan w:val="3"/>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针对萧山区信访局坐席工作开展、运营管理、效能指数开展的统计分析、监测预警、效能分析：当日话务数据情况（受理量、人社话务量、综合席话务量、法律席话务量、接通率、受理质量满意率、上导准确率）数据实时更新。 当月话务数据情况（参照当日）、坐席亮灯、监测预警（扬言件、特级件、紧急件）高频来电预警问题展示、24小时话务量展现图、热点话务分类圆饼图（当月、当日）。各话务员以工号 展现交办件的办理质量满意率以及各话务员重复交办率（最高的排前面）。当日来电交办多的单位排序。可在驾驶舱做呈现和监测预警、平台进行管理。</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应急预警功能</w:t>
            </w:r>
          </w:p>
        </w:tc>
        <w:tc>
          <w:tcPr>
            <w:tcW w:w="6520" w:type="dxa"/>
            <w:gridSpan w:val="3"/>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提供扬言件预警，预警展示指定查询条件下的扬言件。</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提供突发事件预警，预警展示指定查询条件下的数量增幅异常的事件。</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99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综合查询功能</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业务记录查询</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扬言件查询</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重点信访人查询</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辅助模块</w:t>
            </w:r>
          </w:p>
        </w:tc>
        <w:tc>
          <w:tcPr>
            <w:tcW w:w="2835"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通知公告管理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发布新的通知公告信息，支持对已有通知公告信息管理维护。</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2835" w:type="dxa"/>
            <w:gridSpan w:val="2"/>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政策问答</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政策问答维护。</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系统管理模块</w:t>
            </w: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权限设置</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机构管理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机构单位的信息的增删改查。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部门管理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机构下部门信息的增删改查。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用户管理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部门下用户信息的增删改查。</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行政区划管理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市级、区县级、乡/所级行政区划信息的增删改查。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基础数据</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数据字典</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业务平台常用数据库元素增删改查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109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地址管理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各级办事单位行政地址的管理和维护。</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工作时间管理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各级办事单位工作时间管理和维护</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内容分类</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工单内容分类的增删改查。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分机IP管理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分机号、ip地址的增删改查。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系统参数管理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业务平台系统参数的增删改查。</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报表管理</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统计报表目录的增删改查。</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日志管理</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登录日志</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各账号登录日志查询。</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操作日志</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各账号操作日志查询。</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tcBorders>
              <w:top w:val="nil"/>
              <w:left w:val="nil"/>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网关服务</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 xml:space="preserve">服务路由  </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服务路由的增删改查。</w:t>
            </w:r>
          </w:p>
        </w:tc>
      </w:tr>
      <w:tr>
        <w:tblPrEx>
          <w:tblCellMar>
            <w:top w:w="0" w:type="dxa"/>
            <w:left w:w="108" w:type="dxa"/>
            <w:bottom w:w="0" w:type="dxa"/>
            <w:right w:w="108" w:type="dxa"/>
          </w:tblCellMar>
        </w:tblPrEx>
        <w:trPr>
          <w:trHeight w:val="78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118</w:t>
            </w:r>
          </w:p>
        </w:tc>
        <w:tc>
          <w:tcPr>
            <w:tcW w:w="1115"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5G智慧联络中心</w:t>
            </w:r>
          </w:p>
        </w:tc>
        <w:tc>
          <w:tcPr>
            <w:tcW w:w="993"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5G智慧联络中心</w:t>
            </w: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5G视频IVR</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视频IVR并发数</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60路视频IVR</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119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识别切换</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5G呼入与语音呼入识别，可进行自动切换</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欢迎可视化</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具备5G模式的可视化欢迎界面，可播放宣传视频，热点推送，最新政策等。</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智能可视化导航</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从传统的语音导航提示，建设成可视化智能导航机器人，更加友好方便的进行界面功能导航。</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排队等待可视化</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在进入人工队列时，增加可播放的视频，视频通常是常见业务，最新政策等。</w:t>
            </w:r>
          </w:p>
        </w:tc>
      </w:tr>
      <w:tr>
        <w:tblPrEx>
          <w:tblCellMar>
            <w:top w:w="0" w:type="dxa"/>
            <w:left w:w="108" w:type="dxa"/>
            <w:bottom w:w="0" w:type="dxa"/>
            <w:right w:w="108" w:type="dxa"/>
          </w:tblCellMar>
        </w:tblPrEx>
        <w:trPr>
          <w:trHeight w:val="18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智能可视化问答</w:t>
            </w:r>
          </w:p>
        </w:tc>
        <w:tc>
          <w:tcPr>
            <w:tcW w:w="3685" w:type="dxa"/>
            <w:tcBorders>
              <w:top w:val="nil"/>
              <w:left w:val="nil"/>
              <w:bottom w:val="single" w:color="000000" w:sz="8" w:space="0"/>
              <w:right w:val="single" w:color="000000" w:sz="8" w:space="0"/>
            </w:tcBorders>
            <w:shd w:val="clear" w:color="000000" w:fill="FFFFFF"/>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从传统的语音一问一答，建设成与智能问答机器人进行交互，并对内容进行可视化，直观的对问答情况进行界面展示(不包含视频制作)。</w:t>
            </w:r>
          </w:p>
        </w:tc>
      </w:tr>
      <w:tr>
        <w:tblPrEx>
          <w:tblCellMar>
            <w:top w:w="0" w:type="dxa"/>
            <w:left w:w="108" w:type="dxa"/>
            <w:bottom w:w="0" w:type="dxa"/>
            <w:right w:w="108" w:type="dxa"/>
          </w:tblCellMar>
        </w:tblPrEx>
        <w:trPr>
          <w:trHeight w:val="8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5G视频客服</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视频客服</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20路视频客服</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音视频通话</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支持音质视频模式，用户在通话中不希望进行视频互动时可以选择语音模式。</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内容提取</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语音转文本后，将自动提取文本中的关键词并高亮展示，支持回填至工单。</w:t>
            </w:r>
          </w:p>
        </w:tc>
      </w:tr>
      <w:tr>
        <w:tblPrEx>
          <w:tblCellMar>
            <w:top w:w="0" w:type="dxa"/>
            <w:left w:w="108" w:type="dxa"/>
            <w:bottom w:w="0" w:type="dxa"/>
            <w:right w:w="108" w:type="dxa"/>
          </w:tblCellMar>
        </w:tblPrEx>
        <w:trPr>
          <w:trHeight w:val="15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知识库联动</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语音转文本后，根据提取出的关键词内容，可以自动匹配知识库中的问答内容，方便坐席进行诉求解答。</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坐席辅助实时转写</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可以在通话过程中，实时将通话双方的语音对话内容进行文本的转换，并展示出来，供对话方查看。</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129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5G视频系统集成</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5G视频坐席与12345业务系统集成，保证业务通畅</w:t>
            </w:r>
          </w:p>
        </w:tc>
      </w:tr>
      <w:tr>
        <w:tblPrEx>
          <w:tblCellMar>
            <w:top w:w="0" w:type="dxa"/>
            <w:left w:w="108" w:type="dxa"/>
            <w:bottom w:w="0" w:type="dxa"/>
            <w:right w:w="108" w:type="dxa"/>
          </w:tblCellMar>
        </w:tblPrEx>
        <w:trPr>
          <w:trHeight w:val="6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5G消息</w:t>
            </w: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智能回落</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视终端支持情况，智能回落多种消息。</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富媒体消息</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支持高清图片、音频、视频、位置、文件等富媒体内容，带来更高的点击率。</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消息菜单</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定制化的菜单按钮和底部、悬浮菜单，支持自定义H5，有效提升转换率。</w:t>
            </w:r>
          </w:p>
        </w:tc>
      </w:tr>
      <w:tr>
        <w:tblPrEx>
          <w:tblCellMar>
            <w:top w:w="0" w:type="dxa"/>
            <w:left w:w="108" w:type="dxa"/>
            <w:bottom w:w="0" w:type="dxa"/>
            <w:right w:w="108" w:type="dxa"/>
          </w:tblCellMar>
        </w:tblPrEx>
        <w:trPr>
          <w:trHeight w:val="12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消息智能交互</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聊天式的智能交互，语音识别、语意识别、智能识图等AI能力加持，服务更便捷。</w:t>
            </w:r>
          </w:p>
        </w:tc>
      </w:tr>
      <w:tr>
        <w:tblPrEx>
          <w:tblCellMar>
            <w:top w:w="0" w:type="dxa"/>
            <w:left w:w="108" w:type="dxa"/>
            <w:bottom w:w="0" w:type="dxa"/>
            <w:right w:w="108" w:type="dxa"/>
          </w:tblCellMar>
        </w:tblPrEx>
        <w:trPr>
          <w:trHeight w:val="213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业务回访</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根据业务需求的具体情况，通过工单类型、单号等信息生成具体的业务回访模板，5G消息平台可以发送该回访问卷至用户手机端进行业务办理回访调查。</w:t>
            </w:r>
          </w:p>
        </w:tc>
      </w:tr>
      <w:tr>
        <w:tblPrEx>
          <w:tblCellMar>
            <w:top w:w="0" w:type="dxa"/>
            <w:left w:w="108" w:type="dxa"/>
            <w:bottom w:w="0" w:type="dxa"/>
            <w:right w:w="108" w:type="dxa"/>
          </w:tblCellMar>
        </w:tblPrEx>
        <w:trPr>
          <w:trHeight w:val="9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精准推送</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根据用户画像信息，精准推送政策热点、问卷调查、业务情况等消息内容。</w:t>
            </w:r>
          </w:p>
        </w:tc>
      </w:tr>
      <w:tr>
        <w:tblPrEx>
          <w:tblCellMar>
            <w:top w:w="0" w:type="dxa"/>
            <w:left w:w="108" w:type="dxa"/>
            <w:bottom w:w="0" w:type="dxa"/>
            <w:right w:w="108" w:type="dxa"/>
          </w:tblCellMar>
        </w:tblPrEx>
        <w:trPr>
          <w:trHeight w:val="1395"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992"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1843" w:type="dxa"/>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发送消息数量</w:t>
            </w:r>
          </w:p>
        </w:tc>
        <w:tc>
          <w:tcPr>
            <w:tcW w:w="3685" w:type="dxa"/>
            <w:tcBorders>
              <w:top w:val="nil"/>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5G消息，总计20万条消息</w:t>
            </w:r>
          </w:p>
        </w:tc>
      </w:tr>
      <w:tr>
        <w:tblPrEx>
          <w:tblCellMar>
            <w:top w:w="0" w:type="dxa"/>
            <w:left w:w="108" w:type="dxa"/>
            <w:bottom w:w="0" w:type="dxa"/>
            <w:right w:w="108" w:type="dxa"/>
          </w:tblCellMar>
        </w:tblPrEx>
        <w:trPr>
          <w:trHeight w:val="30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139</w:t>
            </w:r>
          </w:p>
        </w:tc>
        <w:tc>
          <w:tcPr>
            <w:tcW w:w="1115" w:type="dxa"/>
            <w:vMerge w:val="restar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b/>
                <w:bCs/>
                <w:color w:val="000000"/>
                <w:kern w:val="0"/>
                <w:sz w:val="24"/>
              </w:rPr>
            </w:pPr>
            <w:r>
              <w:rPr>
                <w:rFonts w:hint="eastAsia" w:ascii="宋体" w:hAnsi="宋体" w:cs="宋体"/>
                <w:b/>
                <w:bCs/>
                <w:color w:val="000000"/>
                <w:kern w:val="0"/>
                <w:sz w:val="24"/>
              </w:rPr>
              <w:t>数据接口与平台对接</w:t>
            </w: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省市民呼我为接口对接</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热线通话信息对接</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热线工单数据信息对接</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事项办理过程及结果信息对接满意度</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满意度评价信息对接</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一网统管数据对接</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信访数据交办接口，提供基础受理信息</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工单结果信息查询接口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145</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查询待办工单接口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146</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确认待处理工单接口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147</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办结工单接口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148</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接入单位处理退回接口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149</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延期申请信息接口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150</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延期申请审核结果获取接口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151</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满意度信息获取接口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152</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restart"/>
            <w:tcBorders>
              <w:top w:val="nil"/>
              <w:left w:val="single" w:color="000000" w:sz="8" w:space="0"/>
              <w:bottom w:val="single" w:color="000000" w:sz="8" w:space="0"/>
              <w:right w:val="single" w:color="000000" w:sz="8" w:space="0"/>
            </w:tcBorders>
            <w:shd w:val="clear" w:color="000000" w:fill="FFFFFF"/>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镇街系统接口</w:t>
            </w: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信访数据增加接口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153</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本地信访件上传接口</w:t>
            </w:r>
          </w:p>
        </w:tc>
      </w:tr>
      <w:tr>
        <w:tblPrEx>
          <w:tblCellMar>
            <w:top w:w="0" w:type="dxa"/>
            <w:left w:w="108" w:type="dxa"/>
            <w:bottom w:w="0" w:type="dxa"/>
            <w:right w:w="108" w:type="dxa"/>
          </w:tblCellMar>
        </w:tblPrEx>
        <w:trPr>
          <w:trHeight w:val="310" w:hRule="atLeast"/>
          <w:jc w:val="center"/>
        </w:trPr>
        <w:tc>
          <w:tcPr>
            <w:tcW w:w="576" w:type="dxa"/>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jc w:val="center"/>
              <w:rPr>
                <w:rFonts w:ascii="宋体" w:hAnsi="宋体" w:cs="宋体"/>
                <w:color w:val="000000"/>
                <w:kern w:val="0"/>
                <w:sz w:val="24"/>
              </w:rPr>
            </w:pPr>
            <w:r>
              <w:rPr>
                <w:rFonts w:hint="eastAsia" w:ascii="宋体" w:hAnsi="宋体" w:cs="宋体"/>
                <w:color w:val="000000"/>
                <w:kern w:val="0"/>
                <w:sz w:val="24"/>
              </w:rPr>
              <w:t>154</w:t>
            </w:r>
          </w:p>
        </w:tc>
        <w:tc>
          <w:tcPr>
            <w:tcW w:w="1115"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b/>
                <w:bCs/>
                <w:color w:val="000000"/>
                <w:kern w:val="0"/>
                <w:sz w:val="24"/>
              </w:rPr>
            </w:pPr>
          </w:p>
        </w:tc>
        <w:tc>
          <w:tcPr>
            <w:tcW w:w="993" w:type="dxa"/>
            <w:vMerge w:val="continue"/>
            <w:tcBorders>
              <w:top w:val="nil"/>
              <w:left w:val="single" w:color="000000" w:sz="8" w:space="0"/>
              <w:bottom w:val="single" w:color="000000" w:sz="8" w:space="0"/>
              <w:right w:val="single" w:color="000000" w:sz="8" w:space="0"/>
            </w:tcBorders>
            <w:vAlign w:val="center"/>
          </w:tcPr>
          <w:p>
            <w:pPr>
              <w:widowControl/>
              <w:spacing w:line="240" w:lineRule="auto"/>
              <w:jc w:val="left"/>
              <w:rPr>
                <w:rFonts w:ascii="宋体" w:hAnsi="宋体" w:cs="宋体"/>
                <w:color w:val="000000"/>
                <w:kern w:val="0"/>
                <w:sz w:val="24"/>
              </w:rPr>
            </w:pPr>
          </w:p>
        </w:tc>
        <w:tc>
          <w:tcPr>
            <w:tcW w:w="6520" w:type="dxa"/>
            <w:gridSpan w:val="3"/>
            <w:tcBorders>
              <w:top w:val="single" w:color="000000" w:sz="8" w:space="0"/>
              <w:left w:val="nil"/>
              <w:bottom w:val="single" w:color="000000" w:sz="8" w:space="0"/>
              <w:right w:val="single" w:color="000000" w:sz="8" w:space="0"/>
            </w:tcBorders>
            <w:shd w:val="clear" w:color="auto" w:fill="auto"/>
            <w:vAlign w:val="center"/>
          </w:tcPr>
          <w:p>
            <w:pPr>
              <w:widowControl/>
              <w:spacing w:line="240" w:lineRule="auto"/>
              <w:jc w:val="left"/>
              <w:rPr>
                <w:rFonts w:ascii="宋体" w:hAnsi="宋体" w:cs="宋体"/>
                <w:color w:val="000000"/>
                <w:kern w:val="0"/>
                <w:sz w:val="24"/>
              </w:rPr>
            </w:pPr>
            <w:r>
              <w:rPr>
                <w:rFonts w:hint="eastAsia" w:ascii="宋体" w:hAnsi="宋体" w:cs="宋体"/>
                <w:color w:val="000000"/>
                <w:kern w:val="0"/>
                <w:sz w:val="24"/>
              </w:rPr>
              <w:t>重点信访件上传接口</w:t>
            </w:r>
          </w:p>
        </w:tc>
      </w:tr>
    </w:tbl>
    <w:p>
      <w:pPr>
        <w:rPr>
          <w:lang w:eastAsia="zh-Hans"/>
        </w:rPr>
      </w:pPr>
    </w:p>
    <w:p>
      <w:pPr>
        <w:pStyle w:val="5"/>
        <w:rPr>
          <w:color w:val="000000" w:themeColor="text1"/>
          <w14:textFill>
            <w14:solidFill>
              <w14:schemeClr w14:val="tx1"/>
            </w14:solidFill>
          </w14:textFill>
        </w:rPr>
      </w:pPr>
      <w:bookmarkStart w:id="501" w:name="_Toc118808329"/>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 xml:space="preserve">5 </w:t>
      </w:r>
      <w:r>
        <w:rPr>
          <w:rFonts w:hint="eastAsia" w:ascii="宋体" w:hAnsi="宋体"/>
          <w:color w:val="000000" w:themeColor="text1"/>
          <w14:textFill>
            <w14:solidFill>
              <w14:schemeClr w14:val="tx1"/>
            </w14:solidFill>
          </w14:textFill>
        </w:rPr>
        <w:t>推进数字政府建设“三张清单”内容</w:t>
      </w:r>
      <w:bookmarkEnd w:id="501"/>
    </w:p>
    <w:p>
      <w:pPr>
        <w:rPr>
          <w:rFonts w:asciiTheme="minorEastAsia" w:hAnsiTheme="minorEastAsia" w:eastAsiaTheme="minorEastAsia"/>
          <w:color w:val="000000" w:themeColor="text1"/>
          <w:szCs w:val="28"/>
          <w14:textFill>
            <w14:solidFill>
              <w14:schemeClr w14:val="tx1"/>
            </w14:solidFill>
          </w14:textFill>
        </w:rPr>
        <w:sectPr>
          <w:pgSz w:w="11906" w:h="16838"/>
          <w:pgMar w:top="1440" w:right="1080" w:bottom="1440" w:left="1080" w:header="851" w:footer="992" w:gutter="0"/>
          <w:cols w:space="425" w:num="1"/>
          <w:docGrid w:type="lines" w:linePitch="312" w:charSpace="0"/>
        </w:sectPr>
      </w:pPr>
    </w:p>
    <w:tbl>
      <w:tblPr>
        <w:tblStyle w:val="38"/>
        <w:tblW w:w="5000" w:type="pct"/>
        <w:tblInd w:w="0" w:type="dxa"/>
        <w:tblLayout w:type="autofit"/>
        <w:tblCellMar>
          <w:top w:w="0" w:type="dxa"/>
          <w:left w:w="108" w:type="dxa"/>
          <w:bottom w:w="0" w:type="dxa"/>
          <w:right w:w="108" w:type="dxa"/>
        </w:tblCellMar>
      </w:tblPr>
      <w:tblGrid>
        <w:gridCol w:w="476"/>
        <w:gridCol w:w="736"/>
        <w:gridCol w:w="737"/>
        <w:gridCol w:w="737"/>
        <w:gridCol w:w="737"/>
        <w:gridCol w:w="997"/>
        <w:gridCol w:w="737"/>
        <w:gridCol w:w="737"/>
        <w:gridCol w:w="737"/>
        <w:gridCol w:w="607"/>
        <w:gridCol w:w="607"/>
        <w:gridCol w:w="607"/>
        <w:gridCol w:w="607"/>
        <w:gridCol w:w="607"/>
        <w:gridCol w:w="1257"/>
        <w:gridCol w:w="997"/>
        <w:gridCol w:w="997"/>
        <w:gridCol w:w="1257"/>
      </w:tblGrid>
      <w:tr>
        <w:tblPrEx>
          <w:tblCellMar>
            <w:top w:w="0" w:type="dxa"/>
            <w:left w:w="108" w:type="dxa"/>
            <w:bottom w:w="0" w:type="dxa"/>
            <w:right w:w="108" w:type="dxa"/>
          </w:tblCellMar>
        </w:tblPrEx>
        <w:trPr>
          <w:trHeight w:val="660" w:hRule="atLeast"/>
        </w:trPr>
        <w:tc>
          <w:tcPr>
            <w:tcW w:w="1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rFonts w:ascii="宋体" w:hAnsi="宋体" w:cs="宋体"/>
                <w:b/>
                <w:bCs/>
                <w:color w:val="000000" w:themeColor="text1"/>
                <w:kern w:val="0"/>
                <w:sz w:val="32"/>
                <w:szCs w:val="32"/>
                <w14:textFill>
                  <w14:solidFill>
                    <w14:schemeClr w14:val="tx1"/>
                  </w14:solidFill>
                </w14:textFill>
              </w:rPr>
            </w:pPr>
            <w:r>
              <w:rPr>
                <w:rFonts w:hint="eastAsia" w:ascii="宋体" w:hAnsi="宋体" w:cs="宋体"/>
                <w:b/>
                <w:bCs/>
                <w:color w:val="000000" w:themeColor="text1"/>
                <w:kern w:val="0"/>
                <w:sz w:val="32"/>
                <w:szCs w:val="32"/>
                <w14:textFill>
                  <w14:solidFill>
                    <w14:schemeClr w14:val="tx1"/>
                  </w14:solidFill>
                </w14:textFill>
              </w:rPr>
              <w:t>　</w:t>
            </w:r>
          </w:p>
        </w:tc>
        <w:tc>
          <w:tcPr>
            <w:tcW w:w="1248" w:type="pct"/>
            <w:gridSpan w:val="4"/>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 w:val="32"/>
                <w:szCs w:val="32"/>
                <w14:textFill>
                  <w14:solidFill>
                    <w14:schemeClr w14:val="tx1"/>
                  </w14:solidFill>
                </w14:textFill>
              </w:rPr>
            </w:pPr>
            <w:r>
              <w:rPr>
                <w:rFonts w:hint="eastAsia" w:ascii="宋体" w:hAnsi="宋体" w:cs="宋体"/>
                <w:b/>
                <w:bCs/>
                <w:color w:val="000000" w:themeColor="text1"/>
                <w:kern w:val="0"/>
                <w:sz w:val="32"/>
                <w:szCs w:val="32"/>
                <w14:textFill>
                  <w14:solidFill>
                    <w14:schemeClr w14:val="tx1"/>
                  </w14:solidFill>
                </w14:textFill>
              </w:rPr>
              <w:t>重大需求</w:t>
            </w:r>
          </w:p>
        </w:tc>
        <w:tc>
          <w:tcPr>
            <w:tcW w:w="2655" w:type="pct"/>
            <w:gridSpan w:val="10"/>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 w:val="32"/>
                <w:szCs w:val="32"/>
                <w14:textFill>
                  <w14:solidFill>
                    <w14:schemeClr w14:val="tx1"/>
                  </w14:solidFill>
                </w14:textFill>
              </w:rPr>
            </w:pPr>
            <w:r>
              <w:rPr>
                <w:rFonts w:hint="eastAsia" w:ascii="宋体" w:hAnsi="宋体" w:cs="宋体"/>
                <w:b/>
                <w:bCs/>
                <w:color w:val="000000" w:themeColor="text1"/>
                <w:kern w:val="0"/>
                <w:sz w:val="32"/>
                <w:szCs w:val="32"/>
                <w14:textFill>
                  <w14:solidFill>
                    <w14:schemeClr w14:val="tx1"/>
                  </w14:solidFill>
                </w14:textFill>
              </w:rPr>
              <w:t>多跨场景</w:t>
            </w:r>
          </w:p>
        </w:tc>
        <w:tc>
          <w:tcPr>
            <w:tcW w:w="988" w:type="pct"/>
            <w:gridSpan w:val="3"/>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 w:val="32"/>
                <w:szCs w:val="32"/>
                <w14:textFill>
                  <w14:solidFill>
                    <w14:schemeClr w14:val="tx1"/>
                  </w14:solidFill>
                </w14:textFill>
              </w:rPr>
            </w:pPr>
            <w:r>
              <w:rPr>
                <w:rFonts w:hint="eastAsia" w:ascii="宋体" w:hAnsi="宋体" w:cs="宋体"/>
                <w:b/>
                <w:bCs/>
                <w:color w:val="000000" w:themeColor="text1"/>
                <w:kern w:val="0"/>
                <w:sz w:val="32"/>
                <w:szCs w:val="32"/>
                <w14:textFill>
                  <w14:solidFill>
                    <w14:schemeClr w14:val="tx1"/>
                  </w14:solidFill>
                </w14:textFill>
              </w:rPr>
              <w:t>改革任务</w:t>
            </w:r>
          </w:p>
        </w:tc>
      </w:tr>
      <w:tr>
        <w:tblPrEx>
          <w:tblCellMar>
            <w:top w:w="0" w:type="dxa"/>
            <w:left w:w="108" w:type="dxa"/>
            <w:bottom w:w="0" w:type="dxa"/>
            <w:right w:w="108" w:type="dxa"/>
          </w:tblCellMar>
        </w:tblPrEx>
        <w:trPr>
          <w:trHeight w:val="375" w:hRule="atLeast"/>
        </w:trPr>
        <w:tc>
          <w:tcPr>
            <w:tcW w:w="10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序号</w:t>
            </w:r>
          </w:p>
        </w:tc>
        <w:tc>
          <w:tcPr>
            <w:tcW w:w="19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需求事项</w:t>
            </w:r>
          </w:p>
        </w:tc>
        <w:tc>
          <w:tcPr>
            <w:tcW w:w="216"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需求来源</w:t>
            </w:r>
          </w:p>
        </w:tc>
        <w:tc>
          <w:tcPr>
            <w:tcW w:w="524"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需求类型</w:t>
            </w:r>
          </w:p>
        </w:tc>
        <w:tc>
          <w:tcPr>
            <w:tcW w:w="30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需求描述</w:t>
            </w:r>
          </w:p>
        </w:tc>
        <w:tc>
          <w:tcPr>
            <w:tcW w:w="247"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多跨场景名称</w:t>
            </w:r>
          </w:p>
        </w:tc>
        <w:tc>
          <w:tcPr>
            <w:tcW w:w="185"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建设状态</w:t>
            </w:r>
          </w:p>
        </w:tc>
        <w:tc>
          <w:tcPr>
            <w:tcW w:w="30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场景描述</w:t>
            </w:r>
          </w:p>
        </w:tc>
        <w:tc>
          <w:tcPr>
            <w:tcW w:w="30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服务对象</w:t>
            </w:r>
          </w:p>
        </w:tc>
        <w:tc>
          <w:tcPr>
            <w:tcW w:w="1235"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五跨协同情况</w:t>
            </w:r>
          </w:p>
        </w:tc>
        <w:tc>
          <w:tcPr>
            <w:tcW w:w="37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“小切口”子场景</w:t>
            </w:r>
          </w:p>
        </w:tc>
        <w:tc>
          <w:tcPr>
            <w:tcW w:w="30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改革事项名称</w:t>
            </w:r>
          </w:p>
        </w:tc>
        <w:tc>
          <w:tcPr>
            <w:tcW w:w="30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改革事项描述</w:t>
            </w:r>
          </w:p>
        </w:tc>
        <w:tc>
          <w:tcPr>
            <w:tcW w:w="37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改革创新性领先性</w:t>
            </w:r>
          </w:p>
        </w:tc>
      </w:tr>
      <w:tr>
        <w:tblPrEx>
          <w:tblCellMar>
            <w:top w:w="0" w:type="dxa"/>
            <w:left w:w="108" w:type="dxa"/>
            <w:bottom w:w="0" w:type="dxa"/>
            <w:right w:w="108" w:type="dxa"/>
          </w:tblCellMar>
        </w:tblPrEx>
        <w:trPr>
          <w:trHeight w:val="375" w:hRule="atLeast"/>
        </w:trPr>
        <w:tc>
          <w:tcPr>
            <w:tcW w:w="108"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199"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216"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524"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309"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247"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185"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309"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309"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247"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跨层级</w:t>
            </w:r>
          </w:p>
        </w:tc>
        <w:tc>
          <w:tcPr>
            <w:tcW w:w="247"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跨地域</w:t>
            </w:r>
          </w:p>
        </w:tc>
        <w:tc>
          <w:tcPr>
            <w:tcW w:w="247"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跨系统</w:t>
            </w:r>
          </w:p>
        </w:tc>
        <w:tc>
          <w:tcPr>
            <w:tcW w:w="247"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跨部门</w:t>
            </w:r>
          </w:p>
        </w:tc>
        <w:tc>
          <w:tcPr>
            <w:tcW w:w="247"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r>
              <w:rPr>
                <w:rFonts w:hint="eastAsia" w:ascii="宋体" w:hAnsi="宋体" w:cs="宋体"/>
                <w:b/>
                <w:bCs/>
                <w:color w:val="000000" w:themeColor="text1"/>
                <w:kern w:val="0"/>
                <w:szCs w:val="28"/>
                <w14:textFill>
                  <w14:solidFill>
                    <w14:schemeClr w14:val="tx1"/>
                  </w14:solidFill>
                </w14:textFill>
              </w:rPr>
              <w:t>跨业务</w:t>
            </w:r>
          </w:p>
        </w:tc>
        <w:tc>
          <w:tcPr>
            <w:tcW w:w="370"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309"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309"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c>
          <w:tcPr>
            <w:tcW w:w="370" w:type="pct"/>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b/>
                <w:bCs/>
                <w:color w:val="000000" w:themeColor="text1"/>
                <w:kern w:val="0"/>
                <w:szCs w:val="28"/>
                <w14:textFill>
                  <w14:solidFill>
                    <w14:schemeClr w14:val="tx1"/>
                  </w14:solidFill>
                </w14:textFill>
              </w:rPr>
            </w:pPr>
          </w:p>
        </w:tc>
      </w:tr>
      <w:tr>
        <w:tblPrEx>
          <w:tblCellMar>
            <w:top w:w="0" w:type="dxa"/>
            <w:left w:w="108" w:type="dxa"/>
            <w:bottom w:w="0" w:type="dxa"/>
            <w:right w:w="108" w:type="dxa"/>
          </w:tblCellMar>
        </w:tblPrEx>
        <w:trPr>
          <w:trHeight w:val="5280" w:hRule="atLeast"/>
        </w:trPr>
        <w:tc>
          <w:tcPr>
            <w:tcW w:w="1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t>1</w:t>
            </w:r>
          </w:p>
        </w:tc>
        <w:tc>
          <w:tcPr>
            <w:tcW w:w="19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以现有浙江省统一建设系统的基础上进行深化开发，拓宽信访渠道，满足镇街受理及业务延伸，并通过5G技术与指挥调度模块的建设，满足数字赋能要求，提升12345服务能力，强化疑难信访处置能力。</w:t>
            </w:r>
          </w:p>
        </w:tc>
        <w:tc>
          <w:tcPr>
            <w:tcW w:w="21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为响应浙江省民呼我为应用场景多跨场景建设，实现社会矛盾90%以上问题基层化解的治理要求，该项目获得浙江省信访局“民呼我为”应用场景“一呼解忧”2022年试点函。</w:t>
            </w:r>
          </w:p>
        </w:tc>
        <w:tc>
          <w:tcPr>
            <w:tcW w:w="524"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群众关注的高频事项；提升治理能力；防范化解重大风险隐患。</w:t>
            </w:r>
          </w:p>
        </w:tc>
        <w:tc>
          <w:tcPr>
            <w:tcW w:w="30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【数据利用】：</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信访件及重点信访人数据、效能指数考核数据、预警预测与研判调度数据。</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【需求描述】：</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拓宽受理渠道，实现数据归集，预警预测，研判分析；多跨协同、数字赋能、整体智治、高效处置一件事的需求；夯实信访队伍，加强区级部门、镇街、村社三级联动，进一步提升信访事件应急处置能力的需求。</w:t>
            </w:r>
          </w:p>
        </w:tc>
        <w:tc>
          <w:tcPr>
            <w:tcW w:w="24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“一呼解忧”多媒体全渠道受理能力功能扩容</w:t>
            </w:r>
          </w:p>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项目。</w:t>
            </w:r>
          </w:p>
        </w:tc>
        <w:tc>
          <w:tcPr>
            <w:tcW w:w="1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【新谋划提出】</w:t>
            </w:r>
          </w:p>
        </w:tc>
        <w:tc>
          <w:tcPr>
            <w:tcW w:w="30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1.拓宽受理渠道，建设多跨场景应用平台；</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2.基层延申，增加基层镇街解决渠道，实现数据归集和分析；</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3.着力全媒体5G+智能化集成模式思维推进信访热线服务的数智化转型升级。</w:t>
            </w:r>
          </w:p>
        </w:tc>
        <w:tc>
          <w:tcPr>
            <w:tcW w:w="30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1.萧山市民；</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2.话务坐席人员；</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3.级政府信访部门和各职能部门专门接待群众来访的工作人员；</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4.各级政府部门和各职能部门专门负责信访工作的主要管理人员</w:t>
            </w:r>
          </w:p>
        </w:tc>
        <w:tc>
          <w:tcPr>
            <w:tcW w:w="24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【省】【市】【区县】【镇街】【村社】五级贯通</w:t>
            </w:r>
          </w:p>
        </w:tc>
        <w:tc>
          <w:tcPr>
            <w:tcW w:w="24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w:t>
            </w:r>
          </w:p>
        </w:tc>
        <w:tc>
          <w:tcPr>
            <w:tcW w:w="24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【数字社会】</w:t>
            </w:r>
          </w:p>
        </w:tc>
        <w:tc>
          <w:tcPr>
            <w:tcW w:w="24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政法委、社会组织</w:t>
            </w:r>
          </w:p>
        </w:tc>
        <w:tc>
          <w:tcPr>
            <w:tcW w:w="24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信访业务、基层业务、社会组织业务</w:t>
            </w:r>
          </w:p>
        </w:tc>
        <w:tc>
          <w:tcPr>
            <w:tcW w:w="37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1.拓宽受理渠道。“一呼解忧”将承担萧山区投诉渠道整合的任务；</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2.镇街受理及向下延伸。通过受理下沉，矛盾化解在一线，做到大事小事不出镇；</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3.12345业务系统适配。完成云通信与坐席辅助的适配建设，并赋能5G多媒体通讯；</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4.建设“一呼解忧”服务端、移动治理端、智治系统，并通过指挥调度模块的建设，强化疑难信访处置能力。</w:t>
            </w:r>
          </w:p>
        </w:tc>
        <w:tc>
          <w:tcPr>
            <w:tcW w:w="30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以现有浙江省统一建设系统的基础上进行深化开发，拓宽信访渠道，满足镇街受理及业务延伸，进行12345系统适配与5G赋能，并通过服务端（浙里办）、移动治理端（浙政钉）和智治系统，推动政务服务提质增效，通过指挥调度模块的建设，强化疑难信访处置能力，不断提升跨层级、跨地域、跨部门、跨系统、跨业务的协同管理和服务水平，为基层减负。</w:t>
            </w:r>
          </w:p>
        </w:tc>
        <w:tc>
          <w:tcPr>
            <w:tcW w:w="30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【体制机制创新】：</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1.以省市区镇贯通为基础，向下延伸到村社，实现五级贯通，最终通过三支队伍（综合治理队伍、矛盾调处队伍、网格处置队伍）进行协同处置；</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2.从不同层面组建1618名信访工作人员，全力打造信访铁军，强化保障组织体系全层级建设；</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3.通过三支队伍的数据收集，流程办理的全量数据在镇级平台沉淀，并向区级平台归集，实现数据归集与资源共享。</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【流程业务重塑】：</w:t>
            </w:r>
            <w:r>
              <w:rPr>
                <w:rFonts w:hint="eastAsia" w:ascii="宋体" w:hAnsi="宋体" w:cs="宋体"/>
                <w:color w:val="000000" w:themeColor="text1"/>
                <w:kern w:val="0"/>
                <w:sz w:val="22"/>
                <w:szCs w:val="22"/>
                <w14:textFill>
                  <w14:solidFill>
                    <w14:schemeClr w14:val="tx1"/>
                  </w14:solidFill>
                </w14:textFill>
              </w:rPr>
              <w:br w:type="textWrapping"/>
            </w:r>
            <w:r>
              <w:rPr>
                <w:rFonts w:hint="eastAsia" w:ascii="宋体" w:hAnsi="宋体" w:cs="宋体"/>
                <w:color w:val="000000" w:themeColor="text1"/>
                <w:kern w:val="0"/>
                <w:sz w:val="22"/>
                <w:szCs w:val="22"/>
                <w14:textFill>
                  <w14:solidFill>
                    <w14:schemeClr w14:val="tx1"/>
                  </w14:solidFill>
                </w14:textFill>
              </w:rPr>
              <w:t>1.在区级层面，一呼解忧整合了区级受理的所有渠道，包含12345、萧山发布、网络问政、文明城市等。实现受理整合，信访事件全量接入；（流）</w:t>
            </w:r>
          </w:p>
        </w:tc>
        <w:tc>
          <w:tcPr>
            <w:tcW w:w="37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以数字化改革为引领，将“一呼解忧”场景建设作为萧山区信访部门建设共同富裕示范区、推动实现市域社会治理现代化、探索实践信访工作制度改革的一项重要举措，在发挥好“12345”民生客服、政务顾问作用，借力好 “浙里办”一网统管、省市民呼我为等优势的基础上，构建省、市、区县、镇街、村社五级贯通，实现线上线下融合、部门条块贯通、渠道系统融合、资源力量整合的“民呼我为”应用场景和服务模式。</w:t>
            </w:r>
          </w:p>
        </w:tc>
      </w:tr>
    </w:tbl>
    <w:p>
      <w:pPr>
        <w:rPr>
          <w:rFonts w:asciiTheme="minorEastAsia" w:hAnsiTheme="minorEastAsia" w:eastAsiaTheme="minorEastAsia"/>
          <w:color w:val="000000" w:themeColor="text1"/>
          <w:szCs w:val="28"/>
          <w14:textFill>
            <w14:solidFill>
              <w14:schemeClr w14:val="tx1"/>
            </w14:solidFill>
          </w14:textFill>
        </w:rPr>
      </w:pPr>
    </w:p>
    <w:sectPr>
      <w:pgSz w:w="16838" w:h="11906" w:orient="landscape"/>
      <w:pgMar w:top="1077" w:right="1440" w:bottom="1077" w:left="1440" w:header="851" w:footer="992" w:gutter="0"/>
      <w:cols w:space="425"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Garamond">
    <w:panose1 w:val="02020404030301010803"/>
    <w:charset w:val="00"/>
    <w:family w:val="roman"/>
    <w:pitch w:val="default"/>
    <w:sig w:usb0="00000287" w:usb1="00000000" w:usb2="00000000" w:usb3="00000000" w:csb0="0000009F" w:csb1="DFD70000"/>
  </w:font>
  <w:font w:name="DejaVu Sans">
    <w:altName w:val="Ebrima"/>
    <w:panose1 w:val="00000000000000000000"/>
    <w:charset w:val="00"/>
    <w:family w:val="roman"/>
    <w:pitch w:val="default"/>
    <w:sig w:usb0="00000000" w:usb1="00000000" w:usb2="0A246029" w:usb3="0400200C" w:csb0="600001FF" w:csb1="DFFF0000"/>
  </w:font>
  <w:font w:name="Ebrima">
    <w:panose1 w:val="02000000000000000000"/>
    <w:charset w:val="00"/>
    <w:family w:val="auto"/>
    <w:pitch w:val="default"/>
    <w:sig w:usb0="A000505F" w:usb1="02000041" w:usb2="00000800" w:usb3="00000404" w:csb0="00000093"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华文细黑">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Book Antiqua">
    <w:panose1 w:val="02040602050305030304"/>
    <w:charset w:val="00"/>
    <w:family w:val="roman"/>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Light">
    <w:panose1 w:val="020B0502040204020203"/>
    <w:charset w:val="86"/>
    <w:family w:val="swiss"/>
    <w:pitch w:val="default"/>
    <w:sig w:usb0="80000287" w:usb1="2ACF0010" w:usb2="00000016" w:usb3="00000000" w:csb0="0004001F"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华文宋体">
    <w:panose1 w:val="02010600040101010101"/>
    <w:charset w:val="86"/>
    <w:family w:val="auto"/>
    <w:pitch w:val="default"/>
    <w:sig w:usb0="00000287" w:usb1="080F0000" w:usb2="00000000" w:usb3="00000000" w:csb0="0004009F" w:csb1="DFD70000"/>
  </w:font>
  <w:font w:name="inherit">
    <w:altName w:val="Times New Roman"/>
    <w:panose1 w:val="00000000000000000000"/>
    <w:charset w:val="00"/>
    <w:family w:val="roman"/>
    <w:pitch w:val="default"/>
    <w:sig w:usb0="00000000" w:usb1="00000000" w:usb2="00000000" w:usb3="00000000" w:csb0="00000000" w:csb1="00000000"/>
  </w:font>
  <w:font w:name="幼圆">
    <w:panose1 w:val="02010509060101010101"/>
    <w:charset w:val="86"/>
    <w:family w:val="modern"/>
    <w:pitch w:val="default"/>
    <w:sig w:usb0="00000001" w:usb1="080E0000" w:usb2="00000000" w:usb3="00000000" w:csb0="00040000" w:csb1="00000000"/>
  </w:font>
  <w:font w:name="Consolas">
    <w:panose1 w:val="020B0609020204030204"/>
    <w:charset w:val="00"/>
    <w:family w:val="modern"/>
    <w:pitch w:val="default"/>
    <w:sig w:usb0="E00006FF" w:usb1="0000FCFF" w:usb2="00000001" w:usb3="00000000" w:csb0="6000019F" w:csb1="DFD70000"/>
  </w:font>
  <w:font w:name="方正黑体_GBK">
    <w:altName w:val="微软雅黑"/>
    <w:panose1 w:val="00000000000000000000"/>
    <w:charset w:val="00"/>
    <w:family w:val="auto"/>
    <w:pitch w:val="default"/>
    <w:sig w:usb0="00000000" w:usb1="00000000" w:usb2="00000000" w:usb3="00000000" w:csb0="00040000" w:csb1="00000000"/>
  </w:font>
  <w:font w:name="Songti SC Regular">
    <w:altName w:val="宋体"/>
    <w:panose1 w:val="00000000000000000000"/>
    <w:charset w:val="86"/>
    <w:family w:val="auto"/>
    <w:pitch w:val="default"/>
    <w:sig w:usb0="00000000" w:usb1="00000000" w:usb2="00000000" w:usb3="00000000" w:csb0="00040000" w:csb1="00000000"/>
  </w:font>
  <w:font w:name="PingFang SC">
    <w:altName w:val="微软雅黑"/>
    <w:panose1 w:val="00000000000000000000"/>
    <w:charset w:val="86"/>
    <w:family w:val="swiss"/>
    <w:pitch w:val="default"/>
    <w:sig w:usb0="00000000" w:usb1="00000000"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7722177"/>
      <w:docPartObj>
        <w:docPartGallery w:val="AutoText"/>
      </w:docPartObj>
    </w:sdtPr>
    <w:sdtContent>
      <w:p>
        <w:pPr>
          <w:pStyle w:val="26"/>
          <w:jc w:val="center"/>
        </w:pPr>
        <w:r>
          <w:fldChar w:fldCharType="begin"/>
        </w:r>
        <w:r>
          <w:instrText xml:space="preserve">PAGE   \* MERGEFORMAT</w:instrText>
        </w:r>
        <w:r>
          <w:fldChar w:fldCharType="separate"/>
        </w:r>
        <w:r>
          <w:rPr>
            <w:lang w:val="zh-CN"/>
          </w:rPr>
          <w:t>298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single" w:color="auto" w:sz="6" w:space="0"/>
      </w:pBdr>
      <w:jc w:val="center"/>
    </w:pPr>
    <w:r>
      <w:rPr>
        <w:rFonts w:hint="eastAsia" w:ascii="仿宋" w:hAnsi="仿宋" w:cs="仿宋"/>
        <w:sz w:val="21"/>
        <w:szCs w:val="20"/>
      </w:rPr>
      <w:t>“一呼解忧”多媒体全渠道受理能力功能扩容项目 实施方案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D8EE3F"/>
    <w:multiLevelType w:val="multilevel"/>
    <w:tmpl w:val="D6D8EE3F"/>
    <w:lvl w:ilvl="0" w:tentative="0">
      <w:start w:val="1"/>
      <w:numFmt w:val="decimal"/>
      <w:suff w:val="nothing"/>
      <w:lvlText w:val="（%1）"/>
      <w:lvlJc w:val="left"/>
      <w:pPr>
        <w:ind w:left="2000" w:firstLine="0"/>
      </w:pPr>
      <w:rPr>
        <w:rFonts w:hint="eastAsia" w:ascii="宋体" w:hAnsi="宋体" w:eastAsia="宋体" w:cs="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F53B62DC"/>
    <w:multiLevelType w:val="multilevel"/>
    <w:tmpl w:val="F53B62DC"/>
    <w:lvl w:ilvl="0" w:tentative="0">
      <w:start w:val="1"/>
      <w:numFmt w:val="decimal"/>
      <w:lvlText w:val="%1."/>
      <w:lvlJc w:val="left"/>
      <w:pPr>
        <w:ind w:left="432" w:hanging="432"/>
      </w:pPr>
      <w:rPr>
        <w:rFonts w:hint="default"/>
      </w:rPr>
    </w:lvl>
    <w:lvl w:ilvl="1" w:tentative="0">
      <w:start w:val="1"/>
      <w:numFmt w:val="decimal"/>
      <w:pStyle w:val="71"/>
      <w:lvlText w:val="%1.%2"/>
      <w:lvlJc w:val="left"/>
      <w:pPr>
        <w:ind w:left="1135" w:hanging="575"/>
      </w:pPr>
      <w:rPr>
        <w:rFonts w:hint="default" w:ascii="宋体" w:hAnsi="宋体" w:eastAsia="宋体" w:cs="宋体"/>
      </w:rPr>
    </w:lvl>
    <w:lvl w:ilvl="2" w:tentative="0">
      <w:start w:val="1"/>
      <w:numFmt w:val="decimal"/>
      <w:lvlText w:val="%1.%2.%3."/>
      <w:lvlJc w:val="left"/>
      <w:pPr>
        <w:ind w:left="720" w:hanging="720"/>
      </w:pPr>
      <w:rPr>
        <w:rFonts w:hint="default" w:ascii="宋体" w:hAnsi="宋体" w:eastAsia="宋体" w:cs="宋体"/>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2">
    <w:nsid w:val="FFFFFF7F"/>
    <w:multiLevelType w:val="singleLevel"/>
    <w:tmpl w:val="FFFFFF7F"/>
    <w:lvl w:ilvl="0" w:tentative="0">
      <w:start w:val="1"/>
      <w:numFmt w:val="decimal"/>
      <w:pStyle w:val="13"/>
      <w:lvlText w:val="%1."/>
      <w:lvlJc w:val="left"/>
      <w:pPr>
        <w:tabs>
          <w:tab w:val="left" w:pos="780"/>
        </w:tabs>
        <w:ind w:left="780" w:hanging="360"/>
      </w:pPr>
    </w:lvl>
  </w:abstractNum>
  <w:abstractNum w:abstractNumId="3">
    <w:nsid w:val="FFFFFF80"/>
    <w:multiLevelType w:val="singleLevel"/>
    <w:tmpl w:val="FFFFFF80"/>
    <w:lvl w:ilvl="0" w:tentative="0">
      <w:start w:val="1"/>
      <w:numFmt w:val="bullet"/>
      <w:pStyle w:val="21"/>
      <w:lvlText w:val=""/>
      <w:lvlJc w:val="left"/>
      <w:pPr>
        <w:tabs>
          <w:tab w:val="left" w:pos="2040"/>
        </w:tabs>
        <w:ind w:left="2040" w:hanging="360"/>
      </w:pPr>
      <w:rPr>
        <w:rFonts w:hint="default" w:ascii="Wingdings" w:hAnsi="Wingdings"/>
      </w:rPr>
    </w:lvl>
  </w:abstractNum>
  <w:abstractNum w:abstractNumId="4">
    <w:nsid w:val="02646F3A"/>
    <w:multiLevelType w:val="multilevel"/>
    <w:tmpl w:val="02646F3A"/>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
    <w:nsid w:val="06F34250"/>
    <w:multiLevelType w:val="multilevel"/>
    <w:tmpl w:val="06F34250"/>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6">
    <w:nsid w:val="0E8701E2"/>
    <w:multiLevelType w:val="multilevel"/>
    <w:tmpl w:val="0E8701E2"/>
    <w:lvl w:ilvl="0" w:tentative="0">
      <w:start w:val="1"/>
      <w:numFmt w:val="bullet"/>
      <w:pStyle w:val="185"/>
      <w:lvlText w:val=""/>
      <w:lvlJc w:val="left"/>
      <w:pPr>
        <w:tabs>
          <w:tab w:val="left" w:pos="1985"/>
        </w:tabs>
        <w:ind w:left="1985" w:hanging="284"/>
      </w:pPr>
      <w:rPr>
        <w:rFonts w:hint="default" w:ascii="Wingdings" w:hAnsi="Wingdings"/>
        <w:color w:val="auto"/>
        <w:spacing w:val="0"/>
        <w:w w:val="100"/>
        <w:position w:val="1"/>
        <w:sz w:val="16"/>
        <w:szCs w:val="16"/>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7">
    <w:nsid w:val="0EDB2900"/>
    <w:multiLevelType w:val="multilevel"/>
    <w:tmpl w:val="0EDB2900"/>
    <w:lvl w:ilvl="0" w:tentative="0">
      <w:start w:val="1"/>
      <w:numFmt w:val="bullet"/>
      <w:lvlText w:val="−"/>
      <w:lvlJc w:val="left"/>
      <w:pPr>
        <w:tabs>
          <w:tab w:val="left" w:pos="2551"/>
        </w:tabs>
        <w:ind w:left="2551" w:hanging="425"/>
      </w:pPr>
      <w:rPr>
        <w:rFonts w:hint="default" w:ascii="Times New Roman" w:hAnsi="Times New Roman" w:cs="Times New Roman"/>
        <w:sz w:val="16"/>
        <w:szCs w:val="16"/>
      </w:rPr>
    </w:lvl>
    <w:lvl w:ilvl="1" w:tentative="0">
      <w:start w:val="1"/>
      <w:numFmt w:val="ganada"/>
      <w:pStyle w:val="192"/>
      <w:lvlText w:val=""/>
      <w:lvlJc w:val="left"/>
      <w:pPr>
        <w:tabs>
          <w:tab w:val="left" w:pos="2976"/>
        </w:tabs>
        <w:ind w:left="2976" w:hanging="425"/>
      </w:pPr>
      <w:rPr>
        <w:rFonts w:hint="default" w:ascii="Wingdings" w:hAnsi="Wingdings" w:cs="Wingdings"/>
        <w:sz w:val="16"/>
        <w:szCs w:val="16"/>
      </w:rPr>
    </w:lvl>
    <w:lvl w:ilvl="2" w:tentative="0">
      <w:start w:val="1"/>
      <w:numFmt w:val="bullet"/>
      <w:lvlText w:val="□"/>
      <w:lvlJc w:val="left"/>
      <w:pPr>
        <w:tabs>
          <w:tab w:val="left" w:pos="3401"/>
        </w:tabs>
        <w:ind w:left="3401" w:hanging="425"/>
      </w:pPr>
      <w:rPr>
        <w:rFonts w:hint="default" w:ascii="Wingdings" w:hAnsi="Wingdings" w:cs="Wingdings"/>
        <w:sz w:val="16"/>
        <w:szCs w:val="16"/>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8">
    <w:nsid w:val="125C7EAC"/>
    <w:multiLevelType w:val="multilevel"/>
    <w:tmpl w:val="125C7EAC"/>
    <w:lvl w:ilvl="0" w:tentative="0">
      <w:start w:val="1"/>
      <w:numFmt w:val="decimal"/>
      <w:lvlText w:val="第%1章"/>
      <w:lvlJc w:val="left"/>
      <w:pPr>
        <w:ind w:left="0" w:firstLine="0"/>
      </w:pPr>
      <w:rPr>
        <w:rFonts w:hint="eastAsia"/>
      </w:rPr>
    </w:lvl>
    <w:lvl w:ilvl="1" w:tentative="0">
      <w:start w:val="1"/>
      <w:numFmt w:val="decimal"/>
      <w:lvlText w:val="%1.%2"/>
      <w:lvlJc w:val="left"/>
      <w:pPr>
        <w:ind w:left="0" w:firstLine="0"/>
      </w:pPr>
      <w:rPr>
        <w:rFonts w:hint="eastAsia"/>
      </w:rPr>
    </w:lvl>
    <w:lvl w:ilvl="2" w:tentative="0">
      <w:start w:val="1"/>
      <w:numFmt w:val="decimal"/>
      <w:pStyle w:val="79"/>
      <w:lvlText w:val="%1.%2.%3"/>
      <w:lvlJc w:val="left"/>
      <w:pPr>
        <w:ind w:left="0" w:firstLine="0"/>
      </w:pPr>
      <w:rPr>
        <w:rFonts w:hint="eastAsia"/>
        <w:color w:val="auto"/>
      </w:rPr>
    </w:lvl>
    <w:lvl w:ilvl="3" w:tentative="0">
      <w:start w:val="1"/>
      <w:numFmt w:val="decimal"/>
      <w:pStyle w:val="80"/>
      <w:lvlText w:val="%1.%2.%3.%4"/>
      <w:lvlJc w:val="left"/>
      <w:pPr>
        <w:ind w:left="0" w:firstLine="0"/>
      </w:pPr>
      <w:rPr>
        <w:rFonts w:hint="eastAsia"/>
      </w:rPr>
    </w:lvl>
    <w:lvl w:ilvl="4" w:tentative="0">
      <w:start w:val="1"/>
      <w:numFmt w:val="decimal"/>
      <w:lvlText w:val="%1.%2.%3.%4.%5"/>
      <w:lvlJc w:val="left"/>
      <w:pPr>
        <w:ind w:left="0" w:firstLine="0"/>
      </w:pPr>
      <w:rPr>
        <w:rFonts w:hint="eastAsia"/>
      </w:rPr>
    </w:lvl>
    <w:lvl w:ilvl="5" w:tentative="0">
      <w:start w:val="1"/>
      <w:numFmt w:val="decimal"/>
      <w:lvlText w:val="（%6）"/>
      <w:lvlJc w:val="left"/>
      <w:pPr>
        <w:ind w:left="0" w:firstLine="0"/>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9">
    <w:nsid w:val="135C64D8"/>
    <w:multiLevelType w:val="multilevel"/>
    <w:tmpl w:val="135C64D8"/>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0">
    <w:nsid w:val="13B71304"/>
    <w:multiLevelType w:val="multilevel"/>
    <w:tmpl w:val="13B71304"/>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1">
    <w:nsid w:val="16C4218E"/>
    <w:multiLevelType w:val="multilevel"/>
    <w:tmpl w:val="16C4218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
    <w:nsid w:val="185F287A"/>
    <w:multiLevelType w:val="multilevel"/>
    <w:tmpl w:val="185F287A"/>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3">
    <w:nsid w:val="1BFD5EF5"/>
    <w:multiLevelType w:val="multilevel"/>
    <w:tmpl w:val="1BFD5EF5"/>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4">
    <w:nsid w:val="1D1E4DF6"/>
    <w:multiLevelType w:val="multilevel"/>
    <w:tmpl w:val="1D1E4DF6"/>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5">
    <w:nsid w:val="1D5755D3"/>
    <w:multiLevelType w:val="multilevel"/>
    <w:tmpl w:val="1D5755D3"/>
    <w:lvl w:ilvl="0" w:tentative="0">
      <w:start w:val="1"/>
      <w:numFmt w:val="bullet"/>
      <w:pStyle w:val="163"/>
      <w:lvlText w:val=""/>
      <w:lvlJc w:val="left"/>
      <w:pPr>
        <w:tabs>
          <w:tab w:val="left" w:pos="2126"/>
        </w:tabs>
        <w:ind w:left="2126" w:hanging="425"/>
      </w:pPr>
      <w:rPr>
        <w:rFonts w:hint="default" w:ascii="Wingdings" w:hAnsi="Wingdings" w:cs="Wingdings"/>
        <w:b w:val="0"/>
        <w:bCs w:val="0"/>
        <w:i w:val="0"/>
        <w:iCs w:val="0"/>
        <w:caps w:val="0"/>
        <w:strike w:val="0"/>
        <w:dstrike w:val="0"/>
        <w:vanish w:val="0"/>
        <w:color w:val="000000"/>
        <w:spacing w:val="0"/>
        <w:w w:val="100"/>
        <w:position w:val="2"/>
        <w:sz w:val="16"/>
        <w:szCs w:val="16"/>
        <w:vertAlign w:val="baseline"/>
        <w14:shadow w14:blurRad="0" w14:dist="0" w14:dir="0" w14:sx="0" w14:sy="0" w14:kx="0" w14:ky="0" w14:algn="none">
          <w14:srgbClr w14:val="000000"/>
        </w14:shadow>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6">
    <w:nsid w:val="21782B1F"/>
    <w:multiLevelType w:val="multilevel"/>
    <w:tmpl w:val="21782B1F"/>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7">
    <w:nsid w:val="299566AB"/>
    <w:multiLevelType w:val="multilevel"/>
    <w:tmpl w:val="299566AB"/>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2B034D34"/>
    <w:multiLevelType w:val="multilevel"/>
    <w:tmpl w:val="2B034D34"/>
    <w:lvl w:ilvl="0" w:tentative="0">
      <w:start w:val="2"/>
      <w:numFmt w:val="decimal"/>
      <w:lvlText w:val="%1."/>
      <w:lvlJc w:val="left"/>
      <w:pPr>
        <w:ind w:left="630" w:hanging="630"/>
      </w:pPr>
      <w:rPr>
        <w:rFonts w:hint="default"/>
      </w:rPr>
    </w:lvl>
    <w:lvl w:ilvl="1" w:tentative="0">
      <w:start w:val="1"/>
      <w:numFmt w:val="decimal"/>
      <w:lvlText w:val="%1.%2."/>
      <w:lvlJc w:val="left"/>
      <w:pPr>
        <w:ind w:left="720" w:hanging="720"/>
      </w:pPr>
      <w:rPr>
        <w:rFonts w:hint="default"/>
      </w:rPr>
    </w:lvl>
    <w:lvl w:ilvl="2" w:tentative="0">
      <w:start w:val="1"/>
      <w:numFmt w:val="decimal"/>
      <w:lvlText w:val="7.1.%3."/>
      <w:lvlJc w:val="left"/>
      <w:pPr>
        <w:ind w:left="420" w:hanging="420"/>
      </w:pPr>
      <w:rPr>
        <w:rFonts w:hint="eastAsia"/>
      </w:rPr>
    </w:lvl>
    <w:lvl w:ilvl="3" w:tentative="0">
      <w:start w:val="1"/>
      <w:numFmt w:val="decimal"/>
      <w:lvlText w:val="%1.%2.%3.%4."/>
      <w:lvlJc w:val="left"/>
      <w:pPr>
        <w:ind w:left="1440" w:hanging="1440"/>
      </w:pPr>
      <w:rPr>
        <w:rFonts w:hint="default"/>
      </w:rPr>
    </w:lvl>
    <w:lvl w:ilvl="4" w:tentative="0">
      <w:start w:val="1"/>
      <w:numFmt w:val="decimal"/>
      <w:lvlText w:val="%1.%2.%3.%4.%5."/>
      <w:lvlJc w:val="left"/>
      <w:pPr>
        <w:ind w:left="1800" w:hanging="1800"/>
      </w:pPr>
      <w:rPr>
        <w:rFonts w:hint="default"/>
      </w:rPr>
    </w:lvl>
    <w:lvl w:ilvl="5" w:tentative="0">
      <w:start w:val="1"/>
      <w:numFmt w:val="decimal"/>
      <w:lvlText w:val="%1.%2.%3.%4.%5.%6."/>
      <w:lvlJc w:val="left"/>
      <w:pPr>
        <w:ind w:left="2160" w:hanging="2160"/>
      </w:pPr>
      <w:rPr>
        <w:rFonts w:hint="default"/>
      </w:rPr>
    </w:lvl>
    <w:lvl w:ilvl="6" w:tentative="0">
      <w:start w:val="1"/>
      <w:numFmt w:val="decimal"/>
      <w:lvlText w:val="%1.%2.%3.%4.%5.%6.%7."/>
      <w:lvlJc w:val="left"/>
      <w:pPr>
        <w:ind w:left="2160" w:hanging="2160"/>
      </w:pPr>
      <w:rPr>
        <w:rFonts w:hint="default"/>
      </w:rPr>
    </w:lvl>
    <w:lvl w:ilvl="7" w:tentative="0">
      <w:start w:val="1"/>
      <w:numFmt w:val="decimal"/>
      <w:lvlText w:val="%1.%2.%3.%4.%5.%6.%7.%8."/>
      <w:lvlJc w:val="left"/>
      <w:pPr>
        <w:ind w:left="2520" w:hanging="2520"/>
      </w:pPr>
      <w:rPr>
        <w:rFonts w:hint="default"/>
      </w:rPr>
    </w:lvl>
    <w:lvl w:ilvl="8" w:tentative="0">
      <w:start w:val="1"/>
      <w:numFmt w:val="decimal"/>
      <w:lvlText w:val="%1.%2.%3.%4.%5.%6.%7.%8.%9."/>
      <w:lvlJc w:val="left"/>
      <w:pPr>
        <w:ind w:left="2880" w:hanging="2880"/>
      </w:pPr>
      <w:rPr>
        <w:rFonts w:hint="default"/>
      </w:rPr>
    </w:lvl>
  </w:abstractNum>
  <w:abstractNum w:abstractNumId="19">
    <w:nsid w:val="2F3F3983"/>
    <w:multiLevelType w:val="multilevel"/>
    <w:tmpl w:val="2F3F3983"/>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abstractNum w:abstractNumId="20">
    <w:nsid w:val="34ED23FA"/>
    <w:multiLevelType w:val="multilevel"/>
    <w:tmpl w:val="34ED23FA"/>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21">
    <w:nsid w:val="39605EBA"/>
    <w:multiLevelType w:val="multilevel"/>
    <w:tmpl w:val="39605EBA"/>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22">
    <w:nsid w:val="3EA46A5C"/>
    <w:multiLevelType w:val="multilevel"/>
    <w:tmpl w:val="3EA46A5C"/>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23">
    <w:nsid w:val="44B47971"/>
    <w:multiLevelType w:val="multilevel"/>
    <w:tmpl w:val="44B47971"/>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24">
    <w:nsid w:val="4CB75E54"/>
    <w:multiLevelType w:val="multilevel"/>
    <w:tmpl w:val="4CB75E54"/>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25">
    <w:nsid w:val="50D7A3FA"/>
    <w:multiLevelType w:val="multilevel"/>
    <w:tmpl w:val="50D7A3FA"/>
    <w:lvl w:ilvl="0" w:tentative="0">
      <w:start w:val="1"/>
      <w:numFmt w:val="decimal"/>
      <w:pStyle w:val="3"/>
      <w:suff w:val="space"/>
      <w:lvlText w:val="第%1章"/>
      <w:lvlJc w:val="left"/>
      <w:pPr>
        <w:tabs>
          <w:tab w:val="left" w:pos="0"/>
        </w:tabs>
        <w:ind w:left="0" w:firstLine="0"/>
      </w:pPr>
      <w:rPr>
        <w:rFonts w:hint="default"/>
        <w:b/>
        <w:sz w:val="32"/>
        <w:szCs w:val="32"/>
      </w:rPr>
    </w:lvl>
    <w:lvl w:ilvl="1" w:tentative="0">
      <w:start w:val="1"/>
      <w:numFmt w:val="decimal"/>
      <w:pStyle w:val="5"/>
      <w:isLgl/>
      <w:suff w:val="space"/>
      <w:lvlText w:val="%1.%2"/>
      <w:lvlJc w:val="left"/>
      <w:pPr>
        <w:tabs>
          <w:tab w:val="left" w:pos="0"/>
        </w:tabs>
        <w:ind w:left="0" w:firstLine="0"/>
      </w:pPr>
      <w:rPr>
        <w:rFonts w:hint="default" w:ascii="Times New Roman" w:hAnsi="Times New Roman" w:eastAsia="仿宋" w:cs="Times New Roman"/>
        <w:b/>
        <w:bCs/>
        <w:i w:val="0"/>
        <w:iCs w:val="0"/>
        <w:caps w:val="0"/>
        <w:smallCaps w:val="0"/>
        <w:strike w:val="0"/>
        <w:dstrike w:val="0"/>
        <w:vanish w:val="0"/>
        <w:color w:val="000000"/>
        <w:spacing w:val="0"/>
        <w:position w:val="0"/>
        <w:sz w:val="32"/>
        <w:szCs w:val="32"/>
        <w:u w:val="none"/>
        <w:vertAlign w:val="baseline"/>
        <w14:ligatures w14:val="none"/>
        <w14:numForm w14:val="default"/>
        <w14:numSpacing w14:val="default"/>
      </w:rPr>
    </w:lvl>
    <w:lvl w:ilvl="2" w:tentative="0">
      <w:start w:val="1"/>
      <w:numFmt w:val="decimal"/>
      <w:pStyle w:val="2"/>
      <w:isLgl/>
      <w:suff w:val="space"/>
      <w:lvlText w:val="%1.%2.%3"/>
      <w:lvlJc w:val="left"/>
      <w:pPr>
        <w:ind w:left="0" w:firstLine="0"/>
      </w:pPr>
      <w:rPr>
        <w:rFonts w:hint="eastAsia" w:ascii="Times New Roman" w:hAnsi="Times New Roman" w:eastAsia="仿宋" w:cs="Times New Roman"/>
        <w:b/>
        <w:bCs w:val="0"/>
        <w:i w:val="0"/>
        <w:iCs w:val="0"/>
        <w:caps w:val="0"/>
        <w:smallCaps w:val="0"/>
        <w:strike w:val="0"/>
        <w:dstrike w:val="0"/>
        <w:vanish w:val="0"/>
        <w:color w:val="000000"/>
        <w:spacing w:val="0"/>
        <w:position w:val="0"/>
        <w:sz w:val="28"/>
        <w:szCs w:val="28"/>
        <w:u w:val="none"/>
        <w:vertAlign w:val="baseline"/>
      </w:rPr>
    </w:lvl>
    <w:lvl w:ilvl="3" w:tentative="0">
      <w:start w:val="1"/>
      <w:numFmt w:val="decimal"/>
      <w:pStyle w:val="6"/>
      <w:isLgl/>
      <w:suff w:val="space"/>
      <w:lvlText w:val="%1.%2.%3.%4"/>
      <w:lvlJc w:val="left"/>
      <w:pPr>
        <w:ind w:left="0" w:firstLine="0"/>
      </w:pPr>
      <w:rPr>
        <w:rFonts w:hint="default" w:ascii="Times New Roman" w:hAnsi="Times New Roman" w:eastAsia="仿宋" w:cs="Times New Roman"/>
        <w:b/>
        <w:bCs w:val="0"/>
        <w:i w:val="0"/>
        <w:iCs w:val="0"/>
        <w:caps w:val="0"/>
        <w:smallCaps w:val="0"/>
        <w:strike w:val="0"/>
        <w:dstrike w:val="0"/>
        <w:vanish w:val="0"/>
        <w:color w:val="000000"/>
        <w:spacing w:val="0"/>
        <w:position w:val="0"/>
        <w:sz w:val="28"/>
        <w:szCs w:val="28"/>
        <w:u w:val="none"/>
        <w:vertAlign w:val="baseline"/>
      </w:rPr>
    </w:lvl>
    <w:lvl w:ilvl="4" w:tentative="0">
      <w:start w:val="1"/>
      <w:numFmt w:val="decimal"/>
      <w:isLgl/>
      <w:suff w:val="space"/>
      <w:lvlText w:val="%1.%2.%3.%4.%5"/>
      <w:lvlJc w:val="left"/>
      <w:pPr>
        <w:tabs>
          <w:tab w:val="left" w:pos="0"/>
        </w:tabs>
        <w:ind w:left="480" w:firstLine="0"/>
      </w:pPr>
      <w:rPr>
        <w:rFonts w:hint="default" w:ascii="Times New Roman" w:hAnsi="Times New Roman" w:eastAsia="宋体"/>
        <w:b/>
        <w:bCs w:val="0"/>
        <w:i w:val="0"/>
        <w:iCs w:val="0"/>
        <w:caps w:val="0"/>
        <w:smallCaps w:val="0"/>
        <w:strike w:val="0"/>
        <w:dstrike w:val="0"/>
        <w:vanish w:val="0"/>
        <w:color w:val="000000"/>
        <w:spacing w:val="0"/>
        <w:position w:val="0"/>
        <w:sz w:val="28"/>
        <w:szCs w:val="28"/>
        <w:u w:val="none"/>
        <w:vertAlign w:val="baseline"/>
      </w:rPr>
    </w:lvl>
    <w:lvl w:ilvl="5" w:tentative="0">
      <w:start w:val="1"/>
      <w:numFmt w:val="decimal"/>
      <w:isLgl/>
      <w:suff w:val="space"/>
      <w:lvlText w:val="%1.%2.%3.%4.%5.%6"/>
      <w:lvlJc w:val="left"/>
      <w:pPr>
        <w:ind w:left="0" w:firstLine="0"/>
      </w:pPr>
      <w:rPr>
        <w:rFonts w:hint="eastAsia" w:ascii="仿宋" w:hAnsi="仿宋" w:eastAsia="仿宋"/>
        <w:b w:val="0"/>
        <w:bCs/>
        <w:i w:val="0"/>
        <w:iCs w:val="0"/>
        <w:caps w:val="0"/>
        <w:smallCaps w:val="0"/>
        <w:strike w:val="0"/>
        <w:dstrike w:val="0"/>
        <w:vanish w:val="0"/>
        <w:color w:val="000000"/>
        <w:spacing w:val="0"/>
        <w:position w:val="0"/>
        <w:u w:val="none"/>
        <w:vertAlign w:val="baseline"/>
      </w:rPr>
    </w:lvl>
    <w:lvl w:ilvl="6" w:tentative="0">
      <w:start w:val="1"/>
      <w:numFmt w:val="decimal"/>
      <w:isLgl/>
      <w:suff w:val="nothing"/>
      <w:lvlText w:val="%1.%2.%3.%4.%5.%6.%7"/>
      <w:lvlJc w:val="left"/>
      <w:pPr>
        <w:ind w:left="2411" w:firstLine="0"/>
      </w:pPr>
      <w:rPr>
        <w:rFonts w:hint="eastAsia" w:ascii="Arial Narrow" w:hAnsi="Arial Narrow"/>
        <w:b/>
        <w:bCs w:val="0"/>
        <w:i w:val="0"/>
        <w:iCs w:val="0"/>
        <w:caps w:val="0"/>
        <w:smallCaps w:val="0"/>
        <w:strike w:val="0"/>
        <w:dstrike w:val="0"/>
        <w:vanish w:val="0"/>
        <w:color w:val="000000"/>
        <w:spacing w:val="0"/>
        <w:position w:val="0"/>
        <w:u w:val="none"/>
        <w:vertAlign w:val="baseline"/>
      </w:rPr>
    </w:lvl>
    <w:lvl w:ilvl="7" w:tentative="0">
      <w:start w:val="1"/>
      <w:numFmt w:val="decimal"/>
      <w:isLgl/>
      <w:suff w:val="nothing"/>
      <w:lvlText w:val="%1.%2.%3.%4.%5.%6.%7.%8"/>
      <w:lvlJc w:val="left"/>
      <w:pPr>
        <w:ind w:left="0" w:firstLine="0"/>
      </w:pPr>
      <w:rPr>
        <w:rFonts w:hint="eastAsia" w:ascii="Arial Narrow" w:hAnsi="Arial Narrow" w:eastAsia="仿宋"/>
      </w:rPr>
    </w:lvl>
    <w:lvl w:ilvl="8" w:tentative="0">
      <w:start w:val="1"/>
      <w:numFmt w:val="decimal"/>
      <w:isLgl/>
      <w:suff w:val="nothing"/>
      <w:lvlText w:val="%1.%2.%3.%4.%5.%6.%7.%8.%9"/>
      <w:lvlJc w:val="left"/>
      <w:pPr>
        <w:ind w:left="0" w:firstLine="0"/>
      </w:pPr>
      <w:rPr>
        <w:rFonts w:hint="eastAsia" w:ascii="Arial Narrow" w:hAnsi="Arial Narrow" w:eastAsia="微软雅黑"/>
      </w:rPr>
    </w:lvl>
  </w:abstractNum>
  <w:abstractNum w:abstractNumId="26">
    <w:nsid w:val="55C52D56"/>
    <w:multiLevelType w:val="multilevel"/>
    <w:tmpl w:val="55C52D56"/>
    <w:lvl w:ilvl="0" w:tentative="0">
      <w:start w:val="1"/>
      <w:numFmt w:val="decimal"/>
      <w:suff w:val="nothing"/>
      <w:lvlText w:val="%1."/>
      <w:lvlJc w:val="left"/>
      <w:pPr>
        <w:ind w:left="420" w:hanging="420"/>
      </w:pPr>
      <w:rPr>
        <w:rFonts w:hint="default"/>
        <w:position w:val="0"/>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577446E5"/>
    <w:multiLevelType w:val="multilevel"/>
    <w:tmpl w:val="577446E5"/>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abstractNum w:abstractNumId="28">
    <w:nsid w:val="57F2268F"/>
    <w:multiLevelType w:val="multilevel"/>
    <w:tmpl w:val="57F2268F"/>
    <w:lvl w:ilvl="0" w:tentative="0">
      <w:start w:val="1"/>
      <w:numFmt w:val="decimal"/>
      <w:pStyle w:val="7"/>
      <w:lvlText w:val="4.1.2.2.%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5D5550E7"/>
    <w:multiLevelType w:val="multilevel"/>
    <w:tmpl w:val="5D5550E7"/>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30">
    <w:nsid w:val="68223FEC"/>
    <w:multiLevelType w:val="multilevel"/>
    <w:tmpl w:val="68223FEC"/>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31">
    <w:nsid w:val="686CCBBD"/>
    <w:multiLevelType w:val="multilevel"/>
    <w:tmpl w:val="686CCBBD"/>
    <w:lvl w:ilvl="0" w:tentative="0">
      <w:start w:val="1"/>
      <w:numFmt w:val="decimal"/>
      <w:suff w:val="nothing"/>
      <w:lvlText w:val="（%1）"/>
      <w:lvlJc w:val="left"/>
      <w:pPr>
        <w:ind w:left="283" w:firstLine="0"/>
      </w:pPr>
      <w:rPr>
        <w:rFonts w:hint="eastAsia" w:ascii="宋体" w:hAnsi="宋体" w:eastAsia="宋体" w:cs="宋体"/>
      </w:rPr>
    </w:lvl>
    <w:lvl w:ilvl="1" w:tentative="0">
      <w:start w:val="1"/>
      <w:numFmt w:val="decimal"/>
      <w:lvlText w:val="%2."/>
      <w:lvlJc w:val="left"/>
      <w:pPr>
        <w:tabs>
          <w:tab w:val="left" w:pos="-277"/>
        </w:tabs>
        <w:ind w:left="-277" w:hanging="360"/>
      </w:pPr>
    </w:lvl>
    <w:lvl w:ilvl="2" w:tentative="0">
      <w:start w:val="1"/>
      <w:numFmt w:val="decimal"/>
      <w:lvlText w:val="%3."/>
      <w:lvlJc w:val="left"/>
      <w:pPr>
        <w:tabs>
          <w:tab w:val="left" w:pos="443"/>
        </w:tabs>
        <w:ind w:left="443" w:hanging="360"/>
      </w:pPr>
    </w:lvl>
    <w:lvl w:ilvl="3" w:tentative="0">
      <w:start w:val="1"/>
      <w:numFmt w:val="decimal"/>
      <w:lvlText w:val="%4."/>
      <w:lvlJc w:val="left"/>
      <w:pPr>
        <w:tabs>
          <w:tab w:val="left" w:pos="1163"/>
        </w:tabs>
        <w:ind w:left="1163" w:hanging="360"/>
      </w:pPr>
    </w:lvl>
    <w:lvl w:ilvl="4" w:tentative="0">
      <w:start w:val="1"/>
      <w:numFmt w:val="decimal"/>
      <w:lvlText w:val="%5."/>
      <w:lvlJc w:val="left"/>
      <w:pPr>
        <w:tabs>
          <w:tab w:val="left" w:pos="1883"/>
        </w:tabs>
        <w:ind w:left="1883" w:hanging="360"/>
      </w:pPr>
    </w:lvl>
    <w:lvl w:ilvl="5" w:tentative="0">
      <w:start w:val="1"/>
      <w:numFmt w:val="decimal"/>
      <w:lvlText w:val="%6."/>
      <w:lvlJc w:val="left"/>
      <w:pPr>
        <w:tabs>
          <w:tab w:val="left" w:pos="2603"/>
        </w:tabs>
        <w:ind w:left="2603" w:hanging="360"/>
      </w:pPr>
    </w:lvl>
    <w:lvl w:ilvl="6" w:tentative="0">
      <w:start w:val="1"/>
      <w:numFmt w:val="decimal"/>
      <w:lvlText w:val="%7."/>
      <w:lvlJc w:val="left"/>
      <w:pPr>
        <w:tabs>
          <w:tab w:val="left" w:pos="3323"/>
        </w:tabs>
        <w:ind w:left="3323" w:hanging="360"/>
      </w:pPr>
    </w:lvl>
    <w:lvl w:ilvl="7" w:tentative="0">
      <w:start w:val="1"/>
      <w:numFmt w:val="decimal"/>
      <w:lvlText w:val="%8."/>
      <w:lvlJc w:val="left"/>
      <w:pPr>
        <w:tabs>
          <w:tab w:val="left" w:pos="4043"/>
        </w:tabs>
        <w:ind w:left="4043" w:hanging="360"/>
      </w:pPr>
    </w:lvl>
    <w:lvl w:ilvl="8" w:tentative="0">
      <w:start w:val="1"/>
      <w:numFmt w:val="decimal"/>
      <w:lvlText w:val="%9."/>
      <w:lvlJc w:val="left"/>
      <w:pPr>
        <w:tabs>
          <w:tab w:val="left" w:pos="4763"/>
        </w:tabs>
        <w:ind w:left="4763" w:hanging="360"/>
      </w:pPr>
    </w:lvl>
  </w:abstractNum>
  <w:abstractNum w:abstractNumId="32">
    <w:nsid w:val="6A1610FB"/>
    <w:multiLevelType w:val="multilevel"/>
    <w:tmpl w:val="6A1610FB"/>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abstractNum w:abstractNumId="33">
    <w:nsid w:val="6CA53B0D"/>
    <w:multiLevelType w:val="multilevel"/>
    <w:tmpl w:val="6CA53B0D"/>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34">
    <w:nsid w:val="6E230785"/>
    <w:multiLevelType w:val="multilevel"/>
    <w:tmpl w:val="6E230785"/>
    <w:lvl w:ilvl="0" w:tentative="0">
      <w:start w:val="1"/>
      <w:numFmt w:val="bullet"/>
      <w:lvlText w:val=""/>
      <w:lvlJc w:val="left"/>
      <w:pPr>
        <w:tabs>
          <w:tab w:val="left" w:pos="170"/>
        </w:tabs>
        <w:ind w:left="170" w:hanging="170"/>
      </w:pPr>
      <w:rPr>
        <w:rFonts w:hint="default" w:ascii="Wingdings" w:hAnsi="Wingdings" w:eastAsia="宋体"/>
        <w:b w:val="0"/>
        <w:i w:val="0"/>
        <w:color w:val="auto"/>
        <w:position w:val="3"/>
        <w:sz w:val="13"/>
        <w:szCs w:val="13"/>
      </w:rPr>
    </w:lvl>
    <w:lvl w:ilvl="1" w:tentative="0">
      <w:start w:val="1"/>
      <w:numFmt w:val="lowerLetter"/>
      <w:lvlText w:val="%2."/>
      <w:lvlJc w:val="left"/>
      <w:pPr>
        <w:tabs>
          <w:tab w:val="left" w:pos="284"/>
        </w:tabs>
        <w:ind w:left="568" w:hanging="284"/>
      </w:pPr>
      <w:rPr>
        <w:rFonts w:hint="default" w:ascii="Times New Roman" w:hAnsi="Times New Roman" w:cs="Book Antiqua"/>
        <w:b w:val="0"/>
        <w:bCs/>
        <w:i w:val="0"/>
        <w:iCs w:val="0"/>
        <w:sz w:val="21"/>
        <w:szCs w:val="21"/>
        <w:u w:val="none"/>
      </w:rPr>
    </w:lvl>
    <w:lvl w:ilvl="2" w:tentative="0">
      <w:start w:val="1"/>
      <w:numFmt w:val="bullet"/>
      <w:lvlText w:val="−"/>
      <w:lvlJc w:val="left"/>
      <w:pPr>
        <w:tabs>
          <w:tab w:val="left" w:pos="568"/>
        </w:tabs>
        <w:ind w:left="568" w:hanging="284"/>
      </w:pPr>
      <w:rPr>
        <w:rFonts w:hint="default" w:ascii="Times New Roman" w:hAnsi="Times New Roman" w:cs="Times New Roman"/>
        <w:sz w:val="16"/>
        <w:szCs w:val="16"/>
      </w:rPr>
    </w:lvl>
    <w:lvl w:ilvl="3" w:tentative="0">
      <w:start w:val="1"/>
      <w:numFmt w:val="decimal"/>
      <w:pStyle w:val="179"/>
      <w:lvlText w:val="%4."/>
      <w:lvlJc w:val="left"/>
      <w:pPr>
        <w:tabs>
          <w:tab w:val="left" w:pos="284"/>
        </w:tabs>
        <w:ind w:left="568" w:hanging="284"/>
      </w:pPr>
      <w:rPr>
        <w:rFonts w:hint="default" w:ascii="Times New Roman" w:hAnsi="Times New Roman" w:cs="Book Antiqua"/>
        <w:b w:val="0"/>
        <w:bCs/>
        <w:i w:val="0"/>
        <w:iCs w:val="0"/>
        <w:sz w:val="21"/>
        <w:szCs w:val="21"/>
        <w:u w:val="none"/>
      </w:rPr>
    </w:lvl>
    <w:lvl w:ilvl="4" w:tentative="0">
      <w:start w:val="1"/>
      <w:numFmt w:val="bullet"/>
      <w:lvlText w:val=""/>
      <w:lvlJc w:val="left"/>
      <w:pPr>
        <w:tabs>
          <w:tab w:val="left" w:pos="568"/>
        </w:tabs>
        <w:ind w:left="568" w:hanging="284"/>
      </w:pPr>
      <w:rPr>
        <w:rFonts w:hint="default" w:ascii="Wingdings" w:hAnsi="Wingdings" w:eastAsia="宋体"/>
        <w:b w:val="0"/>
        <w:i w:val="0"/>
        <w:color w:val="auto"/>
        <w:position w:val="3"/>
        <w:sz w:val="13"/>
        <w:szCs w:val="13"/>
      </w:rPr>
    </w:lvl>
    <w:lvl w:ilvl="5" w:tentative="0">
      <w:start w:val="1"/>
      <w:numFmt w:val="decimal"/>
      <w:lvlText w:val="%6."/>
      <w:lvlJc w:val="left"/>
      <w:pPr>
        <w:tabs>
          <w:tab w:val="left" w:pos="1985"/>
        </w:tabs>
        <w:ind w:left="1985" w:hanging="284"/>
      </w:pPr>
      <w:rPr>
        <w:rFonts w:hint="default" w:ascii="Times New Roman" w:hAnsi="Times New Roman" w:cs="Book Antiqua"/>
        <w:color w:val="auto"/>
        <w:spacing w:val="0"/>
        <w:w w:val="100"/>
        <w:position w:val="1"/>
        <w:sz w:val="21"/>
        <w:szCs w:val="21"/>
      </w:rPr>
    </w:lvl>
    <w:lvl w:ilvl="6" w:tentative="0">
      <w:start w:val="1"/>
      <w:numFmt w:val="decimal"/>
      <w:lvlText w:val="%7."/>
      <w:lvlJc w:val="left"/>
      <w:pPr>
        <w:tabs>
          <w:tab w:val="left" w:pos="2359"/>
        </w:tabs>
        <w:ind w:left="2359" w:hanging="284"/>
      </w:pPr>
      <w:rPr>
        <w:rFonts w:hint="default" w:ascii="Times New Roman" w:hAnsi="Times New Roman" w:cs="Book Antiqua"/>
        <w:color w:val="auto"/>
        <w:spacing w:val="0"/>
        <w:w w:val="100"/>
        <w:position w:val="1"/>
        <w:sz w:val="18"/>
        <w:szCs w:val="18"/>
      </w:rPr>
    </w:lvl>
    <w:lvl w:ilvl="7" w:tentative="0">
      <w:start w:val="1"/>
      <w:numFmt w:val="decimal"/>
      <w:pStyle w:val="187"/>
      <w:lvlText w:val="%8."/>
      <w:lvlJc w:val="left"/>
      <w:pPr>
        <w:tabs>
          <w:tab w:val="left" w:pos="454"/>
        </w:tabs>
        <w:ind w:left="454" w:hanging="284"/>
      </w:pPr>
      <w:rPr>
        <w:rFonts w:hint="default" w:ascii="Times New Roman" w:hAnsi="Times New Roman" w:cs="Book Antiqua"/>
        <w:color w:val="auto"/>
        <w:spacing w:val="0"/>
        <w:w w:val="100"/>
        <w:position w:val="1"/>
        <w:sz w:val="18"/>
        <w:szCs w:val="18"/>
      </w:rPr>
    </w:lvl>
    <w:lvl w:ilvl="8" w:tentative="0">
      <w:start w:val="1"/>
      <w:numFmt w:val="bullet"/>
      <w:lvlText w:val=""/>
      <w:lvlJc w:val="left"/>
      <w:pPr>
        <w:tabs>
          <w:tab w:val="left" w:pos="3780"/>
        </w:tabs>
        <w:ind w:left="3780" w:hanging="420"/>
      </w:pPr>
      <w:rPr>
        <w:rFonts w:hint="default" w:ascii="Wingdings" w:hAnsi="Wingdings"/>
      </w:rPr>
    </w:lvl>
  </w:abstractNum>
  <w:abstractNum w:abstractNumId="35">
    <w:nsid w:val="7A25364B"/>
    <w:multiLevelType w:val="multilevel"/>
    <w:tmpl w:val="7A25364B"/>
    <w:lvl w:ilvl="0" w:tentative="0">
      <w:start w:val="1"/>
      <w:numFmt w:val="decimal"/>
      <w:suff w:val="nothing"/>
      <w:lvlText w:val="%1."/>
      <w:lvlJc w:val="left"/>
      <w:pPr>
        <w:ind w:left="420" w:hanging="420"/>
      </w:pPr>
      <w:rPr>
        <w:rFonts w:hint="eastAsia"/>
        <w:position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7F773C35"/>
    <w:multiLevelType w:val="multilevel"/>
    <w:tmpl w:val="7F773C35"/>
    <w:lvl w:ilvl="0" w:tentative="0">
      <w:start w:val="1"/>
      <w:numFmt w:val="decimal"/>
      <w:pStyle w:val="172"/>
      <w:lvlText w:val="%1."/>
      <w:lvlJc w:val="left"/>
      <w:pPr>
        <w:tabs>
          <w:tab w:val="left" w:pos="2126"/>
        </w:tabs>
        <w:ind w:left="2126" w:hanging="425"/>
      </w:pPr>
      <w:rPr>
        <w:rFonts w:hint="default" w:ascii="Times New Roman" w:hAnsi="Times New Roman" w:cs="Book Antiqua"/>
        <w:b w:val="0"/>
        <w:bCs/>
        <w:i w:val="0"/>
        <w:iCs w:val="0"/>
        <w:sz w:val="21"/>
        <w:szCs w:val="21"/>
        <w:u w:val="none"/>
      </w:rPr>
    </w:lvl>
    <w:lvl w:ilvl="1" w:tentative="0">
      <w:start w:val="1"/>
      <w:numFmt w:val="lowerLetter"/>
      <w:lvlText w:val="%2."/>
      <w:lvlJc w:val="left"/>
      <w:pPr>
        <w:tabs>
          <w:tab w:val="left" w:pos="2551"/>
        </w:tabs>
        <w:ind w:left="2551" w:hanging="425"/>
      </w:pPr>
      <w:rPr>
        <w:rFonts w:hint="default" w:ascii="Times New Roman" w:hAnsi="Times New Roman" w:cs="Book Antiqua"/>
        <w:b w:val="0"/>
        <w:bCs/>
        <w:i w:val="0"/>
        <w:iCs w:val="0"/>
        <w:sz w:val="21"/>
        <w:szCs w:val="21"/>
        <w:u w:val="none"/>
      </w:rPr>
    </w:lvl>
    <w:lvl w:ilvl="2" w:tentative="0">
      <w:start w:val="1"/>
      <w:numFmt w:val="lowerRoman"/>
      <w:lvlText w:val="%3."/>
      <w:lvlJc w:val="left"/>
      <w:pPr>
        <w:tabs>
          <w:tab w:val="left" w:pos="2976"/>
        </w:tabs>
        <w:ind w:left="2976" w:hanging="425"/>
      </w:pPr>
      <w:rPr>
        <w:rFonts w:hint="default" w:ascii="Times New Roman" w:hAnsi="Times New Roman" w:cs="Book Antiqua"/>
        <w:b w:val="0"/>
        <w:bCs/>
        <w:i w:val="0"/>
        <w:iCs w:val="0"/>
        <w:sz w:val="21"/>
        <w:szCs w:val="21"/>
        <w:u w:val="none"/>
      </w:rPr>
    </w:lvl>
    <w:lvl w:ilvl="3" w:tentative="0">
      <w:start w:val="1"/>
      <w:numFmt w:val="decimal"/>
      <w:lvlText w:val="%4)"/>
      <w:lvlJc w:val="left"/>
      <w:pPr>
        <w:tabs>
          <w:tab w:val="left" w:pos="3401"/>
        </w:tabs>
        <w:ind w:left="3401" w:hanging="425"/>
      </w:pPr>
      <w:rPr>
        <w:rFonts w:hint="default" w:ascii="Times New Roman" w:hAnsi="Times New Roman" w:cs="Book Antiqua"/>
        <w:b w:val="0"/>
        <w:bCs/>
        <w:i w:val="0"/>
        <w:iCs w:val="0"/>
        <w:sz w:val="21"/>
        <w:szCs w:val="21"/>
        <w:u w:val="none"/>
      </w:rPr>
    </w:lvl>
    <w:lvl w:ilvl="4" w:tentative="0">
      <w:start w:val="1"/>
      <w:numFmt w:val="bullet"/>
      <w:lvlText w:val=""/>
      <w:lvlJc w:val="left"/>
      <w:pPr>
        <w:tabs>
          <w:tab w:val="left" w:pos="1260"/>
        </w:tabs>
        <w:ind w:left="1260" w:hanging="420"/>
      </w:pPr>
      <w:rPr>
        <w:rFonts w:hint="default" w:ascii="Wingdings" w:hAnsi="Wingdings"/>
      </w:rPr>
    </w:lvl>
    <w:lvl w:ilvl="5" w:tentative="0">
      <w:start w:val="1"/>
      <w:numFmt w:val="bullet"/>
      <w:lvlText w:val=""/>
      <w:lvlJc w:val="left"/>
      <w:pPr>
        <w:tabs>
          <w:tab w:val="left" w:pos="1680"/>
        </w:tabs>
        <w:ind w:left="1680" w:hanging="420"/>
      </w:pPr>
      <w:rPr>
        <w:rFonts w:hint="default" w:ascii="Wingdings" w:hAnsi="Wingdings"/>
      </w:rPr>
    </w:lvl>
    <w:lvl w:ilvl="6" w:tentative="0">
      <w:start w:val="1"/>
      <w:numFmt w:val="bullet"/>
      <w:lvlText w:val=""/>
      <w:lvlJc w:val="left"/>
      <w:pPr>
        <w:tabs>
          <w:tab w:val="left" w:pos="2100"/>
        </w:tabs>
        <w:ind w:left="2100" w:hanging="420"/>
      </w:pPr>
      <w:rPr>
        <w:rFonts w:hint="default" w:ascii="Wingdings" w:hAnsi="Wingdings"/>
      </w:rPr>
    </w:lvl>
    <w:lvl w:ilvl="7" w:tentative="0">
      <w:start w:val="1"/>
      <w:numFmt w:val="bullet"/>
      <w:lvlText w:val=""/>
      <w:lvlJc w:val="left"/>
      <w:pPr>
        <w:tabs>
          <w:tab w:val="left" w:pos="2520"/>
        </w:tabs>
        <w:ind w:left="2520" w:hanging="420"/>
      </w:pPr>
      <w:rPr>
        <w:rFonts w:hint="default" w:ascii="Wingdings" w:hAnsi="Wingdings"/>
      </w:rPr>
    </w:lvl>
    <w:lvl w:ilvl="8" w:tentative="0">
      <w:start w:val="1"/>
      <w:numFmt w:val="decimal"/>
      <w:lvlRestart w:val="0"/>
      <w:lvlText w:val="%9."/>
      <w:lvlJc w:val="left"/>
      <w:pPr>
        <w:tabs>
          <w:tab w:val="left" w:pos="284"/>
        </w:tabs>
        <w:ind w:left="284" w:hanging="284"/>
      </w:pPr>
      <w:rPr>
        <w:rFonts w:hint="eastAsia"/>
      </w:rPr>
    </w:lvl>
  </w:abstractNum>
  <w:abstractNum w:abstractNumId="37">
    <w:nsid w:val="7FDD0923"/>
    <w:multiLevelType w:val="multilevel"/>
    <w:tmpl w:val="7FDD0923"/>
    <w:lvl w:ilvl="0" w:tentative="0">
      <w:start w:val="1"/>
      <w:numFmt w:val="bullet"/>
      <w:lvlText w:val=""/>
      <w:lvlJc w:val="left"/>
      <w:pPr>
        <w:ind w:left="980" w:hanging="420"/>
      </w:pPr>
      <w:rPr>
        <w:rFonts w:hint="default" w:ascii="Wingdings" w:hAnsi="Wingdings"/>
        <w:sz w:val="28"/>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num w:numId="1">
    <w:abstractNumId w:val="25"/>
  </w:num>
  <w:num w:numId="2">
    <w:abstractNumId w:val="28"/>
  </w:num>
  <w:num w:numId="3">
    <w:abstractNumId w:val="1"/>
  </w:num>
  <w:num w:numId="4">
    <w:abstractNumId w:val="2"/>
  </w:num>
  <w:num w:numId="5">
    <w:abstractNumId w:val="3"/>
  </w:num>
  <w:num w:numId="6">
    <w:abstractNumId w:val="8"/>
  </w:num>
  <w:num w:numId="7">
    <w:abstractNumId w:val="15"/>
  </w:num>
  <w:num w:numId="8">
    <w:abstractNumId w:val="36"/>
  </w:num>
  <w:num w:numId="9">
    <w:abstractNumId w:val="34"/>
  </w:num>
  <w:num w:numId="10">
    <w:abstractNumId w:val="6"/>
  </w:num>
  <w:num w:numId="11">
    <w:abstractNumId w:val="7"/>
  </w:num>
  <w:num w:numId="12">
    <w:abstractNumId w:val="35"/>
  </w:num>
  <w:num w:numId="13">
    <w:abstractNumId w:val="26"/>
  </w:num>
  <w:num w:numId="14">
    <w:abstractNumId w:val="25"/>
    <w:lvlOverride w:ilvl="0">
      <w:startOverride w:val="2"/>
    </w:lvlOverride>
    <w:lvlOverride w:ilvl="1">
      <w:startOverride w:val="2"/>
    </w:lvlOverride>
    <w:lvlOverride w:ilvl="2">
      <w:startOverride w:val="1"/>
    </w:lvlOverride>
    <w:lvlOverride w:ilvl="3">
      <w:startOverride w:val="3"/>
    </w:lvlOverride>
    <w:lvlOverride w:ilvl="4">
      <w:startOverride w:val="2"/>
    </w:lvlOverride>
  </w:num>
  <w:num w:numId="15">
    <w:abstractNumId w:val="33"/>
  </w:num>
  <w:num w:numId="16">
    <w:abstractNumId w:val="22"/>
  </w:num>
  <w:num w:numId="17">
    <w:abstractNumId w:val="10"/>
  </w:num>
  <w:num w:numId="18">
    <w:abstractNumId w:val="20"/>
  </w:num>
  <w:num w:numId="19">
    <w:abstractNumId w:val="12"/>
  </w:num>
  <w:num w:numId="20">
    <w:abstractNumId w:val="24"/>
  </w:num>
  <w:num w:numId="21">
    <w:abstractNumId w:val="19"/>
  </w:num>
  <w:num w:numId="22">
    <w:abstractNumId w:val="13"/>
  </w:num>
  <w:num w:numId="23">
    <w:abstractNumId w:val="29"/>
  </w:num>
  <w:num w:numId="24">
    <w:abstractNumId w:val="11"/>
  </w:num>
  <w:num w:numId="25">
    <w:abstractNumId w:val="4"/>
  </w:num>
  <w:num w:numId="26">
    <w:abstractNumId w:val="17"/>
  </w:num>
  <w:num w:numId="27">
    <w:abstractNumId w:val="14"/>
  </w:num>
  <w:num w:numId="28">
    <w:abstractNumId w:val="37"/>
  </w:num>
  <w:num w:numId="29">
    <w:abstractNumId w:val="16"/>
  </w:num>
  <w:num w:numId="30">
    <w:abstractNumId w:val="0"/>
  </w:num>
  <w:num w:numId="31">
    <w:abstractNumId w:val="31"/>
  </w:num>
  <w:num w:numId="32">
    <w:abstractNumId w:val="23"/>
  </w:num>
  <w:num w:numId="33">
    <w:abstractNumId w:val="30"/>
  </w:num>
  <w:num w:numId="34">
    <w:abstractNumId w:val="21"/>
  </w:num>
  <w:num w:numId="35">
    <w:abstractNumId w:val="9"/>
  </w:num>
  <w:num w:numId="36">
    <w:abstractNumId w:val="5"/>
  </w:num>
  <w:num w:numId="37">
    <w:abstractNumId w:val="32"/>
  </w:num>
  <w:num w:numId="38">
    <w:abstractNumId w:val="27"/>
  </w:num>
  <w:num w:numId="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documentProtection w:enforcement="0"/>
  <w:defaultTabStop w:val="420"/>
  <w:drawingGridHorizontalSpacing w:val="140"/>
  <w:drawingGridVerticalSpacing w:val="381"/>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k5YWQ3NGFmNWEwZWQzMjVkZTBlYzZhMDZmN2U3NmMifQ=="/>
  </w:docVars>
  <w:rsids>
    <w:rsidRoot w:val="00A41607"/>
    <w:rsid w:val="00000807"/>
    <w:rsid w:val="00001D4A"/>
    <w:rsid w:val="000041B9"/>
    <w:rsid w:val="00005862"/>
    <w:rsid w:val="000062F3"/>
    <w:rsid w:val="00007190"/>
    <w:rsid w:val="0001299E"/>
    <w:rsid w:val="00014645"/>
    <w:rsid w:val="00015C1D"/>
    <w:rsid w:val="00015E60"/>
    <w:rsid w:val="000214D9"/>
    <w:rsid w:val="000214E0"/>
    <w:rsid w:val="000227B3"/>
    <w:rsid w:val="0002310D"/>
    <w:rsid w:val="00025472"/>
    <w:rsid w:val="00027A6B"/>
    <w:rsid w:val="00030563"/>
    <w:rsid w:val="00031782"/>
    <w:rsid w:val="00031D32"/>
    <w:rsid w:val="0003570C"/>
    <w:rsid w:val="00037BB4"/>
    <w:rsid w:val="000429F8"/>
    <w:rsid w:val="00044C58"/>
    <w:rsid w:val="0004614A"/>
    <w:rsid w:val="00046E3A"/>
    <w:rsid w:val="00051B38"/>
    <w:rsid w:val="00053B5C"/>
    <w:rsid w:val="00053F69"/>
    <w:rsid w:val="00055531"/>
    <w:rsid w:val="00055F63"/>
    <w:rsid w:val="000564F1"/>
    <w:rsid w:val="00062238"/>
    <w:rsid w:val="00063B69"/>
    <w:rsid w:val="00063C4A"/>
    <w:rsid w:val="00064343"/>
    <w:rsid w:val="00066F87"/>
    <w:rsid w:val="000703EE"/>
    <w:rsid w:val="00071D59"/>
    <w:rsid w:val="00073ABD"/>
    <w:rsid w:val="00075C41"/>
    <w:rsid w:val="00077988"/>
    <w:rsid w:val="00077D2B"/>
    <w:rsid w:val="00080075"/>
    <w:rsid w:val="00081A9E"/>
    <w:rsid w:val="00084597"/>
    <w:rsid w:val="00085F97"/>
    <w:rsid w:val="000868DA"/>
    <w:rsid w:val="0008727C"/>
    <w:rsid w:val="00090338"/>
    <w:rsid w:val="0009113A"/>
    <w:rsid w:val="00094B16"/>
    <w:rsid w:val="00095430"/>
    <w:rsid w:val="00095ACB"/>
    <w:rsid w:val="00096C45"/>
    <w:rsid w:val="000A00E5"/>
    <w:rsid w:val="000A51F7"/>
    <w:rsid w:val="000A5D4F"/>
    <w:rsid w:val="000A7DC4"/>
    <w:rsid w:val="000B1151"/>
    <w:rsid w:val="000B338E"/>
    <w:rsid w:val="000B4E42"/>
    <w:rsid w:val="000B593D"/>
    <w:rsid w:val="000B5EBB"/>
    <w:rsid w:val="000C0EA3"/>
    <w:rsid w:val="000C134B"/>
    <w:rsid w:val="000C18AD"/>
    <w:rsid w:val="000C2C0D"/>
    <w:rsid w:val="000C306E"/>
    <w:rsid w:val="000C38A6"/>
    <w:rsid w:val="000C3FA5"/>
    <w:rsid w:val="000C5DBA"/>
    <w:rsid w:val="000C6334"/>
    <w:rsid w:val="000C70BC"/>
    <w:rsid w:val="000C73E7"/>
    <w:rsid w:val="000D04A5"/>
    <w:rsid w:val="000D09EC"/>
    <w:rsid w:val="000D19F7"/>
    <w:rsid w:val="000D4533"/>
    <w:rsid w:val="000D49E0"/>
    <w:rsid w:val="000D512C"/>
    <w:rsid w:val="000D6F63"/>
    <w:rsid w:val="000D7123"/>
    <w:rsid w:val="000D7465"/>
    <w:rsid w:val="000E0056"/>
    <w:rsid w:val="000E1754"/>
    <w:rsid w:val="000E19E5"/>
    <w:rsid w:val="000E4229"/>
    <w:rsid w:val="000E75F8"/>
    <w:rsid w:val="000F24D5"/>
    <w:rsid w:val="000F36E6"/>
    <w:rsid w:val="000F7619"/>
    <w:rsid w:val="000F7C85"/>
    <w:rsid w:val="0010552D"/>
    <w:rsid w:val="00107D3D"/>
    <w:rsid w:val="00107F9C"/>
    <w:rsid w:val="001116AE"/>
    <w:rsid w:val="00112E56"/>
    <w:rsid w:val="0011513B"/>
    <w:rsid w:val="00117780"/>
    <w:rsid w:val="0012080B"/>
    <w:rsid w:val="00124AFE"/>
    <w:rsid w:val="001313DD"/>
    <w:rsid w:val="001319A1"/>
    <w:rsid w:val="00131C80"/>
    <w:rsid w:val="00132042"/>
    <w:rsid w:val="001356D9"/>
    <w:rsid w:val="00135744"/>
    <w:rsid w:val="00136FF1"/>
    <w:rsid w:val="001406F8"/>
    <w:rsid w:val="00143DBD"/>
    <w:rsid w:val="00144A50"/>
    <w:rsid w:val="001467DB"/>
    <w:rsid w:val="00147503"/>
    <w:rsid w:val="001476C6"/>
    <w:rsid w:val="00147ED0"/>
    <w:rsid w:val="00151EC1"/>
    <w:rsid w:val="00152BB5"/>
    <w:rsid w:val="0015528F"/>
    <w:rsid w:val="00156777"/>
    <w:rsid w:val="00157184"/>
    <w:rsid w:val="00157609"/>
    <w:rsid w:val="001624BF"/>
    <w:rsid w:val="0016375A"/>
    <w:rsid w:val="001709C9"/>
    <w:rsid w:val="00172E08"/>
    <w:rsid w:val="001737F9"/>
    <w:rsid w:val="00173F7C"/>
    <w:rsid w:val="00175C8E"/>
    <w:rsid w:val="00176E43"/>
    <w:rsid w:val="001772D5"/>
    <w:rsid w:val="00177C8A"/>
    <w:rsid w:val="00182003"/>
    <w:rsid w:val="00182822"/>
    <w:rsid w:val="00184221"/>
    <w:rsid w:val="00185E9C"/>
    <w:rsid w:val="001861A3"/>
    <w:rsid w:val="00186729"/>
    <w:rsid w:val="00186838"/>
    <w:rsid w:val="00187434"/>
    <w:rsid w:val="00187E2C"/>
    <w:rsid w:val="00192EB8"/>
    <w:rsid w:val="00193A86"/>
    <w:rsid w:val="00194EC1"/>
    <w:rsid w:val="001A0BAD"/>
    <w:rsid w:val="001A399A"/>
    <w:rsid w:val="001A451B"/>
    <w:rsid w:val="001A4FE0"/>
    <w:rsid w:val="001A7715"/>
    <w:rsid w:val="001B012D"/>
    <w:rsid w:val="001B307F"/>
    <w:rsid w:val="001B6F32"/>
    <w:rsid w:val="001C2364"/>
    <w:rsid w:val="001C24A5"/>
    <w:rsid w:val="001C42EA"/>
    <w:rsid w:val="001C4DD3"/>
    <w:rsid w:val="001C515B"/>
    <w:rsid w:val="001C51DA"/>
    <w:rsid w:val="001C68C9"/>
    <w:rsid w:val="001C763A"/>
    <w:rsid w:val="001D3692"/>
    <w:rsid w:val="001D36A8"/>
    <w:rsid w:val="001D7339"/>
    <w:rsid w:val="001E427E"/>
    <w:rsid w:val="001E438B"/>
    <w:rsid w:val="001E4900"/>
    <w:rsid w:val="001F09E3"/>
    <w:rsid w:val="001F579A"/>
    <w:rsid w:val="001F5BF2"/>
    <w:rsid w:val="001F5F2F"/>
    <w:rsid w:val="001F617F"/>
    <w:rsid w:val="002009EE"/>
    <w:rsid w:val="00200A7A"/>
    <w:rsid w:val="00201250"/>
    <w:rsid w:val="002018BA"/>
    <w:rsid w:val="00201A0F"/>
    <w:rsid w:val="002020F9"/>
    <w:rsid w:val="002021A6"/>
    <w:rsid w:val="00203EFA"/>
    <w:rsid w:val="00204CEA"/>
    <w:rsid w:val="00205657"/>
    <w:rsid w:val="002101F9"/>
    <w:rsid w:val="00210BAC"/>
    <w:rsid w:val="00220956"/>
    <w:rsid w:val="002214F8"/>
    <w:rsid w:val="00221906"/>
    <w:rsid w:val="00222F7F"/>
    <w:rsid w:val="00223437"/>
    <w:rsid w:val="00224DC9"/>
    <w:rsid w:val="002251C5"/>
    <w:rsid w:val="00233FC4"/>
    <w:rsid w:val="00234B91"/>
    <w:rsid w:val="00236C38"/>
    <w:rsid w:val="002400F4"/>
    <w:rsid w:val="0024078B"/>
    <w:rsid w:val="00240DE8"/>
    <w:rsid w:val="00241F59"/>
    <w:rsid w:val="0024218A"/>
    <w:rsid w:val="00243750"/>
    <w:rsid w:val="00244048"/>
    <w:rsid w:val="00244709"/>
    <w:rsid w:val="002465CA"/>
    <w:rsid w:val="00246861"/>
    <w:rsid w:val="00246AE7"/>
    <w:rsid w:val="00247A9F"/>
    <w:rsid w:val="0025121A"/>
    <w:rsid w:val="0025193A"/>
    <w:rsid w:val="00252358"/>
    <w:rsid w:val="00253B23"/>
    <w:rsid w:val="00255404"/>
    <w:rsid w:val="00256E78"/>
    <w:rsid w:val="0026136D"/>
    <w:rsid w:val="00261B06"/>
    <w:rsid w:val="00264051"/>
    <w:rsid w:val="00265A36"/>
    <w:rsid w:val="00265B45"/>
    <w:rsid w:val="00267D16"/>
    <w:rsid w:val="00271A37"/>
    <w:rsid w:val="0027230F"/>
    <w:rsid w:val="00272C04"/>
    <w:rsid w:val="00276878"/>
    <w:rsid w:val="00280081"/>
    <w:rsid w:val="002800E5"/>
    <w:rsid w:val="00280A46"/>
    <w:rsid w:val="002831BA"/>
    <w:rsid w:val="002841A3"/>
    <w:rsid w:val="00285107"/>
    <w:rsid w:val="00292B1E"/>
    <w:rsid w:val="00292FB8"/>
    <w:rsid w:val="002939BE"/>
    <w:rsid w:val="00296B18"/>
    <w:rsid w:val="00296BF2"/>
    <w:rsid w:val="00297523"/>
    <w:rsid w:val="002A010C"/>
    <w:rsid w:val="002A06CE"/>
    <w:rsid w:val="002A20C9"/>
    <w:rsid w:val="002A2C51"/>
    <w:rsid w:val="002A5133"/>
    <w:rsid w:val="002A6115"/>
    <w:rsid w:val="002A70F7"/>
    <w:rsid w:val="002B3363"/>
    <w:rsid w:val="002B5479"/>
    <w:rsid w:val="002B57E6"/>
    <w:rsid w:val="002B6F80"/>
    <w:rsid w:val="002B7008"/>
    <w:rsid w:val="002C14D5"/>
    <w:rsid w:val="002C2016"/>
    <w:rsid w:val="002C2492"/>
    <w:rsid w:val="002C4470"/>
    <w:rsid w:val="002C53E0"/>
    <w:rsid w:val="002C59CD"/>
    <w:rsid w:val="002C5A78"/>
    <w:rsid w:val="002C7464"/>
    <w:rsid w:val="002D2699"/>
    <w:rsid w:val="002D2E0D"/>
    <w:rsid w:val="002D445C"/>
    <w:rsid w:val="002D44F0"/>
    <w:rsid w:val="002D5FB3"/>
    <w:rsid w:val="002D7A6D"/>
    <w:rsid w:val="002D7FE3"/>
    <w:rsid w:val="002E1CB3"/>
    <w:rsid w:val="002E2B22"/>
    <w:rsid w:val="002E430C"/>
    <w:rsid w:val="002E442D"/>
    <w:rsid w:val="002F0A71"/>
    <w:rsid w:val="002F76FB"/>
    <w:rsid w:val="002F7BE2"/>
    <w:rsid w:val="00301264"/>
    <w:rsid w:val="00304732"/>
    <w:rsid w:val="003047C8"/>
    <w:rsid w:val="00304A3C"/>
    <w:rsid w:val="0030569E"/>
    <w:rsid w:val="00305FBC"/>
    <w:rsid w:val="0030669F"/>
    <w:rsid w:val="0030686D"/>
    <w:rsid w:val="00306904"/>
    <w:rsid w:val="003077FD"/>
    <w:rsid w:val="003100B8"/>
    <w:rsid w:val="003166C3"/>
    <w:rsid w:val="0031716A"/>
    <w:rsid w:val="00317C06"/>
    <w:rsid w:val="0032090D"/>
    <w:rsid w:val="00321524"/>
    <w:rsid w:val="00321B1C"/>
    <w:rsid w:val="00321E63"/>
    <w:rsid w:val="00321E7E"/>
    <w:rsid w:val="003232E9"/>
    <w:rsid w:val="00326EF6"/>
    <w:rsid w:val="00330F0D"/>
    <w:rsid w:val="0033128A"/>
    <w:rsid w:val="0033198B"/>
    <w:rsid w:val="00332442"/>
    <w:rsid w:val="00333DB4"/>
    <w:rsid w:val="00334786"/>
    <w:rsid w:val="00334DB1"/>
    <w:rsid w:val="00335469"/>
    <w:rsid w:val="003363AE"/>
    <w:rsid w:val="00342D23"/>
    <w:rsid w:val="00343839"/>
    <w:rsid w:val="00344B7A"/>
    <w:rsid w:val="00346302"/>
    <w:rsid w:val="00347158"/>
    <w:rsid w:val="003515EC"/>
    <w:rsid w:val="003561A7"/>
    <w:rsid w:val="003610D3"/>
    <w:rsid w:val="00362412"/>
    <w:rsid w:val="00362B36"/>
    <w:rsid w:val="00363739"/>
    <w:rsid w:val="003641B8"/>
    <w:rsid w:val="00364460"/>
    <w:rsid w:val="0036452E"/>
    <w:rsid w:val="00364ECE"/>
    <w:rsid w:val="00366BF0"/>
    <w:rsid w:val="003676DD"/>
    <w:rsid w:val="00370F94"/>
    <w:rsid w:val="003732AB"/>
    <w:rsid w:val="00374723"/>
    <w:rsid w:val="00375E34"/>
    <w:rsid w:val="00377BEA"/>
    <w:rsid w:val="003866E1"/>
    <w:rsid w:val="0039142A"/>
    <w:rsid w:val="00391BCE"/>
    <w:rsid w:val="003920A0"/>
    <w:rsid w:val="00393E49"/>
    <w:rsid w:val="003A008B"/>
    <w:rsid w:val="003A0DDF"/>
    <w:rsid w:val="003A2530"/>
    <w:rsid w:val="003A35EB"/>
    <w:rsid w:val="003A49BF"/>
    <w:rsid w:val="003A6504"/>
    <w:rsid w:val="003A65E2"/>
    <w:rsid w:val="003B131E"/>
    <w:rsid w:val="003B57A2"/>
    <w:rsid w:val="003B5BDF"/>
    <w:rsid w:val="003B7872"/>
    <w:rsid w:val="003C118A"/>
    <w:rsid w:val="003C12C6"/>
    <w:rsid w:val="003C2A8F"/>
    <w:rsid w:val="003C53B0"/>
    <w:rsid w:val="003D0A07"/>
    <w:rsid w:val="003D0F4E"/>
    <w:rsid w:val="003D1F90"/>
    <w:rsid w:val="003D204A"/>
    <w:rsid w:val="003D2555"/>
    <w:rsid w:val="003D37B6"/>
    <w:rsid w:val="003D3B90"/>
    <w:rsid w:val="003D3F6F"/>
    <w:rsid w:val="003D65AD"/>
    <w:rsid w:val="003D6885"/>
    <w:rsid w:val="003E189F"/>
    <w:rsid w:val="003E1BF8"/>
    <w:rsid w:val="003E4ED2"/>
    <w:rsid w:val="003E5960"/>
    <w:rsid w:val="003F08A5"/>
    <w:rsid w:val="003F4338"/>
    <w:rsid w:val="003F4B31"/>
    <w:rsid w:val="003F5385"/>
    <w:rsid w:val="003F5879"/>
    <w:rsid w:val="003F590F"/>
    <w:rsid w:val="003F603B"/>
    <w:rsid w:val="00400C37"/>
    <w:rsid w:val="00400DC8"/>
    <w:rsid w:val="00401C69"/>
    <w:rsid w:val="00403473"/>
    <w:rsid w:val="00405A1C"/>
    <w:rsid w:val="00405CD7"/>
    <w:rsid w:val="00406E08"/>
    <w:rsid w:val="004100E9"/>
    <w:rsid w:val="004119B9"/>
    <w:rsid w:val="004124DE"/>
    <w:rsid w:val="00412EF7"/>
    <w:rsid w:val="00416FA3"/>
    <w:rsid w:val="00421349"/>
    <w:rsid w:val="00421C35"/>
    <w:rsid w:val="00421DDB"/>
    <w:rsid w:val="0042433F"/>
    <w:rsid w:val="0042775F"/>
    <w:rsid w:val="0042786E"/>
    <w:rsid w:val="00427983"/>
    <w:rsid w:val="00427F65"/>
    <w:rsid w:val="00427FAF"/>
    <w:rsid w:val="0043017F"/>
    <w:rsid w:val="00430EAF"/>
    <w:rsid w:val="00433ADA"/>
    <w:rsid w:val="00435E8C"/>
    <w:rsid w:val="00436A19"/>
    <w:rsid w:val="004403E5"/>
    <w:rsid w:val="00440598"/>
    <w:rsid w:val="00440EA5"/>
    <w:rsid w:val="0044139F"/>
    <w:rsid w:val="00441758"/>
    <w:rsid w:val="00441BA5"/>
    <w:rsid w:val="00442F8A"/>
    <w:rsid w:val="00443D33"/>
    <w:rsid w:val="00444E16"/>
    <w:rsid w:val="00447390"/>
    <w:rsid w:val="00450E9F"/>
    <w:rsid w:val="004515DD"/>
    <w:rsid w:val="00451EE1"/>
    <w:rsid w:val="00452D54"/>
    <w:rsid w:val="00452D68"/>
    <w:rsid w:val="0045318D"/>
    <w:rsid w:val="00453D83"/>
    <w:rsid w:val="0045498E"/>
    <w:rsid w:val="00456183"/>
    <w:rsid w:val="004564DF"/>
    <w:rsid w:val="00461275"/>
    <w:rsid w:val="00465504"/>
    <w:rsid w:val="00465FA4"/>
    <w:rsid w:val="00466E33"/>
    <w:rsid w:val="00467A64"/>
    <w:rsid w:val="00474141"/>
    <w:rsid w:val="00474EB7"/>
    <w:rsid w:val="004755A8"/>
    <w:rsid w:val="0048128B"/>
    <w:rsid w:val="0048131D"/>
    <w:rsid w:val="004838B0"/>
    <w:rsid w:val="0048394D"/>
    <w:rsid w:val="00487021"/>
    <w:rsid w:val="00487438"/>
    <w:rsid w:val="00491BAE"/>
    <w:rsid w:val="004934DE"/>
    <w:rsid w:val="004936F2"/>
    <w:rsid w:val="00493F02"/>
    <w:rsid w:val="00494226"/>
    <w:rsid w:val="004944D3"/>
    <w:rsid w:val="004966AB"/>
    <w:rsid w:val="004A1FA3"/>
    <w:rsid w:val="004B158E"/>
    <w:rsid w:val="004B2D3A"/>
    <w:rsid w:val="004B3383"/>
    <w:rsid w:val="004B405A"/>
    <w:rsid w:val="004B49AC"/>
    <w:rsid w:val="004B6BDB"/>
    <w:rsid w:val="004B7D3A"/>
    <w:rsid w:val="004C0E78"/>
    <w:rsid w:val="004C1ACA"/>
    <w:rsid w:val="004C3B2A"/>
    <w:rsid w:val="004C6F90"/>
    <w:rsid w:val="004C70D9"/>
    <w:rsid w:val="004C7568"/>
    <w:rsid w:val="004D0C22"/>
    <w:rsid w:val="004D0FAF"/>
    <w:rsid w:val="004D19A9"/>
    <w:rsid w:val="004D2BDC"/>
    <w:rsid w:val="004D4023"/>
    <w:rsid w:val="004D6212"/>
    <w:rsid w:val="004D719B"/>
    <w:rsid w:val="004E26A3"/>
    <w:rsid w:val="004E4D88"/>
    <w:rsid w:val="004E5461"/>
    <w:rsid w:val="004E5ED4"/>
    <w:rsid w:val="004E76DF"/>
    <w:rsid w:val="004E7727"/>
    <w:rsid w:val="004F13CE"/>
    <w:rsid w:val="004F5A38"/>
    <w:rsid w:val="004F5A72"/>
    <w:rsid w:val="00500D3D"/>
    <w:rsid w:val="005026C3"/>
    <w:rsid w:val="00502888"/>
    <w:rsid w:val="00502E24"/>
    <w:rsid w:val="005064D0"/>
    <w:rsid w:val="005067A8"/>
    <w:rsid w:val="00506DF7"/>
    <w:rsid w:val="00507133"/>
    <w:rsid w:val="00507A0A"/>
    <w:rsid w:val="0051289E"/>
    <w:rsid w:val="00514A38"/>
    <w:rsid w:val="00515747"/>
    <w:rsid w:val="00515B63"/>
    <w:rsid w:val="005170EF"/>
    <w:rsid w:val="00521E25"/>
    <w:rsid w:val="00521F39"/>
    <w:rsid w:val="00522494"/>
    <w:rsid w:val="00522BDB"/>
    <w:rsid w:val="005254E6"/>
    <w:rsid w:val="0052550D"/>
    <w:rsid w:val="00526D28"/>
    <w:rsid w:val="00526EA1"/>
    <w:rsid w:val="005277EC"/>
    <w:rsid w:val="005346D8"/>
    <w:rsid w:val="00536516"/>
    <w:rsid w:val="00542016"/>
    <w:rsid w:val="005421F6"/>
    <w:rsid w:val="00542FF8"/>
    <w:rsid w:val="00543173"/>
    <w:rsid w:val="00544902"/>
    <w:rsid w:val="00544C46"/>
    <w:rsid w:val="00546A87"/>
    <w:rsid w:val="0054709C"/>
    <w:rsid w:val="00552F87"/>
    <w:rsid w:val="00553518"/>
    <w:rsid w:val="00553C4B"/>
    <w:rsid w:val="00554BB1"/>
    <w:rsid w:val="005564C4"/>
    <w:rsid w:val="00557960"/>
    <w:rsid w:val="00561DA9"/>
    <w:rsid w:val="00561FC9"/>
    <w:rsid w:val="0056315C"/>
    <w:rsid w:val="0056397C"/>
    <w:rsid w:val="00563E26"/>
    <w:rsid w:val="0056509C"/>
    <w:rsid w:val="0056739D"/>
    <w:rsid w:val="00570ED8"/>
    <w:rsid w:val="00572AD4"/>
    <w:rsid w:val="00573BA1"/>
    <w:rsid w:val="0057437D"/>
    <w:rsid w:val="0057467A"/>
    <w:rsid w:val="00574D5C"/>
    <w:rsid w:val="00575BF8"/>
    <w:rsid w:val="005805A8"/>
    <w:rsid w:val="00582B5F"/>
    <w:rsid w:val="00583BFD"/>
    <w:rsid w:val="00583D1B"/>
    <w:rsid w:val="00585A9C"/>
    <w:rsid w:val="005862D5"/>
    <w:rsid w:val="005904E3"/>
    <w:rsid w:val="005915C8"/>
    <w:rsid w:val="00591AD2"/>
    <w:rsid w:val="00592C1D"/>
    <w:rsid w:val="00593C77"/>
    <w:rsid w:val="00595E2A"/>
    <w:rsid w:val="005A092E"/>
    <w:rsid w:val="005A2D3E"/>
    <w:rsid w:val="005A2EB0"/>
    <w:rsid w:val="005A7AF8"/>
    <w:rsid w:val="005B3E92"/>
    <w:rsid w:val="005B4581"/>
    <w:rsid w:val="005B6B17"/>
    <w:rsid w:val="005C144D"/>
    <w:rsid w:val="005C2398"/>
    <w:rsid w:val="005C2507"/>
    <w:rsid w:val="005C28AB"/>
    <w:rsid w:val="005C2FE3"/>
    <w:rsid w:val="005C30A0"/>
    <w:rsid w:val="005C3E2C"/>
    <w:rsid w:val="005D1A9E"/>
    <w:rsid w:val="005D21B4"/>
    <w:rsid w:val="005E0166"/>
    <w:rsid w:val="005E1932"/>
    <w:rsid w:val="005E1C6B"/>
    <w:rsid w:val="005E226B"/>
    <w:rsid w:val="005E3FB1"/>
    <w:rsid w:val="005E5098"/>
    <w:rsid w:val="005E510A"/>
    <w:rsid w:val="005E7188"/>
    <w:rsid w:val="005F36BF"/>
    <w:rsid w:val="005F444D"/>
    <w:rsid w:val="005F57E4"/>
    <w:rsid w:val="005F71BD"/>
    <w:rsid w:val="005F7459"/>
    <w:rsid w:val="00602519"/>
    <w:rsid w:val="00602721"/>
    <w:rsid w:val="0060330E"/>
    <w:rsid w:val="00606D1B"/>
    <w:rsid w:val="00610722"/>
    <w:rsid w:val="00611748"/>
    <w:rsid w:val="00611DB0"/>
    <w:rsid w:val="006135C6"/>
    <w:rsid w:val="00614F3F"/>
    <w:rsid w:val="0061619A"/>
    <w:rsid w:val="0061693A"/>
    <w:rsid w:val="00617A6B"/>
    <w:rsid w:val="00620510"/>
    <w:rsid w:val="00621947"/>
    <w:rsid w:val="006226D9"/>
    <w:rsid w:val="0062290B"/>
    <w:rsid w:val="00623613"/>
    <w:rsid w:val="00625BAD"/>
    <w:rsid w:val="00625FB1"/>
    <w:rsid w:val="006277EC"/>
    <w:rsid w:val="00631483"/>
    <w:rsid w:val="00631717"/>
    <w:rsid w:val="006321DA"/>
    <w:rsid w:val="00635D1D"/>
    <w:rsid w:val="00636997"/>
    <w:rsid w:val="0064197A"/>
    <w:rsid w:val="00641BD5"/>
    <w:rsid w:val="006453D3"/>
    <w:rsid w:val="00645F76"/>
    <w:rsid w:val="00647C44"/>
    <w:rsid w:val="006501E1"/>
    <w:rsid w:val="00651C5C"/>
    <w:rsid w:val="00653A65"/>
    <w:rsid w:val="00653BE8"/>
    <w:rsid w:val="00656DB2"/>
    <w:rsid w:val="006572E6"/>
    <w:rsid w:val="00657AC8"/>
    <w:rsid w:val="0066056C"/>
    <w:rsid w:val="006636C0"/>
    <w:rsid w:val="006641D2"/>
    <w:rsid w:val="0066582A"/>
    <w:rsid w:val="00667170"/>
    <w:rsid w:val="006672BA"/>
    <w:rsid w:val="00667D64"/>
    <w:rsid w:val="00671648"/>
    <w:rsid w:val="006729B4"/>
    <w:rsid w:val="00673E8A"/>
    <w:rsid w:val="00674341"/>
    <w:rsid w:val="0067627B"/>
    <w:rsid w:val="00676431"/>
    <w:rsid w:val="00677F70"/>
    <w:rsid w:val="00680AFF"/>
    <w:rsid w:val="00682B50"/>
    <w:rsid w:val="00683592"/>
    <w:rsid w:val="00683629"/>
    <w:rsid w:val="00685083"/>
    <w:rsid w:val="00685976"/>
    <w:rsid w:val="0068648C"/>
    <w:rsid w:val="00687EFF"/>
    <w:rsid w:val="0069174A"/>
    <w:rsid w:val="006952E9"/>
    <w:rsid w:val="006960BF"/>
    <w:rsid w:val="006964FF"/>
    <w:rsid w:val="00696E57"/>
    <w:rsid w:val="006970EA"/>
    <w:rsid w:val="006A0B89"/>
    <w:rsid w:val="006A2CA6"/>
    <w:rsid w:val="006A4688"/>
    <w:rsid w:val="006A5BB3"/>
    <w:rsid w:val="006A69CC"/>
    <w:rsid w:val="006A6CBC"/>
    <w:rsid w:val="006A7DB6"/>
    <w:rsid w:val="006B006E"/>
    <w:rsid w:val="006B0E6E"/>
    <w:rsid w:val="006B20FE"/>
    <w:rsid w:val="006B385B"/>
    <w:rsid w:val="006B3EF2"/>
    <w:rsid w:val="006B48F4"/>
    <w:rsid w:val="006B7789"/>
    <w:rsid w:val="006C0B7F"/>
    <w:rsid w:val="006C19BA"/>
    <w:rsid w:val="006C3378"/>
    <w:rsid w:val="006C3879"/>
    <w:rsid w:val="006C3B9A"/>
    <w:rsid w:val="006C5955"/>
    <w:rsid w:val="006C6B6E"/>
    <w:rsid w:val="006D0C4F"/>
    <w:rsid w:val="006D30C5"/>
    <w:rsid w:val="006D3EA9"/>
    <w:rsid w:val="006D40BE"/>
    <w:rsid w:val="006D5A8F"/>
    <w:rsid w:val="006F3E50"/>
    <w:rsid w:val="006F48B2"/>
    <w:rsid w:val="006F4DC6"/>
    <w:rsid w:val="006F7A0C"/>
    <w:rsid w:val="00703F4F"/>
    <w:rsid w:val="00706417"/>
    <w:rsid w:val="007109A1"/>
    <w:rsid w:val="0071197F"/>
    <w:rsid w:val="00713C54"/>
    <w:rsid w:val="007173AD"/>
    <w:rsid w:val="0072040B"/>
    <w:rsid w:val="007230BD"/>
    <w:rsid w:val="0072399B"/>
    <w:rsid w:val="0072557A"/>
    <w:rsid w:val="0072658B"/>
    <w:rsid w:val="0072728E"/>
    <w:rsid w:val="00727C20"/>
    <w:rsid w:val="0073046D"/>
    <w:rsid w:val="0073324C"/>
    <w:rsid w:val="007377EB"/>
    <w:rsid w:val="00737EBB"/>
    <w:rsid w:val="00741DA5"/>
    <w:rsid w:val="00743BC6"/>
    <w:rsid w:val="0074425C"/>
    <w:rsid w:val="00745685"/>
    <w:rsid w:val="00746639"/>
    <w:rsid w:val="00750852"/>
    <w:rsid w:val="0075310A"/>
    <w:rsid w:val="0075376F"/>
    <w:rsid w:val="007544E6"/>
    <w:rsid w:val="00754AA1"/>
    <w:rsid w:val="0075518B"/>
    <w:rsid w:val="00755AF5"/>
    <w:rsid w:val="00756337"/>
    <w:rsid w:val="00756C22"/>
    <w:rsid w:val="007571A2"/>
    <w:rsid w:val="00757659"/>
    <w:rsid w:val="00764D5B"/>
    <w:rsid w:val="00764F16"/>
    <w:rsid w:val="007658AE"/>
    <w:rsid w:val="00770445"/>
    <w:rsid w:val="00772635"/>
    <w:rsid w:val="007746C2"/>
    <w:rsid w:val="00775BF5"/>
    <w:rsid w:val="00776EFE"/>
    <w:rsid w:val="0077792D"/>
    <w:rsid w:val="00780307"/>
    <w:rsid w:val="00781489"/>
    <w:rsid w:val="007842EA"/>
    <w:rsid w:val="00784FFC"/>
    <w:rsid w:val="00786C3C"/>
    <w:rsid w:val="007904A9"/>
    <w:rsid w:val="007908F5"/>
    <w:rsid w:val="0079473B"/>
    <w:rsid w:val="00794BF5"/>
    <w:rsid w:val="00794CBE"/>
    <w:rsid w:val="00794FA0"/>
    <w:rsid w:val="007A0348"/>
    <w:rsid w:val="007A07DC"/>
    <w:rsid w:val="007A1B7A"/>
    <w:rsid w:val="007A5D33"/>
    <w:rsid w:val="007B1371"/>
    <w:rsid w:val="007B2412"/>
    <w:rsid w:val="007B4257"/>
    <w:rsid w:val="007B43E5"/>
    <w:rsid w:val="007B6055"/>
    <w:rsid w:val="007B6680"/>
    <w:rsid w:val="007B7663"/>
    <w:rsid w:val="007C0A1C"/>
    <w:rsid w:val="007C0C28"/>
    <w:rsid w:val="007C0FA1"/>
    <w:rsid w:val="007C13A8"/>
    <w:rsid w:val="007C1DAE"/>
    <w:rsid w:val="007C2068"/>
    <w:rsid w:val="007C27B2"/>
    <w:rsid w:val="007C4B21"/>
    <w:rsid w:val="007C7121"/>
    <w:rsid w:val="007C7ECC"/>
    <w:rsid w:val="007D05C2"/>
    <w:rsid w:val="007D0BE2"/>
    <w:rsid w:val="007D307D"/>
    <w:rsid w:val="007D3219"/>
    <w:rsid w:val="007D5F01"/>
    <w:rsid w:val="007D67A8"/>
    <w:rsid w:val="007E0731"/>
    <w:rsid w:val="007E1D82"/>
    <w:rsid w:val="007E30FE"/>
    <w:rsid w:val="007E38A2"/>
    <w:rsid w:val="007F0438"/>
    <w:rsid w:val="007F1320"/>
    <w:rsid w:val="007F18AF"/>
    <w:rsid w:val="007F25D5"/>
    <w:rsid w:val="007F374D"/>
    <w:rsid w:val="007F3ECA"/>
    <w:rsid w:val="007F40B9"/>
    <w:rsid w:val="007F6C81"/>
    <w:rsid w:val="007F7452"/>
    <w:rsid w:val="008025B2"/>
    <w:rsid w:val="00803625"/>
    <w:rsid w:val="008041E4"/>
    <w:rsid w:val="00807B07"/>
    <w:rsid w:val="008105B0"/>
    <w:rsid w:val="00811764"/>
    <w:rsid w:val="00811D9F"/>
    <w:rsid w:val="00811E3E"/>
    <w:rsid w:val="0081536A"/>
    <w:rsid w:val="00816AE6"/>
    <w:rsid w:val="00820AB4"/>
    <w:rsid w:val="0082347A"/>
    <w:rsid w:val="008245C8"/>
    <w:rsid w:val="00824F61"/>
    <w:rsid w:val="00827322"/>
    <w:rsid w:val="00827AF1"/>
    <w:rsid w:val="00834055"/>
    <w:rsid w:val="008359DE"/>
    <w:rsid w:val="00836181"/>
    <w:rsid w:val="00837739"/>
    <w:rsid w:val="00837C7C"/>
    <w:rsid w:val="008401C6"/>
    <w:rsid w:val="0084028C"/>
    <w:rsid w:val="00841D2E"/>
    <w:rsid w:val="0084406C"/>
    <w:rsid w:val="0084672D"/>
    <w:rsid w:val="00851407"/>
    <w:rsid w:val="00851560"/>
    <w:rsid w:val="00853D19"/>
    <w:rsid w:val="00861C97"/>
    <w:rsid w:val="00861E55"/>
    <w:rsid w:val="00862039"/>
    <w:rsid w:val="00867207"/>
    <w:rsid w:val="008673F6"/>
    <w:rsid w:val="00867AB1"/>
    <w:rsid w:val="008703B6"/>
    <w:rsid w:val="008714C4"/>
    <w:rsid w:val="008714D5"/>
    <w:rsid w:val="0087150D"/>
    <w:rsid w:val="008727E5"/>
    <w:rsid w:val="008739A4"/>
    <w:rsid w:val="00874977"/>
    <w:rsid w:val="0087497A"/>
    <w:rsid w:val="00874AD2"/>
    <w:rsid w:val="00875D5B"/>
    <w:rsid w:val="008809C3"/>
    <w:rsid w:val="00881276"/>
    <w:rsid w:val="00882365"/>
    <w:rsid w:val="00882EDD"/>
    <w:rsid w:val="008830F4"/>
    <w:rsid w:val="008871BA"/>
    <w:rsid w:val="00891E55"/>
    <w:rsid w:val="00892749"/>
    <w:rsid w:val="008938AA"/>
    <w:rsid w:val="00895644"/>
    <w:rsid w:val="0089654F"/>
    <w:rsid w:val="00896D0C"/>
    <w:rsid w:val="008A06D0"/>
    <w:rsid w:val="008A22CE"/>
    <w:rsid w:val="008A2E5B"/>
    <w:rsid w:val="008A4909"/>
    <w:rsid w:val="008A66AB"/>
    <w:rsid w:val="008A6A02"/>
    <w:rsid w:val="008A7056"/>
    <w:rsid w:val="008B0414"/>
    <w:rsid w:val="008B0B2B"/>
    <w:rsid w:val="008B0D38"/>
    <w:rsid w:val="008B19B2"/>
    <w:rsid w:val="008B20B8"/>
    <w:rsid w:val="008B6F65"/>
    <w:rsid w:val="008C19D9"/>
    <w:rsid w:val="008C3860"/>
    <w:rsid w:val="008C7D0E"/>
    <w:rsid w:val="008D13D1"/>
    <w:rsid w:val="008D438D"/>
    <w:rsid w:val="008D594B"/>
    <w:rsid w:val="008D633D"/>
    <w:rsid w:val="008D6481"/>
    <w:rsid w:val="008D69A5"/>
    <w:rsid w:val="008E3CA4"/>
    <w:rsid w:val="008E4DFE"/>
    <w:rsid w:val="008E61C3"/>
    <w:rsid w:val="008E6E37"/>
    <w:rsid w:val="008E6EB7"/>
    <w:rsid w:val="008E7F4C"/>
    <w:rsid w:val="008F07FC"/>
    <w:rsid w:val="008F1C60"/>
    <w:rsid w:val="008F2F3D"/>
    <w:rsid w:val="008F485F"/>
    <w:rsid w:val="008F5560"/>
    <w:rsid w:val="008F5DDE"/>
    <w:rsid w:val="00904BD9"/>
    <w:rsid w:val="009054B2"/>
    <w:rsid w:val="009054FE"/>
    <w:rsid w:val="00905973"/>
    <w:rsid w:val="00905D3C"/>
    <w:rsid w:val="00907C0D"/>
    <w:rsid w:val="00910B71"/>
    <w:rsid w:val="0091178D"/>
    <w:rsid w:val="0091209F"/>
    <w:rsid w:val="00913BA5"/>
    <w:rsid w:val="00914896"/>
    <w:rsid w:val="009159A8"/>
    <w:rsid w:val="00923753"/>
    <w:rsid w:val="0092404C"/>
    <w:rsid w:val="00933663"/>
    <w:rsid w:val="00933FE0"/>
    <w:rsid w:val="00936229"/>
    <w:rsid w:val="00937B35"/>
    <w:rsid w:val="00940452"/>
    <w:rsid w:val="00940DDC"/>
    <w:rsid w:val="00942E5C"/>
    <w:rsid w:val="00942E80"/>
    <w:rsid w:val="0094371F"/>
    <w:rsid w:val="00945876"/>
    <w:rsid w:val="009462C6"/>
    <w:rsid w:val="00950A97"/>
    <w:rsid w:val="00950D1D"/>
    <w:rsid w:val="0095466A"/>
    <w:rsid w:val="00956CB9"/>
    <w:rsid w:val="00960745"/>
    <w:rsid w:val="009608CA"/>
    <w:rsid w:val="009614C2"/>
    <w:rsid w:val="00961BFE"/>
    <w:rsid w:val="00961E33"/>
    <w:rsid w:val="00962360"/>
    <w:rsid w:val="00962BB2"/>
    <w:rsid w:val="0096341D"/>
    <w:rsid w:val="009635C7"/>
    <w:rsid w:val="0096544A"/>
    <w:rsid w:val="00970BEA"/>
    <w:rsid w:val="009713E5"/>
    <w:rsid w:val="00971DB5"/>
    <w:rsid w:val="0097336D"/>
    <w:rsid w:val="00973FBB"/>
    <w:rsid w:val="009742F3"/>
    <w:rsid w:val="00976F3F"/>
    <w:rsid w:val="009772C0"/>
    <w:rsid w:val="009831D2"/>
    <w:rsid w:val="0098415F"/>
    <w:rsid w:val="00986C76"/>
    <w:rsid w:val="00987184"/>
    <w:rsid w:val="00990B0C"/>
    <w:rsid w:val="00991270"/>
    <w:rsid w:val="00995E49"/>
    <w:rsid w:val="009A0625"/>
    <w:rsid w:val="009A1920"/>
    <w:rsid w:val="009A4CC0"/>
    <w:rsid w:val="009A63FF"/>
    <w:rsid w:val="009A71E6"/>
    <w:rsid w:val="009A7721"/>
    <w:rsid w:val="009B10A4"/>
    <w:rsid w:val="009B29B5"/>
    <w:rsid w:val="009B2A5D"/>
    <w:rsid w:val="009B2CFA"/>
    <w:rsid w:val="009B2E8D"/>
    <w:rsid w:val="009B337C"/>
    <w:rsid w:val="009B3DE3"/>
    <w:rsid w:val="009B562B"/>
    <w:rsid w:val="009B6569"/>
    <w:rsid w:val="009B7E20"/>
    <w:rsid w:val="009C1D5D"/>
    <w:rsid w:val="009C4FF1"/>
    <w:rsid w:val="009C5EC8"/>
    <w:rsid w:val="009C658B"/>
    <w:rsid w:val="009C6922"/>
    <w:rsid w:val="009D364B"/>
    <w:rsid w:val="009D433A"/>
    <w:rsid w:val="009D6389"/>
    <w:rsid w:val="009D67FB"/>
    <w:rsid w:val="009D70F6"/>
    <w:rsid w:val="009E1C90"/>
    <w:rsid w:val="009E2076"/>
    <w:rsid w:val="009E399B"/>
    <w:rsid w:val="009E3F18"/>
    <w:rsid w:val="009E4077"/>
    <w:rsid w:val="009E4917"/>
    <w:rsid w:val="009E64B5"/>
    <w:rsid w:val="009E6644"/>
    <w:rsid w:val="009E77EE"/>
    <w:rsid w:val="009F016E"/>
    <w:rsid w:val="00A00041"/>
    <w:rsid w:val="00A0255C"/>
    <w:rsid w:val="00A0321A"/>
    <w:rsid w:val="00A03B99"/>
    <w:rsid w:val="00A059ED"/>
    <w:rsid w:val="00A05D12"/>
    <w:rsid w:val="00A06001"/>
    <w:rsid w:val="00A07062"/>
    <w:rsid w:val="00A07218"/>
    <w:rsid w:val="00A11D8D"/>
    <w:rsid w:val="00A122AC"/>
    <w:rsid w:val="00A15605"/>
    <w:rsid w:val="00A16060"/>
    <w:rsid w:val="00A1781E"/>
    <w:rsid w:val="00A1794F"/>
    <w:rsid w:val="00A17EFC"/>
    <w:rsid w:val="00A22095"/>
    <w:rsid w:val="00A312B3"/>
    <w:rsid w:val="00A33B10"/>
    <w:rsid w:val="00A3446D"/>
    <w:rsid w:val="00A349FE"/>
    <w:rsid w:val="00A35AC8"/>
    <w:rsid w:val="00A35E50"/>
    <w:rsid w:val="00A368DA"/>
    <w:rsid w:val="00A41607"/>
    <w:rsid w:val="00A43363"/>
    <w:rsid w:val="00A43BB8"/>
    <w:rsid w:val="00A43F19"/>
    <w:rsid w:val="00A44FAE"/>
    <w:rsid w:val="00A479EA"/>
    <w:rsid w:val="00A47C67"/>
    <w:rsid w:val="00A50AB3"/>
    <w:rsid w:val="00A5368B"/>
    <w:rsid w:val="00A53ECF"/>
    <w:rsid w:val="00A64713"/>
    <w:rsid w:val="00A6757B"/>
    <w:rsid w:val="00A6792A"/>
    <w:rsid w:val="00A716F8"/>
    <w:rsid w:val="00A719F6"/>
    <w:rsid w:val="00A71AB5"/>
    <w:rsid w:val="00A731A2"/>
    <w:rsid w:val="00A73438"/>
    <w:rsid w:val="00A73B76"/>
    <w:rsid w:val="00A74325"/>
    <w:rsid w:val="00A75B5A"/>
    <w:rsid w:val="00A77D2B"/>
    <w:rsid w:val="00A81FC6"/>
    <w:rsid w:val="00A82285"/>
    <w:rsid w:val="00A8575D"/>
    <w:rsid w:val="00A85B54"/>
    <w:rsid w:val="00A86647"/>
    <w:rsid w:val="00A91238"/>
    <w:rsid w:val="00A94576"/>
    <w:rsid w:val="00A958FA"/>
    <w:rsid w:val="00A96B3A"/>
    <w:rsid w:val="00AA1EE8"/>
    <w:rsid w:val="00AA2DC4"/>
    <w:rsid w:val="00AA35C1"/>
    <w:rsid w:val="00AA401B"/>
    <w:rsid w:val="00AA5B67"/>
    <w:rsid w:val="00AA766C"/>
    <w:rsid w:val="00AA77BD"/>
    <w:rsid w:val="00AB13AD"/>
    <w:rsid w:val="00AB27E3"/>
    <w:rsid w:val="00AB404B"/>
    <w:rsid w:val="00AB4FA5"/>
    <w:rsid w:val="00AB587E"/>
    <w:rsid w:val="00AB62CF"/>
    <w:rsid w:val="00AB7623"/>
    <w:rsid w:val="00AC0600"/>
    <w:rsid w:val="00AC0F73"/>
    <w:rsid w:val="00AC1FC9"/>
    <w:rsid w:val="00AC2E3F"/>
    <w:rsid w:val="00AC4227"/>
    <w:rsid w:val="00AC5612"/>
    <w:rsid w:val="00AD0770"/>
    <w:rsid w:val="00AD1A82"/>
    <w:rsid w:val="00AD2A9A"/>
    <w:rsid w:val="00AD2F8D"/>
    <w:rsid w:val="00AD644B"/>
    <w:rsid w:val="00AD77F0"/>
    <w:rsid w:val="00AD7B79"/>
    <w:rsid w:val="00AE0EFD"/>
    <w:rsid w:val="00AE133B"/>
    <w:rsid w:val="00AE1624"/>
    <w:rsid w:val="00AE4234"/>
    <w:rsid w:val="00AE5737"/>
    <w:rsid w:val="00AE6D02"/>
    <w:rsid w:val="00AF310C"/>
    <w:rsid w:val="00AF3F12"/>
    <w:rsid w:val="00AF4CD4"/>
    <w:rsid w:val="00AF5036"/>
    <w:rsid w:val="00AF5A15"/>
    <w:rsid w:val="00AF6461"/>
    <w:rsid w:val="00AF7BA5"/>
    <w:rsid w:val="00B03E19"/>
    <w:rsid w:val="00B053F6"/>
    <w:rsid w:val="00B05814"/>
    <w:rsid w:val="00B063EB"/>
    <w:rsid w:val="00B06B60"/>
    <w:rsid w:val="00B06EBC"/>
    <w:rsid w:val="00B12DA3"/>
    <w:rsid w:val="00B204C9"/>
    <w:rsid w:val="00B212BA"/>
    <w:rsid w:val="00B221D6"/>
    <w:rsid w:val="00B2222A"/>
    <w:rsid w:val="00B224E9"/>
    <w:rsid w:val="00B22514"/>
    <w:rsid w:val="00B2302D"/>
    <w:rsid w:val="00B24821"/>
    <w:rsid w:val="00B25CF4"/>
    <w:rsid w:val="00B26E38"/>
    <w:rsid w:val="00B30DA4"/>
    <w:rsid w:val="00B37A0E"/>
    <w:rsid w:val="00B37B79"/>
    <w:rsid w:val="00B4225F"/>
    <w:rsid w:val="00B42F68"/>
    <w:rsid w:val="00B4382F"/>
    <w:rsid w:val="00B465E6"/>
    <w:rsid w:val="00B50C16"/>
    <w:rsid w:val="00B523CF"/>
    <w:rsid w:val="00B54F7F"/>
    <w:rsid w:val="00B563A0"/>
    <w:rsid w:val="00B56CC8"/>
    <w:rsid w:val="00B57725"/>
    <w:rsid w:val="00B654A3"/>
    <w:rsid w:val="00B658A0"/>
    <w:rsid w:val="00B71E75"/>
    <w:rsid w:val="00B72191"/>
    <w:rsid w:val="00B733DA"/>
    <w:rsid w:val="00B737B4"/>
    <w:rsid w:val="00B73E2E"/>
    <w:rsid w:val="00B747EC"/>
    <w:rsid w:val="00B7521C"/>
    <w:rsid w:val="00B75C08"/>
    <w:rsid w:val="00B75E63"/>
    <w:rsid w:val="00B77FEE"/>
    <w:rsid w:val="00B8034A"/>
    <w:rsid w:val="00B805F8"/>
    <w:rsid w:val="00B806A3"/>
    <w:rsid w:val="00B80AE1"/>
    <w:rsid w:val="00B81ECE"/>
    <w:rsid w:val="00B871A0"/>
    <w:rsid w:val="00B87291"/>
    <w:rsid w:val="00B87690"/>
    <w:rsid w:val="00B91AE3"/>
    <w:rsid w:val="00B9411B"/>
    <w:rsid w:val="00B95194"/>
    <w:rsid w:val="00B97A23"/>
    <w:rsid w:val="00BA0A31"/>
    <w:rsid w:val="00BA197C"/>
    <w:rsid w:val="00BA2536"/>
    <w:rsid w:val="00BA48EF"/>
    <w:rsid w:val="00BA539E"/>
    <w:rsid w:val="00BA60B6"/>
    <w:rsid w:val="00BA7B02"/>
    <w:rsid w:val="00BB0C90"/>
    <w:rsid w:val="00BB10C9"/>
    <w:rsid w:val="00BB15B7"/>
    <w:rsid w:val="00BB2194"/>
    <w:rsid w:val="00BB2891"/>
    <w:rsid w:val="00BB59B6"/>
    <w:rsid w:val="00BC0C57"/>
    <w:rsid w:val="00BC110B"/>
    <w:rsid w:val="00BC1EC9"/>
    <w:rsid w:val="00BC3A36"/>
    <w:rsid w:val="00BC43F4"/>
    <w:rsid w:val="00BC6131"/>
    <w:rsid w:val="00BC7972"/>
    <w:rsid w:val="00BD0F65"/>
    <w:rsid w:val="00BD11C6"/>
    <w:rsid w:val="00BD3F72"/>
    <w:rsid w:val="00BD5C56"/>
    <w:rsid w:val="00BD6463"/>
    <w:rsid w:val="00BD64F4"/>
    <w:rsid w:val="00BD785D"/>
    <w:rsid w:val="00BE11AD"/>
    <w:rsid w:val="00BE1BAD"/>
    <w:rsid w:val="00BE3539"/>
    <w:rsid w:val="00BE35E5"/>
    <w:rsid w:val="00BE3A80"/>
    <w:rsid w:val="00BE3E23"/>
    <w:rsid w:val="00BE5F70"/>
    <w:rsid w:val="00BE6109"/>
    <w:rsid w:val="00BE7810"/>
    <w:rsid w:val="00BF1968"/>
    <w:rsid w:val="00BF1E81"/>
    <w:rsid w:val="00BF5B0B"/>
    <w:rsid w:val="00BF7FAB"/>
    <w:rsid w:val="00C0036C"/>
    <w:rsid w:val="00C0061F"/>
    <w:rsid w:val="00C02C45"/>
    <w:rsid w:val="00C02E9A"/>
    <w:rsid w:val="00C0349E"/>
    <w:rsid w:val="00C0477D"/>
    <w:rsid w:val="00C05B00"/>
    <w:rsid w:val="00C07BD6"/>
    <w:rsid w:val="00C111E3"/>
    <w:rsid w:val="00C138CA"/>
    <w:rsid w:val="00C142F9"/>
    <w:rsid w:val="00C15449"/>
    <w:rsid w:val="00C16602"/>
    <w:rsid w:val="00C16ABA"/>
    <w:rsid w:val="00C1795D"/>
    <w:rsid w:val="00C21491"/>
    <w:rsid w:val="00C22F3F"/>
    <w:rsid w:val="00C23FC5"/>
    <w:rsid w:val="00C272B7"/>
    <w:rsid w:val="00C3091F"/>
    <w:rsid w:val="00C311A0"/>
    <w:rsid w:val="00C3220B"/>
    <w:rsid w:val="00C35BCF"/>
    <w:rsid w:val="00C37438"/>
    <w:rsid w:val="00C4201C"/>
    <w:rsid w:val="00C422F4"/>
    <w:rsid w:val="00C43443"/>
    <w:rsid w:val="00C443E1"/>
    <w:rsid w:val="00C44A1D"/>
    <w:rsid w:val="00C44CEE"/>
    <w:rsid w:val="00C4554F"/>
    <w:rsid w:val="00C45701"/>
    <w:rsid w:val="00C45BF4"/>
    <w:rsid w:val="00C45D49"/>
    <w:rsid w:val="00C4738E"/>
    <w:rsid w:val="00C50F77"/>
    <w:rsid w:val="00C51540"/>
    <w:rsid w:val="00C52802"/>
    <w:rsid w:val="00C52DC0"/>
    <w:rsid w:val="00C53929"/>
    <w:rsid w:val="00C564EE"/>
    <w:rsid w:val="00C56A13"/>
    <w:rsid w:val="00C56B98"/>
    <w:rsid w:val="00C612C8"/>
    <w:rsid w:val="00C6285E"/>
    <w:rsid w:val="00C62BE2"/>
    <w:rsid w:val="00C62CB6"/>
    <w:rsid w:val="00C6370C"/>
    <w:rsid w:val="00C63EA3"/>
    <w:rsid w:val="00C64130"/>
    <w:rsid w:val="00C64756"/>
    <w:rsid w:val="00C64F82"/>
    <w:rsid w:val="00C676B4"/>
    <w:rsid w:val="00C72A7C"/>
    <w:rsid w:val="00C741CF"/>
    <w:rsid w:val="00C81C4A"/>
    <w:rsid w:val="00C8383D"/>
    <w:rsid w:val="00C844B9"/>
    <w:rsid w:val="00C851BA"/>
    <w:rsid w:val="00C86846"/>
    <w:rsid w:val="00C902D8"/>
    <w:rsid w:val="00C9083A"/>
    <w:rsid w:val="00C92518"/>
    <w:rsid w:val="00C92EC8"/>
    <w:rsid w:val="00C930B9"/>
    <w:rsid w:val="00C95D13"/>
    <w:rsid w:val="00C96A09"/>
    <w:rsid w:val="00C9743C"/>
    <w:rsid w:val="00C97F89"/>
    <w:rsid w:val="00CA01B7"/>
    <w:rsid w:val="00CA061D"/>
    <w:rsid w:val="00CA11B8"/>
    <w:rsid w:val="00CA1942"/>
    <w:rsid w:val="00CA42A5"/>
    <w:rsid w:val="00CA7E64"/>
    <w:rsid w:val="00CA7EB8"/>
    <w:rsid w:val="00CB0D91"/>
    <w:rsid w:val="00CB249A"/>
    <w:rsid w:val="00CB2991"/>
    <w:rsid w:val="00CB2AE0"/>
    <w:rsid w:val="00CB35AF"/>
    <w:rsid w:val="00CB366D"/>
    <w:rsid w:val="00CB4743"/>
    <w:rsid w:val="00CB535B"/>
    <w:rsid w:val="00CB5D19"/>
    <w:rsid w:val="00CC239B"/>
    <w:rsid w:val="00CC5CED"/>
    <w:rsid w:val="00CD0473"/>
    <w:rsid w:val="00CD08BC"/>
    <w:rsid w:val="00CD2496"/>
    <w:rsid w:val="00CD25B3"/>
    <w:rsid w:val="00CD2717"/>
    <w:rsid w:val="00CD2DFF"/>
    <w:rsid w:val="00CD6ED7"/>
    <w:rsid w:val="00CD7331"/>
    <w:rsid w:val="00CE0155"/>
    <w:rsid w:val="00CE048C"/>
    <w:rsid w:val="00CE161D"/>
    <w:rsid w:val="00CE23F4"/>
    <w:rsid w:val="00CE2C5F"/>
    <w:rsid w:val="00CE5FE2"/>
    <w:rsid w:val="00CE79C7"/>
    <w:rsid w:val="00CF20C1"/>
    <w:rsid w:val="00CF2679"/>
    <w:rsid w:val="00CF298B"/>
    <w:rsid w:val="00CF2CDB"/>
    <w:rsid w:val="00CF4AE6"/>
    <w:rsid w:val="00CF590E"/>
    <w:rsid w:val="00CF62A3"/>
    <w:rsid w:val="00CF72B1"/>
    <w:rsid w:val="00D0027F"/>
    <w:rsid w:val="00D011E8"/>
    <w:rsid w:val="00D01522"/>
    <w:rsid w:val="00D0152B"/>
    <w:rsid w:val="00D01D42"/>
    <w:rsid w:val="00D0328F"/>
    <w:rsid w:val="00D07776"/>
    <w:rsid w:val="00D07817"/>
    <w:rsid w:val="00D1097E"/>
    <w:rsid w:val="00D11DBA"/>
    <w:rsid w:val="00D12700"/>
    <w:rsid w:val="00D13342"/>
    <w:rsid w:val="00D14893"/>
    <w:rsid w:val="00D14AD9"/>
    <w:rsid w:val="00D157E1"/>
    <w:rsid w:val="00D165EB"/>
    <w:rsid w:val="00D16F14"/>
    <w:rsid w:val="00D17634"/>
    <w:rsid w:val="00D17830"/>
    <w:rsid w:val="00D205FE"/>
    <w:rsid w:val="00D20745"/>
    <w:rsid w:val="00D21A16"/>
    <w:rsid w:val="00D233EE"/>
    <w:rsid w:val="00D26917"/>
    <w:rsid w:val="00D3146E"/>
    <w:rsid w:val="00D34B8B"/>
    <w:rsid w:val="00D359AF"/>
    <w:rsid w:val="00D35ED7"/>
    <w:rsid w:val="00D42926"/>
    <w:rsid w:val="00D42F46"/>
    <w:rsid w:val="00D44C49"/>
    <w:rsid w:val="00D45AEF"/>
    <w:rsid w:val="00D50CC9"/>
    <w:rsid w:val="00D52A05"/>
    <w:rsid w:val="00D5319E"/>
    <w:rsid w:val="00D53A8B"/>
    <w:rsid w:val="00D5523D"/>
    <w:rsid w:val="00D57A39"/>
    <w:rsid w:val="00D600D6"/>
    <w:rsid w:val="00D6114C"/>
    <w:rsid w:val="00D61875"/>
    <w:rsid w:val="00D631BF"/>
    <w:rsid w:val="00D64AF1"/>
    <w:rsid w:val="00D654E7"/>
    <w:rsid w:val="00D65A91"/>
    <w:rsid w:val="00D65D93"/>
    <w:rsid w:val="00D67B01"/>
    <w:rsid w:val="00D67E69"/>
    <w:rsid w:val="00D71FF2"/>
    <w:rsid w:val="00D73252"/>
    <w:rsid w:val="00D75C58"/>
    <w:rsid w:val="00D77EEC"/>
    <w:rsid w:val="00D8035B"/>
    <w:rsid w:val="00D832FF"/>
    <w:rsid w:val="00D8362D"/>
    <w:rsid w:val="00D8537A"/>
    <w:rsid w:val="00D87A50"/>
    <w:rsid w:val="00D87E79"/>
    <w:rsid w:val="00D90590"/>
    <w:rsid w:val="00D90CEA"/>
    <w:rsid w:val="00D93578"/>
    <w:rsid w:val="00D94630"/>
    <w:rsid w:val="00D94F1C"/>
    <w:rsid w:val="00D971DB"/>
    <w:rsid w:val="00DB3743"/>
    <w:rsid w:val="00DB40EE"/>
    <w:rsid w:val="00DB5132"/>
    <w:rsid w:val="00DB5549"/>
    <w:rsid w:val="00DB5C44"/>
    <w:rsid w:val="00DB6B62"/>
    <w:rsid w:val="00DB7CF6"/>
    <w:rsid w:val="00DC192E"/>
    <w:rsid w:val="00DC3B76"/>
    <w:rsid w:val="00DC453A"/>
    <w:rsid w:val="00DC471E"/>
    <w:rsid w:val="00DC497D"/>
    <w:rsid w:val="00DC77AC"/>
    <w:rsid w:val="00DD05FD"/>
    <w:rsid w:val="00DD1527"/>
    <w:rsid w:val="00DD3BCD"/>
    <w:rsid w:val="00DD57FD"/>
    <w:rsid w:val="00DE17FF"/>
    <w:rsid w:val="00DE3E2B"/>
    <w:rsid w:val="00DE4E1A"/>
    <w:rsid w:val="00DE5CF9"/>
    <w:rsid w:val="00DE6BD3"/>
    <w:rsid w:val="00DE76EA"/>
    <w:rsid w:val="00DF08A4"/>
    <w:rsid w:val="00DF167B"/>
    <w:rsid w:val="00DF329A"/>
    <w:rsid w:val="00DF794D"/>
    <w:rsid w:val="00E00284"/>
    <w:rsid w:val="00E01D62"/>
    <w:rsid w:val="00E02305"/>
    <w:rsid w:val="00E024B4"/>
    <w:rsid w:val="00E02E12"/>
    <w:rsid w:val="00E05236"/>
    <w:rsid w:val="00E06D90"/>
    <w:rsid w:val="00E07D90"/>
    <w:rsid w:val="00E12649"/>
    <w:rsid w:val="00E13152"/>
    <w:rsid w:val="00E1327C"/>
    <w:rsid w:val="00E13B64"/>
    <w:rsid w:val="00E14B78"/>
    <w:rsid w:val="00E15855"/>
    <w:rsid w:val="00E203D0"/>
    <w:rsid w:val="00E229C6"/>
    <w:rsid w:val="00E22AD3"/>
    <w:rsid w:val="00E245E7"/>
    <w:rsid w:val="00E26012"/>
    <w:rsid w:val="00E329B9"/>
    <w:rsid w:val="00E34286"/>
    <w:rsid w:val="00E342B9"/>
    <w:rsid w:val="00E35ABC"/>
    <w:rsid w:val="00E37250"/>
    <w:rsid w:val="00E401D6"/>
    <w:rsid w:val="00E41C30"/>
    <w:rsid w:val="00E43271"/>
    <w:rsid w:val="00E458A5"/>
    <w:rsid w:val="00E45B29"/>
    <w:rsid w:val="00E5272E"/>
    <w:rsid w:val="00E535AC"/>
    <w:rsid w:val="00E5464F"/>
    <w:rsid w:val="00E55C34"/>
    <w:rsid w:val="00E5710F"/>
    <w:rsid w:val="00E57370"/>
    <w:rsid w:val="00E57E55"/>
    <w:rsid w:val="00E634F0"/>
    <w:rsid w:val="00E65F34"/>
    <w:rsid w:val="00E66A4B"/>
    <w:rsid w:val="00E66C71"/>
    <w:rsid w:val="00E66DDB"/>
    <w:rsid w:val="00E7082D"/>
    <w:rsid w:val="00E715E9"/>
    <w:rsid w:val="00E71696"/>
    <w:rsid w:val="00E723F4"/>
    <w:rsid w:val="00E733B9"/>
    <w:rsid w:val="00E7574F"/>
    <w:rsid w:val="00E7624B"/>
    <w:rsid w:val="00E7674A"/>
    <w:rsid w:val="00E8021A"/>
    <w:rsid w:val="00E80D80"/>
    <w:rsid w:val="00E82F01"/>
    <w:rsid w:val="00E83B89"/>
    <w:rsid w:val="00E83CCB"/>
    <w:rsid w:val="00E83EBF"/>
    <w:rsid w:val="00E84744"/>
    <w:rsid w:val="00E856A4"/>
    <w:rsid w:val="00E85D2B"/>
    <w:rsid w:val="00E86391"/>
    <w:rsid w:val="00E86421"/>
    <w:rsid w:val="00E87380"/>
    <w:rsid w:val="00E90E82"/>
    <w:rsid w:val="00E91D2E"/>
    <w:rsid w:val="00E935F0"/>
    <w:rsid w:val="00E93758"/>
    <w:rsid w:val="00E94904"/>
    <w:rsid w:val="00E95566"/>
    <w:rsid w:val="00E96A32"/>
    <w:rsid w:val="00E96C5F"/>
    <w:rsid w:val="00E96FB8"/>
    <w:rsid w:val="00E971C9"/>
    <w:rsid w:val="00EA2E71"/>
    <w:rsid w:val="00EA3285"/>
    <w:rsid w:val="00EA53BC"/>
    <w:rsid w:val="00EA68DB"/>
    <w:rsid w:val="00EA7AE4"/>
    <w:rsid w:val="00EB077E"/>
    <w:rsid w:val="00EB1A46"/>
    <w:rsid w:val="00EB4D28"/>
    <w:rsid w:val="00EB4EE4"/>
    <w:rsid w:val="00EC1DE4"/>
    <w:rsid w:val="00EC359B"/>
    <w:rsid w:val="00EC3697"/>
    <w:rsid w:val="00EC7AB7"/>
    <w:rsid w:val="00ED0734"/>
    <w:rsid w:val="00ED240C"/>
    <w:rsid w:val="00ED2A63"/>
    <w:rsid w:val="00ED3853"/>
    <w:rsid w:val="00ED5108"/>
    <w:rsid w:val="00ED550F"/>
    <w:rsid w:val="00ED5A9A"/>
    <w:rsid w:val="00ED6012"/>
    <w:rsid w:val="00ED6F0C"/>
    <w:rsid w:val="00EE1CC9"/>
    <w:rsid w:val="00EE1E10"/>
    <w:rsid w:val="00EE21F5"/>
    <w:rsid w:val="00EE5C21"/>
    <w:rsid w:val="00EF2089"/>
    <w:rsid w:val="00EF2578"/>
    <w:rsid w:val="00EF3FBC"/>
    <w:rsid w:val="00EF52E5"/>
    <w:rsid w:val="00EF6D0A"/>
    <w:rsid w:val="00EF735F"/>
    <w:rsid w:val="00F00113"/>
    <w:rsid w:val="00F02AB0"/>
    <w:rsid w:val="00F06A79"/>
    <w:rsid w:val="00F12063"/>
    <w:rsid w:val="00F13CE5"/>
    <w:rsid w:val="00F1629F"/>
    <w:rsid w:val="00F20D4A"/>
    <w:rsid w:val="00F222B7"/>
    <w:rsid w:val="00F24935"/>
    <w:rsid w:val="00F26893"/>
    <w:rsid w:val="00F26F3F"/>
    <w:rsid w:val="00F2731A"/>
    <w:rsid w:val="00F323E8"/>
    <w:rsid w:val="00F32479"/>
    <w:rsid w:val="00F34D67"/>
    <w:rsid w:val="00F35571"/>
    <w:rsid w:val="00F35B86"/>
    <w:rsid w:val="00F35BB4"/>
    <w:rsid w:val="00F36188"/>
    <w:rsid w:val="00F3701B"/>
    <w:rsid w:val="00F40021"/>
    <w:rsid w:val="00F412DB"/>
    <w:rsid w:val="00F41778"/>
    <w:rsid w:val="00F457E1"/>
    <w:rsid w:val="00F464BD"/>
    <w:rsid w:val="00F470AC"/>
    <w:rsid w:val="00F502DC"/>
    <w:rsid w:val="00F518CB"/>
    <w:rsid w:val="00F5253C"/>
    <w:rsid w:val="00F5364A"/>
    <w:rsid w:val="00F54BA4"/>
    <w:rsid w:val="00F54DC9"/>
    <w:rsid w:val="00F5633E"/>
    <w:rsid w:val="00F56BA1"/>
    <w:rsid w:val="00F60D05"/>
    <w:rsid w:val="00F61FCF"/>
    <w:rsid w:val="00F6276E"/>
    <w:rsid w:val="00F642D0"/>
    <w:rsid w:val="00F6590A"/>
    <w:rsid w:val="00F676F3"/>
    <w:rsid w:val="00F67AD1"/>
    <w:rsid w:val="00F70BDE"/>
    <w:rsid w:val="00F72BFF"/>
    <w:rsid w:val="00F74473"/>
    <w:rsid w:val="00F74F7D"/>
    <w:rsid w:val="00F75323"/>
    <w:rsid w:val="00F76FCC"/>
    <w:rsid w:val="00F830C9"/>
    <w:rsid w:val="00F83E03"/>
    <w:rsid w:val="00F8476A"/>
    <w:rsid w:val="00F85A66"/>
    <w:rsid w:val="00F91E68"/>
    <w:rsid w:val="00F92E72"/>
    <w:rsid w:val="00F9430D"/>
    <w:rsid w:val="00F94CF1"/>
    <w:rsid w:val="00F96B0D"/>
    <w:rsid w:val="00F97E7C"/>
    <w:rsid w:val="00FA0996"/>
    <w:rsid w:val="00FA0B05"/>
    <w:rsid w:val="00FA1B26"/>
    <w:rsid w:val="00FA1E96"/>
    <w:rsid w:val="00FA51EA"/>
    <w:rsid w:val="00FA52CF"/>
    <w:rsid w:val="00FA64DD"/>
    <w:rsid w:val="00FA7302"/>
    <w:rsid w:val="00FA7C74"/>
    <w:rsid w:val="00FB0E28"/>
    <w:rsid w:val="00FB160D"/>
    <w:rsid w:val="00FB2779"/>
    <w:rsid w:val="00FB3651"/>
    <w:rsid w:val="00FB5CB0"/>
    <w:rsid w:val="00FB5D06"/>
    <w:rsid w:val="00FB71C0"/>
    <w:rsid w:val="00FC00E9"/>
    <w:rsid w:val="00FC0A46"/>
    <w:rsid w:val="00FC2C81"/>
    <w:rsid w:val="00FC3628"/>
    <w:rsid w:val="00FC47BE"/>
    <w:rsid w:val="00FC586E"/>
    <w:rsid w:val="00FC5BA9"/>
    <w:rsid w:val="00FC7186"/>
    <w:rsid w:val="00FC749E"/>
    <w:rsid w:val="00FD71EF"/>
    <w:rsid w:val="00FD7E64"/>
    <w:rsid w:val="00FE0347"/>
    <w:rsid w:val="00FE1C8A"/>
    <w:rsid w:val="00FE2197"/>
    <w:rsid w:val="00FE3CB3"/>
    <w:rsid w:val="00FE5051"/>
    <w:rsid w:val="00FE61C8"/>
    <w:rsid w:val="00FE6688"/>
    <w:rsid w:val="00FE66EF"/>
    <w:rsid w:val="00FF32CA"/>
    <w:rsid w:val="00FF3D26"/>
    <w:rsid w:val="00FF46D3"/>
    <w:rsid w:val="00FF65A2"/>
    <w:rsid w:val="00FF7570"/>
    <w:rsid w:val="00FF7A02"/>
    <w:rsid w:val="00FF7E87"/>
    <w:rsid w:val="01266F0D"/>
    <w:rsid w:val="012C3747"/>
    <w:rsid w:val="013A7410"/>
    <w:rsid w:val="01657C94"/>
    <w:rsid w:val="017803F7"/>
    <w:rsid w:val="01F12DAF"/>
    <w:rsid w:val="021F2EB1"/>
    <w:rsid w:val="02DD308B"/>
    <w:rsid w:val="03232AEC"/>
    <w:rsid w:val="03A516C1"/>
    <w:rsid w:val="040F3EDF"/>
    <w:rsid w:val="043A6209"/>
    <w:rsid w:val="0451009B"/>
    <w:rsid w:val="04D36ABB"/>
    <w:rsid w:val="051A4D99"/>
    <w:rsid w:val="056D0159"/>
    <w:rsid w:val="05C86BDD"/>
    <w:rsid w:val="066A20A2"/>
    <w:rsid w:val="067D6469"/>
    <w:rsid w:val="06927A56"/>
    <w:rsid w:val="07063D17"/>
    <w:rsid w:val="071A679F"/>
    <w:rsid w:val="075B0576"/>
    <w:rsid w:val="07EA5E6C"/>
    <w:rsid w:val="081F0AFA"/>
    <w:rsid w:val="086964F2"/>
    <w:rsid w:val="090C60BE"/>
    <w:rsid w:val="093F34E9"/>
    <w:rsid w:val="09423E85"/>
    <w:rsid w:val="095C14E3"/>
    <w:rsid w:val="096A5BD4"/>
    <w:rsid w:val="09CF29F5"/>
    <w:rsid w:val="09D44490"/>
    <w:rsid w:val="09D95513"/>
    <w:rsid w:val="0A26626D"/>
    <w:rsid w:val="0ADC6B65"/>
    <w:rsid w:val="0AED142F"/>
    <w:rsid w:val="0B1A558B"/>
    <w:rsid w:val="0BCE30A3"/>
    <w:rsid w:val="0C540870"/>
    <w:rsid w:val="0CC175C8"/>
    <w:rsid w:val="0D544D77"/>
    <w:rsid w:val="0D667DA0"/>
    <w:rsid w:val="0DC15DA9"/>
    <w:rsid w:val="0EE513BF"/>
    <w:rsid w:val="0F034A86"/>
    <w:rsid w:val="0F052F18"/>
    <w:rsid w:val="0F2F5CA2"/>
    <w:rsid w:val="0F693E36"/>
    <w:rsid w:val="10345020"/>
    <w:rsid w:val="10FC4CB2"/>
    <w:rsid w:val="11260177"/>
    <w:rsid w:val="11396E7E"/>
    <w:rsid w:val="120E2B77"/>
    <w:rsid w:val="128555B0"/>
    <w:rsid w:val="128A690A"/>
    <w:rsid w:val="12C7387E"/>
    <w:rsid w:val="12E12A5E"/>
    <w:rsid w:val="12E549D2"/>
    <w:rsid w:val="132F33C2"/>
    <w:rsid w:val="13B41ACA"/>
    <w:rsid w:val="146E218C"/>
    <w:rsid w:val="148C577E"/>
    <w:rsid w:val="14EC124C"/>
    <w:rsid w:val="156F4B3C"/>
    <w:rsid w:val="15FC626D"/>
    <w:rsid w:val="160155BC"/>
    <w:rsid w:val="168466BF"/>
    <w:rsid w:val="16A55BCF"/>
    <w:rsid w:val="16BC689F"/>
    <w:rsid w:val="16BE0D2A"/>
    <w:rsid w:val="16DD38EF"/>
    <w:rsid w:val="179C5B62"/>
    <w:rsid w:val="18282319"/>
    <w:rsid w:val="183440AD"/>
    <w:rsid w:val="185A6444"/>
    <w:rsid w:val="188B29DE"/>
    <w:rsid w:val="18A71C53"/>
    <w:rsid w:val="18D834FD"/>
    <w:rsid w:val="19423DBD"/>
    <w:rsid w:val="197363F5"/>
    <w:rsid w:val="1B446717"/>
    <w:rsid w:val="1B470694"/>
    <w:rsid w:val="1B5113DB"/>
    <w:rsid w:val="1B7B04AA"/>
    <w:rsid w:val="1C3E7983"/>
    <w:rsid w:val="1C9B183A"/>
    <w:rsid w:val="1CA26179"/>
    <w:rsid w:val="1CC04B6B"/>
    <w:rsid w:val="1D8B502D"/>
    <w:rsid w:val="1DB57A4B"/>
    <w:rsid w:val="1E5862F7"/>
    <w:rsid w:val="1E9C4EA1"/>
    <w:rsid w:val="1FF57A20"/>
    <w:rsid w:val="20441644"/>
    <w:rsid w:val="205E01DD"/>
    <w:rsid w:val="20EB1652"/>
    <w:rsid w:val="21A474AC"/>
    <w:rsid w:val="22CA53B5"/>
    <w:rsid w:val="23565018"/>
    <w:rsid w:val="24547C61"/>
    <w:rsid w:val="24E400CC"/>
    <w:rsid w:val="24EA2A96"/>
    <w:rsid w:val="257D3E0B"/>
    <w:rsid w:val="25833653"/>
    <w:rsid w:val="25D50BA2"/>
    <w:rsid w:val="27825A97"/>
    <w:rsid w:val="27CB0829"/>
    <w:rsid w:val="27D35070"/>
    <w:rsid w:val="27F26C0B"/>
    <w:rsid w:val="2862259C"/>
    <w:rsid w:val="28763131"/>
    <w:rsid w:val="28A2358A"/>
    <w:rsid w:val="2944792D"/>
    <w:rsid w:val="2AC51A50"/>
    <w:rsid w:val="2AD550C6"/>
    <w:rsid w:val="2B165CD2"/>
    <w:rsid w:val="2BD11C78"/>
    <w:rsid w:val="2BFC72AD"/>
    <w:rsid w:val="2C031440"/>
    <w:rsid w:val="2D0D5340"/>
    <w:rsid w:val="2D1F7460"/>
    <w:rsid w:val="2D210140"/>
    <w:rsid w:val="2D2B184A"/>
    <w:rsid w:val="2D5D6E40"/>
    <w:rsid w:val="2E29316C"/>
    <w:rsid w:val="2F3B598F"/>
    <w:rsid w:val="2FA4067F"/>
    <w:rsid w:val="303830A7"/>
    <w:rsid w:val="304C2226"/>
    <w:rsid w:val="30C647D8"/>
    <w:rsid w:val="317A2B41"/>
    <w:rsid w:val="31EC4370"/>
    <w:rsid w:val="333603A3"/>
    <w:rsid w:val="335A2E11"/>
    <w:rsid w:val="34123E3E"/>
    <w:rsid w:val="349F7C26"/>
    <w:rsid w:val="34FC7084"/>
    <w:rsid w:val="353A5AA1"/>
    <w:rsid w:val="35F67A09"/>
    <w:rsid w:val="36775F22"/>
    <w:rsid w:val="36CC26D2"/>
    <w:rsid w:val="36D54849"/>
    <w:rsid w:val="37303086"/>
    <w:rsid w:val="373C1D86"/>
    <w:rsid w:val="377D75DC"/>
    <w:rsid w:val="3872097A"/>
    <w:rsid w:val="390A0C25"/>
    <w:rsid w:val="394D6046"/>
    <w:rsid w:val="39732D5A"/>
    <w:rsid w:val="39891116"/>
    <w:rsid w:val="3A4002EE"/>
    <w:rsid w:val="3B0A685D"/>
    <w:rsid w:val="3B4A3B31"/>
    <w:rsid w:val="3B7D46A0"/>
    <w:rsid w:val="3B9A7E91"/>
    <w:rsid w:val="3BE7369A"/>
    <w:rsid w:val="3C5B71C3"/>
    <w:rsid w:val="3CAD2765"/>
    <w:rsid w:val="3D802013"/>
    <w:rsid w:val="3DD459F0"/>
    <w:rsid w:val="3ECE6C7B"/>
    <w:rsid w:val="3ED0096B"/>
    <w:rsid w:val="3ED613A5"/>
    <w:rsid w:val="3F0E6D6B"/>
    <w:rsid w:val="3F3269A9"/>
    <w:rsid w:val="3F4F0D4C"/>
    <w:rsid w:val="3FFF96EE"/>
    <w:rsid w:val="40DE5B4A"/>
    <w:rsid w:val="40F3112B"/>
    <w:rsid w:val="41576D12"/>
    <w:rsid w:val="41E71AEF"/>
    <w:rsid w:val="420922CA"/>
    <w:rsid w:val="427004DB"/>
    <w:rsid w:val="42E06DE0"/>
    <w:rsid w:val="4311605E"/>
    <w:rsid w:val="43EB3A57"/>
    <w:rsid w:val="44422377"/>
    <w:rsid w:val="44863527"/>
    <w:rsid w:val="44F66F71"/>
    <w:rsid w:val="452B7DC4"/>
    <w:rsid w:val="455B30F8"/>
    <w:rsid w:val="45834277"/>
    <w:rsid w:val="45A91AFC"/>
    <w:rsid w:val="45F56DB8"/>
    <w:rsid w:val="46650A43"/>
    <w:rsid w:val="478077DF"/>
    <w:rsid w:val="47D85E90"/>
    <w:rsid w:val="48154B96"/>
    <w:rsid w:val="4859791E"/>
    <w:rsid w:val="487D6518"/>
    <w:rsid w:val="48A52D65"/>
    <w:rsid w:val="494E7A6E"/>
    <w:rsid w:val="497211CE"/>
    <w:rsid w:val="49945BA4"/>
    <w:rsid w:val="49B421D7"/>
    <w:rsid w:val="49E30169"/>
    <w:rsid w:val="4A300800"/>
    <w:rsid w:val="4AC226BD"/>
    <w:rsid w:val="4AF43A7D"/>
    <w:rsid w:val="4B224EF8"/>
    <w:rsid w:val="4B731F3F"/>
    <w:rsid w:val="4B887889"/>
    <w:rsid w:val="4C7F709F"/>
    <w:rsid w:val="4CD120C4"/>
    <w:rsid w:val="4D0C671E"/>
    <w:rsid w:val="4D6D4404"/>
    <w:rsid w:val="4DEA719D"/>
    <w:rsid w:val="4E1972E5"/>
    <w:rsid w:val="4E3224AF"/>
    <w:rsid w:val="4E5A255D"/>
    <w:rsid w:val="4EFF3096"/>
    <w:rsid w:val="4F9969EE"/>
    <w:rsid w:val="50370489"/>
    <w:rsid w:val="50804384"/>
    <w:rsid w:val="512555AC"/>
    <w:rsid w:val="513D3D9D"/>
    <w:rsid w:val="51582857"/>
    <w:rsid w:val="518E6587"/>
    <w:rsid w:val="5197226D"/>
    <w:rsid w:val="51981679"/>
    <w:rsid w:val="52211061"/>
    <w:rsid w:val="52F854DD"/>
    <w:rsid w:val="530205D4"/>
    <w:rsid w:val="534528C1"/>
    <w:rsid w:val="53457A03"/>
    <w:rsid w:val="5441024C"/>
    <w:rsid w:val="54862A5E"/>
    <w:rsid w:val="554E3C92"/>
    <w:rsid w:val="55671AD6"/>
    <w:rsid w:val="556C1A0F"/>
    <w:rsid w:val="55BA3EFB"/>
    <w:rsid w:val="5621646E"/>
    <w:rsid w:val="5645297B"/>
    <w:rsid w:val="56BF2468"/>
    <w:rsid w:val="56CA6D8F"/>
    <w:rsid w:val="56D31BA9"/>
    <w:rsid w:val="56E21944"/>
    <w:rsid w:val="5704641D"/>
    <w:rsid w:val="57565430"/>
    <w:rsid w:val="57EA7B6A"/>
    <w:rsid w:val="57F13269"/>
    <w:rsid w:val="585A2FE2"/>
    <w:rsid w:val="587029EE"/>
    <w:rsid w:val="588E6C17"/>
    <w:rsid w:val="589A28E9"/>
    <w:rsid w:val="58A65434"/>
    <w:rsid w:val="593D4D97"/>
    <w:rsid w:val="5992075A"/>
    <w:rsid w:val="59FF6DE8"/>
    <w:rsid w:val="5A0814C3"/>
    <w:rsid w:val="5A403DAA"/>
    <w:rsid w:val="5B12065C"/>
    <w:rsid w:val="5B18785A"/>
    <w:rsid w:val="5B3B4AB9"/>
    <w:rsid w:val="5B6B4214"/>
    <w:rsid w:val="5C1209FE"/>
    <w:rsid w:val="5CBF1855"/>
    <w:rsid w:val="5CC538B6"/>
    <w:rsid w:val="5E8C7DED"/>
    <w:rsid w:val="5ED362CB"/>
    <w:rsid w:val="5FDD0FFB"/>
    <w:rsid w:val="605B78F7"/>
    <w:rsid w:val="60812273"/>
    <w:rsid w:val="60B27CD1"/>
    <w:rsid w:val="61A03809"/>
    <w:rsid w:val="61FD1E65"/>
    <w:rsid w:val="626518AB"/>
    <w:rsid w:val="63325FCD"/>
    <w:rsid w:val="63543990"/>
    <w:rsid w:val="63CA4399"/>
    <w:rsid w:val="63EC073C"/>
    <w:rsid w:val="6447277E"/>
    <w:rsid w:val="649538A2"/>
    <w:rsid w:val="65224ED6"/>
    <w:rsid w:val="65C250F8"/>
    <w:rsid w:val="663E258C"/>
    <w:rsid w:val="663F4625"/>
    <w:rsid w:val="674E226E"/>
    <w:rsid w:val="676F71F9"/>
    <w:rsid w:val="690510E9"/>
    <w:rsid w:val="69075D82"/>
    <w:rsid w:val="697349B4"/>
    <w:rsid w:val="6993015E"/>
    <w:rsid w:val="69A64D0D"/>
    <w:rsid w:val="69D81AFB"/>
    <w:rsid w:val="6A202468"/>
    <w:rsid w:val="6A331A0D"/>
    <w:rsid w:val="6A874466"/>
    <w:rsid w:val="6A8E5105"/>
    <w:rsid w:val="6AC44836"/>
    <w:rsid w:val="6B7C3CC1"/>
    <w:rsid w:val="6BB762BE"/>
    <w:rsid w:val="6BC2504D"/>
    <w:rsid w:val="6C344B1E"/>
    <w:rsid w:val="6C672B12"/>
    <w:rsid w:val="6C7A3FAB"/>
    <w:rsid w:val="6DC638D2"/>
    <w:rsid w:val="6E100932"/>
    <w:rsid w:val="6EBF3E80"/>
    <w:rsid w:val="6F1632C8"/>
    <w:rsid w:val="6F236646"/>
    <w:rsid w:val="6F350B57"/>
    <w:rsid w:val="6FBE1046"/>
    <w:rsid w:val="70314979"/>
    <w:rsid w:val="7086661F"/>
    <w:rsid w:val="70A47366"/>
    <w:rsid w:val="71AC3C92"/>
    <w:rsid w:val="726D580A"/>
    <w:rsid w:val="72DA1DB3"/>
    <w:rsid w:val="72E43D24"/>
    <w:rsid w:val="72F6267B"/>
    <w:rsid w:val="73A301FC"/>
    <w:rsid w:val="73CD7A7D"/>
    <w:rsid w:val="74513AEC"/>
    <w:rsid w:val="747E077C"/>
    <w:rsid w:val="750C7264"/>
    <w:rsid w:val="758101F4"/>
    <w:rsid w:val="75BF2AE7"/>
    <w:rsid w:val="75C26193"/>
    <w:rsid w:val="76237857"/>
    <w:rsid w:val="76EB5CE2"/>
    <w:rsid w:val="77360D31"/>
    <w:rsid w:val="777A2C50"/>
    <w:rsid w:val="77D44EDD"/>
    <w:rsid w:val="77F6653B"/>
    <w:rsid w:val="782A5B0E"/>
    <w:rsid w:val="78B56314"/>
    <w:rsid w:val="79912A62"/>
    <w:rsid w:val="79B536C6"/>
    <w:rsid w:val="7A0A1684"/>
    <w:rsid w:val="7B15286A"/>
    <w:rsid w:val="7B287F10"/>
    <w:rsid w:val="7B460310"/>
    <w:rsid w:val="7BD17937"/>
    <w:rsid w:val="7C374F40"/>
    <w:rsid w:val="7C874E51"/>
    <w:rsid w:val="7CDB3833"/>
    <w:rsid w:val="7D05662C"/>
    <w:rsid w:val="7D307517"/>
    <w:rsid w:val="7DB16F89"/>
    <w:rsid w:val="7DD84EF8"/>
    <w:rsid w:val="7DF51866"/>
    <w:rsid w:val="7DFF1456"/>
    <w:rsid w:val="7E487B05"/>
    <w:rsid w:val="7E6651FD"/>
    <w:rsid w:val="7E84736E"/>
    <w:rsid w:val="7E907931"/>
    <w:rsid w:val="7F4D4C06"/>
    <w:rsid w:val="7F7B358A"/>
    <w:rsid w:val="7FB61011"/>
    <w:rsid w:val="7FE46B1D"/>
    <w:rsid w:val="FE6D9047"/>
    <w:rsid w:val="FF5C93CE"/>
    <w:rsid w:val="FFFCF2B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iPriority="9"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99"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qFormat="1"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8"/>
      <w:szCs w:val="24"/>
      <w:lang w:val="en-US" w:eastAsia="zh-CN" w:bidi="ar-SA"/>
    </w:rPr>
  </w:style>
  <w:style w:type="paragraph" w:styleId="3">
    <w:name w:val="heading 1"/>
    <w:basedOn w:val="1"/>
    <w:next w:val="4"/>
    <w:link w:val="50"/>
    <w:qFormat/>
    <w:uiPriority w:val="9"/>
    <w:pPr>
      <w:keepNext/>
      <w:keepLines/>
      <w:pageBreakBefore/>
      <w:numPr>
        <w:ilvl w:val="0"/>
        <w:numId w:val="1"/>
      </w:numPr>
      <w:spacing w:before="120"/>
      <w:jc w:val="center"/>
      <w:outlineLvl w:val="0"/>
    </w:pPr>
    <w:rPr>
      <w:b/>
      <w:bCs/>
      <w:kern w:val="44"/>
      <w:sz w:val="32"/>
      <w:szCs w:val="44"/>
    </w:rPr>
  </w:style>
  <w:style w:type="paragraph" w:styleId="5">
    <w:name w:val="heading 2"/>
    <w:basedOn w:val="1"/>
    <w:next w:val="1"/>
    <w:link w:val="51"/>
    <w:qFormat/>
    <w:uiPriority w:val="9"/>
    <w:pPr>
      <w:keepNext/>
      <w:keepLines/>
      <w:numPr>
        <w:ilvl w:val="1"/>
        <w:numId w:val="1"/>
      </w:numPr>
      <w:spacing w:before="280" w:after="280" w:line="415" w:lineRule="auto"/>
      <w:outlineLvl w:val="1"/>
    </w:pPr>
    <w:rPr>
      <w:rFonts w:ascii="Arial" w:hAnsi="Arial"/>
      <w:b/>
      <w:bCs/>
      <w:sz w:val="32"/>
      <w:szCs w:val="32"/>
    </w:rPr>
  </w:style>
  <w:style w:type="paragraph" w:styleId="2">
    <w:name w:val="heading 3"/>
    <w:basedOn w:val="1"/>
    <w:next w:val="1"/>
    <w:link w:val="52"/>
    <w:qFormat/>
    <w:uiPriority w:val="9"/>
    <w:pPr>
      <w:keepNext/>
      <w:keepLines/>
      <w:numPr>
        <w:ilvl w:val="2"/>
        <w:numId w:val="1"/>
      </w:numPr>
      <w:tabs>
        <w:tab w:val="left" w:pos="0"/>
      </w:tabs>
      <w:outlineLvl w:val="2"/>
    </w:pPr>
    <w:rPr>
      <w:rFonts w:ascii="仿宋" w:hAnsi="仿宋"/>
      <w:b/>
      <w:bCs/>
      <w:szCs w:val="32"/>
    </w:rPr>
  </w:style>
  <w:style w:type="paragraph" w:styleId="6">
    <w:name w:val="heading 4"/>
    <w:basedOn w:val="1"/>
    <w:next w:val="1"/>
    <w:link w:val="53"/>
    <w:qFormat/>
    <w:uiPriority w:val="9"/>
    <w:pPr>
      <w:keepNext/>
      <w:keepLines/>
      <w:numPr>
        <w:ilvl w:val="3"/>
        <w:numId w:val="1"/>
      </w:numPr>
      <w:tabs>
        <w:tab w:val="left" w:pos="0"/>
      </w:tabs>
      <w:spacing w:before="160" w:after="160" w:line="377" w:lineRule="auto"/>
      <w:outlineLvl w:val="3"/>
    </w:pPr>
    <w:rPr>
      <w:rFonts w:ascii="Arial" w:hAnsi="Arial"/>
      <w:b/>
      <w:bCs/>
      <w:szCs w:val="28"/>
    </w:rPr>
  </w:style>
  <w:style w:type="paragraph" w:styleId="7">
    <w:name w:val="heading 5"/>
    <w:basedOn w:val="1"/>
    <w:next w:val="1"/>
    <w:link w:val="54"/>
    <w:qFormat/>
    <w:uiPriority w:val="9"/>
    <w:pPr>
      <w:keepNext/>
      <w:keepLines/>
      <w:numPr>
        <w:ilvl w:val="0"/>
        <w:numId w:val="2"/>
      </w:numPr>
      <w:tabs>
        <w:tab w:val="left" w:pos="0"/>
      </w:tabs>
      <w:spacing w:before="120" w:after="120" w:line="377" w:lineRule="auto"/>
      <w:outlineLvl w:val="4"/>
    </w:pPr>
    <w:rPr>
      <w:b/>
      <w:bCs/>
      <w:szCs w:val="28"/>
    </w:rPr>
  </w:style>
  <w:style w:type="paragraph" w:styleId="8">
    <w:name w:val="heading 6"/>
    <w:basedOn w:val="1"/>
    <w:next w:val="1"/>
    <w:link w:val="55"/>
    <w:unhideWhenUsed/>
    <w:qFormat/>
    <w:uiPriority w:val="9"/>
    <w:pPr>
      <w:keepNext/>
      <w:keepLines/>
      <w:tabs>
        <w:tab w:val="left" w:pos="0"/>
      </w:tabs>
      <w:spacing w:before="120" w:after="64" w:line="320" w:lineRule="auto"/>
      <w:outlineLvl w:val="5"/>
    </w:pPr>
    <w:rPr>
      <w:rFonts w:asciiTheme="majorHAnsi" w:hAnsiTheme="majorHAnsi" w:cstheme="majorBidi"/>
      <w:b/>
      <w:bCs/>
    </w:rPr>
  </w:style>
  <w:style w:type="paragraph" w:styleId="9">
    <w:name w:val="heading 7"/>
    <w:basedOn w:val="1"/>
    <w:next w:val="1"/>
    <w:link w:val="56"/>
    <w:unhideWhenUsed/>
    <w:qFormat/>
    <w:uiPriority w:val="0"/>
    <w:pPr>
      <w:keepNext/>
      <w:keepLines/>
      <w:tabs>
        <w:tab w:val="left" w:pos="0"/>
      </w:tabs>
      <w:spacing w:before="240" w:after="64" w:line="320" w:lineRule="auto"/>
      <w:outlineLvl w:val="6"/>
    </w:pPr>
    <w:rPr>
      <w:rFonts w:ascii="宋体" w:hAnsi="宋体"/>
      <w:b/>
      <w:bCs/>
    </w:rPr>
  </w:style>
  <w:style w:type="paragraph" w:styleId="10">
    <w:name w:val="heading 8"/>
    <w:basedOn w:val="1"/>
    <w:next w:val="1"/>
    <w:link w:val="57"/>
    <w:unhideWhenUsed/>
    <w:qFormat/>
    <w:uiPriority w:val="0"/>
    <w:pPr>
      <w:keepNext/>
      <w:keepLines/>
      <w:numPr>
        <w:ilvl w:val="7"/>
        <w:numId w:val="3"/>
      </w:numPr>
      <w:spacing w:before="240" w:after="64" w:line="317" w:lineRule="auto"/>
      <w:outlineLvl w:val="7"/>
    </w:pPr>
    <w:rPr>
      <w:rFonts w:ascii="Arial" w:hAnsi="Arial" w:eastAsia="黑体"/>
    </w:rPr>
  </w:style>
  <w:style w:type="paragraph" w:styleId="11">
    <w:name w:val="heading 9"/>
    <w:basedOn w:val="1"/>
    <w:next w:val="1"/>
    <w:link w:val="58"/>
    <w:unhideWhenUsed/>
    <w:qFormat/>
    <w:uiPriority w:val="0"/>
    <w:pPr>
      <w:keepNext/>
      <w:keepLines/>
      <w:tabs>
        <w:tab w:val="left" w:pos="0"/>
      </w:tabs>
      <w:spacing w:before="240" w:after="64" w:line="320" w:lineRule="auto"/>
      <w:outlineLvl w:val="8"/>
    </w:pPr>
    <w:rPr>
      <w:rFonts w:asciiTheme="majorHAnsi" w:hAnsiTheme="majorHAnsi" w:eastAsiaTheme="majorEastAsia" w:cstheme="majorBidi"/>
      <w:szCs w:val="21"/>
    </w:rPr>
  </w:style>
  <w:style w:type="character" w:default="1" w:styleId="41">
    <w:name w:val="Default Paragraph Font"/>
    <w:semiHidden/>
    <w:unhideWhenUsed/>
    <w:uiPriority w:val="1"/>
  </w:style>
  <w:style w:type="table" w:default="1" w:styleId="38">
    <w:name w:val="Normal Table"/>
    <w:semiHidden/>
    <w:unhideWhenUsed/>
    <w:uiPriority w:val="99"/>
    <w:tblPr>
      <w:tblCellMar>
        <w:top w:w="0" w:type="dxa"/>
        <w:left w:w="108" w:type="dxa"/>
        <w:bottom w:w="0" w:type="dxa"/>
        <w:right w:w="108" w:type="dxa"/>
      </w:tblCellMar>
    </w:tblPr>
  </w:style>
  <w:style w:type="paragraph" w:styleId="4">
    <w:name w:val="Body Text"/>
    <w:basedOn w:val="1"/>
    <w:link w:val="49"/>
    <w:unhideWhenUsed/>
    <w:qFormat/>
    <w:uiPriority w:val="99"/>
    <w:pPr>
      <w:spacing w:after="120"/>
    </w:pPr>
  </w:style>
  <w:style w:type="paragraph" w:styleId="12">
    <w:name w:val="toc 7"/>
    <w:basedOn w:val="1"/>
    <w:next w:val="1"/>
    <w:unhideWhenUsed/>
    <w:qFormat/>
    <w:uiPriority w:val="39"/>
    <w:pPr>
      <w:spacing w:line="240" w:lineRule="auto"/>
      <w:ind w:left="2520" w:leftChars="1200"/>
    </w:pPr>
    <w:rPr>
      <w:rFonts w:asciiTheme="minorHAnsi" w:hAnsiTheme="minorHAnsi" w:eastAsiaTheme="minorEastAsia" w:cstheme="minorBidi"/>
      <w:sz w:val="21"/>
      <w:szCs w:val="22"/>
    </w:rPr>
  </w:style>
  <w:style w:type="paragraph" w:styleId="13">
    <w:name w:val="List Number 2"/>
    <w:basedOn w:val="1"/>
    <w:qFormat/>
    <w:uiPriority w:val="0"/>
    <w:pPr>
      <w:widowControl/>
      <w:numPr>
        <w:ilvl w:val="0"/>
        <w:numId w:val="4"/>
      </w:numPr>
      <w:topLinePunct/>
      <w:adjustRightInd w:val="0"/>
      <w:snapToGrid w:val="0"/>
      <w:spacing w:before="160" w:after="160" w:line="240" w:lineRule="atLeast"/>
      <w:jc w:val="left"/>
    </w:pPr>
    <w:rPr>
      <w:rFonts w:hint="eastAsia" w:cs="Arial"/>
      <w:sz w:val="21"/>
      <w:szCs w:val="21"/>
    </w:rPr>
  </w:style>
  <w:style w:type="paragraph" w:styleId="14">
    <w:name w:val="Normal Indent"/>
    <w:basedOn w:val="1"/>
    <w:link w:val="48"/>
    <w:unhideWhenUsed/>
    <w:qFormat/>
    <w:uiPriority w:val="99"/>
    <w:pPr>
      <w:spacing w:line="240" w:lineRule="auto"/>
      <w:ind w:firstLine="420"/>
    </w:pPr>
    <w:rPr>
      <w:sz w:val="21"/>
      <w:szCs w:val="21"/>
    </w:rPr>
  </w:style>
  <w:style w:type="paragraph" w:styleId="15">
    <w:name w:val="caption"/>
    <w:basedOn w:val="1"/>
    <w:next w:val="1"/>
    <w:link w:val="59"/>
    <w:semiHidden/>
    <w:unhideWhenUsed/>
    <w:qFormat/>
    <w:uiPriority w:val="0"/>
    <w:rPr>
      <w:rFonts w:ascii="Arial" w:hAnsi="Arial" w:eastAsia="黑体"/>
      <w:sz w:val="20"/>
    </w:rPr>
  </w:style>
  <w:style w:type="paragraph" w:styleId="16">
    <w:name w:val="annotation text"/>
    <w:basedOn w:val="1"/>
    <w:link w:val="60"/>
    <w:qFormat/>
    <w:uiPriority w:val="99"/>
    <w:pPr>
      <w:jc w:val="left"/>
    </w:pPr>
  </w:style>
  <w:style w:type="paragraph" w:styleId="17">
    <w:name w:val="Body Text Indent"/>
    <w:basedOn w:val="1"/>
    <w:next w:val="1"/>
    <w:qFormat/>
    <w:uiPriority w:val="0"/>
    <w:pPr>
      <w:spacing w:after="120"/>
      <w:ind w:left="420" w:leftChars="200"/>
    </w:pPr>
  </w:style>
  <w:style w:type="paragraph" w:styleId="18">
    <w:name w:val="toc 5"/>
    <w:basedOn w:val="1"/>
    <w:next w:val="1"/>
    <w:unhideWhenUsed/>
    <w:qFormat/>
    <w:uiPriority w:val="39"/>
    <w:pPr>
      <w:spacing w:line="240" w:lineRule="auto"/>
      <w:ind w:left="1680" w:leftChars="800"/>
    </w:pPr>
    <w:rPr>
      <w:rFonts w:asciiTheme="minorHAnsi" w:hAnsiTheme="minorHAnsi" w:eastAsiaTheme="minorEastAsia" w:cstheme="minorBidi"/>
      <w:sz w:val="21"/>
      <w:szCs w:val="22"/>
    </w:rPr>
  </w:style>
  <w:style w:type="paragraph" w:styleId="19">
    <w:name w:val="toc 3"/>
    <w:basedOn w:val="1"/>
    <w:next w:val="1"/>
    <w:qFormat/>
    <w:uiPriority w:val="39"/>
    <w:pPr>
      <w:ind w:left="840" w:leftChars="400"/>
    </w:pPr>
  </w:style>
  <w:style w:type="paragraph" w:styleId="20">
    <w:name w:val="Plain Text"/>
    <w:basedOn w:val="1"/>
    <w:link w:val="61"/>
    <w:qFormat/>
    <w:uiPriority w:val="0"/>
    <w:rPr>
      <w:rFonts w:ascii="宋体" w:hAnsi="Courier New"/>
    </w:rPr>
  </w:style>
  <w:style w:type="paragraph" w:styleId="21">
    <w:name w:val="List Bullet 5"/>
    <w:basedOn w:val="1"/>
    <w:qFormat/>
    <w:uiPriority w:val="0"/>
    <w:pPr>
      <w:widowControl/>
      <w:numPr>
        <w:ilvl w:val="0"/>
        <w:numId w:val="5"/>
      </w:numPr>
      <w:topLinePunct/>
      <w:adjustRightInd w:val="0"/>
      <w:snapToGrid w:val="0"/>
      <w:spacing w:before="160" w:after="160" w:line="240" w:lineRule="atLeast"/>
      <w:jc w:val="left"/>
    </w:pPr>
    <w:rPr>
      <w:rFonts w:hint="eastAsia" w:cs="Arial"/>
      <w:sz w:val="21"/>
      <w:szCs w:val="21"/>
    </w:rPr>
  </w:style>
  <w:style w:type="paragraph" w:styleId="22">
    <w:name w:val="toc 8"/>
    <w:basedOn w:val="1"/>
    <w:next w:val="1"/>
    <w:unhideWhenUsed/>
    <w:qFormat/>
    <w:uiPriority w:val="39"/>
    <w:pPr>
      <w:spacing w:line="240" w:lineRule="auto"/>
      <w:ind w:left="2940" w:leftChars="1400"/>
    </w:pPr>
    <w:rPr>
      <w:rFonts w:asciiTheme="minorHAnsi" w:hAnsiTheme="minorHAnsi" w:eastAsiaTheme="minorEastAsia" w:cstheme="minorBidi"/>
      <w:sz w:val="21"/>
      <w:szCs w:val="22"/>
    </w:rPr>
  </w:style>
  <w:style w:type="paragraph" w:styleId="23">
    <w:name w:val="Date"/>
    <w:basedOn w:val="1"/>
    <w:next w:val="1"/>
    <w:link w:val="62"/>
    <w:qFormat/>
    <w:uiPriority w:val="0"/>
    <w:pPr>
      <w:ind w:left="100" w:leftChars="2500"/>
    </w:pPr>
  </w:style>
  <w:style w:type="paragraph" w:styleId="24">
    <w:name w:val="Body Text Indent 2"/>
    <w:basedOn w:val="1"/>
    <w:link w:val="63"/>
    <w:qFormat/>
    <w:uiPriority w:val="0"/>
    <w:pPr>
      <w:spacing w:after="120" w:line="480" w:lineRule="auto"/>
      <w:ind w:left="420" w:leftChars="200"/>
    </w:pPr>
  </w:style>
  <w:style w:type="paragraph" w:styleId="25">
    <w:name w:val="Balloon Text"/>
    <w:basedOn w:val="1"/>
    <w:link w:val="64"/>
    <w:qFormat/>
    <w:uiPriority w:val="99"/>
    <w:pPr>
      <w:spacing w:line="240" w:lineRule="auto"/>
    </w:pPr>
    <w:rPr>
      <w:sz w:val="18"/>
      <w:szCs w:val="18"/>
    </w:rPr>
  </w:style>
  <w:style w:type="paragraph" w:styleId="26">
    <w:name w:val="footer"/>
    <w:basedOn w:val="1"/>
    <w:link w:val="65"/>
    <w:qFormat/>
    <w:uiPriority w:val="99"/>
    <w:pPr>
      <w:tabs>
        <w:tab w:val="center" w:pos="4153"/>
        <w:tab w:val="right" w:pos="8306"/>
      </w:tabs>
      <w:snapToGrid w:val="0"/>
      <w:spacing w:line="240" w:lineRule="auto"/>
      <w:jc w:val="left"/>
    </w:pPr>
    <w:rPr>
      <w:sz w:val="18"/>
      <w:szCs w:val="18"/>
    </w:rPr>
  </w:style>
  <w:style w:type="paragraph" w:styleId="27">
    <w:name w:val="header"/>
    <w:basedOn w:val="1"/>
    <w:link w:val="6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28">
    <w:name w:val="toc 1"/>
    <w:basedOn w:val="1"/>
    <w:next w:val="1"/>
    <w:qFormat/>
    <w:uiPriority w:val="39"/>
  </w:style>
  <w:style w:type="paragraph" w:styleId="29">
    <w:name w:val="toc 4"/>
    <w:basedOn w:val="1"/>
    <w:next w:val="1"/>
    <w:unhideWhenUsed/>
    <w:qFormat/>
    <w:uiPriority w:val="39"/>
    <w:pPr>
      <w:spacing w:line="240" w:lineRule="auto"/>
      <w:ind w:left="1260" w:leftChars="600"/>
    </w:pPr>
    <w:rPr>
      <w:rFonts w:asciiTheme="minorHAnsi" w:hAnsiTheme="minorHAnsi" w:eastAsiaTheme="minorEastAsia" w:cstheme="minorBidi"/>
      <w:sz w:val="21"/>
      <w:szCs w:val="22"/>
    </w:rPr>
  </w:style>
  <w:style w:type="paragraph" w:styleId="30">
    <w:name w:val="toc 6"/>
    <w:basedOn w:val="1"/>
    <w:next w:val="1"/>
    <w:unhideWhenUsed/>
    <w:qFormat/>
    <w:uiPriority w:val="39"/>
    <w:pPr>
      <w:spacing w:line="240" w:lineRule="auto"/>
      <w:ind w:left="2100" w:leftChars="1000"/>
    </w:pPr>
    <w:rPr>
      <w:rFonts w:asciiTheme="minorHAnsi" w:hAnsiTheme="minorHAnsi" w:eastAsiaTheme="minorEastAsia" w:cstheme="minorBidi"/>
      <w:sz w:val="21"/>
      <w:szCs w:val="22"/>
    </w:rPr>
  </w:style>
  <w:style w:type="paragraph" w:styleId="31">
    <w:name w:val="toc 2"/>
    <w:basedOn w:val="1"/>
    <w:next w:val="1"/>
    <w:qFormat/>
    <w:uiPriority w:val="39"/>
    <w:pPr>
      <w:ind w:left="420" w:leftChars="200"/>
    </w:pPr>
  </w:style>
  <w:style w:type="paragraph" w:styleId="32">
    <w:name w:val="toc 9"/>
    <w:basedOn w:val="1"/>
    <w:next w:val="1"/>
    <w:unhideWhenUsed/>
    <w:qFormat/>
    <w:uiPriority w:val="39"/>
    <w:pPr>
      <w:spacing w:line="240" w:lineRule="auto"/>
      <w:ind w:left="3360" w:leftChars="1600"/>
    </w:pPr>
    <w:rPr>
      <w:rFonts w:asciiTheme="minorHAnsi" w:hAnsiTheme="minorHAnsi" w:eastAsiaTheme="minorEastAsia" w:cstheme="minorBidi"/>
      <w:sz w:val="21"/>
      <w:szCs w:val="22"/>
    </w:rPr>
  </w:style>
  <w:style w:type="paragraph" w:styleId="33">
    <w:name w:val="Normal (Web)"/>
    <w:basedOn w:val="1"/>
    <w:link w:val="67"/>
    <w:qFormat/>
    <w:uiPriority w:val="99"/>
    <w:pPr>
      <w:spacing w:beforeAutospacing="1" w:afterAutospacing="1"/>
      <w:jc w:val="left"/>
    </w:pPr>
    <w:rPr>
      <w:kern w:val="0"/>
    </w:rPr>
  </w:style>
  <w:style w:type="paragraph" w:styleId="34">
    <w:name w:val="Title"/>
    <w:basedOn w:val="1"/>
    <w:link w:val="68"/>
    <w:qFormat/>
    <w:uiPriority w:val="0"/>
    <w:pPr>
      <w:spacing w:before="240" w:after="60"/>
      <w:jc w:val="center"/>
      <w:outlineLvl w:val="0"/>
    </w:pPr>
    <w:rPr>
      <w:rFonts w:ascii="Arial" w:hAnsi="Arial"/>
      <w:b/>
      <w:sz w:val="32"/>
    </w:rPr>
  </w:style>
  <w:style w:type="paragraph" w:styleId="35">
    <w:name w:val="annotation subject"/>
    <w:basedOn w:val="16"/>
    <w:next w:val="16"/>
    <w:link w:val="69"/>
    <w:qFormat/>
    <w:uiPriority w:val="0"/>
    <w:rPr>
      <w:b/>
      <w:bCs/>
    </w:rPr>
  </w:style>
  <w:style w:type="paragraph" w:styleId="36">
    <w:name w:val="Body Text First Indent"/>
    <w:basedOn w:val="4"/>
    <w:link w:val="70"/>
    <w:qFormat/>
    <w:uiPriority w:val="0"/>
    <w:pPr>
      <w:widowControl/>
      <w:spacing w:after="240"/>
      <w:ind w:firstLine="488"/>
    </w:pPr>
    <w:rPr>
      <w:rFonts w:ascii="Garamond" w:hAnsi="Garamond"/>
      <w:color w:val="000000"/>
      <w:kern w:val="0"/>
    </w:rPr>
  </w:style>
  <w:style w:type="paragraph" w:styleId="37">
    <w:name w:val="Body Text First Indent 2"/>
    <w:basedOn w:val="17"/>
    <w:qFormat/>
    <w:uiPriority w:val="0"/>
    <w:pPr>
      <w:ind w:firstLine="420"/>
    </w:pPr>
  </w:style>
  <w:style w:type="table" w:styleId="39">
    <w:name w:val="Table Grid"/>
    <w:basedOn w:val="3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0">
    <w:name w:val="Medium Grid 2"/>
    <w:basedOn w:val="38"/>
    <w:qFormat/>
    <w:uiPriority w:val="68"/>
    <w:rPr>
      <w:rFonts w:ascii="DejaVu Sans" w:hAnsi="DejaVu Sans" w:eastAsia="DejaVu Sans" w:cs="DejaVu Sans"/>
      <w:color w:val="000000"/>
    </w:rPr>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cPr>
      <w:tcBorders>
        <w:top w:val="single" w:color="000000" w:sz="8" w:space="0"/>
        <w:left w:val="single" w:color="000000" w:sz="8" w:space="0"/>
        <w:bottom w:val="single" w:color="000000" w:sz="8" w:space="0"/>
        <w:right w:val="single" w:color="000000" w:sz="8" w:space="0"/>
      </w:tcBorders>
      <w:shd w:val="clear" w:color="auto" w:fill="C0C0C0"/>
    </w:tcPr>
    <w:tblStylePr w:type="firstRow">
      <w:rPr>
        <w:b/>
        <w:bCs/>
        <w:color w:val="000000"/>
      </w:rPr>
      <w:tblPr/>
      <w:tcPr>
        <w:shd w:val="clear" w:color="auto" w:fill="E6E6E6"/>
      </w:tcPr>
    </w:tblStylePr>
    <w:tblStylePr w:type="lastRow">
      <w:rPr>
        <w:b/>
        <w:bCs/>
        <w:color w:val="000000"/>
      </w:rPr>
      <w:tblPr/>
      <w:tcPr>
        <w:tcBorders>
          <w:top w:val="single" w:color="000000" w:sz="12" w:space="0"/>
          <w:left w:val="nil"/>
          <w:bottom w:val="nil"/>
          <w:right w:val="nil"/>
        </w:tcBorders>
        <w:shd w:val="clear" w:color="auto" w:fill="FFFFFF"/>
      </w:tcPr>
    </w:tblStylePr>
    <w:tblStylePr w:type="firstCol">
      <w:rPr>
        <w:b/>
        <w:bCs/>
        <w:color w:val="000000"/>
      </w:rPr>
      <w:tblPr/>
      <w:tcPr>
        <w:tcBorders>
          <w:top w:val="nil"/>
          <w:left w:val="nil"/>
          <w:bottom w:val="nil"/>
          <w:right w:val="nil"/>
        </w:tcBorders>
        <w:shd w:val="clear" w:color="auto" w:fill="FFFFFF"/>
      </w:tcPr>
    </w:tblStylePr>
    <w:tblStylePr w:type="lastCol">
      <w:rPr>
        <w:b w:val="0"/>
        <w:bCs w:val="0"/>
        <w:color w:val="000000"/>
      </w:rPr>
      <w:tblPr/>
      <w:tcPr>
        <w:tcBorders>
          <w:top w:val="nil"/>
          <w:left w:val="nil"/>
          <w:bottom w:val="nil"/>
          <w:right w:val="nil"/>
        </w:tcBorders>
        <w:shd w:val="clear" w:color="auto" w:fill="CCCCCC"/>
      </w:tcPr>
    </w:tblStylePr>
    <w:tblStylePr w:type="band1Vert">
      <w:tblPr/>
      <w:tcPr>
        <w:shd w:val="clear" w:color="auto" w:fill="808080"/>
      </w:tcPr>
    </w:tblStylePr>
    <w:tblStylePr w:type="band1Horz">
      <w:tblPr/>
      <w:tcPr>
        <w:shd w:val="clear" w:color="auto" w:fill="808080"/>
      </w:tcPr>
    </w:tblStylePr>
    <w:tblStylePr w:type="nwCell">
      <w:tblPr/>
      <w:tcPr>
        <w:shd w:val="clear" w:color="auto" w:fill="FFFFFF"/>
      </w:tcPr>
    </w:tblStylePr>
  </w:style>
  <w:style w:type="character" w:styleId="42">
    <w:name w:val="Strong"/>
    <w:basedOn w:val="41"/>
    <w:qFormat/>
    <w:uiPriority w:val="22"/>
    <w:rPr>
      <w:b/>
    </w:rPr>
  </w:style>
  <w:style w:type="character" w:styleId="43">
    <w:name w:val="page number"/>
    <w:qFormat/>
    <w:uiPriority w:val="0"/>
  </w:style>
  <w:style w:type="character" w:styleId="44">
    <w:name w:val="FollowedHyperlink"/>
    <w:basedOn w:val="41"/>
    <w:qFormat/>
    <w:uiPriority w:val="99"/>
    <w:rPr>
      <w:color w:val="954F72"/>
      <w:u w:val="single"/>
    </w:rPr>
  </w:style>
  <w:style w:type="character" w:styleId="45">
    <w:name w:val="Emphasis"/>
    <w:basedOn w:val="41"/>
    <w:qFormat/>
    <w:uiPriority w:val="20"/>
    <w:rPr>
      <w:i/>
      <w:iCs/>
    </w:rPr>
  </w:style>
  <w:style w:type="character" w:styleId="46">
    <w:name w:val="Hyperlink"/>
    <w:basedOn w:val="41"/>
    <w:unhideWhenUsed/>
    <w:qFormat/>
    <w:uiPriority w:val="99"/>
    <w:rPr>
      <w:color w:val="0563C1" w:themeColor="hyperlink"/>
      <w:u w:val="single"/>
      <w14:textFill>
        <w14:solidFill>
          <w14:schemeClr w14:val="hlink"/>
        </w14:solidFill>
      </w14:textFill>
    </w:rPr>
  </w:style>
  <w:style w:type="character" w:styleId="47">
    <w:name w:val="annotation reference"/>
    <w:basedOn w:val="41"/>
    <w:qFormat/>
    <w:uiPriority w:val="99"/>
    <w:rPr>
      <w:sz w:val="21"/>
      <w:szCs w:val="21"/>
    </w:rPr>
  </w:style>
  <w:style w:type="character" w:customStyle="1" w:styleId="48">
    <w:name w:val="正文缩进 字符"/>
    <w:basedOn w:val="41"/>
    <w:link w:val="14"/>
    <w:qFormat/>
    <w:uiPriority w:val="0"/>
    <w:rPr>
      <w:rFonts w:hint="default" w:ascii="Calibri" w:hAnsi="Calibri" w:eastAsia="宋体" w:cs="Times New Roman"/>
      <w:kern w:val="2"/>
      <w:sz w:val="28"/>
      <w:szCs w:val="21"/>
    </w:rPr>
  </w:style>
  <w:style w:type="character" w:customStyle="1" w:styleId="49">
    <w:name w:val="正文文本 字符"/>
    <w:basedOn w:val="41"/>
    <w:link w:val="4"/>
    <w:qFormat/>
    <w:uiPriority w:val="0"/>
    <w:rPr>
      <w:kern w:val="2"/>
      <w:sz w:val="24"/>
    </w:rPr>
  </w:style>
  <w:style w:type="character" w:customStyle="1" w:styleId="50">
    <w:name w:val="标题 1 字符"/>
    <w:basedOn w:val="41"/>
    <w:link w:val="3"/>
    <w:qFormat/>
    <w:uiPriority w:val="9"/>
    <w:rPr>
      <w:b/>
      <w:bCs/>
      <w:kern w:val="44"/>
      <w:sz w:val="32"/>
      <w:szCs w:val="44"/>
    </w:rPr>
  </w:style>
  <w:style w:type="character" w:customStyle="1" w:styleId="51">
    <w:name w:val="标题 2 字符"/>
    <w:basedOn w:val="41"/>
    <w:link w:val="5"/>
    <w:qFormat/>
    <w:uiPriority w:val="9"/>
    <w:rPr>
      <w:rFonts w:ascii="Arial" w:hAnsi="Arial"/>
      <w:b/>
      <w:bCs/>
      <w:kern w:val="2"/>
      <w:sz w:val="32"/>
      <w:szCs w:val="32"/>
    </w:rPr>
  </w:style>
  <w:style w:type="character" w:customStyle="1" w:styleId="52">
    <w:name w:val="标题 3 字符"/>
    <w:basedOn w:val="41"/>
    <w:link w:val="2"/>
    <w:qFormat/>
    <w:uiPriority w:val="9"/>
    <w:rPr>
      <w:rFonts w:ascii="仿宋" w:hAnsi="仿宋"/>
      <w:b/>
      <w:bCs/>
      <w:kern w:val="2"/>
      <w:sz w:val="28"/>
      <w:szCs w:val="32"/>
    </w:rPr>
  </w:style>
  <w:style w:type="character" w:customStyle="1" w:styleId="53">
    <w:name w:val="标题 4 字符"/>
    <w:basedOn w:val="41"/>
    <w:link w:val="6"/>
    <w:qFormat/>
    <w:uiPriority w:val="9"/>
    <w:rPr>
      <w:rFonts w:ascii="Arial" w:hAnsi="Arial"/>
      <w:b/>
      <w:bCs/>
      <w:kern w:val="2"/>
      <w:sz w:val="28"/>
      <w:szCs w:val="28"/>
    </w:rPr>
  </w:style>
  <w:style w:type="character" w:customStyle="1" w:styleId="54">
    <w:name w:val="标题 5 字符"/>
    <w:basedOn w:val="41"/>
    <w:link w:val="7"/>
    <w:qFormat/>
    <w:uiPriority w:val="9"/>
    <w:rPr>
      <w:b/>
      <w:bCs/>
      <w:kern w:val="2"/>
      <w:sz w:val="28"/>
      <w:szCs w:val="28"/>
    </w:rPr>
  </w:style>
  <w:style w:type="character" w:customStyle="1" w:styleId="55">
    <w:name w:val="标题 6 字符"/>
    <w:basedOn w:val="41"/>
    <w:link w:val="8"/>
    <w:qFormat/>
    <w:uiPriority w:val="0"/>
    <w:rPr>
      <w:rFonts w:asciiTheme="majorHAnsi" w:hAnsiTheme="majorHAnsi" w:cstheme="majorBidi"/>
      <w:b/>
      <w:bCs/>
      <w:kern w:val="2"/>
      <w:sz w:val="24"/>
      <w:szCs w:val="24"/>
    </w:rPr>
  </w:style>
  <w:style w:type="character" w:customStyle="1" w:styleId="56">
    <w:name w:val="标题 7 字符"/>
    <w:basedOn w:val="41"/>
    <w:link w:val="9"/>
    <w:qFormat/>
    <w:uiPriority w:val="0"/>
    <w:rPr>
      <w:rFonts w:ascii="宋体" w:hAnsi="宋体"/>
      <w:b/>
      <w:bCs/>
      <w:kern w:val="2"/>
      <w:sz w:val="24"/>
      <w:szCs w:val="24"/>
    </w:rPr>
  </w:style>
  <w:style w:type="character" w:customStyle="1" w:styleId="57">
    <w:name w:val="标题 8 字符"/>
    <w:basedOn w:val="41"/>
    <w:link w:val="10"/>
    <w:qFormat/>
    <w:uiPriority w:val="0"/>
    <w:rPr>
      <w:rFonts w:ascii="Arial" w:hAnsi="Arial" w:eastAsia="黑体"/>
      <w:kern w:val="2"/>
      <w:sz w:val="28"/>
      <w:szCs w:val="24"/>
    </w:rPr>
  </w:style>
  <w:style w:type="character" w:customStyle="1" w:styleId="58">
    <w:name w:val="标题 9 字符"/>
    <w:basedOn w:val="41"/>
    <w:link w:val="11"/>
    <w:qFormat/>
    <w:uiPriority w:val="0"/>
    <w:rPr>
      <w:rFonts w:asciiTheme="majorHAnsi" w:hAnsiTheme="majorHAnsi" w:eastAsiaTheme="majorEastAsia" w:cstheme="majorBidi"/>
      <w:kern w:val="2"/>
      <w:sz w:val="24"/>
      <w:szCs w:val="21"/>
    </w:rPr>
  </w:style>
  <w:style w:type="character" w:customStyle="1" w:styleId="59">
    <w:name w:val="题注 字符"/>
    <w:basedOn w:val="41"/>
    <w:link w:val="15"/>
    <w:qFormat/>
    <w:uiPriority w:val="0"/>
    <w:rPr>
      <w:rFonts w:hint="default" w:ascii="Arial" w:hAnsi="Arial" w:eastAsia="黑体" w:cs="Arial"/>
    </w:rPr>
  </w:style>
  <w:style w:type="character" w:customStyle="1" w:styleId="60">
    <w:name w:val="批注文字 字符"/>
    <w:basedOn w:val="41"/>
    <w:link w:val="16"/>
    <w:qFormat/>
    <w:uiPriority w:val="99"/>
    <w:rPr>
      <w:rFonts w:eastAsia="仿宋"/>
      <w:kern w:val="2"/>
      <w:sz w:val="24"/>
      <w:szCs w:val="24"/>
    </w:rPr>
  </w:style>
  <w:style w:type="character" w:customStyle="1" w:styleId="61">
    <w:name w:val="纯文本 字符"/>
    <w:basedOn w:val="41"/>
    <w:link w:val="20"/>
    <w:qFormat/>
    <w:uiPriority w:val="0"/>
    <w:rPr>
      <w:rFonts w:hint="eastAsia" w:ascii="宋体" w:hAnsi="Courier New" w:eastAsia="等线" w:cs="Times New Roman"/>
      <w:kern w:val="2"/>
      <w:sz w:val="21"/>
      <w:szCs w:val="22"/>
    </w:rPr>
  </w:style>
  <w:style w:type="character" w:customStyle="1" w:styleId="62">
    <w:name w:val="日期 字符"/>
    <w:basedOn w:val="41"/>
    <w:link w:val="23"/>
    <w:qFormat/>
    <w:uiPriority w:val="0"/>
    <w:rPr>
      <w:rFonts w:eastAsia="仿宋"/>
      <w:kern w:val="2"/>
      <w:sz w:val="24"/>
      <w:szCs w:val="24"/>
    </w:rPr>
  </w:style>
  <w:style w:type="character" w:customStyle="1" w:styleId="63">
    <w:name w:val="正文文本缩进 2 字符"/>
    <w:basedOn w:val="41"/>
    <w:link w:val="24"/>
    <w:qFormat/>
    <w:uiPriority w:val="0"/>
    <w:rPr>
      <w:kern w:val="2"/>
      <w:sz w:val="28"/>
      <w:szCs w:val="24"/>
    </w:rPr>
  </w:style>
  <w:style w:type="character" w:customStyle="1" w:styleId="64">
    <w:name w:val="批注框文本 字符1"/>
    <w:basedOn w:val="41"/>
    <w:link w:val="25"/>
    <w:qFormat/>
    <w:uiPriority w:val="0"/>
    <w:rPr>
      <w:rFonts w:hint="default" w:ascii="Calibri" w:hAnsi="Calibri" w:cs="Calibri"/>
      <w:kern w:val="2"/>
      <w:sz w:val="18"/>
      <w:szCs w:val="18"/>
    </w:rPr>
  </w:style>
  <w:style w:type="character" w:customStyle="1" w:styleId="65">
    <w:name w:val="页脚 字符"/>
    <w:basedOn w:val="41"/>
    <w:link w:val="26"/>
    <w:qFormat/>
    <w:uiPriority w:val="99"/>
    <w:rPr>
      <w:rFonts w:eastAsia="仿宋"/>
      <w:kern w:val="2"/>
      <w:sz w:val="18"/>
      <w:szCs w:val="18"/>
    </w:rPr>
  </w:style>
  <w:style w:type="character" w:customStyle="1" w:styleId="66">
    <w:name w:val="页眉 字符"/>
    <w:basedOn w:val="41"/>
    <w:link w:val="27"/>
    <w:qFormat/>
    <w:uiPriority w:val="99"/>
    <w:rPr>
      <w:rFonts w:hint="default" w:ascii="Calibri" w:hAnsi="Calibri" w:cs="Calibri"/>
      <w:kern w:val="2"/>
      <w:sz w:val="18"/>
      <w:szCs w:val="18"/>
    </w:rPr>
  </w:style>
  <w:style w:type="character" w:customStyle="1" w:styleId="67">
    <w:name w:val="普通(网站) 字符"/>
    <w:link w:val="33"/>
    <w:qFormat/>
    <w:uiPriority w:val="0"/>
    <w:rPr>
      <w:rFonts w:eastAsia="仿宋"/>
      <w:sz w:val="24"/>
      <w:szCs w:val="24"/>
    </w:rPr>
  </w:style>
  <w:style w:type="character" w:customStyle="1" w:styleId="68">
    <w:name w:val="标题 字符1"/>
    <w:basedOn w:val="41"/>
    <w:link w:val="34"/>
    <w:qFormat/>
    <w:uiPriority w:val="0"/>
    <w:rPr>
      <w:rFonts w:hint="eastAsia" w:ascii="等线 Light" w:hAnsi="等线 Light" w:eastAsia="等线 Light" w:cs="等线 Light"/>
      <w:b/>
      <w:bCs/>
      <w:sz w:val="28"/>
      <w:szCs w:val="32"/>
    </w:rPr>
  </w:style>
  <w:style w:type="character" w:customStyle="1" w:styleId="69">
    <w:name w:val="批注主题 字符1"/>
    <w:basedOn w:val="41"/>
    <w:link w:val="35"/>
    <w:qFormat/>
    <w:uiPriority w:val="0"/>
    <w:rPr>
      <w:rFonts w:hint="default" w:ascii="Calibri" w:hAnsi="Calibri" w:cs="Calibri"/>
      <w:b/>
      <w:bCs/>
      <w:kern w:val="2"/>
      <w:sz w:val="28"/>
      <w:szCs w:val="22"/>
    </w:rPr>
  </w:style>
  <w:style w:type="character" w:customStyle="1" w:styleId="70">
    <w:name w:val="正文文本首行缩进 字符"/>
    <w:link w:val="36"/>
    <w:qFormat/>
    <w:uiPriority w:val="0"/>
    <w:rPr>
      <w:rFonts w:ascii="Arial" w:hAnsi="Arial" w:eastAsia="宋体" w:cs="Arial"/>
      <w:kern w:val="2"/>
      <w:sz w:val="28"/>
      <w:szCs w:val="24"/>
    </w:rPr>
  </w:style>
  <w:style w:type="paragraph" w:customStyle="1" w:styleId="71">
    <w:name w:val="GP标题2"/>
    <w:basedOn w:val="1"/>
    <w:next w:val="1"/>
    <w:qFormat/>
    <w:uiPriority w:val="0"/>
    <w:pPr>
      <w:numPr>
        <w:ilvl w:val="1"/>
        <w:numId w:val="3"/>
      </w:numPr>
      <w:spacing w:before="50" w:beforeLines="50" w:after="50" w:afterLines="50"/>
      <w:contextualSpacing/>
      <w:jc w:val="left"/>
      <w:outlineLvl w:val="1"/>
    </w:pPr>
    <w:rPr>
      <w:b/>
      <w:sz w:val="32"/>
      <w:szCs w:val="21"/>
    </w:rPr>
  </w:style>
  <w:style w:type="paragraph" w:customStyle="1" w:styleId="72">
    <w:name w:val="GP标题1"/>
    <w:basedOn w:val="1"/>
    <w:next w:val="1"/>
    <w:qFormat/>
    <w:uiPriority w:val="0"/>
    <w:pPr>
      <w:spacing w:before="100" w:beforeLines="100" w:after="100" w:afterLines="100"/>
      <w:ind w:left="432" w:hanging="432"/>
      <w:contextualSpacing/>
      <w:jc w:val="left"/>
      <w:outlineLvl w:val="0"/>
    </w:pPr>
    <w:rPr>
      <w:b/>
      <w:sz w:val="44"/>
      <w:szCs w:val="21"/>
    </w:rPr>
  </w:style>
  <w:style w:type="paragraph" w:customStyle="1" w:styleId="73">
    <w:name w:val="GP标题3"/>
    <w:basedOn w:val="1"/>
    <w:next w:val="1"/>
    <w:qFormat/>
    <w:uiPriority w:val="0"/>
    <w:pPr>
      <w:spacing w:before="50" w:beforeLines="50" w:after="50" w:afterLines="50"/>
      <w:ind w:left="720" w:hanging="720"/>
      <w:contextualSpacing/>
      <w:jc w:val="left"/>
      <w:outlineLvl w:val="2"/>
    </w:pPr>
    <w:rPr>
      <w:rFonts w:ascii="华文细黑" w:hAnsi="华文细黑"/>
      <w:b/>
      <w:szCs w:val="21"/>
    </w:rPr>
  </w:style>
  <w:style w:type="paragraph" w:customStyle="1" w:styleId="74">
    <w:name w:val="GP标题4"/>
    <w:basedOn w:val="1"/>
    <w:next w:val="1"/>
    <w:qFormat/>
    <w:uiPriority w:val="0"/>
    <w:pPr>
      <w:spacing w:before="50" w:beforeLines="50" w:after="50" w:afterLines="50"/>
      <w:ind w:left="864" w:hanging="864"/>
      <w:contextualSpacing/>
      <w:jc w:val="left"/>
      <w:outlineLvl w:val="3"/>
    </w:pPr>
    <w:rPr>
      <w:rFonts w:ascii="华文细黑" w:hAnsi="华文细黑"/>
      <w:b/>
      <w:szCs w:val="28"/>
    </w:rPr>
  </w:style>
  <w:style w:type="paragraph" w:customStyle="1" w:styleId="75">
    <w:name w:val="GP标题5"/>
    <w:basedOn w:val="1"/>
    <w:next w:val="1"/>
    <w:qFormat/>
    <w:uiPriority w:val="0"/>
    <w:pPr>
      <w:spacing w:before="50" w:beforeLines="50" w:after="50" w:afterLines="50"/>
      <w:ind w:left="1008" w:hanging="1008"/>
      <w:contextualSpacing/>
      <w:jc w:val="left"/>
      <w:outlineLvl w:val="4"/>
    </w:pPr>
    <w:rPr>
      <w:rFonts w:ascii="华文细黑" w:hAnsi="华文细黑"/>
      <w:b/>
      <w:szCs w:val="21"/>
    </w:rPr>
  </w:style>
  <w:style w:type="paragraph" w:customStyle="1" w:styleId="76">
    <w:name w:val="WPSOffice手动目录 3"/>
    <w:qFormat/>
    <w:uiPriority w:val="0"/>
    <w:pPr>
      <w:ind w:left="400" w:leftChars="400"/>
    </w:pPr>
    <w:rPr>
      <w:rFonts w:asciiTheme="minorHAnsi" w:hAnsiTheme="minorHAnsi" w:eastAsiaTheme="minorEastAsia" w:cstheme="minorBidi"/>
      <w:lang w:val="en-US" w:eastAsia="zh-CN" w:bidi="ar-SA"/>
    </w:rPr>
  </w:style>
  <w:style w:type="paragraph" w:customStyle="1" w:styleId="77">
    <w:name w:val="正文有缩进"/>
    <w:basedOn w:val="1"/>
    <w:qFormat/>
    <w:uiPriority w:val="0"/>
    <w:rPr>
      <w:rFonts w:asciiTheme="minorHAnsi" w:hAnsiTheme="minorHAnsi"/>
    </w:rPr>
  </w:style>
  <w:style w:type="paragraph" w:customStyle="1" w:styleId="78">
    <w:name w:val="正文缩进1"/>
    <w:qFormat/>
    <w:uiPriority w:val="0"/>
    <w:pPr>
      <w:widowControl w:val="0"/>
      <w:ind w:firstLine="420" w:firstLineChars="200"/>
      <w:jc w:val="both"/>
    </w:pPr>
    <w:rPr>
      <w:rFonts w:ascii="Calibri" w:hAnsi="Calibri" w:eastAsia="宋体" w:cs="Times New Roman"/>
      <w:kern w:val="2"/>
      <w:sz w:val="21"/>
      <w:szCs w:val="24"/>
      <w:lang w:val="en-US" w:eastAsia="zh-CN" w:bidi="ar-SA"/>
    </w:rPr>
  </w:style>
  <w:style w:type="paragraph" w:customStyle="1" w:styleId="79">
    <w:name w:val="政务 3"/>
    <w:basedOn w:val="1"/>
    <w:qFormat/>
    <w:uiPriority w:val="0"/>
    <w:pPr>
      <w:numPr>
        <w:ilvl w:val="2"/>
        <w:numId w:val="6"/>
      </w:numPr>
      <w:jc w:val="left"/>
      <w:outlineLvl w:val="2"/>
    </w:pPr>
    <w:rPr>
      <w:b/>
      <w:sz w:val="30"/>
    </w:rPr>
  </w:style>
  <w:style w:type="paragraph" w:customStyle="1" w:styleId="80">
    <w:name w:val="政务 4"/>
    <w:basedOn w:val="79"/>
    <w:qFormat/>
    <w:uiPriority w:val="0"/>
    <w:pPr>
      <w:numPr>
        <w:ilvl w:val="3"/>
      </w:numPr>
      <w:outlineLvl w:val="3"/>
    </w:pPr>
    <w:rPr>
      <w:sz w:val="28"/>
    </w:rPr>
  </w:style>
  <w:style w:type="paragraph" w:customStyle="1" w:styleId="81">
    <w:name w:val="正文-首行空格"/>
    <w:basedOn w:val="1"/>
    <w:qFormat/>
    <w:uiPriority w:val="0"/>
    <w:pPr>
      <w:ind w:firstLine="200" w:firstLineChars="200"/>
      <w:jc w:val="left"/>
    </w:pPr>
    <w:rPr>
      <w:sz w:val="30"/>
    </w:rPr>
  </w:style>
  <w:style w:type="paragraph" w:customStyle="1" w:styleId="82">
    <w:name w:val="政务 2"/>
    <w:basedOn w:val="83"/>
    <w:qFormat/>
    <w:uiPriority w:val="0"/>
    <w:pPr>
      <w:numPr>
        <w:ilvl w:val="1"/>
      </w:numPr>
      <w:jc w:val="left"/>
      <w:outlineLvl w:val="1"/>
    </w:pPr>
    <w:rPr>
      <w:sz w:val="32"/>
    </w:rPr>
  </w:style>
  <w:style w:type="paragraph" w:customStyle="1" w:styleId="83">
    <w:name w:val="政务 1"/>
    <w:basedOn w:val="80"/>
    <w:qFormat/>
    <w:uiPriority w:val="0"/>
    <w:pPr>
      <w:numPr>
        <w:ilvl w:val="0"/>
        <w:numId w:val="0"/>
      </w:numPr>
      <w:jc w:val="center"/>
      <w:outlineLvl w:val="0"/>
    </w:pPr>
    <w:rPr>
      <w:sz w:val="36"/>
    </w:rPr>
  </w:style>
  <w:style w:type="paragraph" w:customStyle="1" w:styleId="84">
    <w:name w:val="a正文"/>
    <w:basedOn w:val="1"/>
    <w:qFormat/>
    <w:uiPriority w:val="0"/>
    <w:pPr>
      <w:ind w:firstLine="480" w:firstLineChars="200"/>
    </w:pPr>
  </w:style>
  <w:style w:type="paragraph" w:customStyle="1" w:styleId="85">
    <w:name w:val="正文段"/>
    <w:basedOn w:val="1"/>
    <w:qFormat/>
    <w:uiPriority w:val="0"/>
    <w:pPr>
      <w:widowControl/>
      <w:snapToGrid w:val="0"/>
      <w:spacing w:afterLines="50"/>
      <w:ind w:firstLine="200" w:firstLineChars="200"/>
    </w:pPr>
  </w:style>
  <w:style w:type="paragraph" w:customStyle="1" w:styleId="86">
    <w:name w:val="WPSOffice手动目录 1"/>
    <w:qFormat/>
    <w:uiPriority w:val="0"/>
    <w:rPr>
      <w:rFonts w:asciiTheme="minorHAnsi" w:hAnsiTheme="minorHAnsi" w:eastAsiaTheme="minorEastAsia" w:cstheme="minorBidi"/>
      <w:lang w:val="en-US" w:eastAsia="zh-CN" w:bidi="ar-SA"/>
    </w:rPr>
  </w:style>
  <w:style w:type="paragraph" w:customStyle="1" w:styleId="87">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88">
    <w:name w:val="Normal0"/>
    <w:qFormat/>
    <w:uiPriority w:val="0"/>
    <w:pPr>
      <w:ind w:firstLine="200" w:firstLineChars="200"/>
      <w:jc w:val="both"/>
    </w:pPr>
    <w:rPr>
      <w:rFonts w:ascii="Times New Roman" w:hAnsi="Times New Roman" w:eastAsia="宋体" w:cs="宋体"/>
      <w:sz w:val="21"/>
      <w:szCs w:val="22"/>
      <w:lang w:val="en-US" w:eastAsia="en-US" w:bidi="ar-SA"/>
    </w:rPr>
  </w:style>
  <w:style w:type="paragraph" w:styleId="89">
    <w:name w:val="List Paragraph"/>
    <w:basedOn w:val="1"/>
    <w:qFormat/>
    <w:uiPriority w:val="34"/>
    <w:pPr>
      <w:spacing w:line="240" w:lineRule="auto"/>
      <w:ind w:firstLine="420" w:firstLineChars="200"/>
    </w:pPr>
    <w:rPr>
      <w:rFonts w:ascii="Calibri" w:hAnsi="Calibri"/>
      <w:sz w:val="21"/>
      <w:szCs w:val="21"/>
    </w:rPr>
  </w:style>
  <w:style w:type="character" w:customStyle="1" w:styleId="90">
    <w:name w:val="批注框文本 字符"/>
    <w:basedOn w:val="41"/>
    <w:qFormat/>
    <w:uiPriority w:val="99"/>
    <w:rPr>
      <w:rFonts w:eastAsia="仿宋"/>
      <w:kern w:val="2"/>
      <w:sz w:val="18"/>
      <w:szCs w:val="18"/>
    </w:rPr>
  </w:style>
  <w:style w:type="character" w:customStyle="1" w:styleId="91">
    <w:name w:val="font21"/>
    <w:basedOn w:val="41"/>
    <w:qFormat/>
    <w:uiPriority w:val="0"/>
    <w:rPr>
      <w:rFonts w:hint="eastAsia" w:ascii="宋体" w:hAnsi="宋体" w:eastAsia="宋体"/>
      <w:b/>
      <w:bCs/>
      <w:color w:val="000000"/>
      <w:sz w:val="22"/>
      <w:szCs w:val="22"/>
      <w:u w:val="none"/>
    </w:rPr>
  </w:style>
  <w:style w:type="character" w:customStyle="1" w:styleId="92">
    <w:name w:val="font11"/>
    <w:basedOn w:val="41"/>
    <w:qFormat/>
    <w:uiPriority w:val="0"/>
    <w:rPr>
      <w:rFonts w:hint="eastAsia" w:ascii="宋体" w:hAnsi="宋体" w:eastAsia="宋体"/>
      <w:color w:val="000000"/>
      <w:sz w:val="22"/>
      <w:szCs w:val="22"/>
      <w:u w:val="none"/>
    </w:rPr>
  </w:style>
  <w:style w:type="character" w:customStyle="1" w:styleId="93">
    <w:name w:val="font31"/>
    <w:basedOn w:val="41"/>
    <w:qFormat/>
    <w:uiPriority w:val="0"/>
    <w:rPr>
      <w:rFonts w:hint="eastAsia" w:ascii="仿宋" w:hAnsi="仿宋" w:eastAsia="仿宋"/>
      <w:color w:val="000000"/>
      <w:sz w:val="24"/>
      <w:szCs w:val="24"/>
      <w:u w:val="none"/>
    </w:rPr>
  </w:style>
  <w:style w:type="character" w:customStyle="1" w:styleId="94">
    <w:name w:val="font61"/>
    <w:basedOn w:val="41"/>
    <w:qFormat/>
    <w:uiPriority w:val="0"/>
    <w:rPr>
      <w:rFonts w:hint="eastAsia" w:ascii="宋体" w:hAnsi="宋体" w:eastAsia="宋体"/>
      <w:color w:val="000000"/>
      <w:sz w:val="22"/>
      <w:szCs w:val="22"/>
      <w:u w:val="none"/>
    </w:rPr>
  </w:style>
  <w:style w:type="character" w:customStyle="1" w:styleId="95">
    <w:name w:val="批注主题 字符"/>
    <w:basedOn w:val="60"/>
    <w:qFormat/>
    <w:uiPriority w:val="0"/>
    <w:rPr>
      <w:rFonts w:eastAsia="仿宋"/>
      <w:b/>
      <w:bCs/>
      <w:kern w:val="2"/>
      <w:sz w:val="24"/>
      <w:szCs w:val="24"/>
    </w:rPr>
  </w:style>
  <w:style w:type="paragraph" w:customStyle="1" w:styleId="96">
    <w:name w:val="TOC 标题1"/>
    <w:basedOn w:val="3"/>
    <w:next w:val="1"/>
    <w:unhideWhenUsed/>
    <w:qFormat/>
    <w:uiPriority w:val="39"/>
    <w:pPr>
      <w:pageBreakBefore w:val="0"/>
      <w:widowControl/>
      <w:numPr>
        <w:numId w:val="0"/>
      </w:numPr>
      <w:spacing w:before="240" w:line="259" w:lineRule="auto"/>
      <w:jc w:val="left"/>
      <w:outlineLvl w:val="9"/>
    </w:pPr>
    <w:rPr>
      <w:rFonts w:asciiTheme="majorHAnsi" w:hAnsiTheme="majorHAnsi" w:eastAsiaTheme="majorEastAsia" w:cstheme="majorBidi"/>
      <w:b w:val="0"/>
      <w:bCs w:val="0"/>
      <w:color w:val="2E75B6" w:themeColor="accent1" w:themeShade="BF"/>
      <w:kern w:val="0"/>
      <w:szCs w:val="32"/>
    </w:rPr>
  </w:style>
  <w:style w:type="character" w:customStyle="1" w:styleId="97">
    <w:name w:val="未处理的提及1"/>
    <w:basedOn w:val="41"/>
    <w:semiHidden/>
    <w:unhideWhenUsed/>
    <w:qFormat/>
    <w:uiPriority w:val="99"/>
    <w:rPr>
      <w:color w:val="605E5C"/>
      <w:shd w:val="clear" w:color="auto" w:fill="E1DFDD"/>
    </w:rPr>
  </w:style>
  <w:style w:type="paragraph" w:customStyle="1" w:styleId="98">
    <w:name w:val="文章正文"/>
    <w:basedOn w:val="1"/>
    <w:qFormat/>
    <w:uiPriority w:val="0"/>
    <w:pPr>
      <w:adjustRightInd w:val="0"/>
      <w:snapToGrid w:val="0"/>
      <w:spacing w:before="50" w:beforeLines="50"/>
      <w:ind w:firstLine="200" w:firstLineChars="200"/>
    </w:pPr>
    <w:rPr>
      <w:szCs w:val="22"/>
    </w:rPr>
  </w:style>
  <w:style w:type="paragraph" w:customStyle="1" w:styleId="99">
    <w:name w:val="列出段落1"/>
    <w:basedOn w:val="1"/>
    <w:qFormat/>
    <w:uiPriority w:val="34"/>
    <w:pPr>
      <w:spacing w:line="240" w:lineRule="auto"/>
      <w:ind w:firstLine="420" w:firstLineChars="200"/>
    </w:pPr>
    <w:rPr>
      <w:rFonts w:ascii="Calibri" w:hAnsi="Calibri"/>
      <w:sz w:val="21"/>
      <w:szCs w:val="22"/>
    </w:rPr>
  </w:style>
  <w:style w:type="paragraph" w:customStyle="1" w:styleId="100">
    <w:name w:val="DTC——正文"/>
    <w:basedOn w:val="1"/>
    <w:semiHidden/>
    <w:qFormat/>
    <w:uiPriority w:val="99"/>
    <w:pPr>
      <w:spacing w:line="240" w:lineRule="auto"/>
    </w:pPr>
    <w:rPr>
      <w:rFonts w:ascii="仿宋_GB2312" w:hAnsi="Arial" w:cstheme="minorBidi"/>
      <w:szCs w:val="28"/>
    </w:rPr>
  </w:style>
  <w:style w:type="paragraph" w:customStyle="1" w:styleId="101">
    <w:name w:val="1正文"/>
    <w:basedOn w:val="1"/>
    <w:semiHidden/>
    <w:qFormat/>
    <w:uiPriority w:val="99"/>
    <w:pPr>
      <w:spacing w:line="240" w:lineRule="auto"/>
    </w:pPr>
    <w:rPr>
      <w:rFonts w:ascii="仿宋_GB2312" w:hAnsi="Arial" w:cstheme="minorBidi"/>
      <w:szCs w:val="28"/>
    </w:rPr>
  </w:style>
  <w:style w:type="paragraph" w:customStyle="1" w:styleId="102">
    <w:name w:val="【正文】"/>
    <w:basedOn w:val="1"/>
    <w:semiHidden/>
    <w:qFormat/>
    <w:uiPriority w:val="0"/>
    <w:pPr>
      <w:spacing w:line="240" w:lineRule="auto"/>
    </w:pPr>
    <w:rPr>
      <w:rFonts w:ascii="仿宋" w:hAnsi="仿宋" w:cs="仿宋_GB2312" w:eastAsiaTheme="minorEastAsia"/>
      <w:szCs w:val="28"/>
    </w:rPr>
  </w:style>
  <w:style w:type="character" w:customStyle="1" w:styleId="103">
    <w:name w:val="正文首行缩进 Char"/>
    <w:link w:val="104"/>
    <w:qFormat/>
    <w:uiPriority w:val="0"/>
  </w:style>
  <w:style w:type="paragraph" w:customStyle="1" w:styleId="104">
    <w:name w:val="正文首行缩进1"/>
    <w:basedOn w:val="4"/>
    <w:link w:val="103"/>
    <w:qFormat/>
    <w:uiPriority w:val="0"/>
    <w:pPr>
      <w:spacing w:after="0"/>
      <w:ind w:firstLine="200" w:firstLineChars="200"/>
    </w:pPr>
    <w:rPr>
      <w:kern w:val="0"/>
      <w:sz w:val="20"/>
      <w:szCs w:val="20"/>
    </w:rPr>
  </w:style>
  <w:style w:type="paragraph" w:customStyle="1" w:styleId="105">
    <w:name w:val="修订1"/>
    <w:hidden/>
    <w:semiHidden/>
    <w:qFormat/>
    <w:uiPriority w:val="99"/>
    <w:rPr>
      <w:rFonts w:ascii="Times New Roman" w:hAnsi="Times New Roman" w:eastAsia="仿宋" w:cs="Times New Roman"/>
      <w:kern w:val="2"/>
      <w:sz w:val="24"/>
      <w:szCs w:val="24"/>
      <w:lang w:val="en-US" w:eastAsia="zh-CN" w:bidi="ar-SA"/>
    </w:rPr>
  </w:style>
  <w:style w:type="character" w:customStyle="1" w:styleId="106">
    <w:name w:val="未处理的提及2"/>
    <w:basedOn w:val="41"/>
    <w:semiHidden/>
    <w:unhideWhenUsed/>
    <w:qFormat/>
    <w:uiPriority w:val="99"/>
    <w:rPr>
      <w:color w:val="605E5C"/>
      <w:shd w:val="clear" w:color="auto" w:fill="E1DFDD"/>
    </w:rPr>
  </w:style>
  <w:style w:type="character" w:customStyle="1" w:styleId="107">
    <w:name w:val="未处理的提及3"/>
    <w:basedOn w:val="41"/>
    <w:semiHidden/>
    <w:unhideWhenUsed/>
    <w:qFormat/>
    <w:uiPriority w:val="99"/>
    <w:rPr>
      <w:color w:val="605E5C"/>
      <w:shd w:val="clear" w:color="auto" w:fill="E1DFDD"/>
    </w:rPr>
  </w:style>
  <w:style w:type="character" w:customStyle="1" w:styleId="108">
    <w:name w:val="文档-正文 Char"/>
    <w:basedOn w:val="41"/>
    <w:link w:val="109"/>
    <w:qFormat/>
    <w:uiPriority w:val="0"/>
    <w:rPr>
      <w:rFonts w:ascii="Arial" w:hAnsi="Arial" w:cs="Arial"/>
      <w:kern w:val="2"/>
      <w:sz w:val="24"/>
    </w:rPr>
  </w:style>
  <w:style w:type="paragraph" w:customStyle="1" w:styleId="109">
    <w:name w:val="文档-正文"/>
    <w:basedOn w:val="1"/>
    <w:link w:val="108"/>
    <w:qFormat/>
    <w:uiPriority w:val="0"/>
    <w:pPr>
      <w:spacing w:before="50" w:beforeLines="50" w:after="50" w:afterLines="50"/>
      <w:ind w:firstLine="200" w:firstLineChars="200"/>
      <w:contextualSpacing/>
    </w:pPr>
    <w:rPr>
      <w:rFonts w:ascii="Arial" w:hAnsi="Arial" w:cs="Arial"/>
      <w:szCs w:val="20"/>
    </w:rPr>
  </w:style>
  <w:style w:type="character" w:customStyle="1" w:styleId="110">
    <w:name w:val="font01"/>
    <w:basedOn w:val="41"/>
    <w:qFormat/>
    <w:uiPriority w:val="0"/>
    <w:rPr>
      <w:rFonts w:hint="eastAsia" w:ascii="宋体" w:hAnsi="宋体" w:eastAsia="宋体" w:cs="宋体"/>
      <w:color w:val="000000"/>
      <w:sz w:val="24"/>
      <w:szCs w:val="24"/>
      <w:u w:val="none"/>
    </w:rPr>
  </w:style>
  <w:style w:type="paragraph" w:customStyle="1" w:styleId="111">
    <w:name w:val="Body text|1"/>
    <w:basedOn w:val="1"/>
    <w:qFormat/>
    <w:uiPriority w:val="0"/>
    <w:pPr>
      <w:spacing w:line="480" w:lineRule="auto"/>
      <w:ind w:firstLine="400"/>
    </w:pPr>
    <w:rPr>
      <w:rFonts w:ascii="宋体" w:hAnsi="宋体" w:cs="宋体"/>
      <w:sz w:val="26"/>
      <w:szCs w:val="26"/>
      <w:lang w:val="zh-TW" w:eastAsia="zh-TW" w:bidi="zh-TW"/>
    </w:rPr>
  </w:style>
  <w:style w:type="paragraph" w:customStyle="1" w:styleId="112">
    <w:name w:val="GP正文(首行缩进)"/>
    <w:basedOn w:val="1"/>
    <w:qFormat/>
    <w:uiPriority w:val="0"/>
    <w:pPr>
      <w:jc w:val="left"/>
    </w:pPr>
    <w:rPr>
      <w:rFonts w:eastAsia="等线"/>
      <w:kern w:val="0"/>
      <w:szCs w:val="21"/>
      <w:lang w:val="zh-CN"/>
    </w:rPr>
  </w:style>
  <w:style w:type="character" w:customStyle="1" w:styleId="113">
    <w:name w:val="标题 6 Char"/>
    <w:basedOn w:val="41"/>
    <w:qFormat/>
    <w:uiPriority w:val="0"/>
    <w:rPr>
      <w:rFonts w:hint="default" w:ascii="Calibri Light" w:hAnsi="Calibri Light" w:eastAsia="Calibri Light" w:cs="Calibri Light"/>
      <w:b/>
      <w:bCs/>
      <w:kern w:val="2"/>
      <w:sz w:val="28"/>
      <w:szCs w:val="24"/>
    </w:rPr>
  </w:style>
  <w:style w:type="character" w:customStyle="1" w:styleId="114">
    <w:name w:val="列出段落 Char1"/>
    <w:basedOn w:val="41"/>
    <w:qFormat/>
    <w:uiPriority w:val="0"/>
    <w:rPr>
      <w:sz w:val="24"/>
    </w:rPr>
  </w:style>
  <w:style w:type="paragraph" w:customStyle="1" w:styleId="115">
    <w:name w:val="*正文"/>
    <w:basedOn w:val="14"/>
    <w:link w:val="116"/>
    <w:qFormat/>
    <w:uiPriority w:val="0"/>
    <w:pPr>
      <w:spacing w:line="360" w:lineRule="auto"/>
      <w:ind w:firstLine="200" w:firstLineChars="200"/>
    </w:pPr>
    <w:rPr>
      <w:rFonts w:hint="eastAsia" w:ascii="宋体" w:hAnsi="宋体"/>
      <w:color w:val="000000"/>
      <w:kern w:val="0"/>
      <w:sz w:val="28"/>
      <w:szCs w:val="24"/>
    </w:rPr>
  </w:style>
  <w:style w:type="character" w:customStyle="1" w:styleId="116">
    <w:name w:val="*正文 Char"/>
    <w:basedOn w:val="41"/>
    <w:link w:val="115"/>
    <w:qFormat/>
    <w:uiPriority w:val="0"/>
    <w:rPr>
      <w:rFonts w:hint="eastAsia" w:ascii="宋体" w:hAnsi="宋体" w:eastAsia="宋体" w:cs="宋体"/>
      <w:color w:val="000000"/>
      <w:sz w:val="28"/>
      <w:szCs w:val="24"/>
      <w:lang w:val="zh-CN"/>
    </w:rPr>
  </w:style>
  <w:style w:type="character" w:customStyle="1" w:styleId="117">
    <w:name w:val="浅色底纹 - 着色 2 Char"/>
    <w:basedOn w:val="41"/>
    <w:qFormat/>
    <w:uiPriority w:val="0"/>
    <w:rPr>
      <w:i/>
      <w:iCs/>
      <w:color w:val="5B9BD5"/>
      <w:kern w:val="2"/>
      <w:sz w:val="28"/>
      <w:szCs w:val="22"/>
    </w:rPr>
  </w:style>
  <w:style w:type="character" w:customStyle="1" w:styleId="118">
    <w:name w:val="列表段落 字符"/>
    <w:basedOn w:val="41"/>
    <w:qFormat/>
    <w:uiPriority w:val="34"/>
    <w:rPr>
      <w:rFonts w:hint="default" w:ascii="Calibri" w:hAnsi="Calibri" w:cs="Calibri"/>
      <w:kern w:val="2"/>
      <w:sz w:val="28"/>
      <w:szCs w:val="22"/>
    </w:rPr>
  </w:style>
  <w:style w:type="character" w:customStyle="1" w:styleId="119">
    <w:name w:val="标题 7 Char"/>
    <w:basedOn w:val="41"/>
    <w:qFormat/>
    <w:uiPriority w:val="0"/>
    <w:rPr>
      <w:b/>
      <w:bCs/>
      <w:kern w:val="2"/>
      <w:sz w:val="24"/>
      <w:szCs w:val="24"/>
    </w:rPr>
  </w:style>
  <w:style w:type="character" w:customStyle="1" w:styleId="120">
    <w:name w:val="标题 5 Char"/>
    <w:basedOn w:val="41"/>
    <w:qFormat/>
    <w:uiPriority w:val="0"/>
    <w:rPr>
      <w:b/>
      <w:bCs/>
      <w:kern w:val="2"/>
      <w:sz w:val="28"/>
      <w:szCs w:val="28"/>
    </w:rPr>
  </w:style>
  <w:style w:type="character" w:customStyle="1" w:styleId="121">
    <w:name w:val="中等深浅网格 2 Char"/>
    <w:basedOn w:val="41"/>
    <w:uiPriority w:val="0"/>
    <w:rPr>
      <w:kern w:val="2"/>
      <w:sz w:val="21"/>
      <w:szCs w:val="22"/>
    </w:rPr>
  </w:style>
  <w:style w:type="character" w:customStyle="1" w:styleId="122">
    <w:name w:val="标题 字符"/>
    <w:basedOn w:val="41"/>
    <w:qFormat/>
    <w:uiPriority w:val="0"/>
    <w:rPr>
      <w:rFonts w:hint="eastAsia" w:ascii="等线 Light" w:hAnsi="等线 Light" w:eastAsia="等线 Light" w:cs="Times New Roman"/>
      <w:b/>
      <w:bCs/>
      <w:kern w:val="2"/>
      <w:sz w:val="32"/>
      <w:szCs w:val="32"/>
    </w:rPr>
  </w:style>
  <w:style w:type="character" w:customStyle="1" w:styleId="123">
    <w:name w:val="批注文字 字符1"/>
    <w:basedOn w:val="41"/>
    <w:uiPriority w:val="0"/>
    <w:rPr>
      <w:kern w:val="2"/>
      <w:sz w:val="28"/>
      <w:szCs w:val="22"/>
    </w:rPr>
  </w:style>
  <w:style w:type="character" w:customStyle="1" w:styleId="124">
    <w:name w:val="表 字符"/>
    <w:basedOn w:val="41"/>
    <w:link w:val="125"/>
    <w:qFormat/>
    <w:uiPriority w:val="0"/>
    <w:rPr>
      <w:rFonts w:hint="default" w:ascii="Calibri" w:hAnsi="Calibri" w:cs="Calibri"/>
      <w:spacing w:val="-8"/>
      <w:sz w:val="24"/>
    </w:rPr>
  </w:style>
  <w:style w:type="paragraph" w:customStyle="1" w:styleId="125">
    <w:name w:val="表"/>
    <w:basedOn w:val="1"/>
    <w:link w:val="124"/>
    <w:qFormat/>
    <w:uiPriority w:val="0"/>
    <w:rPr>
      <w:rFonts w:ascii="Calibri" w:hAnsi="Calibri" w:cs="Calibri"/>
      <w:spacing w:val="-8"/>
      <w:kern w:val="0"/>
      <w:sz w:val="24"/>
      <w:szCs w:val="20"/>
    </w:rPr>
  </w:style>
  <w:style w:type="character" w:customStyle="1" w:styleId="126">
    <w:name w:val="列出段落 字符"/>
    <w:basedOn w:val="41"/>
    <w:qFormat/>
    <w:uiPriority w:val="34"/>
    <w:rPr>
      <w:rFonts w:hint="default" w:ascii="Calibri" w:hAnsi="Calibri" w:cs="Calibri"/>
      <w:kern w:val="2"/>
      <w:sz w:val="28"/>
      <w:szCs w:val="22"/>
    </w:rPr>
  </w:style>
  <w:style w:type="character" w:customStyle="1" w:styleId="127">
    <w:name w:val="纯文本 字符1"/>
    <w:basedOn w:val="41"/>
    <w:qFormat/>
    <w:uiPriority w:val="0"/>
    <w:rPr>
      <w:rFonts w:hint="eastAsia" w:ascii="等线" w:hAnsi="Courier New" w:eastAsia="等线" w:cs="Courier New"/>
      <w:sz w:val="28"/>
    </w:rPr>
  </w:style>
  <w:style w:type="character" w:customStyle="1" w:styleId="128">
    <w:name w:val="GP正文(首行缩进) Char Char"/>
    <w:basedOn w:val="41"/>
    <w:qFormat/>
    <w:uiPriority w:val="0"/>
    <w:rPr>
      <w:rFonts w:hint="eastAsia" w:ascii="等线" w:hAnsi="等线" w:eastAsia="等线" w:cs="等线"/>
      <w:sz w:val="28"/>
      <w:szCs w:val="21"/>
      <w:lang w:val="zh-CN"/>
    </w:rPr>
  </w:style>
  <w:style w:type="character" w:customStyle="1" w:styleId="129">
    <w:name w:val="标题 2 Char"/>
    <w:basedOn w:val="41"/>
    <w:qFormat/>
    <w:uiPriority w:val="0"/>
    <w:rPr>
      <w:rFonts w:hint="default" w:ascii="Calibri Light" w:hAnsi="Calibri Light" w:eastAsia="Calibri Light" w:cs="Calibri Light"/>
      <w:b/>
      <w:bCs/>
      <w:kern w:val="2"/>
      <w:sz w:val="32"/>
      <w:szCs w:val="32"/>
    </w:rPr>
  </w:style>
  <w:style w:type="character" w:customStyle="1" w:styleId="130">
    <w:name w:val="页眉 字符1"/>
    <w:basedOn w:val="41"/>
    <w:qFormat/>
    <w:uiPriority w:val="0"/>
    <w:rPr>
      <w:kern w:val="2"/>
      <w:sz w:val="18"/>
      <w:szCs w:val="18"/>
    </w:rPr>
  </w:style>
  <w:style w:type="character" w:customStyle="1" w:styleId="131">
    <w:name w:val="页脚 字符1"/>
    <w:basedOn w:val="41"/>
    <w:qFormat/>
    <w:uiPriority w:val="0"/>
    <w:rPr>
      <w:kern w:val="2"/>
      <w:sz w:val="18"/>
      <w:szCs w:val="18"/>
    </w:rPr>
  </w:style>
  <w:style w:type="character" w:customStyle="1" w:styleId="132">
    <w:name w:val="标题 1 Char"/>
    <w:basedOn w:val="41"/>
    <w:qFormat/>
    <w:uiPriority w:val="0"/>
    <w:rPr>
      <w:b/>
      <w:bCs/>
      <w:kern w:val="44"/>
      <w:sz w:val="44"/>
      <w:szCs w:val="44"/>
    </w:rPr>
  </w:style>
  <w:style w:type="character" w:customStyle="1" w:styleId="133">
    <w:name w:val="标题 3 Char"/>
    <w:basedOn w:val="41"/>
    <w:qFormat/>
    <w:uiPriority w:val="0"/>
    <w:rPr>
      <w:b/>
      <w:bCs/>
      <w:kern w:val="2"/>
      <w:sz w:val="32"/>
      <w:szCs w:val="32"/>
    </w:rPr>
  </w:style>
  <w:style w:type="character" w:customStyle="1" w:styleId="134">
    <w:name w:val="文章正文 Char"/>
    <w:basedOn w:val="41"/>
    <w:qFormat/>
    <w:uiPriority w:val="0"/>
    <w:rPr>
      <w:kern w:val="2"/>
      <w:sz w:val="28"/>
      <w:szCs w:val="24"/>
    </w:rPr>
  </w:style>
  <w:style w:type="character" w:customStyle="1" w:styleId="135">
    <w:name w:val="GP正文(首行缩进) Char"/>
    <w:basedOn w:val="41"/>
    <w:qFormat/>
    <w:uiPriority w:val="0"/>
    <w:rPr>
      <w:rFonts w:hint="default" w:ascii="Times New Roman" w:hAnsi="Times New Roman" w:eastAsia="宋体" w:cs="Times New Roman"/>
      <w:sz w:val="24"/>
      <w:szCs w:val="21"/>
    </w:rPr>
  </w:style>
  <w:style w:type="character" w:customStyle="1" w:styleId="136">
    <w:name w:val="未处理的提及31"/>
    <w:basedOn w:val="41"/>
    <w:qFormat/>
    <w:uiPriority w:val="0"/>
    <w:rPr>
      <w:color w:val="605E5C"/>
      <w:shd w:val="clear" w:color="auto" w:fill="E1DFDD"/>
    </w:rPr>
  </w:style>
  <w:style w:type="character" w:customStyle="1" w:styleId="137">
    <w:name w:val="GP正文(无首行缩进) Char"/>
    <w:basedOn w:val="41"/>
    <w:qFormat/>
    <w:uiPriority w:val="0"/>
    <w:rPr>
      <w:rFonts w:hint="eastAsia" w:ascii="等线" w:hAnsi="等线" w:eastAsia="等线" w:cs="等线"/>
      <w:kern w:val="2"/>
      <w:sz w:val="28"/>
      <w:szCs w:val="21"/>
    </w:rPr>
  </w:style>
  <w:style w:type="character" w:customStyle="1" w:styleId="138">
    <w:name w:val="标书正文 Char"/>
    <w:basedOn w:val="41"/>
    <w:qFormat/>
    <w:uiPriority w:val="0"/>
    <w:rPr>
      <w:kern w:val="2"/>
      <w:sz w:val="28"/>
    </w:rPr>
  </w:style>
  <w:style w:type="character" w:customStyle="1" w:styleId="139">
    <w:name w:val="标题 4 Char"/>
    <w:basedOn w:val="41"/>
    <w:qFormat/>
    <w:uiPriority w:val="0"/>
    <w:rPr>
      <w:rFonts w:hint="default" w:ascii="Calibri Light" w:hAnsi="Calibri Light" w:eastAsia="Calibri Light" w:cs="Calibri Light"/>
      <w:b/>
      <w:bCs/>
      <w:kern w:val="2"/>
      <w:sz w:val="28"/>
      <w:szCs w:val="28"/>
    </w:rPr>
  </w:style>
  <w:style w:type="character" w:customStyle="1" w:styleId="140">
    <w:name w:val="表格 Char"/>
    <w:basedOn w:val="41"/>
    <w:qFormat/>
    <w:uiPriority w:val="0"/>
    <w:rPr>
      <w:rFonts w:hint="eastAsia" w:ascii="黑体" w:hAnsi="宋体" w:eastAsia="黑体" w:cs="黑体"/>
      <w:kern w:val="2"/>
      <w:sz w:val="28"/>
      <w:szCs w:val="22"/>
    </w:rPr>
  </w:style>
  <w:style w:type="character" w:customStyle="1" w:styleId="141">
    <w:name w:val="彩色列表 - 着色 1 Char"/>
    <w:basedOn w:val="41"/>
    <w:qFormat/>
    <w:uiPriority w:val="0"/>
    <w:rPr>
      <w:kern w:val="2"/>
      <w:sz w:val="28"/>
      <w:szCs w:val="22"/>
    </w:rPr>
  </w:style>
  <w:style w:type="character" w:customStyle="1" w:styleId="142">
    <w:name w:val="文档正文 Char"/>
    <w:basedOn w:val="41"/>
    <w:qFormat/>
    <w:uiPriority w:val="0"/>
    <w:rPr>
      <w:rFonts w:hint="default" w:ascii="Arial" w:hAnsi="Arial" w:cs="Arial"/>
      <w:sz w:val="28"/>
    </w:rPr>
  </w:style>
  <w:style w:type="character" w:customStyle="1" w:styleId="143">
    <w:name w:val="无间隔 字符"/>
    <w:basedOn w:val="41"/>
    <w:qFormat/>
    <w:uiPriority w:val="0"/>
    <w:rPr>
      <w:sz w:val="22"/>
    </w:rPr>
  </w:style>
  <w:style w:type="character" w:customStyle="1" w:styleId="144">
    <w:name w:val="投标正文 Char"/>
    <w:basedOn w:val="41"/>
    <w:qFormat/>
    <w:uiPriority w:val="0"/>
    <w:rPr>
      <w:rFonts w:hint="eastAsia" w:ascii="仿宋" w:hAnsi="仿宋" w:eastAsia="仿宋" w:cs="仿宋"/>
      <w:sz w:val="28"/>
      <w:szCs w:val="24"/>
    </w:rPr>
  </w:style>
  <w:style w:type="character" w:customStyle="1" w:styleId="145">
    <w:name w:val="表格 字符"/>
    <w:basedOn w:val="41"/>
    <w:qFormat/>
    <w:uiPriority w:val="0"/>
    <w:rPr>
      <w:rFonts w:hint="default" w:ascii="Times New Roman" w:hAnsi="Times New Roman" w:eastAsia="宋体" w:cs="Times New Roman"/>
      <w:sz w:val="30"/>
    </w:rPr>
  </w:style>
  <w:style w:type="character" w:customStyle="1" w:styleId="146">
    <w:name w:val="正文文本 (2)_"/>
    <w:basedOn w:val="41"/>
    <w:qFormat/>
    <w:uiPriority w:val="0"/>
    <w:rPr>
      <w:rFonts w:hint="eastAsia" w:ascii="宋体" w:hAnsi="宋体" w:eastAsia="宋体" w:cs="宋体"/>
      <w:sz w:val="22"/>
      <w:shd w:val="clear" w:color="auto" w:fill="FFFFFF"/>
    </w:rPr>
  </w:style>
  <w:style w:type="paragraph" w:customStyle="1" w:styleId="147">
    <w:name w:val="Jimson Body Text"/>
    <w:basedOn w:val="1"/>
    <w:qFormat/>
    <w:uiPriority w:val="0"/>
    <w:pPr>
      <w:ind w:firstLine="560" w:firstLineChars="200"/>
    </w:pPr>
    <w:rPr>
      <w:rFonts w:ascii="Calibri" w:hAnsi="Calibri"/>
    </w:rPr>
  </w:style>
  <w:style w:type="character" w:customStyle="1" w:styleId="148">
    <w:name w:val="样式 正文缩进 + 首行缩进:  2 字符 Char"/>
    <w:basedOn w:val="41"/>
    <w:qFormat/>
    <w:uiPriority w:val="0"/>
    <w:rPr>
      <w:kern w:val="2"/>
      <w:sz w:val="24"/>
    </w:rPr>
  </w:style>
  <w:style w:type="paragraph" w:customStyle="1" w:styleId="149">
    <w:name w:val="列表段落4"/>
    <w:basedOn w:val="1"/>
    <w:qFormat/>
    <w:uiPriority w:val="0"/>
    <w:pPr>
      <w:ind w:firstLine="420" w:firstLineChars="200"/>
    </w:pPr>
    <w:rPr>
      <w:rFonts w:ascii="Calibri" w:hAnsi="Calibri"/>
      <w:szCs w:val="22"/>
    </w:rPr>
  </w:style>
  <w:style w:type="table" w:customStyle="1" w:styleId="150">
    <w:name w:val="浅色底纹 - 着色 21"/>
    <w:basedOn w:val="38"/>
    <w:qFormat/>
    <w:uiPriority w:val="0"/>
    <w:rPr>
      <w:i/>
      <w:iCs/>
      <w:color w:val="5B9BD5"/>
      <w:sz w:val="28"/>
    </w:rPr>
    <w:tblPr>
      <w:tblBorders>
        <w:top w:val="single" w:color="ED7D31" w:sz="8" w:space="0"/>
        <w:bottom w:val="single" w:color="ED7D31" w:sz="8" w:space="0"/>
      </w:tblBorders>
    </w:tblPr>
    <w:tcPr>
      <w:tcBorders>
        <w:top w:val="single" w:color="ED7D31" w:sz="8" w:space="0"/>
        <w:left w:val="nil"/>
        <w:bottom w:val="single" w:color="ED7D31" w:sz="8" w:space="0"/>
        <w:right w:val="nil"/>
      </w:tcBorders>
    </w:tcPr>
    <w:tblStylePr w:type="firstRow">
      <w:pPr>
        <w:spacing w:before="0" w:beforeAutospacing="0" w:after="0" w:afterAutospacing="0" w:line="240" w:lineRule="auto"/>
      </w:pPr>
      <w:rPr>
        <w:b/>
        <w:bCs/>
      </w:rPr>
      <w:tcPr>
        <w:tcBorders>
          <w:top w:val="single" w:color="ED7D31" w:sz="8" w:space="0"/>
          <w:left w:val="nil"/>
          <w:bottom w:val="single" w:color="ED7D31" w:sz="8" w:space="0"/>
          <w:right w:val="nil"/>
        </w:tcBorders>
      </w:tcPr>
    </w:tblStylePr>
    <w:tblStylePr w:type="lastRow">
      <w:pPr>
        <w:spacing w:before="0" w:beforeAutospacing="0" w:after="0" w:afterAutospacing="0" w:line="240" w:lineRule="auto"/>
      </w:pPr>
      <w:rPr>
        <w:b/>
        <w:bCs/>
      </w:rPr>
      <w:tcPr>
        <w:tcBorders>
          <w:top w:val="single" w:color="ED7D31" w:sz="8" w:space="0"/>
          <w:left w:val="nil"/>
          <w:bottom w:val="single" w:color="ED7D31" w:sz="8" w:space="0"/>
          <w:right w:val="nil"/>
        </w:tcBorders>
      </w:tcPr>
    </w:tblStylePr>
    <w:tblStylePr w:type="firstCol">
      <w:rPr>
        <w:b/>
        <w:bCs/>
      </w:rPr>
    </w:tblStylePr>
    <w:tblStylePr w:type="lastCol">
      <w:rPr>
        <w:b/>
        <w:bCs/>
      </w:rPr>
    </w:tblStylePr>
    <w:tblStylePr w:type="band1Vert">
      <w:tcPr>
        <w:tcBorders>
          <w:left w:val="nil"/>
          <w:right w:val="nil"/>
        </w:tcBorders>
        <w:shd w:val="clear" w:color="auto" w:fill="FADECB"/>
      </w:tcPr>
    </w:tblStylePr>
    <w:tblStylePr w:type="band1Horz">
      <w:tcPr>
        <w:tcBorders>
          <w:left w:val="nil"/>
          <w:right w:val="nil"/>
        </w:tcBorders>
        <w:shd w:val="clear" w:color="auto" w:fill="FADECB"/>
      </w:tcPr>
    </w:tblStylePr>
  </w:style>
  <w:style w:type="table" w:customStyle="1" w:styleId="151">
    <w:name w:val="网格表 3 - 着色 21"/>
    <w:basedOn w:val="38"/>
    <w:qFormat/>
    <w:uiPriority w:val="0"/>
    <w:tblP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Pr>
    <w:tcPr>
      <w:tcBorders>
        <w:top w:val="single" w:color="BDD6EE" w:sz="4" w:space="0"/>
        <w:left w:val="single" w:color="BDD6EE" w:sz="4" w:space="0"/>
        <w:bottom w:val="single" w:color="BDD6EE" w:sz="4" w:space="0"/>
        <w:right w:val="single" w:color="BDD6EE" w:sz="4" w:space="0"/>
      </w:tcBorders>
    </w:tcPr>
    <w:tblStylePr w:type="firstRow">
      <w:rPr>
        <w:b/>
        <w:bCs/>
      </w:rPr>
      <w:tcPr>
        <w:tcBorders>
          <w:bottom w:val="single" w:color="9CC2E5" w:sz="12" w:space="0"/>
        </w:tcBorders>
      </w:tcPr>
    </w:tblStylePr>
    <w:tblStylePr w:type="lastRow">
      <w:rPr>
        <w:b/>
        <w:bCs/>
      </w:rPr>
      <w:tcPr>
        <w:tcBorders>
          <w:top w:val="double" w:color="9CC2E5" w:sz="2" w:space="0"/>
        </w:tcBorders>
      </w:tcPr>
    </w:tblStylePr>
    <w:tblStylePr w:type="firstCol">
      <w:rPr>
        <w:b/>
        <w:bCs/>
      </w:rPr>
    </w:tblStylePr>
    <w:tblStylePr w:type="lastCol">
      <w:rPr>
        <w:b/>
        <w:bCs/>
      </w:rPr>
    </w:tblStylePr>
  </w:style>
  <w:style w:type="table" w:customStyle="1" w:styleId="152">
    <w:name w:val="彩色列表 - 着色 11"/>
    <w:basedOn w:val="38"/>
    <w:qFormat/>
    <w:uiPriority w:val="0"/>
    <w:rPr>
      <w:sz w:val="28"/>
    </w:rPr>
    <w:tcPr>
      <w:shd w:val="clear" w:color="auto" w:fill="EEF5FB"/>
    </w:tcPr>
    <w:tblStylePr w:type="firstRow">
      <w:rPr>
        <w:b/>
        <w:bCs/>
        <w:color w:val="FFFFFF"/>
      </w:rPr>
      <w:tcPr>
        <w:tcBorders>
          <w:bottom w:val="single" w:color="FFFFFF" w:sz="12" w:space="0"/>
        </w:tcBorders>
        <w:shd w:val="clear" w:color="auto" w:fill="D25F12"/>
      </w:tcPr>
    </w:tblStylePr>
    <w:tblStylePr w:type="lastRow">
      <w:rPr>
        <w:b/>
        <w:bCs/>
        <w:color w:val="9E3A38"/>
      </w:rPr>
      <w:tcPr>
        <w:tcBorders>
          <w:top w:val="single" w:color="000000" w:sz="12" w:space="0"/>
        </w:tcBorders>
        <w:shd w:val="clear" w:color="auto" w:fill="FFFFFF"/>
      </w:tcPr>
    </w:tblStylePr>
    <w:tblStylePr w:type="firstCol">
      <w:rPr>
        <w:b/>
        <w:bCs/>
      </w:rPr>
    </w:tblStylePr>
    <w:tblStylePr w:type="lastCol">
      <w:rPr>
        <w:b/>
        <w:bCs/>
      </w:rPr>
    </w:tblStylePr>
    <w:tblStylePr w:type="band1Vert">
      <w:tcPr>
        <w:tcBorders>
          <w:top w:val="nil"/>
          <w:left w:val="nil"/>
          <w:bottom w:val="nil"/>
          <w:right w:val="nil"/>
        </w:tcBorders>
        <w:shd w:val="clear" w:color="auto" w:fill="D6E6F4"/>
      </w:tcPr>
    </w:tblStylePr>
    <w:tblStylePr w:type="band1Horz">
      <w:tcPr>
        <w:shd w:val="clear" w:color="auto" w:fill="DEEAF6"/>
      </w:tcPr>
    </w:tblStylePr>
  </w:style>
  <w:style w:type="table" w:customStyle="1" w:styleId="153">
    <w:name w:val="网格表 3 - 着色 61"/>
    <w:basedOn w:val="38"/>
    <w:qFormat/>
    <w:uiPriority w:val="0"/>
    <w:tblPr>
      <w:tblBorders>
        <w:top w:val="single" w:color="B4C6E7" w:sz="4" w:space="0"/>
        <w:left w:val="single" w:color="B4C6E7" w:sz="4" w:space="0"/>
        <w:bottom w:val="single" w:color="B4C6E7" w:sz="4" w:space="0"/>
        <w:right w:val="single" w:color="B4C6E7" w:sz="4" w:space="0"/>
        <w:insideH w:val="single" w:color="B4C6E7" w:sz="4" w:space="0"/>
        <w:insideV w:val="single" w:color="B4C6E7" w:sz="4" w:space="0"/>
      </w:tblBorders>
    </w:tblPr>
    <w:tcPr>
      <w:tcBorders>
        <w:top w:val="single" w:color="B4C6E7" w:sz="4" w:space="0"/>
        <w:left w:val="single" w:color="B4C6E7" w:sz="4" w:space="0"/>
        <w:bottom w:val="single" w:color="B4C6E7" w:sz="4" w:space="0"/>
        <w:right w:val="single" w:color="B4C6E7" w:sz="4" w:space="0"/>
      </w:tcBorders>
    </w:tcPr>
    <w:tblStylePr w:type="firstRow">
      <w:rPr>
        <w:b/>
        <w:bCs/>
      </w:rPr>
      <w:tcPr>
        <w:tcBorders>
          <w:bottom w:val="single" w:color="8EAADB" w:sz="12" w:space="0"/>
        </w:tcBorders>
      </w:tcPr>
    </w:tblStylePr>
    <w:tblStylePr w:type="lastRow">
      <w:rPr>
        <w:b/>
        <w:bCs/>
      </w:rPr>
      <w:tcPr>
        <w:tcBorders>
          <w:top w:val="double" w:color="8EAADB" w:sz="2" w:space="0"/>
        </w:tcBorders>
      </w:tcPr>
    </w:tblStylePr>
    <w:tblStylePr w:type="firstCol">
      <w:rPr>
        <w:b/>
        <w:bCs/>
      </w:rPr>
    </w:tblStylePr>
    <w:tblStylePr w:type="lastCol">
      <w:rPr>
        <w:b/>
        <w:bCs/>
      </w:rPr>
    </w:tblStylePr>
  </w:style>
  <w:style w:type="paragraph" w:customStyle="1" w:styleId="154">
    <w:name w:val="样式 仿宋_GB2312 行距: 1.5 倍行距"/>
    <w:basedOn w:val="1"/>
    <w:qFormat/>
    <w:uiPriority w:val="0"/>
    <w:rPr>
      <w:rFonts w:ascii="仿宋_GB2312" w:hAnsi="宋体" w:cs="宋体"/>
      <w:sz w:val="21"/>
      <w:szCs w:val="20"/>
    </w:rPr>
  </w:style>
  <w:style w:type="paragraph" w:customStyle="1" w:styleId="155">
    <w:name w:val="石墨文档正文"/>
    <w:qFormat/>
    <w:uiPriority w:val="0"/>
    <w:rPr>
      <w:rFonts w:ascii="微软雅黑" w:hAnsi="微软雅黑" w:eastAsia="微软雅黑" w:cs="微软雅黑"/>
      <w:sz w:val="22"/>
      <w:szCs w:val="22"/>
      <w:lang w:val="en-US" w:eastAsia="zh-CN" w:bidi="ar-SA"/>
    </w:rPr>
  </w:style>
  <w:style w:type="paragraph" w:customStyle="1" w:styleId="156">
    <w:name w:val="列表段落1"/>
    <w:basedOn w:val="1"/>
    <w:qFormat/>
    <w:uiPriority w:val="34"/>
    <w:pPr>
      <w:ind w:firstLine="420"/>
    </w:pPr>
  </w:style>
  <w:style w:type="paragraph" w:customStyle="1" w:styleId="157">
    <w:name w:val="BodyText1I2"/>
    <w:basedOn w:val="1"/>
    <w:qFormat/>
    <w:uiPriority w:val="0"/>
    <w:pPr>
      <w:spacing w:line="500" w:lineRule="exact"/>
      <w:ind w:firstLine="420"/>
    </w:pPr>
  </w:style>
  <w:style w:type="paragraph" w:customStyle="1" w:styleId="158">
    <w:name w:val="Block Label"/>
    <w:basedOn w:val="1"/>
    <w:next w:val="1"/>
    <w:qFormat/>
    <w:uiPriority w:val="0"/>
    <w:pPr>
      <w:keepNext/>
      <w:keepLines/>
      <w:widowControl/>
      <w:topLinePunct/>
      <w:adjustRightInd w:val="0"/>
      <w:snapToGrid w:val="0"/>
      <w:spacing w:before="300" w:after="80" w:line="240" w:lineRule="atLeast"/>
      <w:jc w:val="left"/>
    </w:pPr>
    <w:rPr>
      <w:rFonts w:hint="eastAsia" w:ascii="Book Antiqua" w:hAnsi="Book Antiqua" w:eastAsia="黑体" w:cs="Book Antiqua"/>
      <w:bCs/>
      <w:kern w:val="0"/>
      <w:sz w:val="26"/>
      <w:szCs w:val="26"/>
    </w:rPr>
  </w:style>
  <w:style w:type="paragraph" w:customStyle="1" w:styleId="159">
    <w:name w:val="Figure"/>
    <w:basedOn w:val="1"/>
    <w:next w:val="1"/>
    <w:link w:val="160"/>
    <w:qFormat/>
    <w:uiPriority w:val="0"/>
    <w:pPr>
      <w:keepNext/>
      <w:widowControl/>
      <w:topLinePunct/>
      <w:adjustRightInd w:val="0"/>
      <w:snapToGrid w:val="0"/>
      <w:spacing w:before="160" w:after="160" w:line="240" w:lineRule="atLeast"/>
      <w:ind w:left="1701"/>
      <w:jc w:val="left"/>
    </w:pPr>
    <w:rPr>
      <w:rFonts w:cs="Arial"/>
      <w:sz w:val="21"/>
      <w:szCs w:val="21"/>
    </w:rPr>
  </w:style>
  <w:style w:type="character" w:customStyle="1" w:styleId="160">
    <w:name w:val="Figure Char"/>
    <w:link w:val="159"/>
    <w:qFormat/>
    <w:uiPriority w:val="0"/>
    <w:rPr>
      <w:rFonts w:cs="Arial"/>
      <w:kern w:val="2"/>
      <w:sz w:val="21"/>
      <w:szCs w:val="21"/>
    </w:rPr>
  </w:style>
  <w:style w:type="paragraph" w:customStyle="1" w:styleId="161">
    <w:name w:val="Figure Description"/>
    <w:next w:val="159"/>
    <w:link w:val="162"/>
    <w:qFormat/>
    <w:uiPriority w:val="0"/>
    <w:pPr>
      <w:keepNext/>
      <w:adjustRightInd w:val="0"/>
      <w:snapToGrid w:val="0"/>
      <w:spacing w:before="320" w:after="80" w:line="240" w:lineRule="atLeast"/>
      <w:ind w:left="1701"/>
    </w:pPr>
    <w:rPr>
      <w:rFonts w:ascii="Times New Roman" w:hAnsi="Times New Roman" w:eastAsia="黑体" w:cs="Arial"/>
      <w:spacing w:val="-4"/>
      <w:kern w:val="2"/>
      <w:sz w:val="21"/>
      <w:szCs w:val="21"/>
      <w:lang w:val="en-US" w:eastAsia="zh-CN" w:bidi="ar-SA"/>
    </w:rPr>
  </w:style>
  <w:style w:type="character" w:customStyle="1" w:styleId="162">
    <w:name w:val="Figure Description Char"/>
    <w:link w:val="161"/>
    <w:qFormat/>
    <w:uiPriority w:val="0"/>
    <w:rPr>
      <w:rFonts w:eastAsia="黑体" w:cs="Arial"/>
      <w:spacing w:val="-4"/>
      <w:kern w:val="2"/>
      <w:sz w:val="21"/>
      <w:szCs w:val="21"/>
    </w:rPr>
  </w:style>
  <w:style w:type="paragraph" w:customStyle="1" w:styleId="163">
    <w:name w:val="Item List"/>
    <w:qFormat/>
    <w:uiPriority w:val="0"/>
    <w:pPr>
      <w:numPr>
        <w:ilvl w:val="0"/>
        <w:numId w:val="7"/>
      </w:numPr>
      <w:adjustRightInd w:val="0"/>
      <w:snapToGrid w:val="0"/>
      <w:spacing w:before="80" w:after="80" w:line="240" w:lineRule="atLeast"/>
    </w:pPr>
    <w:rPr>
      <w:rFonts w:hint="eastAsia" w:ascii="Times New Roman" w:hAnsi="Times New Roman" w:eastAsia="宋体" w:cs="Arial"/>
      <w:kern w:val="2"/>
      <w:sz w:val="21"/>
      <w:szCs w:val="21"/>
      <w:lang w:val="en-US" w:eastAsia="zh-CN" w:bidi="ar-SA"/>
    </w:rPr>
  </w:style>
  <w:style w:type="paragraph" w:customStyle="1" w:styleId="164">
    <w:name w:val="Notes Heading in Table"/>
    <w:next w:val="165"/>
    <w:qFormat/>
    <w:uiPriority w:val="0"/>
    <w:pPr>
      <w:keepNext/>
      <w:adjustRightInd w:val="0"/>
      <w:snapToGrid w:val="0"/>
      <w:spacing w:before="80" w:after="40" w:line="240" w:lineRule="atLeast"/>
    </w:pPr>
    <w:rPr>
      <w:rFonts w:ascii="Times New Roman" w:hAnsi="Times New Roman" w:eastAsia="黑体" w:cs="Arial"/>
      <w:bCs/>
      <w:kern w:val="2"/>
      <w:sz w:val="18"/>
      <w:szCs w:val="18"/>
      <w:lang w:val="en-US" w:eastAsia="zh-CN" w:bidi="ar-SA"/>
    </w:rPr>
  </w:style>
  <w:style w:type="paragraph" w:customStyle="1" w:styleId="165">
    <w:name w:val="Notes Text in Table"/>
    <w:qFormat/>
    <w:uiPriority w:val="0"/>
    <w:pPr>
      <w:widowControl w:val="0"/>
      <w:adjustRightInd w:val="0"/>
      <w:snapToGrid w:val="0"/>
      <w:spacing w:before="40" w:after="80" w:line="240" w:lineRule="atLeast"/>
      <w:ind w:left="170"/>
    </w:pPr>
    <w:rPr>
      <w:rFonts w:ascii="Times New Roman" w:hAnsi="Times New Roman" w:eastAsia="楷体_GB2312" w:cs="Arial"/>
      <w:iCs/>
      <w:kern w:val="2"/>
      <w:sz w:val="18"/>
      <w:szCs w:val="18"/>
      <w:lang w:val="en-US" w:eastAsia="zh-CN" w:bidi="ar-SA"/>
    </w:rPr>
  </w:style>
  <w:style w:type="paragraph" w:customStyle="1" w:styleId="166">
    <w:name w:val="Step"/>
    <w:basedOn w:val="1"/>
    <w:qFormat/>
    <w:uiPriority w:val="0"/>
    <w:pPr>
      <w:widowControl/>
      <w:tabs>
        <w:tab w:val="left" w:pos="1701"/>
      </w:tabs>
      <w:topLinePunct/>
      <w:adjustRightInd w:val="0"/>
      <w:snapToGrid w:val="0"/>
      <w:spacing w:before="160" w:after="160" w:line="240" w:lineRule="atLeast"/>
      <w:ind w:left="1701" w:hanging="159"/>
      <w:jc w:val="left"/>
    </w:pPr>
    <w:rPr>
      <w:rFonts w:hint="eastAsia" w:cs="Arial"/>
      <w:snapToGrid w:val="0"/>
      <w:kern w:val="0"/>
      <w:sz w:val="21"/>
      <w:szCs w:val="21"/>
    </w:rPr>
  </w:style>
  <w:style w:type="paragraph" w:customStyle="1" w:styleId="167">
    <w:name w:val="Table Description"/>
    <w:basedOn w:val="1"/>
    <w:next w:val="1"/>
    <w:qFormat/>
    <w:uiPriority w:val="0"/>
    <w:pPr>
      <w:keepNext/>
      <w:widowControl/>
      <w:topLinePunct/>
      <w:adjustRightInd w:val="0"/>
      <w:snapToGrid w:val="0"/>
      <w:spacing w:before="320" w:after="80" w:line="240" w:lineRule="atLeast"/>
      <w:ind w:left="1701"/>
      <w:jc w:val="left"/>
    </w:pPr>
    <w:rPr>
      <w:rFonts w:hint="eastAsia" w:eastAsia="黑体" w:cs="Arial"/>
      <w:spacing w:val="-4"/>
      <w:sz w:val="21"/>
      <w:szCs w:val="21"/>
    </w:rPr>
  </w:style>
  <w:style w:type="paragraph" w:customStyle="1" w:styleId="168">
    <w:name w:val="Table Heading"/>
    <w:basedOn w:val="1"/>
    <w:link w:val="169"/>
    <w:qFormat/>
    <w:uiPriority w:val="0"/>
    <w:pPr>
      <w:topLinePunct/>
      <w:adjustRightInd w:val="0"/>
      <w:snapToGrid w:val="0"/>
      <w:spacing w:before="80" w:after="80" w:line="240" w:lineRule="atLeast"/>
      <w:jc w:val="left"/>
    </w:pPr>
    <w:rPr>
      <w:rFonts w:ascii="Book Antiqua" w:hAnsi="Book Antiqua" w:eastAsia="黑体" w:cs="Book Antiqua"/>
      <w:bCs/>
      <w:snapToGrid w:val="0"/>
      <w:kern w:val="0"/>
      <w:sz w:val="21"/>
      <w:szCs w:val="21"/>
    </w:rPr>
  </w:style>
  <w:style w:type="character" w:customStyle="1" w:styleId="169">
    <w:name w:val="Table Heading Char"/>
    <w:link w:val="168"/>
    <w:qFormat/>
    <w:uiPriority w:val="0"/>
    <w:rPr>
      <w:rFonts w:ascii="Book Antiqua" w:hAnsi="Book Antiqua" w:eastAsia="黑体" w:cs="Book Antiqua"/>
      <w:bCs/>
      <w:snapToGrid w:val="0"/>
      <w:sz w:val="21"/>
      <w:szCs w:val="21"/>
    </w:rPr>
  </w:style>
  <w:style w:type="paragraph" w:customStyle="1" w:styleId="170">
    <w:name w:val="Table Text"/>
    <w:basedOn w:val="1"/>
    <w:link w:val="171"/>
    <w:qFormat/>
    <w:uiPriority w:val="0"/>
    <w:pPr>
      <w:topLinePunct/>
      <w:adjustRightInd w:val="0"/>
      <w:snapToGrid w:val="0"/>
      <w:spacing w:before="80" w:after="80" w:line="240" w:lineRule="atLeast"/>
      <w:jc w:val="left"/>
    </w:pPr>
    <w:rPr>
      <w:rFonts w:cs="Arial"/>
      <w:snapToGrid w:val="0"/>
      <w:kern w:val="0"/>
      <w:sz w:val="21"/>
      <w:szCs w:val="21"/>
    </w:rPr>
  </w:style>
  <w:style w:type="character" w:customStyle="1" w:styleId="171">
    <w:name w:val="Table Text Char"/>
    <w:link w:val="170"/>
    <w:qFormat/>
    <w:uiPriority w:val="0"/>
    <w:rPr>
      <w:rFonts w:cs="Arial"/>
      <w:snapToGrid w:val="0"/>
      <w:sz w:val="21"/>
      <w:szCs w:val="21"/>
    </w:rPr>
  </w:style>
  <w:style w:type="paragraph" w:customStyle="1" w:styleId="172">
    <w:name w:val="Item Step"/>
    <w:qFormat/>
    <w:uiPriority w:val="0"/>
    <w:pPr>
      <w:numPr>
        <w:ilvl w:val="0"/>
        <w:numId w:val="8"/>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73">
    <w:name w:val="Sub Item Step"/>
    <w:qFormat/>
    <w:uiPriority w:val="0"/>
    <w:pPr>
      <w:tabs>
        <w:tab w:val="left" w:pos="2551"/>
      </w:tabs>
      <w:adjustRightInd w:val="0"/>
      <w:snapToGrid w:val="0"/>
      <w:spacing w:before="80" w:after="80" w:line="240" w:lineRule="atLeast"/>
      <w:ind w:left="2551" w:hanging="425"/>
    </w:pPr>
    <w:rPr>
      <w:rFonts w:hint="eastAsia" w:ascii="Times New Roman" w:hAnsi="Times New Roman" w:eastAsia="宋体" w:cs="Arial"/>
      <w:sz w:val="21"/>
      <w:szCs w:val="21"/>
      <w:lang w:val="en-US" w:eastAsia="zh-CN" w:bidi="ar-SA"/>
    </w:rPr>
  </w:style>
  <w:style w:type="paragraph" w:customStyle="1" w:styleId="174">
    <w:name w:val="Third Level Item Step"/>
    <w:qFormat/>
    <w:uiPriority w:val="0"/>
    <w:pPr>
      <w:tabs>
        <w:tab w:val="left" w:pos="2976"/>
      </w:tabs>
      <w:adjustRightInd w:val="0"/>
      <w:snapToGrid w:val="0"/>
      <w:spacing w:before="80" w:after="80" w:line="240" w:lineRule="atLeast"/>
      <w:ind w:left="2976" w:hanging="425"/>
    </w:pPr>
    <w:rPr>
      <w:rFonts w:hint="eastAsia" w:ascii="Times New Roman" w:hAnsi="Times New Roman" w:eastAsia="宋体" w:cs="Arial"/>
      <w:sz w:val="21"/>
      <w:szCs w:val="21"/>
      <w:lang w:val="en-US" w:eastAsia="zh-CN" w:bidi="ar-SA"/>
    </w:rPr>
  </w:style>
  <w:style w:type="paragraph" w:customStyle="1" w:styleId="175">
    <w:name w:val="Fourth Level Item Step"/>
    <w:qFormat/>
    <w:uiPriority w:val="0"/>
    <w:pPr>
      <w:tabs>
        <w:tab w:val="left" w:pos="3401"/>
      </w:tabs>
      <w:adjustRightInd w:val="0"/>
      <w:snapToGrid w:val="0"/>
      <w:spacing w:before="80" w:after="80" w:line="240" w:lineRule="atLeast"/>
      <w:ind w:left="3401" w:hanging="425"/>
    </w:pPr>
    <w:rPr>
      <w:rFonts w:hint="eastAsia" w:ascii="Times New Roman" w:hAnsi="Times New Roman" w:eastAsia="宋体" w:cs="Arial"/>
      <w:sz w:val="21"/>
      <w:szCs w:val="21"/>
      <w:lang w:val="en-US" w:eastAsia="zh-CN" w:bidi="ar-SA"/>
    </w:rPr>
  </w:style>
  <w:style w:type="paragraph" w:customStyle="1" w:styleId="176">
    <w:name w:val="Item List in Table"/>
    <w:basedOn w:val="1"/>
    <w:qFormat/>
    <w:uiPriority w:val="0"/>
    <w:pPr>
      <w:widowControl/>
      <w:tabs>
        <w:tab w:val="left" w:pos="284"/>
      </w:tabs>
      <w:topLinePunct/>
      <w:adjustRightInd w:val="0"/>
      <w:snapToGrid w:val="0"/>
      <w:spacing w:before="80" w:after="80" w:line="240" w:lineRule="atLeast"/>
      <w:ind w:left="284" w:hanging="284"/>
      <w:jc w:val="left"/>
    </w:pPr>
    <w:rPr>
      <w:rFonts w:hint="eastAsia" w:cs="Arial"/>
      <w:kern w:val="0"/>
      <w:sz w:val="21"/>
      <w:szCs w:val="21"/>
    </w:rPr>
  </w:style>
  <w:style w:type="paragraph" w:customStyle="1" w:styleId="177">
    <w:name w:val="Sub Item List in Table"/>
    <w:basedOn w:val="1"/>
    <w:qFormat/>
    <w:uiPriority w:val="0"/>
    <w:pPr>
      <w:widowControl/>
      <w:tabs>
        <w:tab w:val="left" w:pos="568"/>
      </w:tabs>
      <w:topLinePunct/>
      <w:adjustRightInd w:val="0"/>
      <w:snapToGrid w:val="0"/>
      <w:spacing w:before="80" w:after="80" w:line="240" w:lineRule="atLeast"/>
      <w:ind w:left="568" w:hanging="284"/>
      <w:jc w:val="left"/>
    </w:pPr>
    <w:rPr>
      <w:rFonts w:hint="eastAsia" w:cs="Arial"/>
      <w:sz w:val="21"/>
      <w:szCs w:val="21"/>
    </w:rPr>
  </w:style>
  <w:style w:type="paragraph" w:customStyle="1" w:styleId="178">
    <w:name w:val="Sub Item Step in Table"/>
    <w:qFormat/>
    <w:uiPriority w:val="0"/>
    <w:pPr>
      <w:tabs>
        <w:tab w:val="left" w:pos="284"/>
      </w:tabs>
      <w:adjustRightInd w:val="0"/>
      <w:snapToGrid w:val="0"/>
      <w:spacing w:before="80" w:after="80" w:line="240" w:lineRule="atLeast"/>
      <w:ind w:left="568" w:hanging="284"/>
    </w:pPr>
    <w:rPr>
      <w:rFonts w:hint="eastAsia" w:ascii="Times New Roman" w:hAnsi="Times New Roman" w:eastAsia="宋体" w:cs="Arial"/>
      <w:sz w:val="21"/>
      <w:szCs w:val="21"/>
      <w:lang w:val="en-US" w:eastAsia="zh-CN" w:bidi="ar-SA"/>
    </w:rPr>
  </w:style>
  <w:style w:type="paragraph" w:customStyle="1" w:styleId="179">
    <w:name w:val="Sub Item Step in Table List"/>
    <w:qFormat/>
    <w:uiPriority w:val="0"/>
    <w:pPr>
      <w:numPr>
        <w:ilvl w:val="3"/>
        <w:numId w:val="9"/>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80">
    <w:name w:val="Sub Item List in Table Step"/>
    <w:basedOn w:val="1"/>
    <w:qFormat/>
    <w:uiPriority w:val="0"/>
    <w:pPr>
      <w:widowControl/>
      <w:tabs>
        <w:tab w:val="left" w:pos="568"/>
      </w:tabs>
      <w:topLinePunct/>
      <w:adjustRightInd w:val="0"/>
      <w:snapToGrid w:val="0"/>
      <w:spacing w:before="80" w:after="80" w:line="240" w:lineRule="atLeast"/>
      <w:ind w:left="568" w:hanging="284"/>
      <w:jc w:val="left"/>
    </w:pPr>
    <w:rPr>
      <w:rFonts w:hint="eastAsia" w:cs="Arial"/>
      <w:sz w:val="21"/>
      <w:szCs w:val="21"/>
    </w:rPr>
  </w:style>
  <w:style w:type="paragraph" w:customStyle="1" w:styleId="181">
    <w:name w:val="Item List Text"/>
    <w:link w:val="182"/>
    <w:qFormat/>
    <w:uiPriority w:val="0"/>
    <w:pPr>
      <w:adjustRightInd w:val="0"/>
      <w:snapToGrid w:val="0"/>
      <w:spacing w:before="80" w:after="80" w:line="240" w:lineRule="atLeast"/>
      <w:ind w:left="2126"/>
    </w:pPr>
    <w:rPr>
      <w:rFonts w:ascii="Times New Roman" w:hAnsi="Times New Roman" w:eastAsia="宋体" w:cs="Times New Roman"/>
      <w:kern w:val="2"/>
      <w:sz w:val="21"/>
      <w:szCs w:val="21"/>
      <w:lang w:val="en-US" w:eastAsia="zh-CN" w:bidi="ar-SA"/>
    </w:rPr>
  </w:style>
  <w:style w:type="character" w:customStyle="1" w:styleId="182">
    <w:name w:val="Item List Text Char"/>
    <w:link w:val="181"/>
    <w:qFormat/>
    <w:uiPriority w:val="0"/>
    <w:rPr>
      <w:kern w:val="2"/>
      <w:sz w:val="21"/>
      <w:szCs w:val="21"/>
    </w:rPr>
  </w:style>
  <w:style w:type="paragraph" w:customStyle="1" w:styleId="183">
    <w:name w:val="CAUTION Heading"/>
    <w:basedOn w:val="1"/>
    <w:qFormat/>
    <w:uiPriority w:val="0"/>
    <w:pPr>
      <w:keepNext/>
      <w:widowControl/>
      <w:pBdr>
        <w:top w:val="single" w:color="auto" w:sz="12" w:space="4"/>
      </w:pBdr>
      <w:topLinePunct/>
      <w:adjustRightInd w:val="0"/>
      <w:snapToGrid w:val="0"/>
      <w:spacing w:before="80" w:after="80" w:line="240" w:lineRule="atLeast"/>
      <w:ind w:left="1701"/>
      <w:jc w:val="left"/>
    </w:pPr>
    <w:rPr>
      <w:rFonts w:hint="eastAsia" w:ascii="Book Antiqua" w:hAnsi="Book Antiqua" w:eastAsia="黑体" w:cs="Arial"/>
      <w:bCs/>
      <w:sz w:val="21"/>
      <w:szCs w:val="21"/>
    </w:rPr>
  </w:style>
  <w:style w:type="paragraph" w:customStyle="1" w:styleId="184">
    <w:name w:val="CAUTION Text"/>
    <w:basedOn w:val="1"/>
    <w:qFormat/>
    <w:uiPriority w:val="0"/>
    <w:pPr>
      <w:keepLines/>
      <w:widowControl/>
      <w:pBdr>
        <w:bottom w:val="single" w:color="auto" w:sz="12" w:space="4"/>
      </w:pBdr>
      <w:topLinePunct/>
      <w:adjustRightInd w:val="0"/>
      <w:snapToGrid w:val="0"/>
      <w:spacing w:before="80" w:after="80" w:line="240" w:lineRule="atLeast"/>
      <w:ind w:left="1701"/>
      <w:jc w:val="left"/>
    </w:pPr>
    <w:rPr>
      <w:rFonts w:hint="eastAsia" w:eastAsia="楷体_GB2312" w:cs="Arial"/>
      <w:iCs/>
      <w:sz w:val="21"/>
      <w:szCs w:val="21"/>
    </w:rPr>
  </w:style>
  <w:style w:type="paragraph" w:customStyle="1" w:styleId="185">
    <w:name w:val="CAUTION Text List"/>
    <w:basedOn w:val="184"/>
    <w:qFormat/>
    <w:uiPriority w:val="0"/>
    <w:pPr>
      <w:keepNext/>
      <w:numPr>
        <w:ilvl w:val="0"/>
        <w:numId w:val="10"/>
      </w:numPr>
    </w:pPr>
  </w:style>
  <w:style w:type="paragraph" w:customStyle="1" w:styleId="186">
    <w:name w:val="CAUTION Text Step"/>
    <w:basedOn w:val="184"/>
    <w:qFormat/>
    <w:uiPriority w:val="0"/>
    <w:pPr>
      <w:keepNext/>
      <w:tabs>
        <w:tab w:val="left" w:pos="1985"/>
      </w:tabs>
      <w:ind w:left="1985" w:hanging="284"/>
    </w:pPr>
  </w:style>
  <w:style w:type="paragraph" w:customStyle="1" w:styleId="187">
    <w:name w:val="Notes Text Step in Table"/>
    <w:qFormat/>
    <w:uiPriority w:val="0"/>
    <w:pPr>
      <w:numPr>
        <w:ilvl w:val="7"/>
        <w:numId w:val="9"/>
      </w:numPr>
      <w:spacing w:before="40" w:after="80" w:line="200" w:lineRule="atLeast"/>
    </w:pPr>
    <w:rPr>
      <w:rFonts w:ascii="Times New Roman" w:hAnsi="Times New Roman" w:eastAsia="楷体_GB2312" w:cs="楷体_GB2312"/>
      <w:sz w:val="18"/>
      <w:szCs w:val="18"/>
      <w:lang w:val="en-US" w:eastAsia="zh-CN" w:bidi="ar-SA"/>
    </w:rPr>
  </w:style>
  <w:style w:type="paragraph" w:customStyle="1" w:styleId="188">
    <w:name w:val="Notes Heading"/>
    <w:basedOn w:val="183"/>
    <w:qFormat/>
    <w:uiPriority w:val="0"/>
    <w:pPr>
      <w:pBdr>
        <w:top w:val="none" w:color="auto" w:sz="0" w:space="0"/>
      </w:pBdr>
      <w:spacing w:after="40"/>
    </w:pPr>
    <w:rPr>
      <w:position w:val="-6"/>
      <w:sz w:val="18"/>
      <w:szCs w:val="18"/>
    </w:rPr>
  </w:style>
  <w:style w:type="paragraph" w:customStyle="1" w:styleId="189">
    <w:name w:val="Notes Text"/>
    <w:basedOn w:val="184"/>
    <w:qFormat/>
    <w:uiPriority w:val="0"/>
    <w:pPr>
      <w:pBdr>
        <w:bottom w:val="none" w:color="auto" w:sz="0" w:space="0"/>
      </w:pBdr>
      <w:spacing w:before="40" w:line="200" w:lineRule="atLeast"/>
      <w:ind w:left="2075"/>
    </w:pPr>
    <w:rPr>
      <w:sz w:val="18"/>
      <w:szCs w:val="18"/>
    </w:rPr>
  </w:style>
  <w:style w:type="paragraph" w:customStyle="1" w:styleId="190">
    <w:name w:val="Notes Text Step"/>
    <w:basedOn w:val="186"/>
    <w:qFormat/>
    <w:uiPriority w:val="0"/>
    <w:pPr>
      <w:pBdr>
        <w:bottom w:val="none" w:color="auto" w:sz="0" w:space="0"/>
      </w:pBdr>
      <w:spacing w:before="40" w:line="200" w:lineRule="atLeast"/>
    </w:pPr>
    <w:rPr>
      <w:sz w:val="18"/>
      <w:szCs w:val="18"/>
    </w:rPr>
  </w:style>
  <w:style w:type="paragraph" w:customStyle="1" w:styleId="191">
    <w:name w:val="Sub Item List"/>
    <w:basedOn w:val="1"/>
    <w:qFormat/>
    <w:uiPriority w:val="0"/>
    <w:pPr>
      <w:widowControl/>
      <w:tabs>
        <w:tab w:val="left" w:pos="2551"/>
      </w:tabs>
      <w:topLinePunct/>
      <w:adjustRightInd w:val="0"/>
      <w:snapToGrid w:val="0"/>
      <w:spacing w:before="80" w:after="80" w:line="240" w:lineRule="atLeast"/>
      <w:ind w:left="2551" w:hanging="425"/>
      <w:jc w:val="left"/>
    </w:pPr>
    <w:rPr>
      <w:rFonts w:hint="eastAsia" w:cs="Arial"/>
      <w:sz w:val="21"/>
      <w:szCs w:val="21"/>
    </w:rPr>
  </w:style>
  <w:style w:type="paragraph" w:customStyle="1" w:styleId="192">
    <w:name w:val="Third Level Item List"/>
    <w:basedOn w:val="1"/>
    <w:qFormat/>
    <w:uiPriority w:val="0"/>
    <w:pPr>
      <w:widowControl/>
      <w:numPr>
        <w:ilvl w:val="1"/>
        <w:numId w:val="11"/>
      </w:numPr>
      <w:topLinePunct/>
      <w:adjustRightInd w:val="0"/>
      <w:snapToGrid w:val="0"/>
      <w:spacing w:before="80" w:after="80" w:line="240" w:lineRule="atLeast"/>
      <w:jc w:val="left"/>
    </w:pPr>
    <w:rPr>
      <w:rFonts w:hint="eastAsia" w:cs="Arial"/>
      <w:sz w:val="21"/>
      <w:szCs w:val="21"/>
    </w:rPr>
  </w:style>
  <w:style w:type="paragraph" w:customStyle="1" w:styleId="193">
    <w:name w:val="Fourth Level Item List"/>
    <w:basedOn w:val="1"/>
    <w:qFormat/>
    <w:uiPriority w:val="0"/>
    <w:pPr>
      <w:widowControl/>
      <w:tabs>
        <w:tab w:val="left" w:pos="3401"/>
      </w:tabs>
      <w:topLinePunct/>
      <w:adjustRightInd w:val="0"/>
      <w:snapToGrid w:val="0"/>
      <w:spacing w:before="80" w:after="80" w:line="240" w:lineRule="atLeast"/>
      <w:ind w:left="3401" w:hanging="425"/>
      <w:jc w:val="left"/>
    </w:pPr>
    <w:rPr>
      <w:rFonts w:hint="eastAsia" w:cs="Arial"/>
      <w:sz w:val="21"/>
      <w:szCs w:val="21"/>
    </w:rPr>
  </w:style>
  <w:style w:type="paragraph" w:customStyle="1" w:styleId="194">
    <w:name w:val="msonormal"/>
    <w:basedOn w:val="1"/>
    <w:qFormat/>
    <w:uiPriority w:val="0"/>
    <w:pPr>
      <w:widowControl/>
      <w:spacing w:before="100" w:beforeAutospacing="1" w:after="100" w:afterAutospacing="1" w:line="240" w:lineRule="auto"/>
      <w:jc w:val="left"/>
    </w:pPr>
    <w:rPr>
      <w:rFonts w:ascii="宋体" w:hAnsi="宋体" w:cs="宋体"/>
      <w:kern w:val="0"/>
      <w:sz w:val="24"/>
    </w:rPr>
  </w:style>
  <w:style w:type="paragraph" w:customStyle="1" w:styleId="195">
    <w:name w:val="font5"/>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96">
    <w:name w:val="font6"/>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97">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等线" w:hAnsi="等线" w:eastAsia="等线" w:cs="宋体"/>
      <w:b/>
      <w:bCs/>
      <w:kern w:val="0"/>
      <w:szCs w:val="28"/>
    </w:rPr>
  </w:style>
  <w:style w:type="paragraph" w:customStyle="1" w:styleId="198">
    <w:name w:val="xl66"/>
    <w:basedOn w:val="1"/>
    <w:qFormat/>
    <w:uiPriority w:val="0"/>
    <w:pPr>
      <w:widowControl/>
      <w:spacing w:before="100" w:beforeAutospacing="1" w:after="100" w:afterAutospacing="1" w:line="240" w:lineRule="auto"/>
      <w:jc w:val="left"/>
    </w:pPr>
    <w:rPr>
      <w:rFonts w:ascii="等线" w:hAnsi="等线" w:eastAsia="等线" w:cs="宋体"/>
      <w:kern w:val="0"/>
      <w:sz w:val="24"/>
    </w:rPr>
  </w:style>
  <w:style w:type="paragraph" w:customStyle="1" w:styleId="199">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等线" w:hAnsi="等线" w:eastAsia="等线" w:cs="宋体"/>
      <w:kern w:val="0"/>
      <w:sz w:val="22"/>
      <w:szCs w:val="22"/>
    </w:rPr>
  </w:style>
  <w:style w:type="paragraph" w:customStyle="1" w:styleId="200">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等线" w:hAnsi="等线" w:eastAsia="等线" w:cs="宋体"/>
      <w:kern w:val="0"/>
      <w:sz w:val="22"/>
      <w:szCs w:val="22"/>
    </w:rPr>
  </w:style>
  <w:style w:type="paragraph" w:customStyle="1" w:styleId="201">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等线" w:hAnsi="等线" w:eastAsia="等线" w:cs="宋体"/>
      <w:kern w:val="0"/>
      <w:sz w:val="22"/>
      <w:szCs w:val="22"/>
    </w:rPr>
  </w:style>
  <w:style w:type="paragraph" w:customStyle="1" w:styleId="202">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等线" w:hAnsi="等线" w:eastAsia="等线" w:cs="宋体"/>
      <w:kern w:val="0"/>
      <w:sz w:val="22"/>
      <w:szCs w:val="22"/>
    </w:rPr>
  </w:style>
  <w:style w:type="paragraph" w:customStyle="1" w:styleId="203">
    <w:name w:val="xl71"/>
    <w:basedOn w:val="1"/>
    <w:qFormat/>
    <w:uiPriority w:val="0"/>
    <w:pPr>
      <w:widowControl/>
      <w:spacing w:before="100" w:beforeAutospacing="1" w:after="100" w:afterAutospacing="1" w:line="240" w:lineRule="auto"/>
      <w:jc w:val="left"/>
      <w:textAlignment w:val="center"/>
    </w:pPr>
    <w:rPr>
      <w:rFonts w:ascii="等线" w:hAnsi="等线" w:eastAsia="等线" w:cs="宋体"/>
      <w:kern w:val="0"/>
      <w:sz w:val="24"/>
    </w:rPr>
  </w:style>
  <w:style w:type="paragraph" w:customStyle="1" w:styleId="204">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等线" w:hAnsi="等线" w:eastAsia="等线" w:cs="宋体"/>
      <w:kern w:val="0"/>
      <w:sz w:val="22"/>
      <w:szCs w:val="22"/>
    </w:rPr>
  </w:style>
  <w:style w:type="paragraph" w:customStyle="1" w:styleId="205">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等线" w:hAnsi="等线" w:eastAsia="等线" w:cs="宋体"/>
      <w:kern w:val="0"/>
      <w:sz w:val="24"/>
    </w:rPr>
  </w:style>
  <w:style w:type="paragraph" w:customStyle="1" w:styleId="206">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等线" w:hAnsi="等线" w:eastAsia="等线" w:cs="宋体"/>
      <w:kern w:val="0"/>
      <w:sz w:val="22"/>
      <w:szCs w:val="22"/>
    </w:rPr>
  </w:style>
  <w:style w:type="paragraph" w:customStyle="1" w:styleId="207">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等线" w:hAnsi="等线" w:eastAsia="等线" w:cs="宋体"/>
      <w:b/>
      <w:bCs/>
      <w:kern w:val="0"/>
      <w:szCs w:val="28"/>
    </w:rPr>
  </w:style>
  <w:style w:type="paragraph" w:customStyle="1" w:styleId="208">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等线" w:hAnsi="等线" w:eastAsia="等线" w:cs="宋体"/>
      <w:kern w:val="0"/>
      <w:sz w:val="22"/>
      <w:szCs w:val="22"/>
    </w:rPr>
  </w:style>
  <w:style w:type="paragraph" w:customStyle="1" w:styleId="209">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等线" w:hAnsi="等线" w:eastAsia="等线" w:cs="宋体"/>
      <w:kern w:val="0"/>
      <w:sz w:val="22"/>
      <w:szCs w:val="22"/>
    </w:rPr>
  </w:style>
  <w:style w:type="paragraph" w:customStyle="1" w:styleId="210">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等线" w:hAnsi="等线" w:eastAsia="等线" w:cs="宋体"/>
      <w:kern w:val="0"/>
      <w:sz w:val="22"/>
      <w:szCs w:val="22"/>
    </w:rPr>
  </w:style>
  <w:style w:type="paragraph" w:customStyle="1" w:styleId="21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等线" w:hAnsi="等线" w:eastAsia="等线" w:cs="宋体"/>
      <w:kern w:val="0"/>
      <w:sz w:val="24"/>
    </w:rPr>
  </w:style>
  <w:style w:type="character" w:customStyle="1" w:styleId="212">
    <w:name w:val="未处理的提及4"/>
    <w:basedOn w:val="41"/>
    <w:semiHidden/>
    <w:unhideWhenUsed/>
    <w:qFormat/>
    <w:uiPriority w:val="99"/>
    <w:rPr>
      <w:color w:val="605E5C"/>
      <w:shd w:val="clear" w:color="auto" w:fill="E1DFDD"/>
    </w:rPr>
  </w:style>
  <w:style w:type="character" w:customStyle="1" w:styleId="213">
    <w:name w:val="Table Text Char1"/>
    <w:qFormat/>
    <w:uiPriority w:val="0"/>
    <w:rPr>
      <w:rFonts w:ascii="Arial" w:hAnsi="Arial" w:eastAsia="宋体" w:cs="Arial"/>
      <w:sz w:val="18"/>
      <w:szCs w:val="18"/>
    </w:rPr>
  </w:style>
  <w:style w:type="paragraph" w:customStyle="1" w:styleId="214">
    <w:name w:val="font0"/>
    <w:basedOn w:val="1"/>
    <w:qFormat/>
    <w:uiPriority w:val="0"/>
    <w:pPr>
      <w:widowControl/>
      <w:spacing w:before="100" w:beforeAutospacing="1" w:after="100" w:afterAutospacing="1" w:line="240" w:lineRule="auto"/>
      <w:jc w:val="left"/>
    </w:pPr>
    <w:rPr>
      <w:rFonts w:ascii="微软雅黑" w:hAnsi="微软雅黑" w:eastAsia="微软雅黑" w:cs="宋体"/>
      <w:b/>
      <w:bCs/>
      <w:color w:val="000000"/>
      <w:kern w:val="0"/>
      <w:sz w:val="24"/>
    </w:rPr>
  </w:style>
  <w:style w:type="paragraph" w:customStyle="1" w:styleId="215">
    <w:name w:val="font1"/>
    <w:basedOn w:val="1"/>
    <w:qFormat/>
    <w:uiPriority w:val="0"/>
    <w:pPr>
      <w:widowControl/>
      <w:spacing w:before="100" w:beforeAutospacing="1" w:after="100" w:afterAutospacing="1" w:line="240" w:lineRule="auto"/>
      <w:jc w:val="left"/>
    </w:pPr>
    <w:rPr>
      <w:rFonts w:ascii="微软雅黑 Light" w:hAnsi="微软雅黑 Light" w:eastAsia="微软雅黑 Light" w:cs="宋体"/>
      <w:color w:val="000000"/>
      <w:kern w:val="0"/>
      <w:sz w:val="22"/>
      <w:szCs w:val="22"/>
    </w:rPr>
  </w:style>
  <w:style w:type="paragraph" w:customStyle="1" w:styleId="216">
    <w:name w:val="font2"/>
    <w:basedOn w:val="1"/>
    <w:qFormat/>
    <w:uiPriority w:val="0"/>
    <w:pPr>
      <w:widowControl/>
      <w:spacing w:before="100" w:beforeAutospacing="1" w:after="100" w:afterAutospacing="1" w:line="240" w:lineRule="auto"/>
      <w:jc w:val="left"/>
    </w:pPr>
    <w:rPr>
      <w:rFonts w:ascii="微软雅黑 Light" w:hAnsi="微软雅黑 Light" w:eastAsia="微软雅黑 Light" w:cs="宋体"/>
      <w:color w:val="000000"/>
      <w:kern w:val="0"/>
      <w:sz w:val="24"/>
    </w:rPr>
  </w:style>
  <w:style w:type="paragraph" w:customStyle="1" w:styleId="217">
    <w:name w:val="font3"/>
    <w:basedOn w:val="1"/>
    <w:qFormat/>
    <w:uiPriority w:val="0"/>
    <w:pPr>
      <w:widowControl/>
      <w:spacing w:before="100" w:beforeAutospacing="1" w:after="100" w:afterAutospacing="1" w:line="240" w:lineRule="auto"/>
      <w:jc w:val="left"/>
    </w:pPr>
    <w:rPr>
      <w:rFonts w:ascii="微软雅黑 Light" w:hAnsi="微软雅黑 Light" w:eastAsia="微软雅黑 Light" w:cs="宋体"/>
      <w:color w:val="000000"/>
      <w:kern w:val="0"/>
      <w:sz w:val="24"/>
    </w:rPr>
  </w:style>
  <w:style w:type="paragraph" w:customStyle="1" w:styleId="218">
    <w:name w:val="font4"/>
    <w:basedOn w:val="1"/>
    <w:qFormat/>
    <w:uiPriority w:val="0"/>
    <w:pPr>
      <w:widowControl/>
      <w:spacing w:before="100" w:beforeAutospacing="1" w:after="100" w:afterAutospacing="1" w:line="240" w:lineRule="auto"/>
      <w:jc w:val="left"/>
    </w:pPr>
    <w:rPr>
      <w:rFonts w:ascii="微软雅黑" w:hAnsi="微软雅黑" w:eastAsia="微软雅黑" w:cs="宋体"/>
      <w:color w:val="000000"/>
      <w:kern w:val="0"/>
      <w:sz w:val="24"/>
    </w:rPr>
  </w:style>
  <w:style w:type="paragraph" w:customStyle="1" w:styleId="219">
    <w:name w:val="font7"/>
    <w:basedOn w:val="1"/>
    <w:qFormat/>
    <w:uiPriority w:val="0"/>
    <w:pPr>
      <w:widowControl/>
      <w:spacing w:before="100" w:beforeAutospacing="1" w:after="100" w:afterAutospacing="1" w:line="240" w:lineRule="auto"/>
      <w:jc w:val="left"/>
    </w:pPr>
    <w:rPr>
      <w:rFonts w:ascii="等线" w:hAnsi="等线" w:eastAsia="等线" w:cs="宋体"/>
      <w:color w:val="000000"/>
      <w:kern w:val="0"/>
      <w:sz w:val="22"/>
      <w:szCs w:val="22"/>
    </w:rPr>
  </w:style>
  <w:style w:type="paragraph" w:customStyle="1" w:styleId="220">
    <w:name w:val="et2"/>
    <w:basedOn w:val="1"/>
    <w:qFormat/>
    <w:uiPriority w:val="0"/>
    <w:pPr>
      <w:widowControl/>
      <w:spacing w:before="100" w:beforeAutospacing="1" w:after="100" w:afterAutospacing="1" w:line="240" w:lineRule="auto"/>
      <w:jc w:val="center"/>
      <w:textAlignment w:val="center"/>
    </w:pPr>
    <w:rPr>
      <w:rFonts w:ascii="宋体" w:hAnsi="宋体" w:cs="宋体"/>
      <w:kern w:val="0"/>
      <w:sz w:val="24"/>
    </w:rPr>
  </w:style>
  <w:style w:type="paragraph" w:customStyle="1" w:styleId="221">
    <w:name w:val="et3"/>
    <w:basedOn w:val="1"/>
    <w:uiPriority w:val="0"/>
    <w:pPr>
      <w:widowControl/>
      <w:spacing w:before="100" w:beforeAutospacing="1" w:after="100" w:afterAutospacing="1" w:line="240" w:lineRule="auto"/>
      <w:jc w:val="center"/>
      <w:textAlignment w:val="center"/>
    </w:pPr>
    <w:rPr>
      <w:rFonts w:ascii="宋体" w:hAnsi="宋体" w:cs="宋体"/>
      <w:kern w:val="0"/>
      <w:sz w:val="24"/>
    </w:rPr>
  </w:style>
  <w:style w:type="paragraph" w:customStyle="1" w:styleId="222">
    <w:name w:val="et4"/>
    <w:basedOn w:val="1"/>
    <w:qFormat/>
    <w:uiPriority w:val="0"/>
    <w:pPr>
      <w:widowControl/>
      <w:spacing w:before="100" w:beforeAutospacing="1" w:after="100" w:afterAutospacing="1" w:line="240" w:lineRule="auto"/>
      <w:jc w:val="left"/>
      <w:textAlignment w:val="center"/>
    </w:pPr>
    <w:rPr>
      <w:rFonts w:ascii="宋体" w:hAnsi="宋体" w:cs="宋体"/>
      <w:kern w:val="0"/>
      <w:sz w:val="24"/>
    </w:rPr>
  </w:style>
  <w:style w:type="paragraph" w:customStyle="1" w:styleId="223">
    <w:name w:val="et5"/>
    <w:basedOn w:val="1"/>
    <w:qFormat/>
    <w:uiPriority w:val="0"/>
    <w:pPr>
      <w:widowControl/>
      <w:spacing w:before="100" w:beforeAutospacing="1" w:after="100" w:afterAutospacing="1" w:line="240" w:lineRule="auto"/>
      <w:jc w:val="left"/>
      <w:textAlignment w:val="center"/>
    </w:pPr>
    <w:rPr>
      <w:rFonts w:ascii="宋体" w:hAnsi="宋体" w:cs="宋体"/>
      <w:kern w:val="0"/>
      <w:sz w:val="24"/>
    </w:rPr>
  </w:style>
  <w:style w:type="paragraph" w:customStyle="1" w:styleId="224">
    <w:name w:val="et6"/>
    <w:basedOn w:val="1"/>
    <w:uiPriority w:val="0"/>
    <w:pPr>
      <w:widowControl/>
      <w:spacing w:before="100" w:beforeAutospacing="1" w:after="100" w:afterAutospacing="1" w:line="240" w:lineRule="auto"/>
      <w:jc w:val="center"/>
      <w:textAlignment w:val="center"/>
    </w:pPr>
    <w:rPr>
      <w:rFonts w:ascii="宋体" w:hAnsi="宋体" w:cs="宋体"/>
      <w:kern w:val="0"/>
      <w:sz w:val="24"/>
    </w:rPr>
  </w:style>
  <w:style w:type="paragraph" w:customStyle="1" w:styleId="225">
    <w:name w:val="et7"/>
    <w:basedOn w:val="1"/>
    <w:qFormat/>
    <w:uiPriority w:val="0"/>
    <w:pPr>
      <w:widowControl/>
      <w:spacing w:before="100" w:beforeAutospacing="1" w:after="100" w:afterAutospacing="1" w:line="240" w:lineRule="auto"/>
      <w:jc w:val="center"/>
      <w:textAlignment w:val="center"/>
    </w:pPr>
    <w:rPr>
      <w:rFonts w:ascii="宋体" w:hAnsi="宋体" w:cs="宋体"/>
      <w:kern w:val="0"/>
      <w:sz w:val="24"/>
    </w:rPr>
  </w:style>
  <w:style w:type="paragraph" w:customStyle="1" w:styleId="226">
    <w:name w:val="et9"/>
    <w:basedOn w:val="1"/>
    <w:qFormat/>
    <w:uiPriority w:val="0"/>
    <w:pPr>
      <w:widowControl/>
      <w:pBdr>
        <w:top w:val="single" w:color="000000" w:sz="4" w:space="0"/>
        <w:left w:val="single" w:color="000000" w:sz="4" w:space="0"/>
        <w:bottom w:val="single" w:color="000000" w:sz="4" w:space="0"/>
        <w:right w:val="single" w:color="000000" w:sz="4" w:space="0"/>
      </w:pBdr>
      <w:shd w:val="clear" w:color="auto" w:fill="B4C6E7"/>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27">
    <w:name w:val="et10"/>
    <w:basedOn w:val="1"/>
    <w:uiPriority w:val="0"/>
    <w:pPr>
      <w:widowControl/>
      <w:pBdr>
        <w:top w:val="single" w:color="000000" w:sz="4" w:space="0"/>
        <w:left w:val="single" w:color="000000" w:sz="4" w:space="0"/>
        <w:bottom w:val="single" w:color="000000" w:sz="4" w:space="0"/>
        <w:right w:val="single" w:color="000000" w:sz="4" w:space="0"/>
      </w:pBdr>
      <w:shd w:val="clear" w:color="auto" w:fill="B4C6E7"/>
      <w:spacing w:before="100" w:beforeAutospacing="1" w:after="100" w:afterAutospacing="1" w:line="240" w:lineRule="auto"/>
      <w:jc w:val="left"/>
      <w:textAlignment w:val="center"/>
    </w:pPr>
    <w:rPr>
      <w:rFonts w:ascii="微软雅黑 Light" w:hAnsi="微软雅黑 Light" w:eastAsia="微软雅黑 Light" w:cs="宋体"/>
      <w:b/>
      <w:bCs/>
      <w:kern w:val="0"/>
      <w:sz w:val="24"/>
    </w:rPr>
  </w:style>
  <w:style w:type="paragraph" w:customStyle="1" w:styleId="228">
    <w:name w:val="et11"/>
    <w:basedOn w:val="1"/>
    <w:uiPriority w:val="0"/>
    <w:pPr>
      <w:widowControl/>
      <w:pBdr>
        <w:top w:val="single" w:color="000000" w:sz="4" w:space="0"/>
        <w:left w:val="single" w:color="000000" w:sz="4" w:space="0"/>
        <w:bottom w:val="single" w:color="000000" w:sz="4" w:space="0"/>
        <w:right w:val="single" w:color="000000" w:sz="4" w:space="0"/>
      </w:pBdr>
      <w:shd w:val="clear" w:color="auto" w:fill="B4C6E7"/>
      <w:spacing w:before="100" w:beforeAutospacing="1" w:after="100" w:afterAutospacing="1" w:line="240" w:lineRule="auto"/>
      <w:jc w:val="center"/>
      <w:textAlignment w:val="center"/>
    </w:pPr>
    <w:rPr>
      <w:rFonts w:ascii="微软雅黑" w:hAnsi="微软雅黑" w:eastAsia="微软雅黑" w:cs="宋体"/>
      <w:kern w:val="0"/>
      <w:sz w:val="24"/>
    </w:rPr>
  </w:style>
  <w:style w:type="paragraph" w:customStyle="1" w:styleId="229">
    <w:name w:val="et12"/>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30">
    <w:name w:val="et13"/>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31">
    <w:name w:val="et1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color w:val="000000"/>
      <w:kern w:val="0"/>
      <w:sz w:val="24"/>
    </w:rPr>
  </w:style>
  <w:style w:type="paragraph" w:customStyle="1" w:styleId="232">
    <w:name w:val="et1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33">
    <w:name w:val="et16"/>
    <w:basedOn w:val="1"/>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34">
    <w:name w:val="et17"/>
    <w:basedOn w:val="1"/>
    <w:qFormat/>
    <w:uiPriority w:val="0"/>
    <w:pPr>
      <w:widowControl/>
      <w:pBdr>
        <w:top w:val="single" w:color="000000" w:sz="4" w:space="0"/>
        <w:bottom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35">
    <w:name w:val="et18"/>
    <w:basedOn w:val="1"/>
    <w:qFormat/>
    <w:uiPriority w:val="0"/>
    <w:pPr>
      <w:widowControl/>
      <w:pBdr>
        <w:top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b/>
      <w:bCs/>
      <w:kern w:val="0"/>
      <w:sz w:val="24"/>
    </w:rPr>
  </w:style>
  <w:style w:type="paragraph" w:customStyle="1" w:styleId="236">
    <w:name w:val="et19"/>
    <w:basedOn w:val="1"/>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37">
    <w:name w:val="et20"/>
    <w:basedOn w:val="1"/>
    <w:qFormat/>
    <w:uiPriority w:val="0"/>
    <w:pPr>
      <w:widowControl/>
      <w:pBdr>
        <w:top w:val="single" w:color="000000" w:sz="4" w:space="0"/>
        <w:bottom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38">
    <w:name w:val="et2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39">
    <w:name w:val="et2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40">
    <w:name w:val="et25"/>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41">
    <w:name w:val="et26"/>
    <w:basedOn w:val="1"/>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42">
    <w:name w:val="et27"/>
    <w:basedOn w:val="1"/>
    <w:qFormat/>
    <w:uiPriority w:val="0"/>
    <w:pPr>
      <w:widowControl/>
      <w:pBdr>
        <w:top w:val="single" w:color="000000" w:sz="4" w:space="0"/>
        <w:left w:val="single" w:color="000000" w:sz="4" w:space="0"/>
        <w:bottom w:val="single" w:color="000000" w:sz="4" w:space="0"/>
      </w:pBdr>
      <w:shd w:val="clear" w:color="auto"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43">
    <w:name w:val="et28"/>
    <w:basedOn w:val="1"/>
    <w:qFormat/>
    <w:uiPriority w:val="0"/>
    <w:pPr>
      <w:widowControl/>
      <w:pBdr>
        <w:top w:val="single" w:color="000000" w:sz="4" w:space="0"/>
        <w:bottom w:val="single" w:color="000000" w:sz="4" w:space="0"/>
        <w:right w:val="single" w:color="000000" w:sz="4" w:space="0"/>
      </w:pBdr>
      <w:shd w:val="clear" w:color="auto"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44">
    <w:name w:val="et29"/>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45">
    <w:name w:val="et3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color w:val="000000"/>
      <w:kern w:val="0"/>
      <w:sz w:val="24"/>
    </w:rPr>
  </w:style>
  <w:style w:type="paragraph" w:customStyle="1" w:styleId="246">
    <w:name w:val="et33"/>
    <w:basedOn w:val="1"/>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47">
    <w:name w:val="et34"/>
    <w:basedOn w:val="1"/>
    <w:qFormat/>
    <w:uiPriority w:val="0"/>
    <w:pPr>
      <w:widowControl/>
      <w:pBdr>
        <w:left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48">
    <w:name w:val="et35"/>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49">
    <w:name w:val="et3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50">
    <w:name w:val="et37"/>
    <w:basedOn w:val="1"/>
    <w:qFormat/>
    <w:uiPriority w:val="0"/>
    <w:pPr>
      <w:widowControl/>
      <w:pBdr>
        <w:top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51">
    <w:name w:val="et43"/>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center"/>
      <w:textAlignment w:val="center"/>
    </w:pPr>
    <w:rPr>
      <w:rFonts w:ascii="宋体" w:hAnsi="宋体" w:cs="宋体"/>
      <w:kern w:val="0"/>
      <w:sz w:val="24"/>
    </w:rPr>
  </w:style>
  <w:style w:type="paragraph" w:customStyle="1" w:styleId="252">
    <w:name w:val="et44"/>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center"/>
      <w:textAlignment w:val="center"/>
    </w:pPr>
    <w:rPr>
      <w:rFonts w:ascii="微软雅黑 Light" w:hAnsi="微软雅黑 Light" w:eastAsia="微软雅黑 Light" w:cs="宋体"/>
      <w:color w:val="000000"/>
      <w:kern w:val="0"/>
      <w:sz w:val="24"/>
    </w:rPr>
  </w:style>
  <w:style w:type="paragraph" w:customStyle="1" w:styleId="253">
    <w:name w:val="et45"/>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left"/>
      <w:textAlignment w:val="center"/>
    </w:pPr>
    <w:rPr>
      <w:rFonts w:ascii="微软雅黑 Light" w:hAnsi="微软雅黑 Light" w:eastAsia="微软雅黑 Light" w:cs="宋体"/>
      <w:color w:val="000000"/>
      <w:kern w:val="0"/>
      <w:sz w:val="24"/>
    </w:rPr>
  </w:style>
  <w:style w:type="paragraph" w:customStyle="1" w:styleId="254">
    <w:name w:val="et46"/>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left"/>
      <w:textAlignment w:val="center"/>
    </w:pPr>
    <w:rPr>
      <w:rFonts w:ascii="微软雅黑 Light" w:hAnsi="微软雅黑 Light" w:eastAsia="微软雅黑 Light" w:cs="宋体"/>
      <w:color w:val="000000"/>
      <w:kern w:val="0"/>
      <w:sz w:val="24"/>
    </w:rPr>
  </w:style>
  <w:style w:type="paragraph" w:customStyle="1" w:styleId="255">
    <w:name w:val="et4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56">
    <w:name w:val="et48"/>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57">
    <w:name w:val="et4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b/>
      <w:bCs/>
      <w:kern w:val="0"/>
      <w:sz w:val="24"/>
    </w:rPr>
  </w:style>
  <w:style w:type="paragraph" w:customStyle="1" w:styleId="258">
    <w:name w:val="et5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59">
    <w:name w:val="et5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60">
    <w:name w:val="et52"/>
    <w:basedOn w:val="1"/>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61">
    <w:name w:val="et53"/>
    <w:basedOn w:val="1"/>
    <w:qFormat/>
    <w:uiPriority w:val="0"/>
    <w:pPr>
      <w:widowControl/>
      <w:pBdr>
        <w:top w:val="single" w:color="000000" w:sz="4" w:space="0"/>
        <w:bottom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62">
    <w:name w:val="et54"/>
    <w:basedOn w:val="1"/>
    <w:qFormat/>
    <w:uiPriority w:val="0"/>
    <w:pPr>
      <w:widowControl/>
      <w:pBdr>
        <w:top w:val="single" w:color="000000" w:sz="4" w:space="0"/>
        <w:bottom w:val="single" w:color="000000" w:sz="4" w:space="0"/>
        <w:right w:val="single" w:color="000000"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63">
    <w:name w:val="et5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64">
    <w:name w:val="et5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w:hAnsi="微软雅黑" w:eastAsia="微软雅黑" w:cs="宋体"/>
      <w:b/>
      <w:bCs/>
      <w:kern w:val="0"/>
      <w:sz w:val="24"/>
    </w:rPr>
  </w:style>
  <w:style w:type="paragraph" w:customStyle="1" w:styleId="265">
    <w:name w:val="et3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color w:val="000000"/>
      <w:kern w:val="0"/>
      <w:sz w:val="24"/>
    </w:rPr>
  </w:style>
  <w:style w:type="paragraph" w:customStyle="1" w:styleId="266">
    <w:name w:val="et31"/>
    <w:basedOn w:val="1"/>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67">
    <w:name w:val="et41"/>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center"/>
      <w:textAlignment w:val="center"/>
    </w:pPr>
    <w:rPr>
      <w:rFonts w:ascii="宋体" w:hAnsi="宋体" w:cs="宋体"/>
      <w:kern w:val="0"/>
      <w:sz w:val="24"/>
    </w:rPr>
  </w:style>
  <w:style w:type="paragraph" w:customStyle="1" w:styleId="268">
    <w:name w:val="et42"/>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240" w:lineRule="auto"/>
      <w:jc w:val="center"/>
      <w:textAlignment w:val="center"/>
    </w:pPr>
    <w:rPr>
      <w:rFonts w:ascii="微软雅黑 Light" w:hAnsi="微软雅黑 Light" w:eastAsia="微软雅黑 Light" w:cs="宋体"/>
      <w:color w:val="000000"/>
      <w:kern w:val="0"/>
      <w:sz w:val="24"/>
    </w:rPr>
  </w:style>
  <w:style w:type="character" w:customStyle="1" w:styleId="269">
    <w:name w:val="未处理的提及5"/>
    <w:basedOn w:val="41"/>
    <w:semiHidden/>
    <w:unhideWhenUsed/>
    <w:qFormat/>
    <w:uiPriority w:val="99"/>
    <w:rPr>
      <w:color w:val="605E5C"/>
      <w:shd w:val="clear" w:color="auto" w:fill="E1DFDD"/>
    </w:rPr>
  </w:style>
  <w:style w:type="paragraph" w:customStyle="1" w:styleId="270">
    <w:name w:val="修订2"/>
    <w:hidden/>
    <w:semiHidden/>
    <w:qFormat/>
    <w:uiPriority w:val="99"/>
    <w:rPr>
      <w:rFonts w:ascii="Times New Roman" w:hAnsi="Times New Roman" w:eastAsia="宋体" w:cs="Times New Roman"/>
      <w:kern w:val="2"/>
      <w:sz w:val="28"/>
      <w:szCs w:val="24"/>
      <w:lang w:val="en-US" w:eastAsia="zh-CN" w:bidi="ar-SA"/>
    </w:rPr>
  </w:style>
  <w:style w:type="paragraph" w:customStyle="1" w:styleId="271">
    <w:name w:val="样式 样式 首行缩进:  2 字符 Char + 黑色 Char"/>
    <w:basedOn w:val="1"/>
    <w:qFormat/>
    <w:uiPriority w:val="0"/>
    <w:pPr>
      <w:ind w:firstLine="420" w:firstLineChars="200"/>
      <w:jc w:val="left"/>
    </w:pPr>
    <w:rPr>
      <w:rFonts w:ascii="宋体" w:hAnsi="宋体"/>
      <w:color w:val="000000"/>
      <w:kern w:val="0"/>
      <w:sz w:val="21"/>
      <w:szCs w:val="21"/>
    </w:rPr>
  </w:style>
  <w:style w:type="paragraph" w:customStyle="1" w:styleId="272">
    <w:name w:val="修订3"/>
    <w:hidden/>
    <w:semiHidden/>
    <w:qFormat/>
    <w:uiPriority w:val="99"/>
    <w:rPr>
      <w:rFonts w:ascii="Times New Roman" w:hAnsi="Times New Roman" w:eastAsia="宋体" w:cs="Times New Roman"/>
      <w:kern w:val="2"/>
      <w:sz w:val="28"/>
      <w:szCs w:val="24"/>
      <w:lang w:val="en-US" w:eastAsia="zh-CN" w:bidi="ar-SA"/>
    </w:rPr>
  </w:style>
  <w:style w:type="paragraph" w:customStyle="1" w:styleId="273">
    <w:name w:val="xl8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left"/>
      <w:textAlignment w:val="center"/>
    </w:pPr>
    <w:rPr>
      <w:rFonts w:ascii="微软雅黑 Light" w:hAnsi="微软雅黑 Light" w:eastAsia="微软雅黑 Light" w:cs="宋体"/>
      <w:color w:val="000000"/>
      <w:kern w:val="0"/>
      <w:sz w:val="24"/>
    </w:rPr>
  </w:style>
  <w:style w:type="paragraph" w:customStyle="1" w:styleId="274">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left"/>
      <w:textAlignment w:val="center"/>
    </w:pPr>
    <w:rPr>
      <w:rFonts w:ascii="微软雅黑 Light" w:hAnsi="微软雅黑 Light" w:eastAsia="微软雅黑 Light" w:cs="宋体"/>
      <w:color w:val="000000"/>
      <w:kern w:val="0"/>
      <w:sz w:val="24"/>
    </w:rPr>
  </w:style>
  <w:style w:type="paragraph" w:customStyle="1" w:styleId="275">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76">
    <w:name w:val="xl83"/>
    <w:basedOn w:val="1"/>
    <w:qFormat/>
    <w:uiPriority w:val="0"/>
    <w:pPr>
      <w:widowControl/>
      <w:spacing w:before="100" w:beforeAutospacing="1" w:after="100" w:afterAutospacing="1" w:line="240" w:lineRule="auto"/>
      <w:jc w:val="center"/>
      <w:textAlignment w:val="center"/>
    </w:pPr>
    <w:rPr>
      <w:rFonts w:ascii="宋体" w:hAnsi="宋体" w:cs="宋体"/>
      <w:kern w:val="0"/>
      <w:sz w:val="24"/>
    </w:rPr>
  </w:style>
  <w:style w:type="paragraph" w:customStyle="1" w:styleId="277">
    <w:name w:val="xl84"/>
    <w:basedOn w:val="1"/>
    <w:qFormat/>
    <w:uiPriority w:val="0"/>
    <w:pPr>
      <w:widowControl/>
      <w:spacing w:before="100" w:beforeAutospacing="1" w:after="100" w:afterAutospacing="1" w:line="240" w:lineRule="auto"/>
      <w:jc w:val="center"/>
      <w:textAlignment w:val="center"/>
    </w:pPr>
    <w:rPr>
      <w:rFonts w:ascii="宋体" w:hAnsi="宋体" w:cs="宋体"/>
      <w:kern w:val="0"/>
      <w:sz w:val="24"/>
    </w:rPr>
  </w:style>
  <w:style w:type="paragraph" w:customStyle="1" w:styleId="278">
    <w:name w:val="xl85"/>
    <w:basedOn w:val="1"/>
    <w:qFormat/>
    <w:uiPriority w:val="0"/>
    <w:pPr>
      <w:widowControl/>
      <w:spacing w:before="100" w:beforeAutospacing="1" w:after="100" w:afterAutospacing="1" w:line="240" w:lineRule="auto"/>
      <w:jc w:val="left"/>
      <w:textAlignment w:val="center"/>
    </w:pPr>
    <w:rPr>
      <w:rFonts w:ascii="宋体" w:hAnsi="宋体" w:cs="宋体"/>
      <w:kern w:val="0"/>
      <w:sz w:val="24"/>
    </w:rPr>
  </w:style>
  <w:style w:type="paragraph" w:customStyle="1" w:styleId="279">
    <w:name w:val="xl86"/>
    <w:basedOn w:val="1"/>
    <w:qFormat/>
    <w:uiPriority w:val="0"/>
    <w:pPr>
      <w:widowControl/>
      <w:pBdr>
        <w:top w:val="single" w:color="auto" w:sz="4" w:space="0"/>
        <w:left w:val="single" w:color="auto" w:sz="4" w:space="0"/>
        <w:bottom w:val="single" w:color="auto" w:sz="4" w:space="0"/>
        <w:right w:val="single" w:color="auto" w:sz="4" w:space="0"/>
      </w:pBdr>
      <w:shd w:val="clear" w:color="000000" w:fill="B4C6E7"/>
      <w:spacing w:before="100" w:beforeAutospacing="1" w:after="100" w:afterAutospacing="1" w:line="240" w:lineRule="auto"/>
      <w:jc w:val="center"/>
      <w:textAlignment w:val="center"/>
    </w:pPr>
    <w:rPr>
      <w:rFonts w:ascii="微软雅黑" w:hAnsi="微软雅黑" w:eastAsia="微软雅黑" w:cs="宋体"/>
      <w:kern w:val="0"/>
      <w:sz w:val="24"/>
    </w:rPr>
  </w:style>
  <w:style w:type="paragraph" w:customStyle="1" w:styleId="280">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81">
    <w:name w:val="xl88"/>
    <w:basedOn w:val="1"/>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82">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283">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b/>
      <w:bCs/>
      <w:kern w:val="0"/>
      <w:sz w:val="24"/>
    </w:rPr>
  </w:style>
  <w:style w:type="paragraph" w:customStyle="1" w:styleId="284">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微软雅黑" w:hAnsi="微软雅黑" w:eastAsia="微软雅黑" w:cs="宋体"/>
      <w:b/>
      <w:bCs/>
      <w:kern w:val="0"/>
      <w:sz w:val="24"/>
    </w:rPr>
  </w:style>
  <w:style w:type="paragraph" w:customStyle="1" w:styleId="285">
    <w:name w:val="xl92"/>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center"/>
    </w:pPr>
    <w:rPr>
      <w:rFonts w:ascii="宋体" w:hAnsi="宋体" w:cs="宋体"/>
      <w:kern w:val="0"/>
      <w:sz w:val="24"/>
    </w:rPr>
  </w:style>
  <w:style w:type="paragraph" w:customStyle="1" w:styleId="286">
    <w:name w:val="xl93"/>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87">
    <w:name w:val="xl94"/>
    <w:basedOn w:val="1"/>
    <w:qFormat/>
    <w:uiPriority w:val="0"/>
    <w:pPr>
      <w:widowControl/>
      <w:pBdr>
        <w:top w:val="single" w:color="auto" w:sz="4" w:space="0"/>
        <w:bottom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88">
    <w:name w:val="xl9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89">
    <w:name w:val="xl96"/>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90">
    <w:name w:val="xl97"/>
    <w:basedOn w:val="1"/>
    <w:qFormat/>
    <w:uiPriority w:val="0"/>
    <w:pPr>
      <w:widowControl/>
      <w:pBdr>
        <w:top w:val="single" w:color="auto" w:sz="4" w:space="0"/>
        <w:bottom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91">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92">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93">
    <w:name w:val="xl100"/>
    <w:basedOn w:val="1"/>
    <w:qFormat/>
    <w:uiPriority w:val="0"/>
    <w:pPr>
      <w:widowControl/>
      <w:pBdr>
        <w:top w:val="single" w:color="auto" w:sz="4" w:space="0"/>
        <w:bottom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94">
    <w:name w:val="xl101"/>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295">
    <w:name w:val="xl102"/>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96">
    <w:name w:val="xl103"/>
    <w:basedOn w:val="1"/>
    <w:uiPriority w:val="0"/>
    <w:pPr>
      <w:widowControl/>
      <w:pBdr>
        <w:top w:val="single" w:color="auto" w:sz="4" w:space="0"/>
        <w:bottom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97">
    <w:name w:val="xl10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298">
    <w:name w:val="xl1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b/>
      <w:bCs/>
      <w:kern w:val="0"/>
      <w:sz w:val="24"/>
    </w:rPr>
  </w:style>
  <w:style w:type="paragraph" w:customStyle="1" w:styleId="299">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微软雅黑 Light" w:hAnsi="微软雅黑 Light" w:eastAsia="微软雅黑 Light" w:cs="宋体"/>
      <w:color w:val="000000"/>
      <w:kern w:val="0"/>
      <w:sz w:val="24"/>
    </w:rPr>
  </w:style>
  <w:style w:type="paragraph" w:customStyle="1" w:styleId="300">
    <w:name w:val="xl107"/>
    <w:basedOn w:val="1"/>
    <w:qFormat/>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301">
    <w:name w:val="xl108"/>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302">
    <w:name w:val="xl109"/>
    <w:basedOn w:val="1"/>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宋体" w:hAnsi="宋体" w:cs="宋体"/>
      <w:b/>
      <w:bCs/>
      <w:kern w:val="0"/>
      <w:sz w:val="32"/>
      <w:szCs w:val="32"/>
    </w:rPr>
  </w:style>
  <w:style w:type="paragraph" w:customStyle="1" w:styleId="303">
    <w:name w:val="xl110"/>
    <w:basedOn w:val="1"/>
    <w:qFormat/>
    <w:uiPriority w:val="0"/>
    <w:pPr>
      <w:widowControl/>
      <w:pBdr>
        <w:top w:val="single" w:color="auto" w:sz="4" w:space="0"/>
        <w:bottom w:val="single" w:color="auto" w:sz="4" w:space="0"/>
      </w:pBdr>
      <w:spacing w:before="100" w:beforeAutospacing="1" w:after="100" w:afterAutospacing="1" w:line="240" w:lineRule="auto"/>
      <w:jc w:val="center"/>
      <w:textAlignment w:val="center"/>
    </w:pPr>
    <w:rPr>
      <w:rFonts w:ascii="宋体" w:hAnsi="宋体" w:cs="宋体"/>
      <w:b/>
      <w:bCs/>
      <w:kern w:val="0"/>
      <w:sz w:val="32"/>
      <w:szCs w:val="32"/>
    </w:rPr>
  </w:style>
  <w:style w:type="paragraph" w:customStyle="1" w:styleId="304">
    <w:name w:val="xl111"/>
    <w:basedOn w:val="1"/>
    <w:qFormat/>
    <w:uiPriority w:val="0"/>
    <w:pPr>
      <w:widowControl/>
      <w:pBdr>
        <w:top w:val="single" w:color="auto" w:sz="4" w:space="0"/>
        <w:bottom w:val="single" w:color="auto" w:sz="4" w:space="0"/>
      </w:pBdr>
      <w:spacing w:before="100" w:beforeAutospacing="1" w:after="100" w:afterAutospacing="1" w:line="240" w:lineRule="auto"/>
      <w:jc w:val="center"/>
      <w:textAlignment w:val="center"/>
    </w:pPr>
    <w:rPr>
      <w:rFonts w:ascii="宋体" w:hAnsi="宋体" w:cs="宋体"/>
      <w:b/>
      <w:bCs/>
      <w:kern w:val="0"/>
      <w:sz w:val="32"/>
      <w:szCs w:val="32"/>
    </w:rPr>
  </w:style>
  <w:style w:type="paragraph" w:customStyle="1" w:styleId="305">
    <w:name w:val="xl112"/>
    <w:basedOn w:val="1"/>
    <w:qFormat/>
    <w:uiPriority w:val="0"/>
    <w:pPr>
      <w:widowControl/>
      <w:pBdr>
        <w:top w:val="single" w:color="auto" w:sz="4" w:space="0"/>
        <w:bottom w:val="single" w:color="auto" w:sz="4" w:space="0"/>
      </w:pBdr>
      <w:spacing w:before="100" w:beforeAutospacing="1" w:after="100" w:afterAutospacing="1" w:line="240" w:lineRule="auto"/>
      <w:jc w:val="left"/>
      <w:textAlignment w:val="center"/>
    </w:pPr>
    <w:rPr>
      <w:rFonts w:ascii="宋体" w:hAnsi="宋体" w:cs="宋体"/>
      <w:b/>
      <w:bCs/>
      <w:kern w:val="0"/>
      <w:sz w:val="32"/>
      <w:szCs w:val="32"/>
    </w:rPr>
  </w:style>
  <w:style w:type="paragraph" w:customStyle="1" w:styleId="306">
    <w:name w:val="xl113"/>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s="宋体"/>
      <w:b/>
      <w:bCs/>
      <w:kern w:val="0"/>
      <w:sz w:val="32"/>
      <w:szCs w:val="32"/>
    </w:rPr>
  </w:style>
  <w:style w:type="paragraph" w:customStyle="1" w:styleId="307">
    <w:name w:val="xl114"/>
    <w:basedOn w:val="1"/>
    <w:uiPriority w:val="0"/>
    <w:pPr>
      <w:widowControl/>
      <w:pBdr>
        <w:top w:val="single" w:color="auto" w:sz="4" w:space="0"/>
        <w:left w:val="single" w:color="auto" w:sz="4" w:space="0"/>
        <w:bottom w:val="single" w:color="auto" w:sz="4" w:space="0"/>
        <w:right w:val="single" w:color="auto" w:sz="4" w:space="0"/>
      </w:pBdr>
      <w:shd w:val="clear" w:color="000000" w:fill="B4C6E7"/>
      <w:spacing w:before="100" w:beforeAutospacing="1" w:after="100" w:afterAutospacing="1" w:line="240" w:lineRule="auto"/>
      <w:jc w:val="left"/>
      <w:textAlignment w:val="center"/>
    </w:pPr>
    <w:rPr>
      <w:rFonts w:ascii="微软雅黑 Light" w:hAnsi="微软雅黑 Light" w:eastAsia="微软雅黑 Light" w:cs="宋体"/>
      <w:b/>
      <w:bCs/>
      <w:kern w:val="0"/>
      <w:sz w:val="24"/>
    </w:rPr>
  </w:style>
  <w:style w:type="paragraph" w:customStyle="1" w:styleId="308">
    <w:name w:val="xl115"/>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left"/>
      <w:textAlignment w:val="center"/>
    </w:pPr>
    <w:rPr>
      <w:rFonts w:ascii="微软雅黑 Light" w:hAnsi="微软雅黑 Light" w:eastAsia="微软雅黑 Light" w:cs="宋体"/>
      <w:kern w:val="0"/>
      <w:sz w:val="24"/>
    </w:rPr>
  </w:style>
  <w:style w:type="paragraph" w:customStyle="1" w:styleId="309">
    <w:name w:val="xl11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b/>
      <w:bCs/>
      <w:kern w:val="0"/>
      <w:sz w:val="24"/>
    </w:rPr>
  </w:style>
  <w:style w:type="paragraph" w:customStyle="1" w:styleId="310">
    <w:name w:val="xl117"/>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center"/>
    </w:pPr>
    <w:rPr>
      <w:rFonts w:ascii="宋体" w:hAnsi="宋体" w:cs="宋体"/>
      <w:kern w:val="0"/>
      <w:sz w:val="24"/>
    </w:rPr>
  </w:style>
  <w:style w:type="paragraph" w:customStyle="1" w:styleId="311">
    <w:name w:val="xl1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微软雅黑 Light" w:hAnsi="微软雅黑 Light" w:eastAsia="微软雅黑 Light" w:cs="宋体"/>
      <w:kern w:val="0"/>
      <w:sz w:val="24"/>
    </w:rPr>
  </w:style>
  <w:style w:type="paragraph" w:customStyle="1" w:styleId="312">
    <w:name w:val="jx正文"/>
    <w:basedOn w:val="1"/>
    <w:qFormat/>
    <w:uiPriority w:val="0"/>
  </w:style>
  <w:style w:type="paragraph" w:customStyle="1" w:styleId="313">
    <w:name w:val="修订4"/>
    <w:hidden/>
    <w:semiHidden/>
    <w:uiPriority w:val="99"/>
    <w:rPr>
      <w:rFonts w:ascii="Times New Roman" w:hAnsi="Times New Roman" w:eastAsia="宋体" w:cs="Times New Roman"/>
      <w:kern w:val="2"/>
      <w:sz w:val="28"/>
      <w:szCs w:val="24"/>
      <w:lang w:val="en-US" w:eastAsia="zh-CN" w:bidi="ar-SA"/>
    </w:rPr>
  </w:style>
  <w:style w:type="character" w:customStyle="1" w:styleId="314">
    <w:name w:val="未处理的提及6"/>
    <w:basedOn w:val="41"/>
    <w:semiHidden/>
    <w:unhideWhenUsed/>
    <w:uiPriority w:val="99"/>
    <w:rPr>
      <w:color w:val="605E5C"/>
      <w:shd w:val="clear" w:color="auto" w:fill="E1DFDD"/>
    </w:rPr>
  </w:style>
  <w:style w:type="character" w:customStyle="1" w:styleId="315">
    <w:name w:val="未处理的提及7"/>
    <w:basedOn w:val="41"/>
    <w:semiHidden/>
    <w:unhideWhenUsed/>
    <w:uiPriority w:val="99"/>
    <w:rPr>
      <w:color w:val="605E5C"/>
      <w:shd w:val="clear" w:color="auto" w:fill="E1DFDD"/>
    </w:rPr>
  </w:style>
  <w:style w:type="character" w:customStyle="1" w:styleId="316">
    <w:name w:val="未处理的提及8"/>
    <w:basedOn w:val="41"/>
    <w:semiHidden/>
    <w:unhideWhenUsed/>
    <w:uiPriority w:val="99"/>
    <w:rPr>
      <w:color w:val="605E5C"/>
      <w:shd w:val="clear" w:color="auto" w:fill="E1DFDD"/>
    </w:rPr>
  </w:style>
  <w:style w:type="paragraph" w:customStyle="1" w:styleId="317">
    <w:name w:val="修订5"/>
    <w:hidden/>
    <w:semiHidden/>
    <w:uiPriority w:val="99"/>
    <w:rPr>
      <w:rFonts w:ascii="Times New Roman" w:hAnsi="Times New Roman" w:eastAsia="宋体" w:cs="Times New Roman"/>
      <w:kern w:val="2"/>
      <w:sz w:val="28"/>
      <w:szCs w:val="24"/>
      <w:lang w:val="en-US" w:eastAsia="zh-CN" w:bidi="ar-SA"/>
    </w:rPr>
  </w:style>
  <w:style w:type="character" w:customStyle="1" w:styleId="318">
    <w:name w:val="未处理的提及9"/>
    <w:basedOn w:val="41"/>
    <w:semiHidden/>
    <w:unhideWhenUsed/>
    <w:uiPriority w:val="99"/>
    <w:rPr>
      <w:color w:val="605E5C"/>
      <w:shd w:val="clear" w:color="auto" w:fill="E1DFDD"/>
    </w:rPr>
  </w:style>
  <w:style w:type="paragraph" w:customStyle="1" w:styleId="319">
    <w:name w:val="Revision"/>
    <w:hidden/>
    <w:semiHidden/>
    <w:uiPriority w:val="99"/>
    <w:rPr>
      <w:rFonts w:ascii="Times New Roman" w:hAnsi="Times New Roman" w:eastAsia="宋体" w:cs="Times New Roman"/>
      <w:kern w:val="2"/>
      <w:sz w:val="28"/>
      <w:szCs w:val="24"/>
      <w:lang w:val="en-US" w:eastAsia="zh-CN" w:bidi="ar-SA"/>
    </w:rPr>
  </w:style>
  <w:style w:type="paragraph" w:customStyle="1" w:styleId="320">
    <w:name w:val="et8"/>
    <w:basedOn w:val="1"/>
    <w:uiPriority w:val="0"/>
    <w:pPr>
      <w:widowControl/>
      <w:pBdr>
        <w:top w:val="single" w:color="000000" w:sz="4" w:space="0"/>
        <w:left w:val="single" w:color="000000" w:sz="4" w:space="0"/>
        <w:bottom w:val="single" w:color="000000" w:sz="4" w:space="0"/>
        <w:right w:val="single" w:color="000000" w:sz="4" w:space="0"/>
      </w:pBdr>
      <w:shd w:val="clear" w:color="auto" w:fill="B4C6E7"/>
      <w:spacing w:before="100" w:beforeAutospacing="1" w:after="100" w:afterAutospacing="1" w:line="240" w:lineRule="auto"/>
      <w:jc w:val="left"/>
      <w:textAlignment w:val="center"/>
    </w:pPr>
    <w:rPr>
      <w:rFonts w:ascii="宋体" w:hAnsi="宋体" w:cs="宋体"/>
      <w:b/>
      <w:bCs/>
      <w:color w:val="000000"/>
      <w:kern w:val="0"/>
      <w:sz w:val="24"/>
    </w:rPr>
  </w:style>
  <w:style w:type="character" w:customStyle="1" w:styleId="321">
    <w:name w:val="未处理的提及10"/>
    <w:basedOn w:val="41"/>
    <w:semiHidden/>
    <w:unhideWhenUsed/>
    <w:uiPriority w:val="99"/>
    <w:rPr>
      <w:color w:val="605E5C"/>
      <w:shd w:val="clear" w:color="auto" w:fill="E1DFDD"/>
    </w:rPr>
  </w:style>
  <w:style w:type="character" w:customStyle="1" w:styleId="322">
    <w:name w:val="未处理的提及11"/>
    <w:basedOn w:val="41"/>
    <w:semiHidden/>
    <w:unhideWhenUsed/>
    <w:uiPriority w:val="99"/>
    <w:rPr>
      <w:color w:val="605E5C"/>
      <w:shd w:val="clear" w:color="auto" w:fill="E1DFDD"/>
    </w:rPr>
  </w:style>
  <w:style w:type="paragraph" w:customStyle="1" w:styleId="323">
    <w:name w:val="5级"/>
    <w:basedOn w:val="7"/>
    <w:link w:val="324"/>
    <w:qFormat/>
    <w:uiPriority w:val="0"/>
    <w:rPr>
      <w:rFonts w:asciiTheme="minorEastAsia" w:hAnsiTheme="minorEastAsia" w:eastAsiaTheme="minorEastAsia"/>
    </w:rPr>
  </w:style>
  <w:style w:type="character" w:customStyle="1" w:styleId="324">
    <w:name w:val="5级 字符"/>
    <w:basedOn w:val="54"/>
    <w:link w:val="323"/>
    <w:uiPriority w:val="0"/>
    <w:rPr>
      <w:rFonts w:asciiTheme="minorEastAsia" w:hAnsiTheme="minorEastAsia" w:eastAsiaTheme="minorEastAsia"/>
      <w:kern w:val="2"/>
      <w:sz w:val="28"/>
      <w:szCs w:val="28"/>
    </w:rPr>
  </w:style>
  <w:style w:type="paragraph" w:customStyle="1" w:styleId="325">
    <w:name w:val="xl63"/>
    <w:basedOn w:val="1"/>
    <w:uiPriority w:val="0"/>
    <w:pPr>
      <w:widowControl/>
      <w:pBdr>
        <w:top w:val="single" w:color="000000" w:sz="8" w:space="0"/>
        <w:left w:val="single" w:color="000000" w:sz="8" w:space="0"/>
        <w:bottom w:val="single" w:color="000000" w:sz="8" w:space="0"/>
        <w:right w:val="single" w:color="000000" w:sz="8" w:space="0"/>
      </w:pBdr>
      <w:shd w:val="clear" w:color="000000" w:fill="B4C6E7"/>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326">
    <w:name w:val="xl64"/>
    <w:basedOn w:val="1"/>
    <w:uiPriority w:val="0"/>
    <w:pPr>
      <w:widowControl/>
      <w:pBdr>
        <w:top w:val="single" w:color="000000" w:sz="8" w:space="0"/>
        <w:bottom w:val="single" w:color="000000" w:sz="8" w:space="0"/>
        <w:right w:val="single" w:color="000000" w:sz="8" w:space="0"/>
      </w:pBdr>
      <w:shd w:val="clear" w:color="000000" w:fill="B4C6E7"/>
      <w:spacing w:before="100" w:beforeAutospacing="1" w:after="100" w:afterAutospacing="1" w:line="240" w:lineRule="auto"/>
      <w:jc w:val="center"/>
      <w:textAlignment w:val="center"/>
    </w:pPr>
    <w:rPr>
      <w:rFonts w:ascii="宋体" w:hAnsi="宋体" w:cs="宋体"/>
      <w:b/>
      <w:bCs/>
      <w:color w:val="000000"/>
      <w:kern w:val="0"/>
      <w:sz w:val="24"/>
    </w:rPr>
  </w:style>
  <w:style w:type="character" w:customStyle="1" w:styleId="327">
    <w:name w:val="未处理的提及12"/>
    <w:basedOn w:val="41"/>
    <w:semiHidden/>
    <w:unhideWhenUsed/>
    <w:uiPriority w:val="99"/>
    <w:rPr>
      <w:color w:val="605E5C"/>
      <w:shd w:val="clear" w:color="auto" w:fill="E1DFDD"/>
    </w:rPr>
  </w:style>
  <w:style w:type="character" w:customStyle="1" w:styleId="328">
    <w:name w:val="Unresolved Mention"/>
    <w:basedOn w:val="41"/>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sv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jpe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jpeg"/><Relationship Id="rId76" Type="http://schemas.openxmlformats.org/officeDocument/2006/relationships/image" Target="media/image69.png"/><Relationship Id="rId75" Type="http://schemas.openxmlformats.org/officeDocument/2006/relationships/image" Target="media/image68.emf"/><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png"/><Relationship Id="rId125" Type="http://schemas.openxmlformats.org/officeDocument/2006/relationships/fontTable" Target="fontTable.xml"/><Relationship Id="rId124" Type="http://schemas.openxmlformats.org/officeDocument/2006/relationships/customXml" Target="../customXml/item2.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jpe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8A796F-73DA-4B0D-A872-35C7EB134311}">
  <ds:schemaRefs/>
</ds:datastoreItem>
</file>

<file path=docProps/app.xml><?xml version="1.0" encoding="utf-8"?>
<Properties xmlns="http://schemas.openxmlformats.org/officeDocument/2006/extended-properties" xmlns:vt="http://schemas.openxmlformats.org/officeDocument/2006/docPropsVTypes">
  <Template>Normal.dotm</Template>
  <Pages>306</Pages>
  <Words>106781</Words>
  <Characters>119175</Characters>
  <Lines>249</Lines>
  <Paragraphs>273</Paragraphs>
  <TotalTime>4208</TotalTime>
  <ScaleCrop>false</ScaleCrop>
  <LinksUpToDate>false</LinksUpToDate>
  <CharactersWithSpaces>120872</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2022-06-07T01:46:00Z</dcterms:created>
  <dc:creator>user</dc:creator>
  <cp:lastModifiedBy>user</cp:lastModifiedBy>
  <cp:lastPrinted>2022-08-18T10:27:00Z</cp:lastPrinted>
  <dcterms:modified xsi:type="dcterms:W3CDTF">2022-11-28T13:22:23Z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76694884E60241BDA32BFFDAE49C35E3</vt:lpwstr>
  </property>
</Properties>
</file>