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CFD06">
      <w:pPr>
        <w:jc w:val="center"/>
        <w:rPr>
          <w:rFonts w:hint="eastAsia" w:ascii="宋体" w:hAnsi="宋体"/>
          <w:b/>
          <w:sz w:val="30"/>
          <w:szCs w:val="30"/>
          <w:lang w:val="en-US" w:eastAsia="zh-CN"/>
        </w:rPr>
      </w:pPr>
      <w:r>
        <w:rPr>
          <w:rFonts w:hint="eastAsia" w:ascii="宋体" w:hAnsi="宋体"/>
          <w:b/>
          <w:sz w:val="30"/>
          <w:szCs w:val="30"/>
          <w:lang w:val="en-US" w:eastAsia="zh-CN"/>
        </w:rPr>
        <w:t>象山校区山北生活区宿舍人文空间等公共区域提升改造</w:t>
      </w:r>
    </w:p>
    <w:p w14:paraId="1A6A8128">
      <w:pPr>
        <w:jc w:val="center"/>
        <w:rPr>
          <w:rFonts w:hint="eastAsia" w:ascii="宋体" w:hAnsi="宋体"/>
          <w:b/>
          <w:sz w:val="30"/>
          <w:szCs w:val="30"/>
        </w:rPr>
      </w:pPr>
      <w:r>
        <w:rPr>
          <w:rFonts w:hint="eastAsia" w:ascii="宋体" w:hAnsi="宋体"/>
          <w:b/>
          <w:sz w:val="30"/>
          <w:szCs w:val="30"/>
        </w:rPr>
        <w:t>工程量清单编制说明</w:t>
      </w:r>
    </w:p>
    <w:p w14:paraId="01B47466">
      <w:pPr>
        <w:spacing w:line="360" w:lineRule="auto"/>
        <w:ind w:firstLine="420"/>
        <w:rPr>
          <w:rFonts w:hint="eastAsia" w:ascii="宋体" w:hAnsi="宋体"/>
          <w:b/>
          <w:sz w:val="24"/>
          <w:szCs w:val="24"/>
        </w:rPr>
      </w:pPr>
    </w:p>
    <w:p w14:paraId="4BD9AD56">
      <w:pPr>
        <w:spacing w:line="360" w:lineRule="auto"/>
        <w:ind w:firstLine="420"/>
        <w:rPr>
          <w:rFonts w:hint="eastAsia" w:ascii="宋体" w:hAnsi="宋体"/>
          <w:b/>
          <w:sz w:val="24"/>
          <w:szCs w:val="24"/>
        </w:rPr>
      </w:pPr>
      <w:r>
        <w:rPr>
          <w:rFonts w:hint="eastAsia" w:ascii="宋体" w:hAnsi="宋体"/>
          <w:b/>
          <w:sz w:val="24"/>
          <w:szCs w:val="24"/>
        </w:rPr>
        <w:t>一、工程概况</w:t>
      </w:r>
    </w:p>
    <w:p w14:paraId="6522EC55">
      <w:pPr>
        <w:numPr>
          <w:ilvl w:val="0"/>
          <w:numId w:val="1"/>
        </w:numPr>
        <w:adjustRightInd w:val="0"/>
        <w:snapToGrid w:val="0"/>
        <w:spacing w:line="360" w:lineRule="auto"/>
        <w:ind w:firstLine="480" w:firstLineChars="200"/>
        <w:jc w:val="left"/>
        <w:rPr>
          <w:rFonts w:hint="eastAsia" w:ascii="宋体" w:hAnsi="宋体" w:cs="宋体"/>
          <w:bCs/>
          <w:sz w:val="24"/>
          <w:szCs w:val="24"/>
        </w:rPr>
      </w:pPr>
      <w:r>
        <w:rPr>
          <w:rFonts w:hint="eastAsia" w:ascii="宋体" w:hAnsi="宋体" w:cs="宋体"/>
          <w:bCs/>
          <w:sz w:val="24"/>
          <w:szCs w:val="24"/>
        </w:rPr>
        <w:t>工程名称：</w:t>
      </w:r>
      <w:r>
        <w:rPr>
          <w:rFonts w:hint="eastAsia" w:ascii="宋体" w:hAnsi="宋体" w:cs="宋体"/>
          <w:bCs/>
          <w:sz w:val="24"/>
          <w:szCs w:val="24"/>
          <w:lang w:val="en-US" w:eastAsia="zh-CN"/>
        </w:rPr>
        <w:t>象山校区山北生活区宿舍人文空间等公共区域提升改造。</w:t>
      </w:r>
    </w:p>
    <w:p w14:paraId="188EBF01">
      <w:pPr>
        <w:numPr>
          <w:ilvl w:val="0"/>
          <w:numId w:val="1"/>
        </w:num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bCs/>
          <w:sz w:val="24"/>
          <w:szCs w:val="24"/>
        </w:rPr>
        <w:t>工程地点：</w:t>
      </w:r>
      <w:r>
        <w:rPr>
          <w:rFonts w:hint="eastAsia" w:ascii="宋体" w:hAnsi="宋体" w:eastAsia="宋体" w:cs="宋体"/>
          <w:sz w:val="24"/>
          <w:szCs w:val="24"/>
        </w:rPr>
        <w:t>杭州市西</w:t>
      </w:r>
      <w:r>
        <w:rPr>
          <w:rFonts w:hint="eastAsia" w:ascii="宋体" w:hAnsi="宋体" w:eastAsia="宋体" w:cs="宋体"/>
          <w:sz w:val="24"/>
          <w:szCs w:val="24"/>
          <w:highlight w:val="none"/>
          <w:lang w:val="en-US" w:eastAsia="zh-CN"/>
        </w:rPr>
        <w:t>湖区转塘街道中国美术学院</w:t>
      </w:r>
      <w:r>
        <w:rPr>
          <w:rFonts w:hint="eastAsia" w:ascii="宋体" w:hAnsi="宋体" w:cs="宋体"/>
          <w:sz w:val="24"/>
          <w:szCs w:val="24"/>
          <w:highlight w:val="none"/>
          <w:lang w:val="en-US" w:eastAsia="zh-CN"/>
        </w:rPr>
        <w:t>象山校区山北生活区21号楼</w:t>
      </w:r>
      <w:r>
        <w:rPr>
          <w:rFonts w:hint="eastAsia" w:ascii="宋体" w:hAnsi="宋体" w:eastAsia="宋体" w:cs="宋体"/>
          <w:sz w:val="24"/>
          <w:szCs w:val="24"/>
          <w:lang w:eastAsia="zh-CN"/>
        </w:rPr>
        <w:t>。</w:t>
      </w:r>
    </w:p>
    <w:p w14:paraId="4F736630">
      <w:pPr>
        <w:numPr>
          <w:ilvl w:val="0"/>
          <w:numId w:val="1"/>
        </w:num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bCs/>
          <w:sz w:val="24"/>
          <w:szCs w:val="24"/>
        </w:rPr>
        <w:t>工程规模特征：</w:t>
      </w:r>
      <w:r>
        <w:rPr>
          <w:rFonts w:hint="eastAsia" w:ascii="宋体" w:hAnsi="宋体" w:cs="宋体"/>
          <w:sz w:val="24"/>
          <w:szCs w:val="24"/>
          <w:lang w:val="en-US" w:eastAsia="zh-CN"/>
        </w:rPr>
        <w:t>21#A楼2层阅览区、卫生间、连廊阅读区、</w:t>
      </w:r>
      <w:r>
        <w:rPr>
          <w:rFonts w:hint="eastAsia" w:ascii="宋体" w:hAnsi="宋体" w:eastAsia="宋体" w:cs="宋体"/>
          <w:sz w:val="24"/>
          <w:szCs w:val="24"/>
          <w:lang w:val="en-US" w:eastAsia="zh-CN"/>
        </w:rPr>
        <w:t>屋面维修</w:t>
      </w:r>
      <w:r>
        <w:rPr>
          <w:rFonts w:hint="eastAsia" w:ascii="宋体" w:hAnsi="宋体" w:cs="宋体"/>
          <w:sz w:val="24"/>
          <w:szCs w:val="24"/>
          <w:lang w:val="en-US" w:eastAsia="zh-CN"/>
        </w:rPr>
        <w:t>等</w:t>
      </w:r>
      <w:r>
        <w:rPr>
          <w:rFonts w:hint="eastAsia" w:ascii="宋体" w:hAnsi="宋体" w:eastAsia="宋体" w:cs="宋体"/>
          <w:sz w:val="24"/>
          <w:szCs w:val="24"/>
          <w:lang w:val="en-US" w:eastAsia="zh-CN"/>
        </w:rPr>
        <w:t>。</w:t>
      </w:r>
    </w:p>
    <w:p w14:paraId="58F10AC7">
      <w:pPr>
        <w:spacing w:line="360" w:lineRule="auto"/>
        <w:ind w:firstLine="420"/>
        <w:rPr>
          <w:rFonts w:hint="eastAsia" w:ascii="宋体" w:hAnsi="宋体"/>
          <w:b/>
          <w:sz w:val="24"/>
          <w:szCs w:val="24"/>
        </w:rPr>
      </w:pPr>
      <w:r>
        <w:rPr>
          <w:rFonts w:ascii="宋体" w:hAnsi="宋体"/>
          <w:b/>
          <w:sz w:val="24"/>
          <w:szCs w:val="24"/>
        </w:rPr>
        <w:t>二、</w:t>
      </w:r>
      <w:r>
        <w:rPr>
          <w:rFonts w:hint="eastAsia" w:ascii="宋体" w:hAnsi="宋体"/>
          <w:b/>
          <w:sz w:val="24"/>
          <w:szCs w:val="24"/>
        </w:rPr>
        <w:t>招标</w:t>
      </w:r>
      <w:r>
        <w:rPr>
          <w:rFonts w:ascii="宋体" w:hAnsi="宋体"/>
          <w:b/>
          <w:sz w:val="24"/>
          <w:szCs w:val="24"/>
        </w:rPr>
        <w:t>范围</w:t>
      </w:r>
    </w:p>
    <w:p w14:paraId="5BF83852">
      <w:pPr>
        <w:spacing w:line="360" w:lineRule="auto"/>
        <w:ind w:firstLine="460" w:firstLineChars="192"/>
        <w:rPr>
          <w:rFonts w:hint="eastAsia" w:ascii="宋体" w:hAnsi="宋体" w:cs="宋体"/>
          <w:sz w:val="24"/>
          <w:szCs w:val="24"/>
        </w:rPr>
      </w:pPr>
      <w:r>
        <w:rPr>
          <w:rFonts w:hint="eastAsia" w:ascii="宋体" w:hAnsi="宋体" w:cs="宋体"/>
          <w:sz w:val="24"/>
          <w:szCs w:val="24"/>
        </w:rPr>
        <w:t>本次招标的实</w:t>
      </w:r>
      <w:r>
        <w:rPr>
          <w:rFonts w:hint="eastAsia" w:ascii="宋体" w:hAnsi="宋体" w:eastAsia="宋体" w:cs="宋体"/>
          <w:sz w:val="24"/>
          <w:szCs w:val="24"/>
        </w:rPr>
        <w:t>行</w:t>
      </w:r>
      <w:r>
        <w:rPr>
          <w:rFonts w:hint="eastAsia" w:ascii="宋体" w:hAnsi="宋体" w:eastAsia="宋体" w:cs="宋体"/>
          <w:sz w:val="24"/>
          <w:szCs w:val="24"/>
          <w:highlight w:val="none"/>
        </w:rPr>
        <w:t>施工总承包</w:t>
      </w:r>
      <w:r>
        <w:rPr>
          <w:rFonts w:hint="eastAsia" w:ascii="宋体" w:hAnsi="宋体" w:eastAsia="宋体" w:cs="宋体"/>
          <w:sz w:val="24"/>
          <w:szCs w:val="24"/>
        </w:rPr>
        <w:t>，主</w:t>
      </w:r>
      <w:r>
        <w:rPr>
          <w:rFonts w:hint="eastAsia" w:ascii="宋体" w:hAnsi="宋体" w:cs="宋体"/>
          <w:sz w:val="24"/>
          <w:szCs w:val="24"/>
        </w:rPr>
        <w:t>要包括以下内容：装饰</w:t>
      </w:r>
      <w:r>
        <w:rPr>
          <w:rFonts w:hint="eastAsia" w:ascii="宋体" w:hAnsi="宋体" w:cs="宋体"/>
          <w:sz w:val="24"/>
          <w:szCs w:val="24"/>
          <w:lang w:val="en-US" w:eastAsia="zh-CN"/>
        </w:rPr>
        <w:t>改造</w:t>
      </w:r>
      <w:r>
        <w:rPr>
          <w:rFonts w:hint="eastAsia" w:ascii="宋体" w:hAnsi="宋体" w:cs="宋体"/>
          <w:sz w:val="24"/>
          <w:szCs w:val="24"/>
          <w:lang w:eastAsia="zh-CN"/>
        </w:rPr>
        <w:t>、</w:t>
      </w:r>
      <w:r>
        <w:rPr>
          <w:rFonts w:hint="eastAsia" w:ascii="宋体" w:hAnsi="宋体" w:cs="宋体"/>
          <w:sz w:val="24"/>
          <w:szCs w:val="24"/>
          <w:lang w:val="en-US" w:eastAsia="zh-CN"/>
        </w:rPr>
        <w:t>水电改造、</w:t>
      </w:r>
      <w:r>
        <w:rPr>
          <w:rFonts w:hint="eastAsia" w:ascii="宋体" w:hAnsi="宋体" w:cs="宋体"/>
          <w:sz w:val="24"/>
          <w:szCs w:val="24"/>
          <w:highlight w:val="none"/>
          <w:lang w:val="en-US" w:eastAsia="zh-CN"/>
        </w:rPr>
        <w:t>消防改造</w:t>
      </w:r>
      <w:r>
        <w:rPr>
          <w:rFonts w:hint="eastAsia" w:ascii="宋体" w:hAnsi="宋体" w:cs="宋体"/>
          <w:sz w:val="24"/>
          <w:szCs w:val="24"/>
        </w:rPr>
        <w:t>等，具体详见施工图纸及工程量清单。</w:t>
      </w:r>
    </w:p>
    <w:p w14:paraId="3DFCC4FD">
      <w:pPr>
        <w:spacing w:line="360" w:lineRule="auto"/>
        <w:ind w:firstLine="420"/>
        <w:rPr>
          <w:rFonts w:ascii="宋体" w:hAnsi="宋体"/>
          <w:b/>
          <w:sz w:val="24"/>
          <w:szCs w:val="24"/>
        </w:rPr>
      </w:pPr>
      <w:r>
        <w:rPr>
          <w:rFonts w:hint="eastAsia" w:ascii="宋体" w:hAnsi="宋体"/>
          <w:b/>
          <w:sz w:val="24"/>
          <w:szCs w:val="24"/>
        </w:rPr>
        <w:t>三、</w:t>
      </w:r>
      <w:r>
        <w:rPr>
          <w:rFonts w:hint="eastAsia" w:ascii="宋体" w:hAnsi="宋体" w:cs="宋体"/>
          <w:b/>
          <w:bCs/>
          <w:color w:val="000000"/>
          <w:sz w:val="24"/>
          <w:szCs w:val="24"/>
        </w:rPr>
        <w:t>工程质量、工期、材料、施工等要求：</w:t>
      </w:r>
    </w:p>
    <w:p w14:paraId="73695409">
      <w:pPr>
        <w:tabs>
          <w:tab w:val="left" w:pos="3060"/>
          <w:tab w:val="left" w:pos="9180"/>
          <w:tab w:val="left" w:pos="9360"/>
        </w:tabs>
        <w:spacing w:line="360" w:lineRule="auto"/>
        <w:ind w:right="359" w:rightChars="171" w:firstLine="480" w:firstLineChars="200"/>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rPr>
        <w:t>1、工程质量：根据招标文件要求</w:t>
      </w:r>
      <w:r>
        <w:rPr>
          <w:rFonts w:hint="eastAsia" w:ascii="宋体" w:hAnsi="宋体" w:cs="宋体"/>
          <w:color w:val="000000"/>
          <w:kern w:val="0"/>
          <w:sz w:val="24"/>
          <w:szCs w:val="24"/>
          <w:lang w:eastAsia="zh-CN"/>
        </w:rPr>
        <w:t>。</w:t>
      </w:r>
    </w:p>
    <w:p w14:paraId="6CDB59CF">
      <w:pPr>
        <w:tabs>
          <w:tab w:val="left" w:pos="3060"/>
          <w:tab w:val="left" w:pos="9180"/>
          <w:tab w:val="left" w:pos="9360"/>
        </w:tabs>
        <w:spacing w:line="360" w:lineRule="auto"/>
        <w:ind w:right="359" w:rightChars="171" w:firstLine="480" w:firstLineChars="200"/>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rPr>
        <w:t>2、工期：根据招标文件要求</w:t>
      </w:r>
      <w:r>
        <w:rPr>
          <w:rFonts w:hint="eastAsia" w:ascii="宋体" w:hAnsi="宋体" w:cs="宋体"/>
          <w:color w:val="000000"/>
          <w:kern w:val="0"/>
          <w:sz w:val="24"/>
          <w:szCs w:val="24"/>
          <w:lang w:eastAsia="zh-CN"/>
        </w:rPr>
        <w:t>。</w:t>
      </w:r>
    </w:p>
    <w:p w14:paraId="301673D9">
      <w:pPr>
        <w:tabs>
          <w:tab w:val="left" w:pos="3060"/>
          <w:tab w:val="left" w:pos="9180"/>
          <w:tab w:val="left" w:pos="9360"/>
        </w:tabs>
        <w:spacing w:line="360" w:lineRule="auto"/>
        <w:ind w:right="359" w:rightChars="171" w:firstLine="480" w:firstLineChars="200"/>
        <w:rPr>
          <w:rFonts w:hint="eastAsia" w:ascii="宋体" w:hAnsi="宋体" w:cs="宋体"/>
          <w:color w:val="000000"/>
          <w:kern w:val="0"/>
          <w:sz w:val="24"/>
          <w:szCs w:val="24"/>
        </w:rPr>
      </w:pPr>
      <w:r>
        <w:rPr>
          <w:rFonts w:hint="eastAsia" w:ascii="宋体" w:hAnsi="宋体" w:cs="宋体"/>
          <w:color w:val="000000"/>
          <w:kern w:val="0"/>
          <w:sz w:val="24"/>
          <w:szCs w:val="24"/>
        </w:rPr>
        <w:t>3、材料、施工要求详见施工图及技术规范。</w:t>
      </w:r>
    </w:p>
    <w:p w14:paraId="7CB8A9FA">
      <w:pPr>
        <w:spacing w:line="360" w:lineRule="auto"/>
        <w:ind w:firstLine="420"/>
        <w:rPr>
          <w:rFonts w:ascii="宋体" w:hAnsi="宋体"/>
          <w:b/>
          <w:sz w:val="24"/>
          <w:szCs w:val="24"/>
        </w:rPr>
      </w:pPr>
      <w:r>
        <w:rPr>
          <w:rFonts w:hint="eastAsia" w:ascii="宋体" w:hAnsi="宋体"/>
          <w:b/>
          <w:sz w:val="24"/>
          <w:szCs w:val="24"/>
        </w:rPr>
        <w:t>四、编制依据及方法</w:t>
      </w:r>
    </w:p>
    <w:p w14:paraId="253F611A">
      <w:pPr>
        <w:spacing w:line="360" w:lineRule="auto"/>
        <w:ind w:firstLine="460" w:firstLineChars="192"/>
        <w:rPr>
          <w:rFonts w:hint="eastAsia" w:ascii="宋体" w:hAnsi="宋体" w:eastAsia="宋体" w:cs="宋体"/>
          <w:sz w:val="24"/>
          <w:szCs w:val="24"/>
          <w:lang w:eastAsia="zh-CN"/>
        </w:rPr>
      </w:pPr>
      <w:r>
        <w:rPr>
          <w:rFonts w:hint="eastAsia" w:ascii="宋体" w:hAnsi="宋体" w:cs="宋体"/>
          <w:sz w:val="24"/>
          <w:szCs w:val="24"/>
        </w:rPr>
        <w:t>1.招标人提供的</w:t>
      </w:r>
      <w:r>
        <w:rPr>
          <w:rFonts w:hint="eastAsia" w:ascii="宋体" w:hAnsi="宋体" w:cs="宋体"/>
          <w:sz w:val="24"/>
          <w:szCs w:val="24"/>
          <w:lang w:val="en-US" w:eastAsia="zh-CN"/>
        </w:rPr>
        <w:t>施工图</w:t>
      </w:r>
      <w:r>
        <w:rPr>
          <w:rFonts w:hint="eastAsia" w:ascii="宋体" w:hAnsi="宋体" w:cs="宋体"/>
          <w:sz w:val="24"/>
          <w:szCs w:val="24"/>
          <w:lang w:eastAsia="zh-CN"/>
        </w:rPr>
        <w:t>。</w:t>
      </w:r>
    </w:p>
    <w:p w14:paraId="40E25B65">
      <w:pPr>
        <w:spacing w:line="360" w:lineRule="auto"/>
        <w:ind w:firstLine="460" w:firstLineChars="192"/>
        <w:rPr>
          <w:rFonts w:hint="eastAsia" w:ascii="宋体" w:hAnsi="宋体" w:eastAsia="宋体" w:cs="宋体"/>
          <w:sz w:val="24"/>
          <w:szCs w:val="24"/>
          <w:lang w:eastAsia="zh-CN"/>
        </w:rPr>
      </w:pPr>
      <w:r>
        <w:rPr>
          <w:rFonts w:hint="eastAsia" w:ascii="宋体" w:hAnsi="宋体" w:cs="宋体"/>
          <w:sz w:val="24"/>
          <w:szCs w:val="24"/>
        </w:rPr>
        <w:t>2.《建设工程工程量清单计价规范》（GB50500-2013）</w:t>
      </w:r>
      <w:r>
        <w:rPr>
          <w:rFonts w:hint="eastAsia" w:ascii="宋体" w:hAnsi="宋体" w:cs="宋体"/>
          <w:sz w:val="24"/>
          <w:szCs w:val="24"/>
          <w:lang w:eastAsia="zh-CN"/>
        </w:rPr>
        <w:t>。</w:t>
      </w:r>
    </w:p>
    <w:p w14:paraId="48BB5770">
      <w:pPr>
        <w:spacing w:line="360" w:lineRule="auto"/>
        <w:ind w:firstLine="460" w:firstLineChars="192"/>
        <w:rPr>
          <w:rFonts w:hint="eastAsia" w:ascii="宋体" w:hAnsi="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color w:val="000000"/>
          <w:sz w:val="24"/>
          <w:szCs w:val="24"/>
        </w:rPr>
        <w:t>《房屋建筑与装饰工程</w:t>
      </w:r>
      <w:r>
        <w:rPr>
          <w:rFonts w:hint="eastAsia" w:ascii="宋体" w:hAnsi="宋体" w:eastAsia="宋体" w:cs="宋体"/>
          <w:color w:val="000000"/>
          <w:sz w:val="24"/>
          <w:szCs w:val="24"/>
          <w:lang w:val="en-US" w:eastAsia="zh-CN"/>
        </w:rPr>
        <w:t>计量</w:t>
      </w:r>
      <w:r>
        <w:rPr>
          <w:rFonts w:hint="eastAsia" w:ascii="宋体" w:hAnsi="宋体" w:eastAsia="宋体" w:cs="宋体"/>
          <w:color w:val="000000"/>
          <w:sz w:val="24"/>
          <w:szCs w:val="24"/>
        </w:rPr>
        <w:t>规范》(GB50854-2013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通用安装工程计量</w:t>
      </w:r>
      <w:r>
        <w:rPr>
          <w:rFonts w:hint="eastAsia" w:ascii="宋体" w:hAnsi="宋体" w:eastAsia="宋体" w:cs="宋体"/>
          <w:color w:val="000000"/>
          <w:sz w:val="24"/>
          <w:szCs w:val="24"/>
          <w:highlight w:val="none"/>
        </w:rPr>
        <w:t>规范》</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GB508</w:t>
      </w:r>
      <w:r>
        <w:rPr>
          <w:rFonts w:hint="eastAsia" w:ascii="宋体" w:hAnsi="宋体" w:eastAsia="宋体" w:cs="宋体"/>
          <w:color w:val="000000"/>
          <w:sz w:val="24"/>
          <w:szCs w:val="24"/>
          <w:highlight w:val="none"/>
          <w:lang w:val="en-US" w:eastAsia="zh-CN"/>
        </w:rPr>
        <w:t>56</w:t>
      </w:r>
      <w:r>
        <w:rPr>
          <w:rFonts w:hint="eastAsia" w:ascii="宋体" w:hAnsi="宋体" w:eastAsia="宋体" w:cs="宋体"/>
          <w:color w:val="000000"/>
          <w:sz w:val="24"/>
          <w:szCs w:val="24"/>
          <w:highlight w:val="none"/>
        </w:rPr>
        <w:t>—2013）</w:t>
      </w:r>
      <w:r>
        <w:rPr>
          <w:rFonts w:hint="eastAsia" w:ascii="宋体" w:hAnsi="宋体" w:eastAsia="宋体" w:cs="宋体"/>
          <w:color w:val="000000"/>
          <w:sz w:val="24"/>
          <w:szCs w:val="24"/>
        </w:rPr>
        <w:t>及相关补充规定</w:t>
      </w:r>
      <w:r>
        <w:rPr>
          <w:rFonts w:hint="eastAsia" w:ascii="宋体" w:hAnsi="宋体" w:cs="宋体"/>
          <w:sz w:val="24"/>
          <w:szCs w:val="24"/>
          <w:lang w:eastAsia="zh-CN"/>
        </w:rPr>
        <w:t>。</w:t>
      </w:r>
    </w:p>
    <w:p w14:paraId="3D9BD9C1">
      <w:pPr>
        <w:spacing w:line="360" w:lineRule="auto"/>
        <w:ind w:firstLine="460" w:firstLineChars="192"/>
        <w:rPr>
          <w:rFonts w:hint="eastAsia" w:ascii="宋体" w:hAnsi="宋体" w:eastAsia="宋体" w:cs="宋体"/>
          <w:sz w:val="24"/>
          <w:szCs w:val="24"/>
          <w:lang w:eastAsia="zh-CN"/>
        </w:rPr>
      </w:pPr>
      <w:r>
        <w:rPr>
          <w:rFonts w:hint="eastAsia" w:ascii="宋体" w:hAnsi="宋体" w:cs="宋体"/>
          <w:sz w:val="24"/>
          <w:szCs w:val="24"/>
          <w:lang w:val="en-US" w:eastAsia="zh-CN"/>
        </w:rPr>
        <w:t>4</w:t>
      </w:r>
      <w:r>
        <w:rPr>
          <w:rFonts w:hint="eastAsia" w:ascii="宋体" w:hAnsi="宋体" w:cs="宋体"/>
          <w:sz w:val="24"/>
          <w:szCs w:val="24"/>
        </w:rPr>
        <w:t>.《关于增值税调整后我省建设工程计价依据增值税税率及有关计价调整的通知》（浙建建发[2019]92号）</w:t>
      </w:r>
      <w:r>
        <w:rPr>
          <w:rFonts w:hint="eastAsia" w:ascii="宋体" w:hAnsi="宋体" w:cs="宋体"/>
          <w:sz w:val="24"/>
          <w:szCs w:val="24"/>
          <w:lang w:eastAsia="zh-CN"/>
        </w:rPr>
        <w:t>。</w:t>
      </w:r>
    </w:p>
    <w:p w14:paraId="57F8A8A9">
      <w:pPr>
        <w:spacing w:line="360" w:lineRule="auto"/>
        <w:ind w:firstLine="460" w:firstLineChars="192"/>
        <w:rPr>
          <w:rFonts w:hint="eastAsia" w:ascii="宋体" w:hAnsi="宋体" w:cs="宋体"/>
          <w:sz w:val="24"/>
          <w:szCs w:val="24"/>
          <w:lang w:val="en-US" w:eastAsia="zh-CN"/>
        </w:rPr>
      </w:pPr>
      <w:r>
        <w:rPr>
          <w:rFonts w:hint="eastAsia" w:ascii="宋体" w:hAnsi="宋体" w:cs="宋体"/>
          <w:sz w:val="24"/>
          <w:szCs w:val="24"/>
          <w:lang w:val="en-US" w:eastAsia="zh-CN"/>
        </w:rPr>
        <w:t>5</w:t>
      </w:r>
      <w:r>
        <w:rPr>
          <w:rFonts w:hint="eastAsia" w:ascii="宋体" w:hAnsi="宋体" w:cs="宋体"/>
          <w:sz w:val="24"/>
          <w:szCs w:val="24"/>
        </w:rPr>
        <w:t>.《省建设厅关于调整建筑工程安全文明施工费的通知》（浙建建发[2022]37号）</w:t>
      </w:r>
      <w:r>
        <w:rPr>
          <w:rFonts w:hint="eastAsia" w:ascii="宋体" w:hAnsi="宋体" w:cs="宋体"/>
          <w:sz w:val="24"/>
          <w:szCs w:val="24"/>
          <w:lang w:val="en-US" w:eastAsia="zh-CN"/>
        </w:rPr>
        <w:t>。</w:t>
      </w:r>
    </w:p>
    <w:p w14:paraId="0302B34B">
      <w:pPr>
        <w:spacing w:line="360" w:lineRule="auto"/>
        <w:ind w:firstLine="460" w:firstLineChars="192"/>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cs="宋体"/>
          <w:sz w:val="24"/>
          <w:szCs w:val="24"/>
        </w:rPr>
        <w:t>《关于推进杭州市建筑施工领域安全生产责任保险工作的通知》（杭建工发[2021]384号）</w:t>
      </w:r>
      <w:r>
        <w:rPr>
          <w:rFonts w:hint="eastAsia" w:ascii="宋体" w:hAnsi="宋体" w:cs="宋体"/>
          <w:sz w:val="24"/>
          <w:szCs w:val="24"/>
          <w:lang w:eastAsia="zh-CN"/>
        </w:rPr>
        <w:t>。</w:t>
      </w:r>
    </w:p>
    <w:p w14:paraId="32FB1F67">
      <w:pPr>
        <w:spacing w:line="360" w:lineRule="auto"/>
        <w:ind w:firstLine="460" w:firstLineChars="192"/>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.现行浙江省、杭州市相关文件，现行相关规范标准，施工现场情况、工程特点及常规施工方案，</w:t>
      </w:r>
      <w:r>
        <w:rPr>
          <w:rFonts w:hint="eastAsia" w:ascii="宋体" w:hAnsi="宋体" w:cs="宋体"/>
          <w:kern w:val="28"/>
          <w:sz w:val="24"/>
          <w:szCs w:val="24"/>
        </w:rPr>
        <w:t>招标人及设计疑问回复</w:t>
      </w:r>
      <w:r>
        <w:rPr>
          <w:rFonts w:hint="eastAsia" w:ascii="宋体" w:hAnsi="宋体" w:cs="宋体"/>
          <w:sz w:val="24"/>
          <w:szCs w:val="24"/>
        </w:rPr>
        <w:t>。</w:t>
      </w:r>
    </w:p>
    <w:p w14:paraId="07922165">
      <w:pPr>
        <w:numPr>
          <w:ilvl w:val="0"/>
          <w:numId w:val="2"/>
        </w:numPr>
        <w:spacing w:line="360" w:lineRule="auto"/>
        <w:ind w:firstLine="420"/>
        <w:rPr>
          <w:rFonts w:hint="eastAsia" w:ascii="宋体" w:hAnsi="宋体" w:cs="宋体"/>
          <w:b/>
          <w:bCs/>
          <w:sz w:val="24"/>
        </w:rPr>
      </w:pPr>
      <w:r>
        <w:rPr>
          <w:rFonts w:hint="eastAsia" w:ascii="宋体" w:hAnsi="宋体"/>
          <w:b/>
          <w:sz w:val="24"/>
          <w:szCs w:val="24"/>
        </w:rPr>
        <w:t>编制有关事项说明</w:t>
      </w:r>
    </w:p>
    <w:p w14:paraId="1E984E55">
      <w:pPr>
        <w:numPr>
          <w:ilvl w:val="0"/>
          <w:numId w:val="3"/>
        </w:numPr>
        <w:spacing w:line="360" w:lineRule="auto"/>
        <w:ind w:firstLine="241" w:firstLineChars="100"/>
        <w:rPr>
          <w:rFonts w:hint="eastAsia" w:ascii="宋体" w:hAnsi="宋体"/>
          <w:b/>
          <w:sz w:val="24"/>
          <w:szCs w:val="24"/>
        </w:rPr>
      </w:pPr>
      <w:r>
        <w:rPr>
          <w:rFonts w:hint="eastAsia" w:ascii="宋体" w:hAnsi="宋体"/>
          <w:b/>
          <w:sz w:val="24"/>
          <w:szCs w:val="24"/>
        </w:rPr>
        <w:t>费率说明</w:t>
      </w:r>
    </w:p>
    <w:p w14:paraId="080478ED">
      <w:pPr>
        <w:widowControl/>
        <w:tabs>
          <w:tab w:val="left" w:pos="720"/>
        </w:tabs>
        <w:spacing w:line="360" w:lineRule="auto"/>
        <w:ind w:firstLine="480" w:firstLineChars="200"/>
        <w:jc w:val="left"/>
        <w:rPr>
          <w:rFonts w:hint="eastAsia" w:ascii="宋体" w:hAnsi="宋体" w:eastAsia="宋体" w:cs="宋体"/>
          <w:bCs/>
          <w:sz w:val="24"/>
          <w:szCs w:val="24"/>
          <w:lang w:eastAsia="zh-CN"/>
        </w:rPr>
      </w:pPr>
      <w:bookmarkStart w:id="0" w:name="OLE_LINK11"/>
      <w:r>
        <w:rPr>
          <w:rFonts w:hint="eastAsia" w:ascii="宋体" w:hAnsi="宋体" w:cs="宋体"/>
          <w:bCs/>
          <w:sz w:val="24"/>
          <w:szCs w:val="24"/>
        </w:rPr>
        <w:t>根据《杭州市建设工程工程量清单计价实施细则（2018年修订）》文件规定，</w:t>
      </w:r>
      <w:bookmarkEnd w:id="0"/>
      <w:r>
        <w:rPr>
          <w:rFonts w:hint="eastAsia" w:ascii="宋体" w:hAnsi="宋体" w:cs="宋体"/>
          <w:bCs/>
          <w:sz w:val="24"/>
          <w:szCs w:val="24"/>
        </w:rPr>
        <w:t>投标报价时，企业管理费中应包括施工企业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w:t>
      </w:r>
      <w:r>
        <w:rPr>
          <w:rFonts w:hint="eastAsia" w:ascii="宋体" w:hAnsi="宋体" w:eastAsia="宋体" w:cs="宋体"/>
          <w:bCs/>
          <w:sz w:val="24"/>
          <w:szCs w:val="24"/>
        </w:rPr>
        <w:t>。</w:t>
      </w:r>
      <w:r>
        <w:rPr>
          <w:rFonts w:hint="eastAsia" w:ascii="宋体" w:hAnsi="宋体" w:cs="宋体"/>
          <w:bCs/>
          <w:sz w:val="24"/>
          <w:szCs w:val="24"/>
        </w:rPr>
        <w:t>同时，投标人必须对企业管理费中所包含的施工企业的现场临时宿舍取暖降温等费用，在相应的清单明细表中（表2-5）进行单独费用报价分析。企业管理费的取费基数为“分部分项工程费和施工技术措施项目费”计价中的“人工费</w:t>
      </w:r>
      <w:r>
        <w:rPr>
          <w:rFonts w:hint="eastAsia" w:ascii="宋体" w:hAnsi="宋体" w:cs="宋体"/>
          <w:bCs/>
          <w:sz w:val="24"/>
          <w:szCs w:val="24"/>
          <w:lang w:eastAsia="zh-CN"/>
        </w:rPr>
        <w:t>+</w:t>
      </w:r>
      <w:r>
        <w:rPr>
          <w:rFonts w:hint="eastAsia" w:ascii="宋体" w:hAnsi="宋体" w:cs="宋体"/>
          <w:bCs/>
          <w:sz w:val="24"/>
          <w:szCs w:val="24"/>
        </w:rPr>
        <w:t>机械费”之和</w:t>
      </w:r>
      <w:r>
        <w:rPr>
          <w:rFonts w:hint="eastAsia" w:ascii="宋体" w:hAnsi="宋体" w:cs="宋体"/>
          <w:bCs/>
          <w:sz w:val="24"/>
          <w:szCs w:val="24"/>
          <w:lang w:eastAsia="zh-CN"/>
        </w:rPr>
        <w:t>。</w:t>
      </w:r>
    </w:p>
    <w:p w14:paraId="3B078AA7">
      <w:pPr>
        <w:widowControl/>
        <w:tabs>
          <w:tab w:val="left" w:pos="720"/>
        </w:tabs>
        <w:spacing w:line="360" w:lineRule="auto"/>
        <w:ind w:firstLine="480" w:firstLineChars="200"/>
        <w:jc w:val="left"/>
        <w:rPr>
          <w:rFonts w:hint="eastAsia" w:ascii="宋体" w:hAnsi="宋体" w:eastAsia="宋体" w:cs="宋体"/>
          <w:bCs/>
          <w:sz w:val="24"/>
          <w:szCs w:val="24"/>
          <w:lang w:eastAsia="zh-CN"/>
        </w:rPr>
      </w:pPr>
      <w:r>
        <w:rPr>
          <w:rFonts w:hint="eastAsia" w:ascii="宋体" w:hAnsi="宋体" w:cs="宋体"/>
          <w:bCs/>
          <w:sz w:val="24"/>
          <w:szCs w:val="24"/>
        </w:rPr>
        <w:t>（1）</w:t>
      </w:r>
      <w:r>
        <w:rPr>
          <w:rFonts w:hint="eastAsia" w:ascii="宋体" w:hAnsi="宋体" w:cs="宋体"/>
          <w:bCs/>
          <w:sz w:val="24"/>
          <w:szCs w:val="24"/>
          <w:lang w:val="en-US" w:eastAsia="zh-CN"/>
        </w:rPr>
        <w:t>单独</w:t>
      </w:r>
      <w:r>
        <w:rPr>
          <w:rFonts w:hint="eastAsia" w:ascii="宋体" w:hAnsi="宋体" w:cs="宋体"/>
          <w:bCs/>
          <w:sz w:val="24"/>
          <w:szCs w:val="24"/>
        </w:rPr>
        <w:t>装饰工程最低取费费率为2.</w:t>
      </w:r>
      <w:r>
        <w:rPr>
          <w:rFonts w:hint="eastAsia" w:ascii="宋体" w:hAnsi="宋体" w:cs="宋体"/>
          <w:bCs/>
          <w:sz w:val="24"/>
          <w:szCs w:val="24"/>
          <w:lang w:val="en-US" w:eastAsia="zh-CN"/>
        </w:rPr>
        <w:t>2</w:t>
      </w:r>
      <w:r>
        <w:rPr>
          <w:rFonts w:hint="eastAsia" w:ascii="宋体" w:hAnsi="宋体" w:cs="宋体"/>
          <w:bCs/>
          <w:sz w:val="24"/>
          <w:szCs w:val="24"/>
        </w:rPr>
        <w:t>7%</w:t>
      </w:r>
      <w:r>
        <w:rPr>
          <w:rFonts w:hint="eastAsia" w:ascii="宋体" w:hAnsi="宋体" w:cs="宋体"/>
          <w:bCs/>
          <w:sz w:val="24"/>
          <w:szCs w:val="24"/>
          <w:lang w:eastAsia="zh-CN"/>
        </w:rPr>
        <w:t>。</w:t>
      </w:r>
    </w:p>
    <w:p w14:paraId="1D0F297F">
      <w:pPr>
        <w:widowControl/>
        <w:tabs>
          <w:tab w:val="left" w:pos="720"/>
        </w:tabs>
        <w:spacing w:line="360" w:lineRule="auto"/>
        <w:ind w:firstLine="480" w:firstLineChars="200"/>
        <w:jc w:val="left"/>
        <w:rPr>
          <w:rFonts w:hint="eastAsia" w:ascii="宋体" w:hAnsi="宋体" w:eastAsia="宋体" w:cs="宋体"/>
          <w:bCs/>
          <w:sz w:val="24"/>
          <w:szCs w:val="24"/>
          <w:lang w:eastAsia="zh-CN"/>
        </w:rPr>
      </w:pPr>
      <w:r>
        <w:rPr>
          <w:rFonts w:hint="eastAsia" w:ascii="宋体" w:hAnsi="宋体" w:cs="宋体"/>
          <w:bCs/>
          <w:sz w:val="24"/>
          <w:szCs w:val="24"/>
        </w:rPr>
        <w:t>（2）通用安装工程最低取费费率为3.26%</w:t>
      </w:r>
      <w:r>
        <w:rPr>
          <w:rFonts w:hint="eastAsia" w:ascii="宋体" w:hAnsi="宋体" w:cs="宋体"/>
          <w:bCs/>
          <w:sz w:val="24"/>
          <w:szCs w:val="24"/>
          <w:lang w:eastAsia="zh-CN"/>
        </w:rPr>
        <w:t>。</w:t>
      </w:r>
    </w:p>
    <w:p w14:paraId="2016C531">
      <w:pPr>
        <w:spacing w:line="440" w:lineRule="exact"/>
        <w:ind w:firstLine="480" w:firstLineChars="200"/>
        <w:rPr>
          <w:rFonts w:hint="eastAsia" w:ascii="宋体" w:hAnsi="宋体" w:eastAsia="宋体" w:cs="宋体"/>
          <w:color w:val="FF0000"/>
          <w:kern w:val="0"/>
          <w:sz w:val="24"/>
          <w:szCs w:val="24"/>
          <w:lang w:eastAsia="zh-CN"/>
        </w:rPr>
      </w:pPr>
      <w:r>
        <w:rPr>
          <w:rFonts w:ascii="宋体" w:hAnsi="宋体" w:cs="宋体"/>
          <w:kern w:val="0"/>
          <w:sz w:val="24"/>
          <w:szCs w:val="24"/>
        </w:rPr>
        <w:t>2．</w:t>
      </w:r>
      <w:r>
        <w:rPr>
          <w:rFonts w:hint="eastAsia" w:ascii="宋体" w:hAnsi="宋体" w:cs="宋体"/>
          <w:bCs/>
          <w:sz w:val="24"/>
          <w:szCs w:val="24"/>
        </w:rPr>
        <w:t>根据《关于调整安全文明施工基本费组成及费率的通知》（浙建建发[2022]37号），安全文明施工基本费报价不得低于《浙江省建设工程计价规则》（2018版）中规定的弹性费率下限取费基数乘以1.15</w:t>
      </w:r>
      <w:r>
        <w:rPr>
          <w:rFonts w:hint="eastAsia" w:ascii="宋体" w:hAnsi="宋体" w:eastAsia="宋体" w:cs="宋体"/>
          <w:bCs/>
          <w:sz w:val="24"/>
          <w:szCs w:val="24"/>
        </w:rPr>
        <w:t>。按照本项目地理位置情况确定为</w:t>
      </w:r>
      <w:r>
        <w:rPr>
          <w:rFonts w:hint="eastAsia" w:ascii="宋体" w:hAnsi="宋体" w:eastAsia="宋体" w:cs="宋体"/>
          <w:bCs/>
          <w:sz w:val="24"/>
          <w:szCs w:val="24"/>
          <w:highlight w:val="none"/>
        </w:rPr>
        <w:t>市区</w:t>
      </w:r>
      <w:r>
        <w:rPr>
          <w:rFonts w:hint="eastAsia" w:ascii="宋体" w:hAnsi="宋体" w:eastAsia="宋体" w:cs="宋体"/>
          <w:bCs/>
          <w:sz w:val="24"/>
          <w:szCs w:val="24"/>
        </w:rPr>
        <w:t>工</w:t>
      </w:r>
      <w:r>
        <w:rPr>
          <w:rFonts w:hint="eastAsia" w:ascii="宋体" w:hAnsi="宋体" w:cs="宋体"/>
          <w:bCs/>
          <w:sz w:val="24"/>
          <w:szCs w:val="24"/>
        </w:rPr>
        <w:t>程。各专业工程取费基数均为“分部分项工程费和施工技术措施项目费”计价中的“人工费+机械费”之和</w:t>
      </w:r>
      <w:r>
        <w:rPr>
          <w:rFonts w:hint="eastAsia" w:ascii="宋体" w:hAnsi="宋体" w:cs="宋体"/>
          <w:bCs/>
          <w:sz w:val="24"/>
          <w:szCs w:val="24"/>
          <w:lang w:eastAsia="zh-CN"/>
        </w:rPr>
        <w:t>。</w:t>
      </w:r>
    </w:p>
    <w:p w14:paraId="021EDA2F">
      <w:pPr>
        <w:numPr>
          <w:ilvl w:val="1"/>
          <w:numId w:val="0"/>
        </w:numPr>
        <w:spacing w:line="440" w:lineRule="exact"/>
        <w:ind w:left="0" w:firstLine="480" w:firstLineChars="200"/>
        <w:rPr>
          <w:rFonts w:hint="eastAsia" w:ascii="宋体" w:hAnsi="宋体" w:eastAsia="宋体" w:cs="宋体"/>
          <w:color w:val="FF0000"/>
          <w:kern w:val="0"/>
          <w:sz w:val="24"/>
          <w:szCs w:val="24"/>
          <w:lang w:eastAsia="zh-CN"/>
        </w:rPr>
      </w:pPr>
      <w:r>
        <w:rPr>
          <w:rFonts w:hint="eastAsia" w:ascii="宋体" w:hAnsi="宋体" w:cs="宋体"/>
          <w:bCs/>
          <w:sz w:val="24"/>
          <w:szCs w:val="24"/>
        </w:rPr>
        <w:t>（1）</w:t>
      </w:r>
      <w:r>
        <w:rPr>
          <w:rFonts w:hint="eastAsia" w:ascii="宋体" w:hAnsi="宋体" w:cs="宋体"/>
          <w:bCs/>
          <w:sz w:val="24"/>
          <w:szCs w:val="24"/>
          <w:lang w:val="en-US" w:eastAsia="zh-CN"/>
        </w:rPr>
        <w:t>单独</w:t>
      </w:r>
      <w:r>
        <w:rPr>
          <w:rFonts w:hint="eastAsia" w:ascii="宋体" w:hAnsi="宋体" w:cs="宋体"/>
          <w:bCs/>
          <w:color w:val="000000"/>
          <w:sz w:val="24"/>
          <w:szCs w:val="24"/>
        </w:rPr>
        <w:t>装饰工程费率不得低于5.91%</w:t>
      </w:r>
      <w:r>
        <w:rPr>
          <w:rFonts w:hint="eastAsia" w:ascii="宋体" w:hAnsi="宋体" w:cs="宋体"/>
          <w:bCs/>
          <w:color w:val="000000"/>
          <w:sz w:val="24"/>
          <w:szCs w:val="24"/>
          <w:lang w:eastAsia="zh-CN"/>
        </w:rPr>
        <w:t>。</w:t>
      </w:r>
    </w:p>
    <w:p w14:paraId="736C02D7">
      <w:pPr>
        <w:numPr>
          <w:ilvl w:val="1"/>
          <w:numId w:val="0"/>
        </w:numPr>
        <w:spacing w:line="440" w:lineRule="exact"/>
        <w:ind w:left="0" w:firstLine="480" w:firstLineChars="200"/>
        <w:rPr>
          <w:rFonts w:hint="eastAsia" w:ascii="宋体" w:hAnsi="宋体" w:eastAsia="宋体" w:cs="宋体"/>
          <w:color w:val="FF0000"/>
          <w:kern w:val="0"/>
          <w:sz w:val="24"/>
          <w:szCs w:val="24"/>
          <w:lang w:eastAsia="zh-CN"/>
        </w:rPr>
      </w:pPr>
      <w:r>
        <w:rPr>
          <w:rFonts w:hint="eastAsia" w:ascii="宋体" w:hAnsi="宋体" w:cs="宋体"/>
          <w:bCs/>
          <w:sz w:val="24"/>
          <w:szCs w:val="24"/>
        </w:rPr>
        <w:t>（2）</w:t>
      </w:r>
      <w:r>
        <w:rPr>
          <w:rFonts w:hint="eastAsia" w:ascii="宋体" w:hAnsi="宋体" w:cs="宋体"/>
          <w:bCs/>
          <w:color w:val="000000"/>
          <w:sz w:val="24"/>
          <w:szCs w:val="24"/>
          <w:lang w:val="en-US" w:eastAsia="zh-CN"/>
        </w:rPr>
        <w:t>通用</w:t>
      </w:r>
      <w:r>
        <w:rPr>
          <w:rFonts w:hint="eastAsia" w:ascii="宋体" w:hAnsi="宋体" w:cs="宋体"/>
          <w:bCs/>
          <w:color w:val="000000"/>
          <w:sz w:val="24"/>
          <w:szCs w:val="24"/>
        </w:rPr>
        <w:t>安装工程</w:t>
      </w:r>
      <w:r>
        <w:rPr>
          <w:rFonts w:hint="eastAsia" w:ascii="宋体" w:hAnsi="宋体" w:cs="宋体"/>
          <w:color w:val="000000"/>
          <w:kern w:val="0"/>
          <w:sz w:val="24"/>
          <w:szCs w:val="24"/>
        </w:rPr>
        <w:t>费率不得低于7.3</w:t>
      </w:r>
      <w:r>
        <w:rPr>
          <w:rFonts w:hint="eastAsia" w:ascii="宋体" w:hAnsi="宋体" w:cs="宋体"/>
          <w:color w:val="000000"/>
          <w:kern w:val="0"/>
          <w:sz w:val="24"/>
          <w:szCs w:val="24"/>
          <w:lang w:val="en-US" w:eastAsia="zh-CN"/>
        </w:rPr>
        <w:t>5</w:t>
      </w:r>
      <w:r>
        <w:rPr>
          <w:rFonts w:hint="eastAsia" w:ascii="宋体" w:hAnsi="宋体" w:cs="宋体"/>
          <w:color w:val="000000"/>
          <w:kern w:val="0"/>
          <w:sz w:val="24"/>
          <w:szCs w:val="24"/>
        </w:rPr>
        <w:t>%</w:t>
      </w:r>
      <w:r>
        <w:rPr>
          <w:rFonts w:hint="eastAsia" w:ascii="宋体" w:hAnsi="宋体" w:cs="宋体"/>
          <w:color w:val="000000"/>
          <w:kern w:val="0"/>
          <w:sz w:val="24"/>
          <w:szCs w:val="24"/>
          <w:lang w:eastAsia="zh-CN"/>
        </w:rPr>
        <w:t>。</w:t>
      </w:r>
    </w:p>
    <w:p w14:paraId="58A2296F">
      <w:pPr>
        <w:spacing w:line="440" w:lineRule="exact"/>
        <w:ind w:firstLine="480" w:firstLineChars="200"/>
        <w:rPr>
          <w:rFonts w:hint="eastAsia" w:ascii="宋体" w:hAnsi="宋体" w:eastAsia="宋体" w:cs="宋体"/>
          <w:color w:val="000000"/>
          <w:kern w:val="0"/>
          <w:sz w:val="24"/>
          <w:szCs w:val="24"/>
          <w:lang w:eastAsia="zh-CN"/>
        </w:rPr>
      </w:pPr>
      <w:r>
        <w:rPr>
          <w:rFonts w:ascii="宋体" w:hAnsi="宋体" w:cs="宋体"/>
          <w:kern w:val="0"/>
          <w:sz w:val="24"/>
          <w:szCs w:val="24"/>
        </w:rPr>
        <w:t>3．</w:t>
      </w:r>
      <w:r>
        <w:rPr>
          <w:rFonts w:hint="eastAsia" w:ascii="宋体" w:hAnsi="宋体" w:cs="宋体"/>
          <w:color w:val="000000"/>
          <w:kern w:val="0"/>
          <w:sz w:val="24"/>
          <w:szCs w:val="24"/>
        </w:rPr>
        <w:t>规费费率按照</w:t>
      </w:r>
      <w:r>
        <w:rPr>
          <w:rFonts w:hint="eastAsia" w:ascii="宋体" w:hAnsi="宋体" w:cs="宋体"/>
          <w:color w:val="000000"/>
          <w:sz w:val="24"/>
          <w:szCs w:val="24"/>
        </w:rPr>
        <w:t>《浙江省建设工程计价规则》（2018版）</w:t>
      </w:r>
      <w:r>
        <w:rPr>
          <w:rFonts w:hint="eastAsia" w:ascii="宋体" w:hAnsi="宋体" w:cs="宋体"/>
          <w:color w:val="000000"/>
          <w:kern w:val="0"/>
          <w:sz w:val="24"/>
          <w:szCs w:val="24"/>
        </w:rPr>
        <w:t>规定计取，取费基数为"人工费+机械费"。投标人根据国家法律法规及自身缴纳规费的实际情况自主确定其投标费率，但在规费政策平稳过渡期内不得低于标准费率的30%，</w:t>
      </w:r>
      <w:r>
        <w:rPr>
          <w:rFonts w:hint="eastAsia" w:ascii="宋体" w:hAnsi="宋体" w:cs="宋体"/>
          <w:bCs/>
          <w:color w:val="000000"/>
          <w:sz w:val="24"/>
          <w:szCs w:val="24"/>
        </w:rPr>
        <w:t>建筑装饰工程</w:t>
      </w:r>
      <w:r>
        <w:rPr>
          <w:rFonts w:hint="eastAsia" w:ascii="宋体" w:hAnsi="宋体" w:cs="宋体"/>
          <w:color w:val="000000"/>
          <w:kern w:val="0"/>
          <w:sz w:val="24"/>
          <w:szCs w:val="24"/>
        </w:rPr>
        <w:t>费率</w:t>
      </w:r>
      <w:r>
        <w:rPr>
          <w:rFonts w:hint="eastAsia" w:ascii="宋体" w:hAnsi="宋体" w:cs="宋体"/>
          <w:sz w:val="24"/>
          <w:szCs w:val="24"/>
        </w:rPr>
        <w:t>不得低于</w:t>
      </w:r>
      <w:r>
        <w:rPr>
          <w:rFonts w:hint="eastAsia" w:ascii="宋体" w:hAnsi="宋体" w:cs="宋体"/>
          <w:color w:val="000000"/>
          <w:kern w:val="0"/>
          <w:sz w:val="24"/>
          <w:szCs w:val="24"/>
          <w:lang w:val="en-US" w:eastAsia="zh-CN"/>
        </w:rPr>
        <w:t>8.38</w:t>
      </w:r>
      <w:r>
        <w:rPr>
          <w:rFonts w:hint="eastAsia" w:ascii="宋体" w:hAnsi="宋体" w:cs="宋体"/>
          <w:color w:val="000000"/>
          <w:kern w:val="0"/>
          <w:sz w:val="24"/>
          <w:szCs w:val="24"/>
        </w:rPr>
        <w:t>%，</w:t>
      </w:r>
      <w:r>
        <w:rPr>
          <w:rFonts w:hint="eastAsia" w:ascii="宋体" w:hAnsi="宋体" w:cs="宋体"/>
          <w:bCs/>
          <w:color w:val="000000"/>
          <w:sz w:val="24"/>
          <w:szCs w:val="24"/>
        </w:rPr>
        <w:t>安装工程</w:t>
      </w:r>
      <w:r>
        <w:rPr>
          <w:rFonts w:hint="eastAsia" w:ascii="宋体" w:hAnsi="宋体" w:cs="宋体"/>
          <w:color w:val="000000"/>
          <w:kern w:val="0"/>
          <w:sz w:val="24"/>
          <w:szCs w:val="24"/>
        </w:rPr>
        <w:t>费率</w:t>
      </w:r>
      <w:r>
        <w:rPr>
          <w:rFonts w:hint="eastAsia" w:ascii="宋体" w:hAnsi="宋体" w:cs="宋体"/>
          <w:sz w:val="24"/>
          <w:szCs w:val="24"/>
        </w:rPr>
        <w:t>不得低于</w:t>
      </w:r>
      <w:r>
        <w:rPr>
          <w:rFonts w:hint="eastAsia" w:ascii="宋体" w:hAnsi="宋体" w:cs="宋体"/>
          <w:color w:val="000000"/>
          <w:kern w:val="0"/>
          <w:sz w:val="24"/>
          <w:szCs w:val="24"/>
          <w:lang w:val="en-US" w:eastAsia="zh-CN"/>
        </w:rPr>
        <w:t>9.19</w:t>
      </w:r>
      <w:r>
        <w:rPr>
          <w:rFonts w:hint="eastAsia" w:ascii="宋体" w:hAnsi="宋体" w:cs="宋体"/>
          <w:color w:val="000000"/>
          <w:kern w:val="0"/>
          <w:sz w:val="24"/>
          <w:szCs w:val="24"/>
        </w:rPr>
        <w:t>%</w:t>
      </w:r>
      <w:r>
        <w:rPr>
          <w:rFonts w:hint="eastAsia" w:ascii="宋体" w:hAnsi="宋体" w:cs="宋体"/>
          <w:bCs/>
          <w:color w:val="000000"/>
          <w:sz w:val="24"/>
          <w:szCs w:val="24"/>
          <w:lang w:eastAsia="zh-CN"/>
        </w:rPr>
        <w:t>。</w:t>
      </w:r>
    </w:p>
    <w:p w14:paraId="300AFB2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lang w:eastAsia="zh-CN"/>
        </w:rPr>
      </w:pPr>
      <w:r>
        <w:rPr>
          <w:rFonts w:ascii="宋体" w:hAnsi="宋体" w:cs="宋体"/>
          <w:kern w:val="0"/>
          <w:sz w:val="24"/>
          <w:szCs w:val="24"/>
        </w:rPr>
        <w:t>4．</w:t>
      </w:r>
      <w:r>
        <w:rPr>
          <w:rFonts w:hint="eastAsia" w:ascii="宋体" w:hAnsi="宋体" w:cs="宋体"/>
          <w:color w:val="000000"/>
          <w:kern w:val="0"/>
          <w:sz w:val="24"/>
          <w:szCs w:val="24"/>
        </w:rPr>
        <w:t>该工程采用一般计税方法计算。税金按浙江省住房和城乡建设厅文件浙建建发 (2019)92号“关于增值税调整后我省建设工程计价依据增值税税率及有关计价调整的通知”计取，税率为9%</w:t>
      </w:r>
      <w:r>
        <w:rPr>
          <w:rFonts w:hint="eastAsia" w:ascii="宋体" w:hAnsi="宋体" w:cs="宋体"/>
          <w:color w:val="000000"/>
          <w:kern w:val="0"/>
          <w:sz w:val="24"/>
          <w:szCs w:val="24"/>
          <w:lang w:eastAsia="zh-CN"/>
        </w:rPr>
        <w:t>。</w:t>
      </w:r>
    </w:p>
    <w:p w14:paraId="1A08E33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lang w:eastAsia="zh-CN"/>
        </w:rPr>
      </w:pPr>
      <w:r>
        <w:rPr>
          <w:rFonts w:ascii="宋体" w:hAnsi="宋体" w:cs="宋体"/>
          <w:kern w:val="0"/>
          <w:sz w:val="24"/>
          <w:szCs w:val="24"/>
        </w:rPr>
        <w:t>5．</w:t>
      </w:r>
      <w:r>
        <w:rPr>
          <w:rFonts w:hint="eastAsia" w:ascii="宋体" w:hAnsi="宋体" w:cs="宋体"/>
          <w:bCs/>
          <w:sz w:val="24"/>
          <w:szCs w:val="24"/>
          <w:highlight w:val="none"/>
        </w:rPr>
        <w:t>安全生产责任保险费率按照杭建招标造价中心〔2021〕84号“关于明确杭州市建筑施工领域安全生产责任保险费用计取的通知”</w:t>
      </w:r>
      <w:r>
        <w:rPr>
          <w:rFonts w:hint="eastAsia" w:ascii="宋体" w:hAnsi="宋体" w:cs="宋体"/>
          <w:bCs/>
          <w:sz w:val="24"/>
          <w:szCs w:val="24"/>
          <w:highlight w:val="none"/>
          <w:lang w:val="en-US" w:eastAsia="zh-CN"/>
        </w:rPr>
        <w:t>，</w:t>
      </w:r>
      <w:r>
        <w:rPr>
          <w:rFonts w:hint="eastAsia" w:ascii="宋体" w:hAnsi="宋体" w:cs="宋体"/>
          <w:bCs/>
          <w:sz w:val="24"/>
          <w:szCs w:val="24"/>
          <w:highlight w:val="none"/>
        </w:rPr>
        <w:t>投标人在投标报价时，应结合工程实际和企业信用状况将安责险列入企业管理费中进行自主报价</w:t>
      </w:r>
      <w:r>
        <w:rPr>
          <w:rFonts w:hint="eastAsia" w:ascii="宋体" w:hAnsi="宋体" w:cs="宋体"/>
          <w:bCs/>
          <w:sz w:val="24"/>
          <w:szCs w:val="24"/>
          <w:highlight w:val="none"/>
          <w:lang w:eastAsia="zh-CN"/>
        </w:rPr>
        <w:t>。</w:t>
      </w:r>
    </w:p>
    <w:p w14:paraId="4284EAB2">
      <w:pPr>
        <w:spacing w:line="440" w:lineRule="exact"/>
        <w:ind w:firstLine="480" w:firstLineChars="200"/>
        <w:rPr>
          <w:rFonts w:hint="eastAsia" w:ascii="宋体" w:hAnsi="宋体" w:eastAsia="宋体" w:cs="宋体"/>
          <w:color w:val="FF0000"/>
          <w:kern w:val="0"/>
          <w:sz w:val="24"/>
          <w:szCs w:val="24"/>
          <w:lang w:eastAsia="zh-CN"/>
        </w:rPr>
      </w:pPr>
      <w:r>
        <w:rPr>
          <w:rFonts w:hint="eastAsia" w:ascii="宋体" w:hAnsi="宋体" w:cs="宋体"/>
          <w:color w:val="000000"/>
          <w:kern w:val="0"/>
          <w:sz w:val="24"/>
          <w:szCs w:val="24"/>
          <w:lang w:val="en-US" w:eastAsia="zh-CN"/>
        </w:rPr>
        <w:t>6</w:t>
      </w:r>
      <w:r>
        <w:rPr>
          <w:rFonts w:hint="eastAsia" w:ascii="宋体" w:hAnsi="宋体" w:cs="宋体"/>
          <w:color w:val="000000"/>
          <w:kern w:val="0"/>
          <w:sz w:val="24"/>
          <w:szCs w:val="24"/>
        </w:rPr>
        <w:t>．本工程报价不考虑标化工地增加费及优质工程增加费</w:t>
      </w:r>
      <w:r>
        <w:rPr>
          <w:rFonts w:hint="eastAsia" w:ascii="宋体" w:hAnsi="宋体" w:cs="宋体"/>
          <w:color w:val="000000"/>
          <w:kern w:val="0"/>
          <w:sz w:val="24"/>
          <w:szCs w:val="24"/>
          <w:lang w:eastAsia="zh-CN"/>
        </w:rPr>
        <w:t>。</w:t>
      </w:r>
    </w:p>
    <w:p w14:paraId="1893B429">
      <w:pPr>
        <w:spacing w:line="360" w:lineRule="auto"/>
        <w:ind w:firstLine="241" w:firstLineChars="100"/>
        <w:rPr>
          <w:rFonts w:hint="eastAsia" w:ascii="宋体" w:hAnsi="宋体" w:cs="宋体"/>
          <w:b/>
          <w:bCs/>
          <w:kern w:val="0"/>
          <w:sz w:val="24"/>
          <w:szCs w:val="24"/>
        </w:rPr>
      </w:pPr>
      <w:r>
        <w:rPr>
          <w:rFonts w:hint="eastAsia" w:ascii="宋体" w:hAnsi="宋体" w:cs="宋体"/>
          <w:b/>
          <w:bCs/>
          <w:kern w:val="0"/>
          <w:sz w:val="24"/>
          <w:szCs w:val="24"/>
        </w:rPr>
        <w:t>（二）各单体及专业工程计量说明</w:t>
      </w:r>
    </w:p>
    <w:p w14:paraId="6ED0745F">
      <w:pPr>
        <w:pStyle w:val="11"/>
        <w:keepNext w:val="0"/>
        <w:keepLines w:val="0"/>
        <w:widowControl/>
        <w:numPr>
          <w:ilvl w:val="0"/>
          <w:numId w:val="4"/>
        </w:numPr>
        <w:suppressLineNumbers w:val="0"/>
        <w:spacing w:before="0" w:beforeAutospacing="0" w:after="0" w:afterAutospacing="0" w:line="360" w:lineRule="auto"/>
        <w:ind w:left="845" w:right="0" w:hanging="425"/>
      </w:pPr>
      <w:r>
        <w:rPr>
          <w:rFonts w:hint="eastAsia"/>
          <w:lang w:val="en-US" w:eastAsia="zh-CN"/>
        </w:rPr>
        <w:t>根据建设单位意见，暂列金额按除税价49000元计入。</w:t>
      </w:r>
    </w:p>
    <w:p w14:paraId="4B41CE9E">
      <w:pPr>
        <w:pStyle w:val="11"/>
        <w:keepNext w:val="0"/>
        <w:keepLines w:val="0"/>
        <w:widowControl/>
        <w:numPr>
          <w:ilvl w:val="0"/>
          <w:numId w:val="4"/>
        </w:numPr>
        <w:suppressLineNumbers w:val="0"/>
        <w:spacing w:before="0" w:beforeAutospacing="0" w:after="0" w:afterAutospacing="0" w:line="360" w:lineRule="auto"/>
        <w:ind w:left="845" w:right="0" w:hanging="425"/>
      </w:pPr>
      <w:r>
        <w:rPr>
          <w:rFonts w:hint="eastAsia" w:ascii="宋体" w:hAnsi="宋体" w:eastAsia="宋体" w:cs="宋体"/>
          <w:b w:val="0"/>
          <w:bCs w:val="0"/>
          <w:sz w:val="24"/>
          <w:szCs w:val="24"/>
          <w:highlight w:val="none"/>
          <w:lang w:val="en-US" w:eastAsia="zh-CN"/>
        </w:rPr>
        <w:t>根据设计意见，本项目门槛石按</w:t>
      </w:r>
      <w:r>
        <w:rPr>
          <w:rFonts w:hint="eastAsia"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0mm中国黑大理石计入。</w:t>
      </w:r>
      <w:bookmarkStart w:id="3" w:name="_GoBack"/>
      <w:bookmarkEnd w:id="3"/>
    </w:p>
    <w:p w14:paraId="6C28E323">
      <w:pPr>
        <w:pStyle w:val="11"/>
        <w:keepNext w:val="0"/>
        <w:keepLines w:val="0"/>
        <w:widowControl/>
        <w:numPr>
          <w:ilvl w:val="0"/>
          <w:numId w:val="4"/>
        </w:numPr>
        <w:suppressLineNumbers w:val="0"/>
        <w:spacing w:before="0" w:beforeAutospacing="0" w:after="0" w:afterAutospacing="0" w:line="360" w:lineRule="auto"/>
        <w:ind w:left="845" w:right="0" w:hanging="425"/>
      </w:pPr>
      <w:r>
        <w:rPr>
          <w:rFonts w:hint="eastAsia" w:ascii="宋体" w:hAnsi="宋体" w:eastAsia="宋体" w:cs="宋体"/>
          <w:b w:val="0"/>
          <w:bCs w:val="0"/>
          <w:sz w:val="24"/>
          <w:szCs w:val="24"/>
          <w:highlight w:val="none"/>
          <w:lang w:val="en-US" w:eastAsia="zh-CN"/>
        </w:rPr>
        <w:t>根据设计意见，本项目</w:t>
      </w:r>
      <w:r>
        <w:rPr>
          <w:rFonts w:hint="eastAsia" w:cs="宋体"/>
          <w:b w:val="0"/>
          <w:bCs w:val="0"/>
          <w:sz w:val="24"/>
          <w:szCs w:val="24"/>
          <w:highlight w:val="none"/>
          <w:lang w:val="en-US" w:eastAsia="zh-CN"/>
        </w:rPr>
        <w:t>台阶面层</w:t>
      </w:r>
      <w:r>
        <w:rPr>
          <w:rFonts w:hint="eastAsia" w:ascii="宋体" w:hAnsi="宋体" w:eastAsia="宋体" w:cs="宋体"/>
          <w:b w:val="0"/>
          <w:bCs w:val="0"/>
          <w:sz w:val="24"/>
          <w:szCs w:val="24"/>
          <w:highlight w:val="none"/>
          <w:lang w:val="en-US" w:eastAsia="zh-CN"/>
        </w:rPr>
        <w:t>按</w:t>
      </w:r>
      <w:r>
        <w:rPr>
          <w:rFonts w:hint="eastAsia"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0mm中国黑大理石计入。</w:t>
      </w:r>
    </w:p>
    <w:p w14:paraId="0CFEE89D">
      <w:pPr>
        <w:pStyle w:val="11"/>
        <w:keepNext w:val="0"/>
        <w:keepLines w:val="0"/>
        <w:widowControl/>
        <w:numPr>
          <w:ilvl w:val="0"/>
          <w:numId w:val="4"/>
        </w:numPr>
        <w:suppressLineNumbers w:val="0"/>
        <w:spacing w:before="0" w:beforeAutospacing="0" w:after="0" w:afterAutospacing="0" w:line="360" w:lineRule="auto"/>
        <w:ind w:left="845" w:right="0" w:hanging="425"/>
      </w:pPr>
      <w:r>
        <w:rPr>
          <w:rFonts w:hint="eastAsia" w:ascii="宋体" w:hAnsi="宋体" w:eastAsia="宋体" w:cs="宋体"/>
          <w:b w:val="0"/>
          <w:bCs w:val="0"/>
          <w:sz w:val="24"/>
          <w:szCs w:val="24"/>
          <w:highlight w:val="none"/>
          <w:lang w:val="en-US" w:eastAsia="zh-CN"/>
        </w:rPr>
        <w:t>根据设计意见，</w:t>
      </w:r>
      <w:r>
        <w:rPr>
          <w:rFonts w:hint="eastAsia" w:cs="宋体"/>
          <w:b w:val="0"/>
          <w:bCs w:val="0"/>
          <w:sz w:val="24"/>
          <w:szCs w:val="24"/>
          <w:highlight w:val="none"/>
          <w:lang w:val="en-US" w:eastAsia="zh-CN"/>
        </w:rPr>
        <w:t>铸铁盖板按</w:t>
      </w:r>
      <w:r>
        <w:t>500*300*20铸铁盖板</w:t>
      </w:r>
      <w:r>
        <w:rPr>
          <w:rFonts w:hint="eastAsia"/>
          <w:lang w:val="en-US" w:eastAsia="zh-CN"/>
        </w:rPr>
        <w:t>计入。</w:t>
      </w:r>
    </w:p>
    <w:p w14:paraId="61948BB8">
      <w:pPr>
        <w:pStyle w:val="11"/>
        <w:keepNext w:val="0"/>
        <w:keepLines w:val="0"/>
        <w:widowControl/>
        <w:numPr>
          <w:ilvl w:val="0"/>
          <w:numId w:val="4"/>
        </w:numPr>
        <w:suppressLineNumbers w:val="0"/>
        <w:spacing w:before="0" w:beforeAutospacing="0" w:after="0" w:afterAutospacing="0" w:line="360" w:lineRule="auto"/>
        <w:ind w:left="845" w:right="0" w:hanging="425"/>
      </w:pPr>
      <w:r>
        <w:rPr>
          <w:rFonts w:hint="eastAsia" w:ascii="宋体" w:hAnsi="宋体" w:eastAsia="宋体" w:cs="宋体"/>
          <w:b w:val="0"/>
          <w:bCs w:val="0"/>
          <w:sz w:val="24"/>
          <w:szCs w:val="24"/>
          <w:highlight w:val="none"/>
          <w:lang w:val="en-US" w:eastAsia="zh-CN"/>
        </w:rPr>
        <w:t>根据设计意见，</w:t>
      </w:r>
      <w:r>
        <w:rPr>
          <w:rFonts w:hint="eastAsia" w:cs="宋体"/>
          <w:b w:val="0"/>
          <w:bCs w:val="0"/>
          <w:sz w:val="24"/>
          <w:szCs w:val="24"/>
          <w:highlight w:val="none"/>
          <w:lang w:val="en-US" w:eastAsia="zh-CN"/>
        </w:rPr>
        <w:t>地胶找平层按40厚</w:t>
      </w:r>
      <w:r>
        <w:t>DS M20.0水泥砂浆找平层</w:t>
      </w:r>
      <w:r>
        <w:rPr>
          <w:rFonts w:hint="eastAsia"/>
          <w:lang w:val="en-US" w:eastAsia="zh-CN"/>
        </w:rPr>
        <w:t>计入。</w:t>
      </w:r>
    </w:p>
    <w:p w14:paraId="05B1AB9D">
      <w:pPr>
        <w:pStyle w:val="11"/>
        <w:keepNext w:val="0"/>
        <w:keepLines w:val="0"/>
        <w:widowControl/>
        <w:numPr>
          <w:ilvl w:val="0"/>
          <w:numId w:val="4"/>
        </w:numPr>
        <w:suppressLineNumbers w:val="0"/>
        <w:spacing w:before="0" w:beforeAutospacing="0" w:after="0" w:afterAutospacing="0" w:line="360" w:lineRule="auto"/>
        <w:ind w:left="845" w:right="0" w:hanging="425"/>
      </w:pPr>
      <w:r>
        <w:rPr>
          <w:rFonts w:hint="eastAsia" w:ascii="宋体" w:hAnsi="宋体" w:eastAsia="宋体" w:cs="宋体"/>
          <w:b w:val="0"/>
          <w:bCs w:val="0"/>
          <w:sz w:val="24"/>
          <w:szCs w:val="24"/>
          <w:highlight w:val="none"/>
          <w:lang w:val="en-US" w:eastAsia="zh-CN"/>
        </w:rPr>
        <w:t>根据设计意见，</w:t>
      </w:r>
      <w:r>
        <w:t>卫生间12mm木纹铝板隔断</w:t>
      </w:r>
      <w:r>
        <w:rPr>
          <w:rFonts w:hint="eastAsia" w:ascii="宋体" w:hAnsi="宋体" w:eastAsia="宋体" w:cs="宋体"/>
          <w:b w:val="0"/>
          <w:bCs w:val="0"/>
          <w:sz w:val="24"/>
          <w:szCs w:val="24"/>
          <w:highlight w:val="none"/>
          <w:lang w:val="en-US" w:eastAsia="zh-CN"/>
        </w:rPr>
        <w:t>计入</w:t>
      </w:r>
      <w:r>
        <w:rPr>
          <w:rFonts w:hint="eastAsia" w:cs="宋体"/>
          <w:b w:val="0"/>
          <w:bCs w:val="0"/>
          <w:sz w:val="24"/>
          <w:szCs w:val="24"/>
          <w:highlight w:val="none"/>
          <w:lang w:val="en-US" w:eastAsia="zh-CN"/>
        </w:rPr>
        <w:t>。</w:t>
      </w:r>
    </w:p>
    <w:p w14:paraId="5384E371">
      <w:pPr>
        <w:spacing w:line="360" w:lineRule="auto"/>
        <w:rPr>
          <w:rFonts w:hint="eastAsia" w:ascii="宋体" w:hAnsi="宋体" w:cs="宋体"/>
          <w:b/>
          <w:bCs/>
          <w:color w:val="000000"/>
          <w:kern w:val="0"/>
          <w:sz w:val="24"/>
          <w:szCs w:val="24"/>
        </w:rPr>
      </w:pPr>
      <w:r>
        <w:rPr>
          <w:rFonts w:hint="eastAsia" w:ascii="宋体" w:hAnsi="宋体" w:cs="宋体"/>
          <w:b/>
          <w:bCs/>
          <w:kern w:val="0"/>
          <w:sz w:val="24"/>
          <w:szCs w:val="24"/>
        </w:rPr>
        <w:t>（三）报价说明</w:t>
      </w:r>
    </w:p>
    <w:p w14:paraId="476C7440">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投标报价（综合单价）依据招标文件以及招标人提供的工程项目清单、设计施工图纸、设计及施工规范标准等，并结合工程特点、现场勘察情况、市场因素及企业自身情况进行编制，投标人不得修改项目清单的数量和内容</w:t>
      </w:r>
      <w:r>
        <w:rPr>
          <w:rFonts w:hint="eastAsia" w:ascii="宋体" w:hAnsi="宋体" w:cs="宋体"/>
          <w:sz w:val="24"/>
          <w:szCs w:val="24"/>
          <w:lang w:eastAsia="zh-CN"/>
        </w:rPr>
        <w:t>。</w:t>
      </w:r>
    </w:p>
    <w:p w14:paraId="5FEDE148">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招标文件中招标范围及《发包人要求》中的所有内容均需在本次报价中自行考虑，招标清单（工程量及做法）仅作为报价参考，投标人认为需要增加的费用项目可自行添加，并列明该项目的名称及金额，未列明的，考虑已自行计算在报价中，结算不再另行计算费用</w:t>
      </w:r>
      <w:r>
        <w:rPr>
          <w:rFonts w:hint="eastAsia" w:ascii="宋体" w:hAnsi="宋体" w:cs="宋体"/>
          <w:sz w:val="24"/>
          <w:szCs w:val="24"/>
          <w:lang w:eastAsia="zh-CN"/>
        </w:rPr>
        <w:t>。</w:t>
      </w:r>
    </w:p>
    <w:p w14:paraId="5B722785">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清单措施费用由投标单位根据自行踏勘现场及自行编制的施工组织设计报价，投标人要对本工程可能发生的措施项目和措施费用做综合考虑，一旦报价即被认为包括了所有应该发生的措施项目的全部费用，结算时不再调整</w:t>
      </w:r>
      <w:r>
        <w:rPr>
          <w:rFonts w:hint="eastAsia" w:ascii="宋体" w:hAnsi="宋体" w:cs="宋体"/>
          <w:sz w:val="24"/>
          <w:szCs w:val="24"/>
          <w:lang w:eastAsia="zh-CN"/>
        </w:rPr>
        <w:t>。</w:t>
      </w:r>
    </w:p>
    <w:p w14:paraId="6839DA73">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工程检测、材料试验费含常规、非常规实验等费用，要通过质检站验收所必须检测的全部检验费用，由投标单位总价包干，招标人不承担任何费用</w:t>
      </w:r>
      <w:r>
        <w:rPr>
          <w:rFonts w:hint="eastAsia" w:ascii="宋体" w:hAnsi="宋体" w:cs="宋体"/>
          <w:sz w:val="24"/>
          <w:szCs w:val="24"/>
          <w:lang w:eastAsia="zh-CN"/>
        </w:rPr>
        <w:t>。</w:t>
      </w:r>
    </w:p>
    <w:p w14:paraId="7AE4EBEB">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工程量清单中所列项目的工程量以实体工程编制，并已按照常规施工方案计取各种损耗和需要增加的工程量，招标人不为非实体项目增加费用</w:t>
      </w:r>
      <w:r>
        <w:rPr>
          <w:rFonts w:hint="eastAsia" w:ascii="宋体" w:hAnsi="宋体" w:cs="宋体"/>
          <w:sz w:val="24"/>
          <w:szCs w:val="24"/>
          <w:lang w:eastAsia="zh-CN"/>
        </w:rPr>
        <w:t>。</w:t>
      </w:r>
    </w:p>
    <w:p w14:paraId="4C399B13">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本工程内，所有按“项”报价的子目，投标人均应结合招标文件、技术规范、设计施工图纸和现场勘察情况，谨慎仔细，一切损耗及发生的所有费用均已包括在综合单价中，中标后无论是否发生变更均不予调整</w:t>
      </w:r>
      <w:r>
        <w:rPr>
          <w:rFonts w:hint="eastAsia" w:ascii="宋体" w:hAnsi="宋体" w:cs="宋体"/>
          <w:sz w:val="24"/>
          <w:szCs w:val="24"/>
          <w:lang w:eastAsia="zh-CN"/>
        </w:rPr>
        <w:t>。</w:t>
      </w:r>
    </w:p>
    <w:p w14:paraId="126E9E9A">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大型会议、活动、考试等涉及的停工、临时交通管制所产生的费用，费用投标单位自行计算并计入报价中，中标后不做调整</w:t>
      </w:r>
      <w:r>
        <w:rPr>
          <w:rFonts w:hint="eastAsia" w:ascii="宋体" w:hAnsi="宋体" w:cs="宋体"/>
          <w:sz w:val="24"/>
          <w:szCs w:val="24"/>
          <w:lang w:eastAsia="zh-CN"/>
        </w:rPr>
        <w:t>。</w:t>
      </w:r>
    </w:p>
    <w:p w14:paraId="0E935201">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由政府部门要求配套并实施的工程，如燃气、数字电视、电信、电力、给水工程等，总承包人须免收总包服务费，并免费提供用水用电及临时用房、封堵、修补（含材料、人工等），相关费用已在合同总价中综合考虑</w:t>
      </w:r>
      <w:r>
        <w:rPr>
          <w:rFonts w:hint="eastAsia" w:ascii="宋体" w:hAnsi="宋体" w:cs="宋体"/>
          <w:sz w:val="24"/>
          <w:szCs w:val="24"/>
          <w:lang w:eastAsia="zh-CN"/>
        </w:rPr>
        <w:t>。</w:t>
      </w:r>
    </w:p>
    <w:p w14:paraId="246AC2F5">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本工程中所有吊顶、隔断、墙面、地面及其他部位等需要安装相关设备、灯具等而需在相关面层上预留孔洞或者开孔的，不同材料交接处打胶、阴阳角处理等，投标人应综合考虑，费用计入所涉及项目综合单价</w:t>
      </w:r>
      <w:r>
        <w:rPr>
          <w:rFonts w:hint="eastAsia" w:ascii="宋体" w:hAnsi="宋体" w:cs="宋体"/>
          <w:sz w:val="24"/>
          <w:szCs w:val="24"/>
          <w:lang w:eastAsia="zh-CN"/>
        </w:rPr>
        <w:t>。</w:t>
      </w:r>
    </w:p>
    <w:p w14:paraId="49531C69">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工程中所有的孔洞须修补完毕并满足建筑、防渗水、防火要求，费用投标单位自行计算并计入报价中，中标后不做调整</w:t>
      </w:r>
      <w:r>
        <w:rPr>
          <w:rFonts w:hint="eastAsia" w:ascii="宋体" w:hAnsi="宋体" w:cs="宋体"/>
          <w:sz w:val="24"/>
          <w:szCs w:val="24"/>
          <w:lang w:eastAsia="zh-CN"/>
        </w:rPr>
        <w:t>。</w:t>
      </w:r>
    </w:p>
    <w:p w14:paraId="35543BFE">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未尽事宜，请参考招标文件合同专用条款。</w:t>
      </w:r>
    </w:p>
    <w:p w14:paraId="3A59533D">
      <w:pPr>
        <w:spacing w:line="440" w:lineRule="exact"/>
        <w:rPr>
          <w:rFonts w:hint="eastAsia" w:ascii="宋体" w:hAnsi="宋体" w:cs="宋体"/>
          <w:b/>
          <w:bCs/>
          <w:color w:val="000000"/>
          <w:kern w:val="0"/>
          <w:sz w:val="24"/>
          <w:szCs w:val="24"/>
        </w:rPr>
      </w:pPr>
      <w:r>
        <w:rPr>
          <w:rFonts w:hint="eastAsia" w:ascii="宋体" w:hAnsi="宋体" w:cs="宋体"/>
          <w:b/>
          <w:bCs/>
          <w:color w:val="000000"/>
          <w:kern w:val="0"/>
          <w:sz w:val="24"/>
          <w:szCs w:val="24"/>
        </w:rPr>
        <w:t>（四）材料说明</w:t>
      </w:r>
    </w:p>
    <w:p w14:paraId="0D8C04CD">
      <w:pPr>
        <w:pStyle w:val="21"/>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本招标文件涉及的主要设备材料及零星材料，各投标人须根据设计施工图的要求按中档以上的标准进行选材并报价，所有设备材料要求采用在行业内有较好信誉的品牌，生产厂家必须通过ISO质量认证，严禁选择不合设计要求的低档设备材料进行投标报价及组织施工实施。</w:t>
      </w:r>
    </w:p>
    <w:p w14:paraId="5DF4C792">
      <w:pPr>
        <w:pStyle w:val="21"/>
        <w:numPr>
          <w:ilvl w:val="0"/>
          <w:numId w:val="6"/>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投标人应选择</w:t>
      </w:r>
      <w:r>
        <w:rPr>
          <w:rFonts w:hint="eastAsia" w:ascii="宋体" w:hAnsi="宋体" w:cs="宋体"/>
          <w:sz w:val="24"/>
          <w:szCs w:val="24"/>
        </w:rPr>
        <w:t>《</w:t>
      </w:r>
      <w:r>
        <w:rPr>
          <w:rFonts w:hint="eastAsia" w:ascii="宋体" w:hAnsi="宋体" w:cs="宋体"/>
          <w:bCs/>
          <w:kern w:val="2"/>
          <w:sz w:val="24"/>
          <w:szCs w:val="24"/>
        </w:rPr>
        <w:t>主要材料（设备）品牌</w:t>
      </w:r>
      <w:r>
        <w:rPr>
          <w:rFonts w:hint="eastAsia" w:ascii="宋体" w:hAnsi="宋体" w:cs="宋体"/>
          <w:bCs/>
          <w:sz w:val="24"/>
          <w:szCs w:val="24"/>
        </w:rPr>
        <w:t>表》提供的品牌中的之一或相当于的品牌进入报价，并在《</w:t>
      </w:r>
      <w:r>
        <w:rPr>
          <w:rFonts w:hint="eastAsia" w:ascii="宋体" w:hAnsi="宋体" w:cs="宋体"/>
          <w:bCs/>
          <w:kern w:val="2"/>
          <w:sz w:val="24"/>
          <w:szCs w:val="24"/>
        </w:rPr>
        <w:t>主要材料（设备）品牌</w:t>
      </w:r>
      <w:r>
        <w:rPr>
          <w:rFonts w:hint="eastAsia" w:ascii="宋体" w:hAnsi="宋体" w:cs="宋体"/>
          <w:bCs/>
          <w:sz w:val="24"/>
          <w:szCs w:val="24"/>
        </w:rPr>
        <w:t>表</w:t>
      </w:r>
      <w:r>
        <w:rPr>
          <w:rFonts w:hint="eastAsia" w:ascii="宋体" w:hAnsi="宋体" w:cs="宋体"/>
          <w:sz w:val="24"/>
          <w:szCs w:val="24"/>
        </w:rPr>
        <w:t>》中注明所选品牌</w:t>
      </w:r>
      <w:r>
        <w:rPr>
          <w:rFonts w:hint="eastAsia" w:ascii="宋体" w:hAnsi="宋体" w:cs="宋体"/>
          <w:color w:val="000000"/>
          <w:sz w:val="24"/>
          <w:szCs w:val="24"/>
        </w:rPr>
        <w:t>。</w:t>
      </w:r>
    </w:p>
    <w:p w14:paraId="72190B5C">
      <w:pPr>
        <w:pStyle w:val="21"/>
        <w:numPr>
          <w:ilvl w:val="0"/>
          <w:numId w:val="6"/>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同品牌中有多个系列的应选择中档系列以上。</w:t>
      </w:r>
    </w:p>
    <w:p w14:paraId="0BA8E4AC">
      <w:pPr>
        <w:pStyle w:val="21"/>
        <w:numPr>
          <w:ilvl w:val="0"/>
          <w:numId w:val="6"/>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投标人在投标文件中若提供了招标人推荐品牌外的产品，应同时提供相当于招标人推荐品牌产品的证明材料。评标时，评标委员会应根据投标人的证明材料及专业水平进行谨慎评标。对推荐品牌外产品能否满足招标人要求作出明确说明。</w:t>
      </w:r>
    </w:p>
    <w:p w14:paraId="1DDC8CFC">
      <w:pPr>
        <w:pStyle w:val="21"/>
        <w:numPr>
          <w:ilvl w:val="0"/>
          <w:numId w:val="6"/>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如果施工单位因各种原因采购不到投标时所确定品牌的产品，允许在本说明附件的该材料的其它品牌中选购，但须得到招标人认可，且招标人不承担任何增加费用，若实际市场价格低于投标品牌，按实扣回。</w:t>
      </w:r>
    </w:p>
    <w:p w14:paraId="5AFF5A48">
      <w:pPr>
        <w:pStyle w:val="21"/>
        <w:numPr>
          <w:ilvl w:val="0"/>
          <w:numId w:val="6"/>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若投标人未在推荐的范围内选择其一，也未选择与其相当的其他生产厂家或品牌的，中标后，招标人有权在推荐的生产厂家或品牌中任选其一，投标人不得提出异议并不得修改投标价格。</w:t>
      </w:r>
    </w:p>
    <w:p w14:paraId="3E639FE2">
      <w:pPr>
        <w:pStyle w:val="21"/>
        <w:numPr>
          <w:ilvl w:val="0"/>
          <w:numId w:val="6"/>
        </w:numPr>
        <w:spacing w:line="384" w:lineRule="auto"/>
        <w:ind w:firstLine="480" w:firstLineChars="200"/>
        <w:rPr>
          <w:rFonts w:hint="eastAsia" w:ascii="宋体" w:hAnsi="宋体" w:cs="宋体"/>
          <w:b/>
          <w:bCs/>
          <w:color w:val="000000"/>
          <w:sz w:val="24"/>
          <w:szCs w:val="24"/>
        </w:rPr>
      </w:pPr>
      <w:r>
        <w:rPr>
          <w:rFonts w:hint="eastAsia" w:ascii="宋体" w:hAnsi="宋体" w:cs="宋体"/>
          <w:color w:val="000000"/>
          <w:sz w:val="24"/>
          <w:szCs w:val="24"/>
        </w:rPr>
        <w:t>凡招标文件中未写明材料品牌的，均按该材料品牌（价格）中等以上投标报价。</w:t>
      </w:r>
    </w:p>
    <w:p w14:paraId="6DBAA305">
      <w:pPr>
        <w:pStyle w:val="21"/>
        <w:spacing w:line="384" w:lineRule="auto"/>
        <w:jc w:val="center"/>
        <w:rPr>
          <w:rFonts w:hint="eastAsia" w:ascii="宋体" w:hAnsi="宋体" w:cs="宋体"/>
          <w:b/>
          <w:bCs/>
          <w:color w:val="000000"/>
          <w:sz w:val="24"/>
          <w:szCs w:val="24"/>
        </w:rPr>
      </w:pPr>
      <w:r>
        <w:rPr>
          <w:rFonts w:hint="eastAsia" w:ascii="宋体" w:hAnsi="宋体" w:cs="宋体"/>
          <w:b/>
          <w:bCs/>
          <w:color w:val="000000"/>
          <w:sz w:val="24"/>
          <w:szCs w:val="24"/>
        </w:rPr>
        <w:t>主要材料（设备）品牌表</w:t>
      </w:r>
    </w:p>
    <w:tbl>
      <w:tblPr>
        <w:tblStyle w:val="12"/>
        <w:tblW w:w="47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2182"/>
        <w:gridCol w:w="5640"/>
      </w:tblGrid>
      <w:tr w14:paraId="2B6B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1" w:type="pct"/>
            <w:tcBorders>
              <w:top w:val="single" w:color="auto" w:sz="4" w:space="0"/>
              <w:left w:val="single" w:color="auto" w:sz="4" w:space="0"/>
              <w:bottom w:val="single" w:color="auto" w:sz="4" w:space="0"/>
              <w:right w:val="single" w:color="auto" w:sz="4" w:space="0"/>
            </w:tcBorders>
            <w:noWrap w:val="0"/>
            <w:vAlign w:val="center"/>
          </w:tcPr>
          <w:p w14:paraId="2C10A1B5">
            <w:pPr>
              <w:ind w:firstLine="0" w:firstLineChars="0"/>
              <w:jc w:val="center"/>
              <w:rPr>
                <w:rFonts w:hint="eastAsia" w:ascii="宋体" w:hAnsi="宋体" w:cs="宋体"/>
                <w:b/>
                <w:highlight w:val="none"/>
                <w:lang w:bidi="ar"/>
              </w:rPr>
            </w:pPr>
            <w:r>
              <w:rPr>
                <w:rFonts w:hint="eastAsia" w:ascii="宋体" w:hAnsi="宋体" w:cs="宋体"/>
                <w:b/>
                <w:highlight w:val="none"/>
                <w:lang w:bidi="ar"/>
              </w:rPr>
              <w:t>序号</w:t>
            </w:r>
          </w:p>
        </w:tc>
        <w:tc>
          <w:tcPr>
            <w:tcW w:w="1255" w:type="pct"/>
            <w:tcBorders>
              <w:top w:val="single" w:color="auto" w:sz="4" w:space="0"/>
              <w:left w:val="single" w:color="auto" w:sz="4" w:space="0"/>
              <w:bottom w:val="single" w:color="auto" w:sz="4" w:space="0"/>
              <w:right w:val="single" w:color="auto" w:sz="4" w:space="0"/>
            </w:tcBorders>
            <w:noWrap w:val="0"/>
            <w:vAlign w:val="center"/>
          </w:tcPr>
          <w:p w14:paraId="199C8F95">
            <w:pPr>
              <w:ind w:firstLine="0" w:firstLineChars="0"/>
              <w:jc w:val="center"/>
              <w:rPr>
                <w:rFonts w:hint="eastAsia" w:ascii="宋体" w:hAnsi="宋体" w:cs="宋体"/>
                <w:b/>
                <w:highlight w:val="none"/>
                <w:lang w:bidi="ar"/>
              </w:rPr>
            </w:pPr>
            <w:r>
              <w:rPr>
                <w:rFonts w:hint="eastAsia" w:ascii="宋体" w:hAnsi="宋体" w:cs="宋体"/>
                <w:b/>
                <w:highlight w:val="none"/>
                <w:lang w:bidi="ar"/>
              </w:rPr>
              <w:t>材料名称</w:t>
            </w:r>
          </w:p>
        </w:tc>
        <w:tc>
          <w:tcPr>
            <w:tcW w:w="3243" w:type="pct"/>
            <w:tcBorders>
              <w:top w:val="single" w:color="auto" w:sz="4" w:space="0"/>
              <w:left w:val="single" w:color="auto" w:sz="4" w:space="0"/>
              <w:bottom w:val="single" w:color="auto" w:sz="4" w:space="0"/>
              <w:right w:val="single" w:color="auto" w:sz="4" w:space="0"/>
            </w:tcBorders>
            <w:noWrap w:val="0"/>
            <w:vAlign w:val="center"/>
          </w:tcPr>
          <w:p w14:paraId="3D52F3A8">
            <w:pPr>
              <w:ind w:firstLine="0" w:firstLineChars="0"/>
              <w:jc w:val="center"/>
              <w:rPr>
                <w:rFonts w:hint="eastAsia" w:ascii="宋体" w:hAnsi="宋体" w:cs="宋体"/>
                <w:b/>
                <w:highlight w:val="none"/>
                <w:lang w:bidi="ar"/>
              </w:rPr>
            </w:pPr>
            <w:r>
              <w:rPr>
                <w:rFonts w:hint="eastAsia" w:ascii="宋体" w:hAnsi="宋体" w:cs="宋体"/>
                <w:b/>
                <w:highlight w:val="none"/>
                <w:lang w:bidi="ar"/>
              </w:rPr>
              <w:t>参考品牌（参照或相当于）</w:t>
            </w:r>
          </w:p>
        </w:tc>
      </w:tr>
      <w:tr w14:paraId="5913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3EC80B0D">
            <w:pPr>
              <w:ind w:firstLine="0" w:firstLineChars="0"/>
              <w:jc w:val="center"/>
              <w:rPr>
                <w:rFonts w:hint="eastAsia" w:ascii="宋体" w:hAnsi="宋体" w:cs="宋体"/>
                <w:bCs/>
                <w:highlight w:val="none"/>
              </w:rPr>
            </w:pPr>
            <w:r>
              <w:rPr>
                <w:rFonts w:hint="eastAsia" w:ascii="宋体" w:hAnsi="宋体" w:cs="宋体"/>
                <w:bCs/>
                <w:highlight w:val="none"/>
              </w:rPr>
              <w:t>1</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7C89A7D0">
            <w:pPr>
              <w:ind w:firstLine="0" w:firstLineChars="0"/>
              <w:jc w:val="center"/>
              <w:rPr>
                <w:rFonts w:hint="eastAsia" w:ascii="宋体" w:hAnsi="宋体" w:cs="宋体"/>
                <w:bCs/>
                <w:highlight w:val="none"/>
              </w:rPr>
            </w:pPr>
            <w:r>
              <w:rPr>
                <w:rFonts w:hint="eastAsia" w:ascii="宋体" w:hAnsi="宋体" w:cs="宋体"/>
                <w:bCs/>
                <w:highlight w:val="none"/>
              </w:rPr>
              <w:t>开关、插座</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4DB9C14F">
            <w:pPr>
              <w:ind w:firstLine="0" w:firstLineChars="0"/>
              <w:jc w:val="center"/>
              <w:rPr>
                <w:rFonts w:hint="eastAsia" w:ascii="宋体" w:hAnsi="宋体" w:cs="宋体"/>
                <w:bCs/>
                <w:highlight w:val="none"/>
              </w:rPr>
            </w:pPr>
            <w:r>
              <w:rPr>
                <w:rFonts w:hint="eastAsia" w:ascii="宋体" w:hAnsi="宋体" w:cs="宋体"/>
                <w:bCs/>
                <w:highlight w:val="none"/>
              </w:rPr>
              <w:t>西门子、TCL、松下</w:t>
            </w:r>
          </w:p>
        </w:tc>
      </w:tr>
      <w:tr w14:paraId="675D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0525CE65">
            <w:pPr>
              <w:ind w:firstLine="0" w:firstLineChars="0"/>
              <w:jc w:val="center"/>
              <w:rPr>
                <w:rFonts w:hint="eastAsia" w:ascii="宋体" w:hAnsi="宋体" w:cs="宋体"/>
                <w:bCs/>
                <w:highlight w:val="none"/>
              </w:rPr>
            </w:pPr>
            <w:r>
              <w:rPr>
                <w:rFonts w:hint="eastAsia" w:ascii="宋体" w:hAnsi="宋体" w:cs="宋体"/>
                <w:bCs/>
                <w:highlight w:val="none"/>
              </w:rPr>
              <w:t>2</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66F9990E">
            <w:pPr>
              <w:ind w:firstLine="0" w:firstLineChars="0"/>
              <w:jc w:val="center"/>
              <w:rPr>
                <w:rFonts w:hint="eastAsia" w:ascii="宋体" w:hAnsi="宋体" w:cs="宋体"/>
                <w:bCs/>
                <w:highlight w:val="none"/>
              </w:rPr>
            </w:pPr>
            <w:r>
              <w:rPr>
                <w:rFonts w:hint="eastAsia" w:ascii="宋体" w:hAnsi="宋体" w:cs="宋体"/>
                <w:bCs/>
                <w:highlight w:val="none"/>
              </w:rPr>
              <w:t>阀门</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738731D1">
            <w:pPr>
              <w:ind w:firstLine="0" w:firstLineChars="0"/>
              <w:jc w:val="center"/>
              <w:rPr>
                <w:rFonts w:hint="eastAsia" w:ascii="宋体" w:hAnsi="宋体" w:cs="宋体"/>
                <w:bCs/>
                <w:highlight w:val="none"/>
              </w:rPr>
            </w:pPr>
            <w:r>
              <w:rPr>
                <w:rFonts w:hint="eastAsia" w:ascii="宋体" w:hAnsi="宋体" w:cs="宋体"/>
                <w:bCs/>
                <w:highlight w:val="none"/>
              </w:rPr>
              <w:t>埃美柯、远大、神通</w:t>
            </w:r>
          </w:p>
        </w:tc>
      </w:tr>
      <w:tr w14:paraId="20CE6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6B6AEA8A">
            <w:pPr>
              <w:ind w:firstLine="0" w:firstLineChars="0"/>
              <w:jc w:val="center"/>
              <w:rPr>
                <w:rFonts w:hint="eastAsia" w:ascii="宋体" w:hAnsi="宋体" w:cs="宋体"/>
                <w:bCs/>
                <w:highlight w:val="none"/>
              </w:rPr>
            </w:pPr>
            <w:r>
              <w:rPr>
                <w:rFonts w:hint="eastAsia" w:ascii="宋体" w:hAnsi="宋体" w:cs="宋体"/>
                <w:bCs/>
                <w:highlight w:val="none"/>
              </w:rPr>
              <w:t>3</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0EF27DAA">
            <w:pPr>
              <w:ind w:firstLine="0" w:firstLineChars="0"/>
              <w:jc w:val="center"/>
              <w:rPr>
                <w:rFonts w:hint="eastAsia" w:ascii="宋体" w:hAnsi="宋体" w:cs="宋体"/>
                <w:bCs/>
                <w:highlight w:val="none"/>
              </w:rPr>
            </w:pPr>
            <w:r>
              <w:rPr>
                <w:rFonts w:hint="eastAsia" w:ascii="宋体" w:hAnsi="宋体" w:cs="宋体"/>
                <w:bCs/>
                <w:highlight w:val="none"/>
              </w:rPr>
              <w:t>双绞线缆</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50986FBB">
            <w:pPr>
              <w:ind w:firstLine="0" w:firstLineChars="0"/>
              <w:jc w:val="center"/>
              <w:rPr>
                <w:rFonts w:hint="eastAsia" w:ascii="宋体" w:hAnsi="宋体" w:cs="宋体"/>
                <w:bCs/>
                <w:highlight w:val="none"/>
              </w:rPr>
            </w:pPr>
            <w:r>
              <w:rPr>
                <w:rFonts w:hint="eastAsia" w:ascii="宋体" w:hAnsi="宋体" w:cs="宋体"/>
                <w:bCs/>
                <w:highlight w:val="none"/>
              </w:rPr>
              <w:t>安普、西蒙、朗讯</w:t>
            </w:r>
          </w:p>
        </w:tc>
      </w:tr>
      <w:tr w14:paraId="3990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5DAAA88F">
            <w:pPr>
              <w:ind w:firstLine="0" w:firstLineChars="0"/>
              <w:jc w:val="center"/>
              <w:rPr>
                <w:rFonts w:hint="eastAsia" w:ascii="宋体" w:hAnsi="宋体" w:cs="宋体"/>
                <w:bCs/>
                <w:highlight w:val="none"/>
              </w:rPr>
            </w:pPr>
            <w:bookmarkStart w:id="1" w:name="OLE_LINK1" w:colFirst="1" w:colLast="2"/>
            <w:r>
              <w:rPr>
                <w:rFonts w:hint="eastAsia" w:ascii="宋体" w:hAnsi="宋体" w:cs="宋体"/>
                <w:bCs/>
                <w:highlight w:val="none"/>
              </w:rPr>
              <w:t>4</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0CB76359">
            <w:pPr>
              <w:ind w:firstLine="0" w:firstLineChars="0"/>
              <w:jc w:val="center"/>
              <w:rPr>
                <w:rFonts w:hint="eastAsia" w:ascii="宋体" w:hAnsi="宋体" w:cs="宋体"/>
                <w:bCs/>
                <w:highlight w:val="none"/>
              </w:rPr>
            </w:pPr>
            <w:r>
              <w:rPr>
                <w:rFonts w:hint="eastAsia" w:ascii="宋体" w:hAnsi="宋体" w:cs="宋体"/>
                <w:bCs/>
                <w:highlight w:val="none"/>
              </w:rPr>
              <w:t>照明灯具</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4F0C8EE6">
            <w:pPr>
              <w:ind w:firstLine="0" w:firstLineChars="0"/>
              <w:jc w:val="center"/>
              <w:rPr>
                <w:rFonts w:hint="eastAsia" w:ascii="宋体" w:hAnsi="宋体" w:cs="宋体"/>
                <w:bCs/>
                <w:highlight w:val="none"/>
              </w:rPr>
            </w:pPr>
            <w:r>
              <w:rPr>
                <w:rFonts w:hint="eastAsia" w:ascii="宋体" w:hAnsi="宋体" w:cs="宋体"/>
                <w:bCs/>
                <w:highlight w:val="none"/>
              </w:rPr>
              <w:t>飞利浦、阳光、佛山照明、西顿</w:t>
            </w:r>
          </w:p>
        </w:tc>
      </w:tr>
      <w:bookmarkEnd w:id="1"/>
      <w:tr w14:paraId="24A1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570FB45F">
            <w:pPr>
              <w:ind w:firstLine="0" w:firstLineChars="0"/>
              <w:jc w:val="center"/>
              <w:rPr>
                <w:rFonts w:hint="eastAsia" w:ascii="宋体" w:hAnsi="宋体" w:cs="宋体"/>
                <w:bCs/>
                <w:highlight w:val="none"/>
              </w:rPr>
            </w:pPr>
            <w:r>
              <w:rPr>
                <w:rFonts w:hint="eastAsia" w:ascii="宋体" w:hAnsi="宋体" w:cs="宋体"/>
                <w:bCs/>
                <w:highlight w:val="none"/>
              </w:rPr>
              <w:t>5</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3EBB5BEE">
            <w:pPr>
              <w:ind w:firstLine="0" w:firstLineChars="0"/>
              <w:jc w:val="center"/>
              <w:rPr>
                <w:rFonts w:hint="eastAsia" w:ascii="宋体" w:hAnsi="宋体" w:cs="宋体"/>
                <w:bCs/>
                <w:highlight w:val="none"/>
              </w:rPr>
            </w:pPr>
            <w:r>
              <w:rPr>
                <w:rFonts w:hint="eastAsia" w:ascii="宋体" w:hAnsi="宋体" w:cs="宋体"/>
                <w:bCs/>
                <w:highlight w:val="none"/>
              </w:rPr>
              <w:t>PVC排水管</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5B40E5DD">
            <w:pPr>
              <w:ind w:firstLine="0" w:firstLineChars="0"/>
              <w:jc w:val="center"/>
              <w:rPr>
                <w:rFonts w:hint="eastAsia" w:ascii="宋体" w:hAnsi="宋体" w:cs="宋体"/>
                <w:bCs/>
                <w:highlight w:val="none"/>
              </w:rPr>
            </w:pPr>
            <w:r>
              <w:rPr>
                <w:rFonts w:hint="eastAsia" w:ascii="宋体" w:hAnsi="宋体" w:cs="宋体"/>
                <w:bCs/>
                <w:highlight w:val="none"/>
              </w:rPr>
              <w:t>金德、鸿雁、中财、伟星</w:t>
            </w:r>
          </w:p>
        </w:tc>
      </w:tr>
      <w:tr w14:paraId="4307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3451AA39">
            <w:pPr>
              <w:ind w:firstLine="0" w:firstLineChars="0"/>
              <w:jc w:val="center"/>
              <w:rPr>
                <w:rFonts w:hint="eastAsia" w:ascii="宋体" w:hAnsi="宋体" w:cs="宋体"/>
                <w:bCs/>
                <w:highlight w:val="none"/>
              </w:rPr>
            </w:pPr>
            <w:bookmarkStart w:id="2" w:name="OLE_LINK2" w:colFirst="1" w:colLast="2"/>
            <w:r>
              <w:rPr>
                <w:rFonts w:hint="eastAsia" w:ascii="宋体" w:hAnsi="宋体" w:cs="宋体"/>
                <w:bCs/>
                <w:highlight w:val="none"/>
              </w:rPr>
              <w:t>6</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37F321D0">
            <w:pPr>
              <w:ind w:firstLine="0" w:firstLineChars="0"/>
              <w:jc w:val="center"/>
              <w:rPr>
                <w:rFonts w:hint="eastAsia" w:ascii="宋体" w:hAnsi="宋体" w:cs="宋体"/>
                <w:bCs/>
                <w:highlight w:val="none"/>
              </w:rPr>
            </w:pPr>
            <w:r>
              <w:rPr>
                <w:rFonts w:hint="eastAsia" w:ascii="宋体" w:hAnsi="宋体" w:cs="宋体"/>
                <w:bCs/>
                <w:highlight w:val="none"/>
              </w:rPr>
              <w:t>卫生洁具（含配套五金）</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2F6EE3E6">
            <w:pPr>
              <w:ind w:firstLine="0" w:firstLineChars="0"/>
              <w:jc w:val="center"/>
              <w:rPr>
                <w:rFonts w:hint="eastAsia" w:ascii="宋体" w:hAnsi="宋体" w:cs="宋体"/>
                <w:bCs/>
                <w:highlight w:val="none"/>
              </w:rPr>
            </w:pPr>
            <w:r>
              <w:rPr>
                <w:rFonts w:hint="eastAsia" w:ascii="宋体" w:hAnsi="宋体" w:cs="宋体"/>
                <w:bCs/>
                <w:highlight w:val="none"/>
              </w:rPr>
              <w:t>箭牌、美迪雅、伊思达、惠达</w:t>
            </w:r>
          </w:p>
        </w:tc>
      </w:tr>
      <w:bookmarkEnd w:id="2"/>
      <w:tr w14:paraId="314E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5192C1E2">
            <w:pPr>
              <w:ind w:firstLine="0" w:firstLineChars="0"/>
              <w:jc w:val="center"/>
              <w:rPr>
                <w:rFonts w:hint="eastAsia" w:ascii="宋体" w:hAnsi="宋体" w:cs="宋体"/>
                <w:bCs/>
                <w:highlight w:val="none"/>
              </w:rPr>
            </w:pPr>
            <w:r>
              <w:rPr>
                <w:rFonts w:hint="eastAsia" w:ascii="宋体" w:hAnsi="宋体" w:cs="宋体"/>
                <w:bCs/>
                <w:highlight w:val="none"/>
              </w:rPr>
              <w:t>7</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6F97E246">
            <w:pPr>
              <w:ind w:firstLine="0" w:firstLineChars="0"/>
              <w:jc w:val="center"/>
              <w:rPr>
                <w:rFonts w:hint="eastAsia" w:ascii="宋体" w:hAnsi="宋体" w:cs="宋体"/>
                <w:bCs/>
                <w:highlight w:val="none"/>
              </w:rPr>
            </w:pPr>
            <w:r>
              <w:rPr>
                <w:rFonts w:hint="eastAsia" w:ascii="宋体" w:hAnsi="宋体" w:cs="宋体"/>
                <w:bCs/>
                <w:highlight w:val="none"/>
              </w:rPr>
              <w:t>地漏</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6DF950AE">
            <w:pPr>
              <w:ind w:firstLine="0" w:firstLineChars="0"/>
              <w:jc w:val="center"/>
              <w:rPr>
                <w:rFonts w:hint="eastAsia" w:ascii="宋体" w:hAnsi="宋体" w:cs="宋体"/>
                <w:bCs/>
                <w:highlight w:val="none"/>
              </w:rPr>
            </w:pPr>
            <w:r>
              <w:rPr>
                <w:rFonts w:hint="eastAsia" w:ascii="宋体" w:hAnsi="宋体" w:cs="宋体"/>
                <w:bCs/>
                <w:highlight w:val="none"/>
              </w:rPr>
              <w:t>潜水艇、一卫、六防</w:t>
            </w:r>
          </w:p>
        </w:tc>
      </w:tr>
      <w:tr w14:paraId="722F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1DD65142">
            <w:pPr>
              <w:ind w:firstLine="0" w:firstLineChars="0"/>
              <w:jc w:val="center"/>
              <w:rPr>
                <w:rFonts w:hint="eastAsia" w:ascii="宋体" w:hAnsi="宋体" w:cs="宋体"/>
                <w:bCs/>
                <w:highlight w:val="none"/>
              </w:rPr>
            </w:pPr>
            <w:r>
              <w:rPr>
                <w:rFonts w:hint="eastAsia" w:ascii="宋体" w:hAnsi="宋体" w:cs="宋体"/>
                <w:bCs/>
                <w:highlight w:val="none"/>
              </w:rPr>
              <w:t>8</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7F8B3661">
            <w:pPr>
              <w:ind w:firstLine="0" w:firstLineChars="0"/>
              <w:jc w:val="center"/>
              <w:rPr>
                <w:rFonts w:hint="eastAsia" w:ascii="宋体" w:hAnsi="宋体" w:cs="宋体"/>
                <w:bCs/>
                <w:highlight w:val="none"/>
              </w:rPr>
            </w:pPr>
            <w:r>
              <w:rPr>
                <w:rFonts w:hint="eastAsia" w:ascii="宋体" w:hAnsi="宋体" w:cs="宋体"/>
                <w:bCs/>
                <w:highlight w:val="none"/>
              </w:rPr>
              <w:t>PPR管</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240A640B">
            <w:pPr>
              <w:ind w:firstLine="0" w:firstLineChars="0"/>
              <w:jc w:val="center"/>
              <w:rPr>
                <w:rFonts w:hint="eastAsia" w:ascii="宋体" w:hAnsi="宋体" w:cs="宋体"/>
                <w:bCs/>
                <w:highlight w:val="none"/>
              </w:rPr>
            </w:pPr>
            <w:r>
              <w:rPr>
                <w:rFonts w:hint="eastAsia" w:ascii="宋体" w:hAnsi="宋体" w:cs="宋体"/>
                <w:bCs/>
                <w:highlight w:val="none"/>
              </w:rPr>
              <w:t>金德、鸿雁、中财、公元、伟星</w:t>
            </w:r>
          </w:p>
        </w:tc>
      </w:tr>
      <w:tr w14:paraId="46D5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5CD53B6B">
            <w:pPr>
              <w:ind w:firstLine="0" w:firstLineChars="0"/>
              <w:jc w:val="center"/>
              <w:rPr>
                <w:rFonts w:hint="eastAsia" w:ascii="宋体" w:hAnsi="宋体" w:cs="宋体"/>
                <w:bCs/>
                <w:highlight w:val="none"/>
              </w:rPr>
            </w:pPr>
            <w:r>
              <w:rPr>
                <w:rFonts w:hint="eastAsia" w:ascii="宋体" w:hAnsi="宋体" w:cs="宋体"/>
                <w:bCs/>
                <w:highlight w:val="none"/>
              </w:rPr>
              <w:t>9</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62D02E6B">
            <w:pPr>
              <w:ind w:firstLine="0" w:firstLineChars="0"/>
              <w:jc w:val="center"/>
              <w:rPr>
                <w:rFonts w:hint="eastAsia" w:ascii="宋体" w:hAnsi="宋体" w:cs="宋体"/>
                <w:bCs/>
                <w:highlight w:val="none"/>
              </w:rPr>
            </w:pPr>
            <w:r>
              <w:rPr>
                <w:rFonts w:hint="eastAsia" w:ascii="宋体" w:hAnsi="宋体" w:cs="宋体"/>
                <w:bCs/>
                <w:highlight w:val="none"/>
              </w:rPr>
              <w:t>水泥</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2E69425E">
            <w:pPr>
              <w:ind w:firstLine="0" w:firstLineChars="0"/>
              <w:jc w:val="center"/>
              <w:rPr>
                <w:rFonts w:hint="eastAsia" w:ascii="宋体" w:hAnsi="宋体" w:cs="宋体"/>
                <w:bCs/>
                <w:highlight w:val="none"/>
              </w:rPr>
            </w:pPr>
            <w:r>
              <w:rPr>
                <w:rFonts w:hint="eastAsia" w:ascii="宋体" w:hAnsi="宋体" w:cs="宋体"/>
                <w:bCs/>
                <w:highlight w:val="none"/>
              </w:rPr>
              <w:t>海螺、钱潮、三狮、南方</w:t>
            </w:r>
          </w:p>
        </w:tc>
      </w:tr>
      <w:tr w14:paraId="5B3C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1D478B71">
            <w:pPr>
              <w:ind w:firstLine="0" w:firstLineChars="0"/>
              <w:jc w:val="center"/>
              <w:rPr>
                <w:rFonts w:hint="eastAsia" w:ascii="宋体" w:hAnsi="宋体" w:cs="宋体"/>
                <w:bCs/>
                <w:highlight w:val="none"/>
              </w:rPr>
            </w:pPr>
            <w:r>
              <w:rPr>
                <w:rFonts w:hint="eastAsia" w:ascii="宋体" w:hAnsi="宋体" w:cs="宋体"/>
                <w:bCs/>
                <w:highlight w:val="none"/>
              </w:rPr>
              <w:t>10</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23A1B470">
            <w:pPr>
              <w:ind w:firstLine="0" w:firstLineChars="0"/>
              <w:jc w:val="center"/>
              <w:rPr>
                <w:rFonts w:hint="eastAsia" w:ascii="宋体" w:hAnsi="宋体" w:cs="宋体"/>
                <w:bCs/>
                <w:highlight w:val="none"/>
              </w:rPr>
            </w:pPr>
            <w:r>
              <w:rPr>
                <w:rFonts w:hint="eastAsia" w:ascii="宋体" w:hAnsi="宋体" w:cs="宋体"/>
                <w:bCs/>
                <w:highlight w:val="none"/>
              </w:rPr>
              <w:t>防水材料</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5DD18E81">
            <w:pPr>
              <w:ind w:firstLine="0" w:firstLineChars="0"/>
              <w:jc w:val="center"/>
              <w:rPr>
                <w:rFonts w:hint="eastAsia" w:ascii="宋体" w:hAnsi="宋体" w:cs="宋体"/>
                <w:bCs/>
                <w:highlight w:val="none"/>
              </w:rPr>
            </w:pPr>
            <w:r>
              <w:rPr>
                <w:rFonts w:hint="eastAsia" w:ascii="宋体" w:hAnsi="宋体" w:cs="宋体"/>
                <w:bCs/>
                <w:highlight w:val="none"/>
              </w:rPr>
              <w:t>卓宝、东方雨虹、大禹、奥佳</w:t>
            </w:r>
          </w:p>
        </w:tc>
      </w:tr>
      <w:tr w14:paraId="0D6C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15A25679">
            <w:pPr>
              <w:ind w:firstLine="0" w:firstLineChars="0"/>
              <w:jc w:val="center"/>
              <w:rPr>
                <w:rFonts w:hint="eastAsia" w:ascii="宋体" w:hAnsi="宋体" w:cs="宋体"/>
                <w:bCs/>
                <w:highlight w:val="none"/>
              </w:rPr>
            </w:pPr>
            <w:r>
              <w:rPr>
                <w:rFonts w:hint="eastAsia" w:ascii="宋体" w:hAnsi="宋体" w:cs="宋体"/>
                <w:bCs/>
                <w:highlight w:val="none"/>
              </w:rPr>
              <w:t>11</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1614DDC6">
            <w:pPr>
              <w:ind w:firstLine="0" w:firstLineChars="0"/>
              <w:jc w:val="center"/>
              <w:rPr>
                <w:rFonts w:hint="eastAsia" w:ascii="宋体" w:hAnsi="宋体" w:cs="宋体"/>
                <w:bCs/>
                <w:highlight w:val="none"/>
              </w:rPr>
            </w:pPr>
            <w:r>
              <w:rPr>
                <w:rFonts w:hint="eastAsia" w:ascii="宋体" w:hAnsi="宋体" w:cs="宋体"/>
                <w:bCs/>
                <w:highlight w:val="none"/>
              </w:rPr>
              <w:t>地砖、墙面砖</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3DDF2169">
            <w:pPr>
              <w:ind w:firstLine="0" w:firstLineChars="0"/>
              <w:jc w:val="center"/>
              <w:rPr>
                <w:rFonts w:hint="eastAsia" w:ascii="宋体" w:hAnsi="宋体" w:cs="宋体"/>
                <w:bCs/>
                <w:highlight w:val="none"/>
              </w:rPr>
            </w:pPr>
            <w:r>
              <w:rPr>
                <w:rFonts w:hint="eastAsia" w:ascii="宋体" w:hAnsi="宋体" w:cs="宋体"/>
                <w:bCs/>
                <w:highlight w:val="none"/>
              </w:rPr>
              <w:t>美陶、加细亚、金牌、金科、奥米茄、意利宝、蒙地卡罗、家乐陶、宏陶</w:t>
            </w:r>
          </w:p>
        </w:tc>
      </w:tr>
      <w:tr w14:paraId="7B958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20647C76">
            <w:pPr>
              <w:ind w:firstLine="0" w:firstLineChars="0"/>
              <w:jc w:val="center"/>
              <w:rPr>
                <w:rFonts w:hint="eastAsia" w:ascii="宋体" w:hAnsi="宋体" w:cs="宋体"/>
                <w:bCs/>
                <w:highlight w:val="none"/>
              </w:rPr>
            </w:pPr>
            <w:r>
              <w:rPr>
                <w:rFonts w:hint="eastAsia" w:ascii="宋体" w:hAnsi="宋体" w:cs="宋体"/>
                <w:bCs/>
                <w:highlight w:val="none"/>
              </w:rPr>
              <w:t>12</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48A66F50">
            <w:pPr>
              <w:ind w:firstLine="0" w:firstLineChars="0"/>
              <w:jc w:val="center"/>
              <w:rPr>
                <w:rFonts w:hint="eastAsia" w:ascii="宋体" w:hAnsi="宋体" w:cs="宋体"/>
                <w:bCs/>
                <w:highlight w:val="none"/>
              </w:rPr>
            </w:pPr>
            <w:r>
              <w:rPr>
                <w:rFonts w:hint="eastAsia" w:ascii="宋体" w:hAnsi="宋体" w:cs="宋体"/>
                <w:bCs/>
                <w:highlight w:val="none"/>
              </w:rPr>
              <w:t>铝材</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0980962E">
            <w:pPr>
              <w:ind w:firstLine="0" w:firstLineChars="0"/>
              <w:jc w:val="center"/>
              <w:rPr>
                <w:rFonts w:hint="eastAsia" w:ascii="宋体" w:hAnsi="宋体" w:cs="宋体"/>
                <w:bCs/>
                <w:highlight w:val="none"/>
              </w:rPr>
            </w:pPr>
            <w:r>
              <w:rPr>
                <w:rFonts w:hint="eastAsia" w:ascii="宋体" w:hAnsi="宋体" w:cs="宋体"/>
                <w:bCs/>
                <w:highlight w:val="none"/>
              </w:rPr>
              <w:t>广亚、南平、广东坚美、广东兴发</w:t>
            </w:r>
          </w:p>
        </w:tc>
      </w:tr>
      <w:tr w14:paraId="49FE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5197A3B8">
            <w:pPr>
              <w:ind w:firstLine="0" w:firstLineChars="0"/>
              <w:jc w:val="center"/>
              <w:rPr>
                <w:rFonts w:hint="eastAsia" w:ascii="宋体" w:hAnsi="宋体" w:cs="宋体"/>
                <w:bCs/>
                <w:highlight w:val="none"/>
              </w:rPr>
            </w:pPr>
            <w:r>
              <w:rPr>
                <w:rFonts w:hint="eastAsia" w:ascii="宋体" w:hAnsi="宋体" w:cs="宋体"/>
                <w:bCs/>
                <w:highlight w:val="none"/>
              </w:rPr>
              <w:t>13</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6B7AF71D">
            <w:pPr>
              <w:ind w:firstLine="0" w:firstLineChars="0"/>
              <w:jc w:val="center"/>
              <w:rPr>
                <w:rFonts w:hint="eastAsia" w:ascii="宋体" w:hAnsi="宋体" w:cs="宋体"/>
                <w:bCs/>
                <w:highlight w:val="none"/>
              </w:rPr>
            </w:pPr>
            <w:r>
              <w:rPr>
                <w:rFonts w:hint="eastAsia" w:ascii="宋体" w:hAnsi="宋体" w:cs="宋体"/>
                <w:bCs/>
                <w:highlight w:val="none"/>
              </w:rPr>
              <w:t>铝单板、铝合金方板、铝合金吊顶</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13D8E956">
            <w:pPr>
              <w:ind w:firstLine="0" w:firstLineChars="0"/>
              <w:jc w:val="center"/>
              <w:rPr>
                <w:rFonts w:hint="eastAsia" w:ascii="宋体" w:hAnsi="宋体" w:cs="宋体"/>
                <w:bCs/>
                <w:highlight w:val="none"/>
              </w:rPr>
            </w:pPr>
            <w:r>
              <w:rPr>
                <w:rFonts w:hint="eastAsia" w:ascii="宋体" w:hAnsi="宋体" w:cs="宋体"/>
                <w:bCs/>
                <w:highlight w:val="none"/>
              </w:rPr>
              <w:t>乐思龙、巨联、金边、方大</w:t>
            </w:r>
          </w:p>
        </w:tc>
      </w:tr>
      <w:tr w14:paraId="22F0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noWrap w:val="0"/>
            <w:vAlign w:val="center"/>
          </w:tcPr>
          <w:p w14:paraId="46F336D7">
            <w:pPr>
              <w:ind w:firstLine="0" w:firstLineChars="0"/>
              <w:jc w:val="center"/>
              <w:rPr>
                <w:rFonts w:hint="default" w:ascii="宋体" w:hAnsi="宋体" w:eastAsia="宋体" w:cs="宋体"/>
                <w:bCs/>
                <w:highlight w:val="none"/>
                <w:lang w:val="en-US" w:eastAsia="zh-CN"/>
              </w:rPr>
            </w:pPr>
            <w:r>
              <w:rPr>
                <w:rFonts w:hint="eastAsia" w:ascii="宋体" w:hAnsi="宋体" w:cs="宋体"/>
                <w:bCs/>
                <w:highlight w:val="none"/>
                <w:lang w:val="en-US" w:eastAsia="zh-CN"/>
              </w:rPr>
              <w:t>14</w:t>
            </w:r>
          </w:p>
        </w:tc>
        <w:tc>
          <w:tcPr>
            <w:tcW w:w="2128" w:type="dxa"/>
            <w:tcBorders>
              <w:top w:val="single" w:color="auto" w:sz="4" w:space="0"/>
              <w:left w:val="single" w:color="auto" w:sz="4" w:space="0"/>
              <w:bottom w:val="single" w:color="auto" w:sz="4" w:space="0"/>
              <w:right w:val="single" w:color="auto" w:sz="4" w:space="0"/>
            </w:tcBorders>
            <w:noWrap w:val="0"/>
            <w:vAlign w:val="center"/>
          </w:tcPr>
          <w:p w14:paraId="0E3E22CD">
            <w:pPr>
              <w:ind w:firstLine="0" w:firstLineChars="0"/>
              <w:jc w:val="center"/>
              <w:rPr>
                <w:rFonts w:hint="eastAsia" w:ascii="宋体" w:hAnsi="宋体" w:eastAsia="宋体" w:cs="宋体"/>
                <w:bCs/>
                <w:highlight w:val="none"/>
                <w:lang w:val="en-US" w:eastAsia="zh-CN"/>
              </w:rPr>
            </w:pPr>
            <w:r>
              <w:rPr>
                <w:rFonts w:hint="eastAsia" w:ascii="宋体" w:hAnsi="宋体" w:cs="宋体"/>
                <w:bCs/>
                <w:highlight w:val="none"/>
                <w:lang w:val="en-US" w:eastAsia="zh-CN"/>
              </w:rPr>
              <w:t>空调</w:t>
            </w:r>
          </w:p>
        </w:tc>
        <w:tc>
          <w:tcPr>
            <w:tcW w:w="5500" w:type="dxa"/>
            <w:tcBorders>
              <w:top w:val="single" w:color="auto" w:sz="4" w:space="0"/>
              <w:left w:val="single" w:color="auto" w:sz="4" w:space="0"/>
              <w:bottom w:val="single" w:color="auto" w:sz="4" w:space="0"/>
              <w:right w:val="single" w:color="auto" w:sz="4" w:space="0"/>
            </w:tcBorders>
            <w:noWrap w:val="0"/>
            <w:vAlign w:val="center"/>
          </w:tcPr>
          <w:p w14:paraId="78E8DC77">
            <w:pPr>
              <w:ind w:firstLine="0" w:firstLineChars="0"/>
              <w:jc w:val="center"/>
              <w:rPr>
                <w:rFonts w:hint="default" w:ascii="宋体" w:hAnsi="宋体" w:eastAsia="宋体" w:cs="宋体"/>
                <w:bCs/>
                <w:highlight w:val="none"/>
                <w:lang w:val="en-US" w:eastAsia="zh-CN"/>
              </w:rPr>
            </w:pPr>
            <w:r>
              <w:rPr>
                <w:rFonts w:hint="eastAsia" w:ascii="宋体" w:hAnsi="宋体" w:cs="宋体"/>
                <w:bCs/>
                <w:highlight w:val="none"/>
              </w:rPr>
              <w:t>大金SkyAir multi系列、三菱电机YIC系列、三菱重工KXZ2系列</w:t>
            </w:r>
          </w:p>
        </w:tc>
      </w:tr>
    </w:tbl>
    <w:p w14:paraId="1590AA81">
      <w:pPr>
        <w:pStyle w:val="21"/>
        <w:spacing w:line="384" w:lineRule="auto"/>
        <w:jc w:val="center"/>
        <w:rPr>
          <w:rFonts w:hint="eastAsia" w:ascii="宋体" w:hAnsi="宋体" w:cs="宋体"/>
          <w:b/>
          <w:bCs/>
          <w:color w:val="000000"/>
          <w:sz w:val="24"/>
          <w:szCs w:val="24"/>
        </w:rPr>
      </w:pPr>
    </w:p>
    <w:p w14:paraId="29443A01">
      <w:pPr>
        <w:spacing w:line="360" w:lineRule="auto"/>
        <w:rPr>
          <w:rFonts w:hint="eastAsia" w:ascii="宋体" w:hAnsi="宋体" w:cs="宋体"/>
          <w:sz w:val="24"/>
          <w:szCs w:val="24"/>
        </w:rPr>
      </w:pPr>
      <w:r>
        <w:rPr>
          <w:rFonts w:hint="eastAsia" w:ascii="宋体" w:hAnsi="宋体" w:cs="宋体"/>
          <w:sz w:val="24"/>
          <w:szCs w:val="24"/>
        </w:rPr>
        <w:t>注：其他未推荐的材料品牌投标人应参照设计说明中的材料选配表选择其一或相</w:t>
      </w:r>
    </w:p>
    <w:p w14:paraId="71E1DAFD">
      <w:pPr>
        <w:spacing w:line="360" w:lineRule="auto"/>
        <w:rPr>
          <w:rFonts w:hint="eastAsia" w:ascii="宋体" w:hAnsi="宋体" w:cs="宋体"/>
          <w:sz w:val="24"/>
          <w:szCs w:val="24"/>
        </w:rPr>
      </w:pPr>
      <w:r>
        <w:rPr>
          <w:rFonts w:hint="eastAsia" w:ascii="宋体" w:hAnsi="宋体" w:cs="宋体"/>
          <w:sz w:val="24"/>
          <w:szCs w:val="24"/>
        </w:rPr>
        <w:t>当于其品质的材料进行报价。若投标人未填写所报材料品牌，在施工时招标人有</w:t>
      </w:r>
    </w:p>
    <w:p w14:paraId="47E7E410">
      <w:pPr>
        <w:pStyle w:val="21"/>
        <w:spacing w:line="384" w:lineRule="auto"/>
        <w:rPr>
          <w:rFonts w:hint="eastAsia" w:ascii="宋体" w:hAnsi="宋体" w:cs="宋体"/>
          <w:color w:val="000000"/>
          <w:sz w:val="24"/>
          <w:szCs w:val="24"/>
        </w:rPr>
      </w:pPr>
      <w:r>
        <w:rPr>
          <w:rFonts w:hint="eastAsia" w:ascii="宋体" w:hAnsi="宋体" w:cs="宋体"/>
          <w:sz w:val="24"/>
          <w:szCs w:val="24"/>
        </w:rPr>
        <w:t>权在推荐品牌表或者图纸中材料选配表中选择材料，价格不变。</w:t>
      </w:r>
    </w:p>
    <w:p w14:paraId="114C665F">
      <w:pPr>
        <w:spacing w:line="360" w:lineRule="auto"/>
        <w:ind w:left="315" w:leftChars="150"/>
        <w:rPr>
          <w:rFonts w:hint="eastAsia" w:ascii="宋体" w:hAnsi="宋体" w:cs="宋体"/>
          <w:color w:val="000000"/>
          <w:kern w:val="0"/>
          <w:sz w:val="24"/>
          <w:szCs w:val="24"/>
        </w:rPr>
      </w:pPr>
    </w:p>
    <w:p w14:paraId="0C7DB957">
      <w:pPr>
        <w:pStyle w:val="2"/>
        <w:rPr>
          <w:rFonts w:hint="eastAsia"/>
        </w:rPr>
      </w:pPr>
    </w:p>
    <w:p w14:paraId="75038459">
      <w:pPr>
        <w:spacing w:line="360" w:lineRule="auto"/>
        <w:ind w:firstLine="241" w:firstLineChars="100"/>
        <w:rPr>
          <w:rFonts w:hint="eastAsia" w:ascii="宋体" w:hAnsi="宋体" w:cs="宋体"/>
          <w:b/>
          <w:bCs/>
          <w:kern w:val="0"/>
          <w:sz w:val="24"/>
          <w:szCs w:val="24"/>
        </w:rPr>
      </w:pPr>
    </w:p>
    <w:p w14:paraId="1B98DC98"/>
    <w:p w14:paraId="4749643A"/>
    <w:p w14:paraId="39E4C1B4"/>
    <w:p w14:paraId="4436882C"/>
    <w:p w14:paraId="1A952701"/>
    <w:p w14:paraId="431DF44C"/>
    <w:p w14:paraId="5921B715">
      <w:pPr>
        <w:rPr>
          <w:rFonts w:hint="eastAsia"/>
        </w:rPr>
      </w:pPr>
    </w:p>
    <w:p w14:paraId="4B32CA50">
      <w:pPr>
        <w:spacing w:line="360" w:lineRule="auto"/>
        <w:rPr>
          <w:rFonts w:hint="eastAsia" w:ascii="宋体" w:hAnsi="宋体"/>
          <w:b/>
          <w:sz w:val="36"/>
          <w:szCs w:val="36"/>
        </w:rPr>
      </w:pPr>
    </w:p>
    <w:sectPr>
      <w:headerReference r:id="rId3" w:type="default"/>
      <w:footerReference r:id="rId4" w:type="even"/>
      <w:pgSz w:w="11906" w:h="16838"/>
      <w:pgMar w:top="1276" w:right="1474" w:bottom="1869"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D1CCB">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1BCE2D82">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3D27A">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EAEF2"/>
    <w:multiLevelType w:val="singleLevel"/>
    <w:tmpl w:val="A94EAEF2"/>
    <w:lvl w:ilvl="0" w:tentative="0">
      <w:start w:val="1"/>
      <w:numFmt w:val="decimal"/>
      <w:lvlText w:val="%1."/>
      <w:lvlJc w:val="left"/>
      <w:pPr>
        <w:ind w:left="845" w:hanging="425"/>
      </w:pPr>
      <w:rPr>
        <w:rFonts w:hint="default"/>
      </w:rPr>
    </w:lvl>
  </w:abstractNum>
  <w:abstractNum w:abstractNumId="1">
    <w:nsid w:val="B538D05D"/>
    <w:multiLevelType w:val="singleLevel"/>
    <w:tmpl w:val="B538D05D"/>
    <w:lvl w:ilvl="0" w:tentative="0">
      <w:start w:val="1"/>
      <w:numFmt w:val="chineseCounting"/>
      <w:suff w:val="nothing"/>
      <w:lvlText w:val="（%1）"/>
      <w:lvlJc w:val="left"/>
      <w:rPr>
        <w:rFonts w:hint="eastAsia"/>
      </w:rPr>
    </w:lvl>
  </w:abstractNum>
  <w:abstractNum w:abstractNumId="2">
    <w:nsid w:val="BCC46343"/>
    <w:multiLevelType w:val="singleLevel"/>
    <w:tmpl w:val="BCC46343"/>
    <w:lvl w:ilvl="0" w:tentative="0">
      <w:start w:val="1"/>
      <w:numFmt w:val="decimal"/>
      <w:suff w:val="nothing"/>
      <w:lvlText w:val="%1．"/>
      <w:lvlJc w:val="left"/>
      <w:pPr>
        <w:ind w:left="0" w:firstLine="400"/>
      </w:pPr>
      <w:rPr>
        <w:rFonts w:hint="default"/>
      </w:rPr>
    </w:lvl>
  </w:abstractNum>
  <w:abstractNum w:abstractNumId="3">
    <w:nsid w:val="BF979DC9"/>
    <w:multiLevelType w:val="singleLevel"/>
    <w:tmpl w:val="BF979DC9"/>
    <w:lvl w:ilvl="0" w:tentative="0">
      <w:start w:val="1"/>
      <w:numFmt w:val="decimal"/>
      <w:suff w:val="nothing"/>
      <w:lvlText w:val="%1．"/>
      <w:lvlJc w:val="left"/>
      <w:pPr>
        <w:ind w:left="0" w:firstLine="400"/>
      </w:pPr>
      <w:rPr>
        <w:rFonts w:hint="default"/>
      </w:rPr>
    </w:lvl>
  </w:abstractNum>
  <w:abstractNum w:abstractNumId="4">
    <w:nsid w:val="00000008"/>
    <w:multiLevelType w:val="singleLevel"/>
    <w:tmpl w:val="00000008"/>
    <w:lvl w:ilvl="0" w:tentative="0">
      <w:start w:val="1"/>
      <w:numFmt w:val="decimal"/>
      <w:suff w:val="nothing"/>
      <w:lvlText w:val="%1、"/>
      <w:lvlJc w:val="left"/>
    </w:lvl>
  </w:abstractNum>
  <w:abstractNum w:abstractNumId="5">
    <w:nsid w:val="2D36B57D"/>
    <w:multiLevelType w:val="singleLevel"/>
    <w:tmpl w:val="2D36B57D"/>
    <w:lvl w:ilvl="0" w:tentative="0">
      <w:start w:val="4"/>
      <w:numFmt w:val="chineseCounting"/>
      <w:suff w:val="nothing"/>
      <w:lvlText w:val="%1、"/>
      <w:lvlJc w:val="left"/>
      <w:rPr>
        <w:rFonts w:hint="eastAsia"/>
      </w:r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3YWE1ZTA0OGU0ZGUyYWFjMDI5NWE0ZDFkY2Q4YjcifQ=="/>
  </w:docVars>
  <w:rsids>
    <w:rsidRoot w:val="004022F2"/>
    <w:rsid w:val="00011325"/>
    <w:rsid w:val="000148E1"/>
    <w:rsid w:val="00021719"/>
    <w:rsid w:val="00071EB2"/>
    <w:rsid w:val="00091F7D"/>
    <w:rsid w:val="0009321D"/>
    <w:rsid w:val="00095527"/>
    <w:rsid w:val="000A3045"/>
    <w:rsid w:val="000A3621"/>
    <w:rsid w:val="000C356A"/>
    <w:rsid w:val="000D46F4"/>
    <w:rsid w:val="000E1F3F"/>
    <w:rsid w:val="000F34D9"/>
    <w:rsid w:val="000F59B1"/>
    <w:rsid w:val="0010207F"/>
    <w:rsid w:val="00102194"/>
    <w:rsid w:val="00107325"/>
    <w:rsid w:val="0011092D"/>
    <w:rsid w:val="00111FF3"/>
    <w:rsid w:val="0012309D"/>
    <w:rsid w:val="00133DE9"/>
    <w:rsid w:val="00143AF6"/>
    <w:rsid w:val="00152860"/>
    <w:rsid w:val="001563C9"/>
    <w:rsid w:val="001609B7"/>
    <w:rsid w:val="00161AD7"/>
    <w:rsid w:val="00180D9E"/>
    <w:rsid w:val="00181BE8"/>
    <w:rsid w:val="00184260"/>
    <w:rsid w:val="001A515A"/>
    <w:rsid w:val="001C1BC6"/>
    <w:rsid w:val="001C2060"/>
    <w:rsid w:val="001C4B24"/>
    <w:rsid w:val="001D66BF"/>
    <w:rsid w:val="001F7E2E"/>
    <w:rsid w:val="002031E7"/>
    <w:rsid w:val="002235C1"/>
    <w:rsid w:val="00226518"/>
    <w:rsid w:val="002334BA"/>
    <w:rsid w:val="00236AEA"/>
    <w:rsid w:val="0026405C"/>
    <w:rsid w:val="002940C7"/>
    <w:rsid w:val="002A040B"/>
    <w:rsid w:val="002A1AA6"/>
    <w:rsid w:val="002A35E0"/>
    <w:rsid w:val="002A5584"/>
    <w:rsid w:val="002A6883"/>
    <w:rsid w:val="002B2052"/>
    <w:rsid w:val="002B2CBF"/>
    <w:rsid w:val="002B4088"/>
    <w:rsid w:val="002B4F12"/>
    <w:rsid w:val="002B60AD"/>
    <w:rsid w:val="002C2D30"/>
    <w:rsid w:val="002C503C"/>
    <w:rsid w:val="002F2032"/>
    <w:rsid w:val="00306868"/>
    <w:rsid w:val="00311247"/>
    <w:rsid w:val="0031421B"/>
    <w:rsid w:val="00341D9C"/>
    <w:rsid w:val="00342135"/>
    <w:rsid w:val="00345ABB"/>
    <w:rsid w:val="00362987"/>
    <w:rsid w:val="00364AFF"/>
    <w:rsid w:val="00367811"/>
    <w:rsid w:val="003704F0"/>
    <w:rsid w:val="003751D9"/>
    <w:rsid w:val="00384528"/>
    <w:rsid w:val="00386FFC"/>
    <w:rsid w:val="00387FF2"/>
    <w:rsid w:val="00391E2D"/>
    <w:rsid w:val="00397404"/>
    <w:rsid w:val="003A3142"/>
    <w:rsid w:val="003A5A83"/>
    <w:rsid w:val="003A7A2B"/>
    <w:rsid w:val="003B6375"/>
    <w:rsid w:val="003C0BD2"/>
    <w:rsid w:val="003C3E3C"/>
    <w:rsid w:val="003D3F49"/>
    <w:rsid w:val="003D7199"/>
    <w:rsid w:val="003E1A4F"/>
    <w:rsid w:val="004022F2"/>
    <w:rsid w:val="00424272"/>
    <w:rsid w:val="004262D0"/>
    <w:rsid w:val="00434A7A"/>
    <w:rsid w:val="00441BA6"/>
    <w:rsid w:val="00446AF5"/>
    <w:rsid w:val="00453E1D"/>
    <w:rsid w:val="004765E3"/>
    <w:rsid w:val="00483AD0"/>
    <w:rsid w:val="00495B51"/>
    <w:rsid w:val="004974D9"/>
    <w:rsid w:val="00497D11"/>
    <w:rsid w:val="004A2DB2"/>
    <w:rsid w:val="004C5F6C"/>
    <w:rsid w:val="004D24AA"/>
    <w:rsid w:val="004E13A5"/>
    <w:rsid w:val="004E4C6E"/>
    <w:rsid w:val="004F3A9F"/>
    <w:rsid w:val="004F5D49"/>
    <w:rsid w:val="005006EF"/>
    <w:rsid w:val="00505FA7"/>
    <w:rsid w:val="005154EE"/>
    <w:rsid w:val="005200B5"/>
    <w:rsid w:val="00525B32"/>
    <w:rsid w:val="0052783F"/>
    <w:rsid w:val="005302EC"/>
    <w:rsid w:val="00537A74"/>
    <w:rsid w:val="0055221F"/>
    <w:rsid w:val="005652C8"/>
    <w:rsid w:val="00566B78"/>
    <w:rsid w:val="00566F32"/>
    <w:rsid w:val="005814F4"/>
    <w:rsid w:val="005849F0"/>
    <w:rsid w:val="00596D60"/>
    <w:rsid w:val="005A15F9"/>
    <w:rsid w:val="005B434E"/>
    <w:rsid w:val="005B797D"/>
    <w:rsid w:val="005C2517"/>
    <w:rsid w:val="005D79B2"/>
    <w:rsid w:val="005D7BCC"/>
    <w:rsid w:val="005E3275"/>
    <w:rsid w:val="005F2F86"/>
    <w:rsid w:val="005F408D"/>
    <w:rsid w:val="005F5431"/>
    <w:rsid w:val="0060199E"/>
    <w:rsid w:val="00611C88"/>
    <w:rsid w:val="006369D8"/>
    <w:rsid w:val="00646024"/>
    <w:rsid w:val="0066328F"/>
    <w:rsid w:val="00672777"/>
    <w:rsid w:val="006837EB"/>
    <w:rsid w:val="006922CD"/>
    <w:rsid w:val="00693CD7"/>
    <w:rsid w:val="006A22C5"/>
    <w:rsid w:val="006A26E0"/>
    <w:rsid w:val="006A49CA"/>
    <w:rsid w:val="006B3400"/>
    <w:rsid w:val="006C3972"/>
    <w:rsid w:val="006D10D4"/>
    <w:rsid w:val="006E0936"/>
    <w:rsid w:val="006F29BF"/>
    <w:rsid w:val="006F57A0"/>
    <w:rsid w:val="00721942"/>
    <w:rsid w:val="00723D3C"/>
    <w:rsid w:val="00733EB2"/>
    <w:rsid w:val="007343B9"/>
    <w:rsid w:val="00736CFD"/>
    <w:rsid w:val="00751BFA"/>
    <w:rsid w:val="00751F69"/>
    <w:rsid w:val="007652FA"/>
    <w:rsid w:val="00783F54"/>
    <w:rsid w:val="00783F80"/>
    <w:rsid w:val="0078795A"/>
    <w:rsid w:val="0079032B"/>
    <w:rsid w:val="00795A37"/>
    <w:rsid w:val="007B274D"/>
    <w:rsid w:val="007C2AED"/>
    <w:rsid w:val="007D552D"/>
    <w:rsid w:val="007E4A01"/>
    <w:rsid w:val="007E7452"/>
    <w:rsid w:val="007F140F"/>
    <w:rsid w:val="00823BE0"/>
    <w:rsid w:val="0082531E"/>
    <w:rsid w:val="00844F08"/>
    <w:rsid w:val="00846A11"/>
    <w:rsid w:val="00864C21"/>
    <w:rsid w:val="0089736F"/>
    <w:rsid w:val="008A155A"/>
    <w:rsid w:val="008A1BDF"/>
    <w:rsid w:val="008B5B17"/>
    <w:rsid w:val="008D2DB0"/>
    <w:rsid w:val="008E5137"/>
    <w:rsid w:val="008E5C2A"/>
    <w:rsid w:val="009049F7"/>
    <w:rsid w:val="00920A58"/>
    <w:rsid w:val="009215A0"/>
    <w:rsid w:val="009272D8"/>
    <w:rsid w:val="00930878"/>
    <w:rsid w:val="00930A08"/>
    <w:rsid w:val="00936E81"/>
    <w:rsid w:val="009406F2"/>
    <w:rsid w:val="00960CF9"/>
    <w:rsid w:val="0097592F"/>
    <w:rsid w:val="00981886"/>
    <w:rsid w:val="009A000E"/>
    <w:rsid w:val="009A6011"/>
    <w:rsid w:val="009B68D3"/>
    <w:rsid w:val="009B70A3"/>
    <w:rsid w:val="009B7F57"/>
    <w:rsid w:val="009C20FC"/>
    <w:rsid w:val="009C2A9F"/>
    <w:rsid w:val="009C4D2D"/>
    <w:rsid w:val="009E34AE"/>
    <w:rsid w:val="00A2570C"/>
    <w:rsid w:val="00A34099"/>
    <w:rsid w:val="00A35950"/>
    <w:rsid w:val="00A370A8"/>
    <w:rsid w:val="00A56C5D"/>
    <w:rsid w:val="00A638A7"/>
    <w:rsid w:val="00A67122"/>
    <w:rsid w:val="00A80429"/>
    <w:rsid w:val="00A93318"/>
    <w:rsid w:val="00A96025"/>
    <w:rsid w:val="00A964B1"/>
    <w:rsid w:val="00AC7D9C"/>
    <w:rsid w:val="00AD4F30"/>
    <w:rsid w:val="00AE1733"/>
    <w:rsid w:val="00AF4FAA"/>
    <w:rsid w:val="00B222DA"/>
    <w:rsid w:val="00B3433C"/>
    <w:rsid w:val="00B568B8"/>
    <w:rsid w:val="00B56F29"/>
    <w:rsid w:val="00B759AD"/>
    <w:rsid w:val="00B80972"/>
    <w:rsid w:val="00B82D2B"/>
    <w:rsid w:val="00B91C06"/>
    <w:rsid w:val="00B960C7"/>
    <w:rsid w:val="00BA5551"/>
    <w:rsid w:val="00BE13DF"/>
    <w:rsid w:val="00BE1FEA"/>
    <w:rsid w:val="00BE4661"/>
    <w:rsid w:val="00BF1429"/>
    <w:rsid w:val="00BF32F3"/>
    <w:rsid w:val="00C0731E"/>
    <w:rsid w:val="00C10819"/>
    <w:rsid w:val="00C14C00"/>
    <w:rsid w:val="00C17011"/>
    <w:rsid w:val="00C20DA6"/>
    <w:rsid w:val="00C20F50"/>
    <w:rsid w:val="00C31701"/>
    <w:rsid w:val="00C31A78"/>
    <w:rsid w:val="00C41C42"/>
    <w:rsid w:val="00C471F0"/>
    <w:rsid w:val="00C522B8"/>
    <w:rsid w:val="00C623E8"/>
    <w:rsid w:val="00C8019E"/>
    <w:rsid w:val="00C94193"/>
    <w:rsid w:val="00C97E61"/>
    <w:rsid w:val="00CA4B12"/>
    <w:rsid w:val="00CB0CA5"/>
    <w:rsid w:val="00CB7417"/>
    <w:rsid w:val="00CB78E0"/>
    <w:rsid w:val="00CC341A"/>
    <w:rsid w:val="00CE1348"/>
    <w:rsid w:val="00CE5256"/>
    <w:rsid w:val="00CE79AE"/>
    <w:rsid w:val="00CF116F"/>
    <w:rsid w:val="00CF2890"/>
    <w:rsid w:val="00D02834"/>
    <w:rsid w:val="00D05D89"/>
    <w:rsid w:val="00D065D9"/>
    <w:rsid w:val="00D16764"/>
    <w:rsid w:val="00D16F06"/>
    <w:rsid w:val="00D16F57"/>
    <w:rsid w:val="00D17756"/>
    <w:rsid w:val="00D21147"/>
    <w:rsid w:val="00D26814"/>
    <w:rsid w:val="00D4209A"/>
    <w:rsid w:val="00D4670B"/>
    <w:rsid w:val="00D46F19"/>
    <w:rsid w:val="00D47FCB"/>
    <w:rsid w:val="00D646E5"/>
    <w:rsid w:val="00D705D5"/>
    <w:rsid w:val="00D761DF"/>
    <w:rsid w:val="00D77407"/>
    <w:rsid w:val="00D85446"/>
    <w:rsid w:val="00D946F7"/>
    <w:rsid w:val="00DB2293"/>
    <w:rsid w:val="00DC092D"/>
    <w:rsid w:val="00DC09A4"/>
    <w:rsid w:val="00DC7A14"/>
    <w:rsid w:val="00DD11C2"/>
    <w:rsid w:val="00DD3375"/>
    <w:rsid w:val="00DD5CCC"/>
    <w:rsid w:val="00DE43AE"/>
    <w:rsid w:val="00DE78CF"/>
    <w:rsid w:val="00DF240D"/>
    <w:rsid w:val="00E00166"/>
    <w:rsid w:val="00E01695"/>
    <w:rsid w:val="00E12AC1"/>
    <w:rsid w:val="00E13B85"/>
    <w:rsid w:val="00E35A2C"/>
    <w:rsid w:val="00E362FE"/>
    <w:rsid w:val="00E460D3"/>
    <w:rsid w:val="00E46655"/>
    <w:rsid w:val="00E52882"/>
    <w:rsid w:val="00E5296D"/>
    <w:rsid w:val="00E6454A"/>
    <w:rsid w:val="00E709BF"/>
    <w:rsid w:val="00E73D41"/>
    <w:rsid w:val="00E767E6"/>
    <w:rsid w:val="00E86269"/>
    <w:rsid w:val="00E94CA5"/>
    <w:rsid w:val="00E95AB2"/>
    <w:rsid w:val="00EC4583"/>
    <w:rsid w:val="00EE3355"/>
    <w:rsid w:val="00EE648C"/>
    <w:rsid w:val="00EF6E23"/>
    <w:rsid w:val="00F0558A"/>
    <w:rsid w:val="00F07EB9"/>
    <w:rsid w:val="00F132BF"/>
    <w:rsid w:val="00F2743A"/>
    <w:rsid w:val="00F66342"/>
    <w:rsid w:val="00F678CD"/>
    <w:rsid w:val="00F72F04"/>
    <w:rsid w:val="00F75235"/>
    <w:rsid w:val="00F756DE"/>
    <w:rsid w:val="00F76AFF"/>
    <w:rsid w:val="00F92088"/>
    <w:rsid w:val="00F9673F"/>
    <w:rsid w:val="00FA1E60"/>
    <w:rsid w:val="00FC386B"/>
    <w:rsid w:val="00FD0203"/>
    <w:rsid w:val="00FE23FD"/>
    <w:rsid w:val="00FE2CCB"/>
    <w:rsid w:val="00FE36A1"/>
    <w:rsid w:val="01CE2AE8"/>
    <w:rsid w:val="04351ED3"/>
    <w:rsid w:val="048F1586"/>
    <w:rsid w:val="081738C6"/>
    <w:rsid w:val="08F6746D"/>
    <w:rsid w:val="0B077F8D"/>
    <w:rsid w:val="0C2F69ED"/>
    <w:rsid w:val="0D111815"/>
    <w:rsid w:val="0DE819AF"/>
    <w:rsid w:val="0E702AB2"/>
    <w:rsid w:val="0FE54914"/>
    <w:rsid w:val="10AC2039"/>
    <w:rsid w:val="11614D46"/>
    <w:rsid w:val="1238675B"/>
    <w:rsid w:val="12E42DB9"/>
    <w:rsid w:val="139F1F37"/>
    <w:rsid w:val="19E4333D"/>
    <w:rsid w:val="1BB27819"/>
    <w:rsid w:val="1BD17023"/>
    <w:rsid w:val="1C4A212B"/>
    <w:rsid w:val="1D26794D"/>
    <w:rsid w:val="1DF64BFA"/>
    <w:rsid w:val="1DF94972"/>
    <w:rsid w:val="1EBD5DB0"/>
    <w:rsid w:val="20BA2F81"/>
    <w:rsid w:val="22004B80"/>
    <w:rsid w:val="236B28C9"/>
    <w:rsid w:val="25095830"/>
    <w:rsid w:val="268A58A2"/>
    <w:rsid w:val="27B57CE1"/>
    <w:rsid w:val="28154FEB"/>
    <w:rsid w:val="284C1ED6"/>
    <w:rsid w:val="28BC5C7F"/>
    <w:rsid w:val="28ED4EB0"/>
    <w:rsid w:val="29151C2A"/>
    <w:rsid w:val="2A241B69"/>
    <w:rsid w:val="2BC758C7"/>
    <w:rsid w:val="2D285E15"/>
    <w:rsid w:val="2FFD044F"/>
    <w:rsid w:val="30CF4809"/>
    <w:rsid w:val="314E373F"/>
    <w:rsid w:val="31E866CA"/>
    <w:rsid w:val="33B448CE"/>
    <w:rsid w:val="34E0490E"/>
    <w:rsid w:val="36722213"/>
    <w:rsid w:val="378E4AC6"/>
    <w:rsid w:val="38005F4F"/>
    <w:rsid w:val="39F571AD"/>
    <w:rsid w:val="3C79617D"/>
    <w:rsid w:val="3D791352"/>
    <w:rsid w:val="3F651701"/>
    <w:rsid w:val="3FC30FEB"/>
    <w:rsid w:val="3FCD5B99"/>
    <w:rsid w:val="417B60BB"/>
    <w:rsid w:val="43F43AE3"/>
    <w:rsid w:val="441B2AC5"/>
    <w:rsid w:val="442E68C6"/>
    <w:rsid w:val="49140883"/>
    <w:rsid w:val="4973683E"/>
    <w:rsid w:val="4CF270BF"/>
    <w:rsid w:val="4D0B0A92"/>
    <w:rsid w:val="4E4715E6"/>
    <w:rsid w:val="53DA3115"/>
    <w:rsid w:val="5A9009D2"/>
    <w:rsid w:val="5E7128C8"/>
    <w:rsid w:val="60512112"/>
    <w:rsid w:val="62400F9F"/>
    <w:rsid w:val="627704B1"/>
    <w:rsid w:val="664802EF"/>
    <w:rsid w:val="66B1446C"/>
    <w:rsid w:val="67F91FA2"/>
    <w:rsid w:val="6A1C3917"/>
    <w:rsid w:val="6B25580C"/>
    <w:rsid w:val="6D0E6AFC"/>
    <w:rsid w:val="6D9B3C6C"/>
    <w:rsid w:val="700C27C9"/>
    <w:rsid w:val="71F238C8"/>
    <w:rsid w:val="75396AE8"/>
    <w:rsid w:val="76AF7FDA"/>
    <w:rsid w:val="7A3E176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Body Text"/>
    <w:basedOn w:val="1"/>
    <w:link w:val="17"/>
    <w:qFormat/>
    <w:uiPriority w:val="0"/>
    <w:pPr>
      <w:spacing w:after="120"/>
    </w:pPr>
    <w:rPr>
      <w:szCs w:val="24"/>
    </w:rPr>
  </w:style>
  <w:style w:type="paragraph" w:styleId="4">
    <w:name w:val="Body Text Indent"/>
    <w:basedOn w:val="1"/>
    <w:qFormat/>
    <w:uiPriority w:val="0"/>
    <w:pPr>
      <w:spacing w:line="600" w:lineRule="exact"/>
      <w:ind w:firstLine="480"/>
    </w:pPr>
    <w:rPr>
      <w:sz w:val="24"/>
      <w:szCs w:val="24"/>
    </w:rPr>
  </w:style>
  <w:style w:type="paragraph" w:styleId="5">
    <w:name w:val="Plain Text"/>
    <w:basedOn w:val="1"/>
    <w:link w:val="18"/>
    <w:qFormat/>
    <w:uiPriority w:val="0"/>
    <w:rPr>
      <w:rFonts w:ascii="宋体" w:hAnsi="Courier New" w:cs="Courier New"/>
      <w:szCs w:val="21"/>
    </w:rPr>
  </w:style>
  <w:style w:type="paragraph" w:styleId="6">
    <w:name w:val="Date"/>
    <w:basedOn w:val="1"/>
    <w:next w:val="1"/>
    <w:link w:val="19"/>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style>
  <w:style w:type="character" w:customStyle="1" w:styleId="16">
    <w:name w:val="标题 1 字符"/>
    <w:link w:val="2"/>
    <w:qFormat/>
    <w:uiPriority w:val="9"/>
    <w:rPr>
      <w:rFonts w:ascii="宋体" w:hAnsi="宋体" w:cs="宋体"/>
      <w:b/>
      <w:bCs/>
      <w:kern w:val="36"/>
      <w:sz w:val="48"/>
      <w:szCs w:val="48"/>
    </w:rPr>
  </w:style>
  <w:style w:type="character" w:customStyle="1" w:styleId="17">
    <w:name w:val="正文文本 字符"/>
    <w:link w:val="3"/>
    <w:qFormat/>
    <w:uiPriority w:val="0"/>
    <w:rPr>
      <w:kern w:val="2"/>
      <w:sz w:val="21"/>
      <w:szCs w:val="24"/>
    </w:rPr>
  </w:style>
  <w:style w:type="character" w:customStyle="1" w:styleId="18">
    <w:name w:val="纯文本 字符"/>
    <w:link w:val="5"/>
    <w:qFormat/>
    <w:uiPriority w:val="0"/>
    <w:rPr>
      <w:rFonts w:ascii="宋体" w:hAnsi="Courier New" w:cs="Courier New"/>
      <w:kern w:val="2"/>
      <w:sz w:val="21"/>
      <w:szCs w:val="21"/>
    </w:rPr>
  </w:style>
  <w:style w:type="character" w:customStyle="1" w:styleId="19">
    <w:name w:val="日期 字符"/>
    <w:link w:val="6"/>
    <w:qFormat/>
    <w:uiPriority w:val="0"/>
    <w:rPr>
      <w:kern w:val="2"/>
      <w:sz w:val="21"/>
    </w:rPr>
  </w:style>
  <w:style w:type="character" w:customStyle="1" w:styleId="20">
    <w:name w:val="zbggmain style9"/>
    <w:qFormat/>
    <w:uiPriority w:val="0"/>
  </w:style>
  <w:style w:type="paragraph" w:customStyle="1" w:styleId="21">
    <w:name w:val="p0"/>
    <w:basedOn w:val="1"/>
    <w:qFormat/>
    <w:uiPriority w:val="0"/>
    <w:pPr>
      <w:widowControl/>
    </w:pPr>
    <w:rPr>
      <w:rFonts w:ascii="Calibri" w:hAnsi="Calibri" w:eastAsia="宋体" w:cs="Times New Roman"/>
      <w:kern w:val="0"/>
    </w:rPr>
  </w:style>
  <w:style w:type="paragraph" w:customStyle="1" w:styleId="22">
    <w:name w:val="_Style 21"/>
    <w:unhideWhenUsed/>
    <w:qFormat/>
    <w:uiPriority w:val="99"/>
    <w:rPr>
      <w:rFonts w:ascii="Times New Roman" w:hAnsi="Times New Roman" w:eastAsia="宋体" w:cs="Times New Roman"/>
      <w:kern w:val="2"/>
      <w:sz w:val="21"/>
      <w:lang w:val="en-US" w:eastAsia="zh-CN" w:bidi="ar-SA"/>
    </w:rPr>
  </w:style>
  <w:style w:type="paragraph" w:customStyle="1" w:styleId="23">
    <w:name w:val="样式 宋体 小四 加粗 行距: 1.5 倍行距"/>
    <w:basedOn w:val="1"/>
    <w:qFormat/>
    <w:uiPriority w:val="0"/>
    <w:pPr>
      <w:spacing w:line="360" w:lineRule="auto"/>
      <w:ind w:firstLine="200" w:firstLineChars="200"/>
    </w:pPr>
    <w:rPr>
      <w:rFonts w:ascii="宋体" w:hAnsi="宋体" w:cs="宋体"/>
      <w:b/>
      <w:bCs/>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www.in9.cn</Company>
  <Pages>6</Pages>
  <Words>3288</Words>
  <Characters>3465</Characters>
  <Lines>42</Lines>
  <Paragraphs>12</Paragraphs>
  <TotalTime>0</TotalTime>
  <ScaleCrop>false</ScaleCrop>
  <LinksUpToDate>false</LinksUpToDate>
  <CharactersWithSpaces>3468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2023-05-25T07:05:00Z</dcterms:created>
  <dc:creator>孔令忠</dc:creator>
  <cp:lastModifiedBy>张昊</cp:lastModifiedBy>
  <cp:lastPrinted>2019-05-24T02:28:00Z</cp:lastPrinted>
  <dcterms:modified xsi:type="dcterms:W3CDTF">2025-07-08T03:10:45Z</dcterms:modified>
  <dc:subject>浙江建正2012文件</dc:subject>
  <dc:title>浙江建正2012文件</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913E5D5F0B6A42C8B05FFF94438BDBBB_13</vt:lpwstr>
  </property>
  <property fmtid="{D5CDD505-2E9C-101B-9397-08002B2CF9AE}" pid="4" name="KSOTemplateDocerSaveRecord">
    <vt:lpwstr>eyJoZGlkIjoiZGRmMDNlYWYyMDc5NDJhM2U1NjIzMjEyZGQ5ZjBiZmEiLCJ1c2VySWQiOiIxNjM3MTM4MTk2In0=</vt:lpwstr>
  </property>
</Properties>
</file>