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288" w:lineRule="auto"/>
        <w:rPr>
          <w:rFonts w:ascii="楷体" w:hAnsi="楷体" w:eastAsia="楷体" w:cs="Times New Roman"/>
          <w:b/>
          <w:spacing w:val="-6"/>
          <w:sz w:val="44"/>
          <w:szCs w:val="44"/>
        </w:rPr>
      </w:pPr>
    </w:p>
    <w:p>
      <w:pPr>
        <w:adjustRightInd w:val="0"/>
        <w:snapToGrid w:val="0"/>
        <w:spacing w:line="288" w:lineRule="auto"/>
        <w:rPr>
          <w:rFonts w:ascii="楷体" w:hAnsi="楷体" w:eastAsia="楷体" w:cs="Times New Roman"/>
          <w:b/>
          <w:spacing w:val="-6"/>
          <w:sz w:val="44"/>
          <w:szCs w:val="44"/>
        </w:rPr>
      </w:pPr>
    </w:p>
    <w:p>
      <w:pPr>
        <w:adjustRightInd w:val="0"/>
        <w:snapToGrid w:val="0"/>
        <w:spacing w:line="288" w:lineRule="auto"/>
        <w:rPr>
          <w:rFonts w:ascii="楷体" w:hAnsi="楷体" w:eastAsia="楷体" w:cs="Times New Roman"/>
          <w:b/>
          <w:spacing w:val="-6"/>
          <w:sz w:val="44"/>
          <w:szCs w:val="44"/>
        </w:rPr>
      </w:pPr>
    </w:p>
    <w:p>
      <w:pPr>
        <w:adjustRightInd w:val="0"/>
        <w:snapToGrid w:val="0"/>
        <w:spacing w:line="288" w:lineRule="auto"/>
        <w:jc w:val="center"/>
        <w:rPr>
          <w:rFonts w:ascii="楷体" w:hAnsi="楷体" w:eastAsia="楷体" w:cs="Times New Roman"/>
          <w:b/>
          <w:spacing w:val="-6"/>
          <w:sz w:val="48"/>
          <w:szCs w:val="48"/>
        </w:rPr>
      </w:pPr>
      <w:r>
        <w:rPr>
          <w:rFonts w:hint="eastAsia" w:ascii="楷体" w:hAnsi="楷体" w:eastAsia="楷体" w:cs="Times New Roman"/>
          <w:b/>
          <w:spacing w:val="-6"/>
          <w:sz w:val="48"/>
          <w:szCs w:val="48"/>
        </w:rPr>
        <w:t>浙江财经大学</w:t>
      </w:r>
    </w:p>
    <w:p>
      <w:pPr>
        <w:adjustRightInd w:val="0"/>
        <w:snapToGrid w:val="0"/>
        <w:spacing w:line="288" w:lineRule="auto"/>
        <w:jc w:val="center"/>
        <w:rPr>
          <w:rFonts w:ascii="楷体" w:hAnsi="楷体" w:eastAsia="楷体" w:cs="Times New Roman"/>
          <w:b/>
          <w:spacing w:val="-6"/>
          <w:sz w:val="48"/>
          <w:szCs w:val="48"/>
        </w:rPr>
      </w:pPr>
      <w:r>
        <w:rPr>
          <w:rFonts w:hint="eastAsia" w:ascii="楷体" w:hAnsi="楷体" w:eastAsia="楷体" w:cs="Times New Roman"/>
          <w:b/>
          <w:spacing w:val="-6"/>
          <w:sz w:val="48"/>
          <w:szCs w:val="48"/>
        </w:rPr>
        <w:t>学生生活区组团厨房设备</w:t>
      </w:r>
    </w:p>
    <w:p>
      <w:pPr>
        <w:adjustRightInd w:val="0"/>
        <w:snapToGrid w:val="0"/>
        <w:spacing w:line="288" w:lineRule="auto"/>
        <w:jc w:val="center"/>
        <w:rPr>
          <w:rFonts w:ascii="楷体" w:hAnsi="楷体" w:eastAsia="楷体" w:cs="Times New Roman"/>
          <w:b/>
          <w:spacing w:val="-6"/>
          <w:sz w:val="48"/>
          <w:szCs w:val="48"/>
        </w:rPr>
      </w:pPr>
    </w:p>
    <w:p>
      <w:pPr>
        <w:adjustRightInd w:val="0"/>
        <w:snapToGrid w:val="0"/>
        <w:spacing w:line="288" w:lineRule="auto"/>
        <w:jc w:val="center"/>
        <w:rPr>
          <w:rFonts w:ascii="楷体" w:hAnsi="楷体" w:eastAsia="楷体" w:cs="Times New Roman"/>
          <w:b/>
          <w:spacing w:val="-6"/>
          <w:sz w:val="48"/>
          <w:szCs w:val="48"/>
        </w:rPr>
      </w:pPr>
    </w:p>
    <w:p>
      <w:pPr>
        <w:adjustRightInd w:val="0"/>
        <w:snapToGrid w:val="0"/>
        <w:spacing w:line="288" w:lineRule="auto"/>
        <w:jc w:val="center"/>
        <w:rPr>
          <w:rFonts w:ascii="楷体" w:hAnsi="楷体" w:eastAsia="楷体" w:cs="Times New Roman"/>
          <w:b/>
          <w:spacing w:val="-6"/>
          <w:sz w:val="72"/>
          <w:szCs w:val="72"/>
        </w:rPr>
      </w:pPr>
      <w:r>
        <w:rPr>
          <w:rFonts w:hint="eastAsia" w:ascii="楷体" w:hAnsi="楷体" w:eastAsia="楷体" w:cs="Times New Roman"/>
          <w:b/>
          <w:spacing w:val="-6"/>
          <w:sz w:val="72"/>
          <w:szCs w:val="72"/>
        </w:rPr>
        <w:t>招 标 文 件</w:t>
      </w:r>
    </w:p>
    <w:p>
      <w:pPr>
        <w:widowControl/>
        <w:adjustRightInd w:val="0"/>
        <w:snapToGrid w:val="0"/>
        <w:spacing w:line="288" w:lineRule="auto"/>
        <w:ind w:right="-2"/>
        <w:jc w:val="center"/>
        <w:rPr>
          <w:rFonts w:ascii="楷体" w:hAnsi="楷体" w:eastAsia="楷体" w:cs="Times New Roman"/>
          <w:b/>
          <w:sz w:val="36"/>
          <w:szCs w:val="24"/>
        </w:rPr>
      </w:pPr>
      <w:r>
        <w:rPr>
          <w:rFonts w:hint="eastAsia" w:ascii="楷体" w:hAnsi="楷体" w:eastAsia="楷体" w:cs="Times New Roman"/>
          <w:b/>
          <w:sz w:val="36"/>
          <w:szCs w:val="24"/>
        </w:rPr>
        <w:t>（线上电子招投标）</w:t>
      </w:r>
    </w:p>
    <w:p>
      <w:pPr>
        <w:adjustRightInd w:val="0"/>
        <w:snapToGrid w:val="0"/>
        <w:spacing w:line="288" w:lineRule="auto"/>
        <w:jc w:val="center"/>
        <w:rPr>
          <w:rFonts w:ascii="楷体" w:hAnsi="楷体" w:eastAsia="楷体" w:cs="Times New Roman"/>
          <w:sz w:val="44"/>
          <w:szCs w:val="44"/>
        </w:rPr>
      </w:pPr>
    </w:p>
    <w:p>
      <w:pPr>
        <w:adjustRightInd w:val="0"/>
        <w:snapToGrid w:val="0"/>
        <w:spacing w:line="288" w:lineRule="auto"/>
        <w:jc w:val="center"/>
        <w:rPr>
          <w:rFonts w:ascii="楷体" w:hAnsi="楷体" w:eastAsia="楷体" w:cs="Times New Roman"/>
          <w:sz w:val="44"/>
          <w:szCs w:val="44"/>
        </w:rPr>
      </w:pPr>
    </w:p>
    <w:p>
      <w:pPr>
        <w:adjustRightInd w:val="0"/>
        <w:snapToGrid w:val="0"/>
        <w:spacing w:line="288" w:lineRule="auto"/>
        <w:rPr>
          <w:rFonts w:ascii="楷体" w:hAnsi="楷体" w:eastAsia="楷体" w:cs="Times New Roman"/>
          <w:b/>
          <w:spacing w:val="-6"/>
          <w:sz w:val="30"/>
          <w:szCs w:val="30"/>
        </w:rPr>
      </w:pPr>
      <w:r>
        <w:rPr>
          <w:rFonts w:hint="eastAsia" w:ascii="楷体" w:hAnsi="楷体" w:eastAsia="楷体" w:cs="Times New Roman"/>
          <w:b/>
          <w:spacing w:val="-6"/>
          <w:sz w:val="30"/>
          <w:szCs w:val="30"/>
        </w:rPr>
        <w:t>项目名称：学生生活区组团厨房设备</w:t>
      </w:r>
    </w:p>
    <w:p>
      <w:pPr>
        <w:adjustRightInd w:val="0"/>
        <w:snapToGrid w:val="0"/>
        <w:spacing w:line="288" w:lineRule="auto"/>
        <w:rPr>
          <w:rFonts w:ascii="楷体" w:hAnsi="楷体" w:eastAsia="楷体" w:cs="Times New Roman"/>
          <w:b/>
          <w:spacing w:val="-6"/>
          <w:sz w:val="30"/>
          <w:szCs w:val="30"/>
        </w:rPr>
      </w:pPr>
      <w:r>
        <w:rPr>
          <w:rFonts w:hint="eastAsia" w:ascii="楷体" w:hAnsi="楷体" w:eastAsia="楷体" w:cs="Times New Roman"/>
          <w:b/>
          <w:spacing w:val="-6"/>
          <w:sz w:val="30"/>
          <w:szCs w:val="30"/>
        </w:rPr>
        <w:t xml:space="preserve">项目编号：QSZB-Z(H)-E22190(GK) </w:t>
      </w:r>
    </w:p>
    <w:p>
      <w:pPr>
        <w:adjustRightInd w:val="0"/>
        <w:snapToGrid w:val="0"/>
        <w:spacing w:line="288" w:lineRule="auto"/>
        <w:rPr>
          <w:rFonts w:ascii="楷体" w:hAnsi="楷体" w:eastAsia="楷体" w:cs="Times New Roman"/>
          <w:b/>
          <w:spacing w:val="-6"/>
          <w:sz w:val="30"/>
          <w:szCs w:val="30"/>
        </w:rPr>
      </w:pPr>
      <w:r>
        <w:rPr>
          <w:rFonts w:hint="eastAsia" w:ascii="楷体" w:hAnsi="楷体" w:eastAsia="楷体" w:cs="Times New Roman"/>
          <w:b/>
          <w:spacing w:val="-6"/>
          <w:sz w:val="30"/>
          <w:szCs w:val="30"/>
        </w:rPr>
        <w:t>采 购 人：浙江财经大学</w:t>
      </w:r>
    </w:p>
    <w:p>
      <w:pPr>
        <w:adjustRightInd w:val="0"/>
        <w:snapToGrid w:val="0"/>
        <w:spacing w:line="288" w:lineRule="auto"/>
        <w:rPr>
          <w:rFonts w:ascii="楷体" w:hAnsi="楷体" w:eastAsia="楷体" w:cs="Times New Roman"/>
          <w:b/>
          <w:spacing w:val="-6"/>
          <w:sz w:val="30"/>
          <w:szCs w:val="30"/>
        </w:rPr>
      </w:pPr>
      <w:r>
        <w:rPr>
          <w:rFonts w:hint="eastAsia" w:ascii="楷体" w:hAnsi="楷体" w:eastAsia="楷体" w:cs="Times New Roman"/>
          <w:b/>
          <w:spacing w:val="-6"/>
          <w:sz w:val="30"/>
          <w:szCs w:val="30"/>
        </w:rPr>
        <w:t>采购代理机构：浙江求是招标代理有限公司</w:t>
      </w:r>
    </w:p>
    <w:p>
      <w:pPr>
        <w:adjustRightInd w:val="0"/>
        <w:snapToGrid w:val="0"/>
        <w:spacing w:line="288" w:lineRule="auto"/>
        <w:rPr>
          <w:rFonts w:ascii="楷体" w:hAnsi="楷体" w:eastAsia="楷体" w:cs="Times New Roman"/>
          <w:b/>
          <w:spacing w:val="-6"/>
          <w:sz w:val="30"/>
          <w:szCs w:val="30"/>
        </w:rPr>
      </w:pPr>
      <w:r>
        <w:rPr>
          <w:rFonts w:ascii="楷体" w:hAnsi="楷体" w:eastAsia="楷体" w:cs="Times New Roman"/>
          <w:b/>
          <w:spacing w:val="-6"/>
          <w:sz w:val="30"/>
          <w:szCs w:val="30"/>
        </w:rPr>
        <w:t>采购计划文号：[2022]39115号</w:t>
      </w:r>
      <w:r>
        <w:rPr>
          <w:rFonts w:hint="eastAsia" w:ascii="楷体" w:hAnsi="楷体" w:eastAsia="楷体" w:cs="Times New Roman"/>
          <w:b/>
          <w:spacing w:val="-6"/>
          <w:sz w:val="30"/>
          <w:szCs w:val="30"/>
        </w:rPr>
        <w:t>、</w:t>
      </w:r>
      <w:r>
        <w:rPr>
          <w:rFonts w:ascii="楷体" w:hAnsi="楷体" w:eastAsia="楷体" w:cs="Times New Roman"/>
          <w:b/>
          <w:spacing w:val="-6"/>
          <w:sz w:val="30"/>
          <w:szCs w:val="30"/>
        </w:rPr>
        <w:t>[2022]39102号</w:t>
      </w:r>
    </w:p>
    <w:p>
      <w:pPr>
        <w:adjustRightInd w:val="0"/>
        <w:snapToGrid w:val="0"/>
        <w:spacing w:line="288" w:lineRule="auto"/>
        <w:rPr>
          <w:rFonts w:ascii="楷体" w:hAnsi="楷体" w:eastAsia="楷体" w:cs="Times New Roman"/>
          <w:b/>
          <w:szCs w:val="21"/>
        </w:rPr>
      </w:pPr>
    </w:p>
    <w:p>
      <w:pPr>
        <w:adjustRightInd w:val="0"/>
        <w:snapToGrid w:val="0"/>
        <w:spacing w:line="288" w:lineRule="auto"/>
        <w:rPr>
          <w:rFonts w:ascii="楷体" w:hAnsi="楷体" w:eastAsia="楷体" w:cs="Times New Roman"/>
          <w:b/>
          <w:szCs w:val="21"/>
        </w:rPr>
        <w:sectPr>
          <w:headerReference r:id="rId3" w:type="default"/>
          <w:footerReference r:id="rId4" w:type="default"/>
          <w:pgSz w:w="11906" w:h="16838"/>
          <w:pgMar w:top="1247" w:right="1247" w:bottom="1247" w:left="1247" w:header="0" w:footer="694" w:gutter="0"/>
          <w:pgNumType w:start="1"/>
          <w:cols w:space="720" w:num="1"/>
          <w:docGrid w:linePitch="381" w:charSpace="0"/>
        </w:sectPr>
      </w:pPr>
    </w:p>
    <w:p>
      <w:pPr>
        <w:adjustRightInd w:val="0"/>
        <w:snapToGrid w:val="0"/>
        <w:spacing w:line="288" w:lineRule="auto"/>
        <w:outlineLvl w:val="0"/>
        <w:rPr>
          <w:rFonts w:ascii="楷体" w:hAnsi="楷体" w:eastAsia="楷体" w:cs="Times New Roman"/>
          <w:b/>
          <w:sz w:val="30"/>
          <w:szCs w:val="30"/>
        </w:rPr>
      </w:pPr>
    </w:p>
    <w:p>
      <w:pPr>
        <w:adjustRightInd w:val="0"/>
        <w:snapToGrid w:val="0"/>
        <w:spacing w:line="288" w:lineRule="auto"/>
        <w:jc w:val="center"/>
        <w:outlineLvl w:val="0"/>
        <w:rPr>
          <w:rFonts w:ascii="楷体" w:hAnsi="楷体" w:eastAsia="楷体" w:cs="Times New Roman"/>
          <w:b/>
          <w:sz w:val="30"/>
          <w:szCs w:val="30"/>
        </w:rPr>
      </w:pPr>
      <w:r>
        <w:rPr>
          <w:rFonts w:ascii="楷体" w:hAnsi="楷体" w:eastAsia="楷体" w:cs="Times New Roman"/>
          <w:b/>
          <w:sz w:val="30"/>
          <w:szCs w:val="30"/>
        </w:rPr>
        <w:t>目</w:t>
      </w:r>
      <w:r>
        <w:rPr>
          <w:rFonts w:hint="eastAsia" w:ascii="楷体" w:hAnsi="楷体" w:eastAsia="楷体" w:cs="Times New Roman"/>
          <w:b/>
          <w:sz w:val="30"/>
          <w:szCs w:val="30"/>
        </w:rPr>
        <w:t xml:space="preserve">    </w:t>
      </w:r>
      <w:r>
        <w:rPr>
          <w:rFonts w:ascii="楷体" w:hAnsi="楷体" w:eastAsia="楷体" w:cs="Times New Roman"/>
          <w:b/>
          <w:sz w:val="30"/>
          <w:szCs w:val="30"/>
        </w:rPr>
        <w:t>录</w:t>
      </w:r>
    </w:p>
    <w:p>
      <w:pPr>
        <w:adjustRightInd w:val="0"/>
        <w:snapToGrid w:val="0"/>
        <w:spacing w:line="288" w:lineRule="auto"/>
        <w:rPr>
          <w:rFonts w:ascii="楷体" w:hAnsi="楷体" w:eastAsia="楷体" w:cs="Times New Roman"/>
          <w:b/>
          <w:sz w:val="30"/>
          <w:szCs w:val="30"/>
        </w:rPr>
      </w:pPr>
    </w:p>
    <w:p>
      <w:pPr>
        <w:adjustRightInd w:val="0"/>
        <w:snapToGrid w:val="0"/>
        <w:spacing w:line="288" w:lineRule="auto"/>
        <w:ind w:firstLine="578" w:firstLineChars="200"/>
        <w:rPr>
          <w:rFonts w:ascii="楷体" w:hAnsi="楷体" w:eastAsia="楷体" w:cs="Times New Roman"/>
          <w:b/>
          <w:spacing w:val="-6"/>
          <w:sz w:val="30"/>
          <w:szCs w:val="30"/>
        </w:rPr>
      </w:pPr>
      <w:r>
        <w:rPr>
          <w:rFonts w:hint="eastAsia" w:ascii="楷体" w:hAnsi="楷体" w:eastAsia="楷体" w:cs="Times New Roman"/>
          <w:b/>
          <w:spacing w:val="-6"/>
          <w:sz w:val="30"/>
          <w:szCs w:val="30"/>
        </w:rPr>
        <w:t>第一章  投标邀请</w:t>
      </w:r>
    </w:p>
    <w:p>
      <w:pPr>
        <w:adjustRightInd w:val="0"/>
        <w:snapToGrid w:val="0"/>
        <w:spacing w:line="288" w:lineRule="auto"/>
        <w:ind w:firstLine="578" w:firstLineChars="200"/>
        <w:rPr>
          <w:rFonts w:ascii="楷体" w:hAnsi="楷体" w:eastAsia="楷体" w:cs="Times New Roman"/>
          <w:b/>
          <w:spacing w:val="-6"/>
          <w:sz w:val="30"/>
          <w:szCs w:val="30"/>
        </w:rPr>
      </w:pPr>
      <w:r>
        <w:rPr>
          <w:rFonts w:hint="eastAsia" w:ascii="楷体" w:hAnsi="楷体" w:eastAsia="楷体" w:cs="Times New Roman"/>
          <w:b/>
          <w:spacing w:val="-6"/>
          <w:sz w:val="30"/>
          <w:szCs w:val="30"/>
        </w:rPr>
        <w:t>第二章  采购需求</w:t>
      </w:r>
    </w:p>
    <w:p>
      <w:pPr>
        <w:adjustRightInd w:val="0"/>
        <w:snapToGrid w:val="0"/>
        <w:spacing w:line="288" w:lineRule="auto"/>
        <w:ind w:firstLine="578" w:firstLineChars="200"/>
        <w:rPr>
          <w:rFonts w:ascii="楷体" w:hAnsi="楷体" w:eastAsia="楷体" w:cs="Times New Roman"/>
          <w:b/>
          <w:spacing w:val="-6"/>
          <w:sz w:val="30"/>
          <w:szCs w:val="30"/>
        </w:rPr>
      </w:pPr>
      <w:r>
        <w:rPr>
          <w:rFonts w:hint="eastAsia" w:ascii="楷体" w:hAnsi="楷体" w:eastAsia="楷体" w:cs="Times New Roman"/>
          <w:b/>
          <w:spacing w:val="-6"/>
          <w:sz w:val="30"/>
          <w:szCs w:val="30"/>
        </w:rPr>
        <w:t>第三章  投标人须知</w:t>
      </w:r>
    </w:p>
    <w:p>
      <w:pPr>
        <w:adjustRightInd w:val="0"/>
        <w:snapToGrid w:val="0"/>
        <w:spacing w:line="288" w:lineRule="auto"/>
        <w:ind w:firstLine="578" w:firstLineChars="200"/>
        <w:rPr>
          <w:rFonts w:ascii="楷体" w:hAnsi="楷体" w:eastAsia="楷体" w:cs="Times New Roman"/>
          <w:b/>
          <w:spacing w:val="-6"/>
          <w:sz w:val="30"/>
          <w:szCs w:val="30"/>
        </w:rPr>
      </w:pPr>
      <w:r>
        <w:rPr>
          <w:rFonts w:hint="eastAsia" w:ascii="楷体" w:hAnsi="楷体" w:eastAsia="楷体" w:cs="Times New Roman"/>
          <w:b/>
          <w:spacing w:val="-6"/>
          <w:sz w:val="30"/>
          <w:szCs w:val="30"/>
        </w:rPr>
        <w:t>第四章  评标方法及评标标准</w:t>
      </w:r>
    </w:p>
    <w:p>
      <w:pPr>
        <w:adjustRightInd w:val="0"/>
        <w:snapToGrid w:val="0"/>
        <w:spacing w:line="288" w:lineRule="auto"/>
        <w:ind w:firstLine="578" w:firstLineChars="200"/>
        <w:rPr>
          <w:rFonts w:ascii="楷体" w:hAnsi="楷体" w:eastAsia="楷体" w:cs="Times New Roman"/>
          <w:b/>
          <w:spacing w:val="-6"/>
          <w:sz w:val="30"/>
          <w:szCs w:val="30"/>
        </w:rPr>
      </w:pPr>
      <w:r>
        <w:rPr>
          <w:rFonts w:hint="eastAsia" w:ascii="楷体" w:hAnsi="楷体" w:eastAsia="楷体" w:cs="Times New Roman"/>
          <w:b/>
          <w:spacing w:val="-6"/>
          <w:sz w:val="30"/>
          <w:szCs w:val="30"/>
        </w:rPr>
        <w:t>第五章  拟签订的合同文本</w:t>
      </w:r>
    </w:p>
    <w:p>
      <w:pPr>
        <w:adjustRightInd w:val="0"/>
        <w:snapToGrid w:val="0"/>
        <w:spacing w:line="288" w:lineRule="auto"/>
        <w:ind w:firstLine="578" w:firstLineChars="200"/>
        <w:rPr>
          <w:rFonts w:ascii="楷体" w:hAnsi="楷体" w:eastAsia="楷体" w:cs="Times New Roman"/>
          <w:b/>
          <w:spacing w:val="-6"/>
          <w:sz w:val="30"/>
          <w:szCs w:val="30"/>
        </w:rPr>
      </w:pPr>
      <w:r>
        <w:rPr>
          <w:rFonts w:hint="eastAsia" w:ascii="楷体" w:hAnsi="楷体" w:eastAsia="楷体" w:cs="Times New Roman"/>
          <w:b/>
          <w:spacing w:val="-6"/>
          <w:sz w:val="30"/>
          <w:szCs w:val="30"/>
        </w:rPr>
        <w:t>第六章  投标文件格式</w:t>
      </w:r>
    </w:p>
    <w:p>
      <w:pPr>
        <w:widowControl/>
        <w:adjustRightInd w:val="0"/>
        <w:snapToGrid w:val="0"/>
        <w:spacing w:line="288" w:lineRule="auto"/>
        <w:jc w:val="left"/>
        <w:rPr>
          <w:rFonts w:ascii="宋体" w:hAnsi="宋体" w:eastAsia="宋体" w:cs="Times New Roman"/>
          <w:szCs w:val="21"/>
        </w:rPr>
      </w:pPr>
    </w:p>
    <w:p>
      <w:pPr>
        <w:widowControl/>
        <w:adjustRightInd w:val="0"/>
        <w:snapToGrid w:val="0"/>
        <w:spacing w:line="288" w:lineRule="auto"/>
        <w:jc w:val="left"/>
        <w:rPr>
          <w:rFonts w:ascii="宋体" w:hAnsi="宋体" w:eastAsia="宋体" w:cs="Times New Roman"/>
          <w:szCs w:val="21"/>
        </w:rPr>
        <w:sectPr>
          <w:footerReference r:id="rId5" w:type="default"/>
          <w:pgSz w:w="11906" w:h="16838"/>
          <w:pgMar w:top="1247" w:right="1247" w:bottom="1247" w:left="1247" w:header="0" w:footer="694" w:gutter="0"/>
          <w:cols w:space="720" w:num="1"/>
          <w:docGrid w:linePitch="381" w:charSpace="0"/>
        </w:sectPr>
      </w:pPr>
    </w:p>
    <w:p>
      <w:pPr>
        <w:adjustRightInd w:val="0"/>
        <w:snapToGrid w:val="0"/>
        <w:spacing w:line="288" w:lineRule="auto"/>
        <w:jc w:val="center"/>
        <w:outlineLvl w:val="0"/>
        <w:rPr>
          <w:rFonts w:ascii="宋体" w:hAnsi="宋体" w:eastAsia="宋体" w:cs="Times New Roman"/>
          <w:b/>
          <w:spacing w:val="-6"/>
          <w:sz w:val="32"/>
          <w:szCs w:val="32"/>
        </w:rPr>
      </w:pPr>
      <w:r>
        <w:rPr>
          <w:rFonts w:ascii="宋体" w:hAnsi="宋体" w:eastAsia="宋体" w:cs="Times New Roman"/>
          <w:b/>
          <w:spacing w:val="-6"/>
          <w:sz w:val="32"/>
          <w:szCs w:val="32"/>
        </w:rPr>
        <w:t>第一章  投标邀请</w:t>
      </w:r>
    </w:p>
    <w:p>
      <w:pPr>
        <w:pBdr>
          <w:top w:val="single" w:color="auto" w:sz="4" w:space="1"/>
          <w:left w:val="single" w:color="auto" w:sz="4" w:space="4"/>
          <w:bottom w:val="single" w:color="auto" w:sz="4" w:space="1"/>
          <w:right w:val="single" w:color="auto" w:sz="4" w:space="4"/>
        </w:pBdr>
        <w:adjustRightInd w:val="0"/>
        <w:snapToGrid w:val="0"/>
        <w:spacing w:line="288" w:lineRule="auto"/>
        <w:ind w:firstLine="422" w:firstLineChars="200"/>
        <w:rPr>
          <w:rFonts w:ascii="宋体" w:hAnsi="宋体" w:eastAsia="宋体" w:cs="Times New Roman"/>
          <w:b/>
          <w:szCs w:val="21"/>
        </w:rPr>
      </w:pPr>
      <w:r>
        <w:rPr>
          <w:rFonts w:hint="eastAsia" w:ascii="宋体" w:hAnsi="宋体" w:eastAsia="宋体" w:cs="Times New Roman"/>
          <w:b/>
          <w:szCs w:val="21"/>
        </w:rPr>
        <w:t>项目概况</w:t>
      </w:r>
    </w:p>
    <w:p>
      <w:pPr>
        <w:pBdr>
          <w:top w:val="single" w:color="auto" w:sz="4" w:space="1"/>
          <w:left w:val="single" w:color="auto" w:sz="4" w:space="4"/>
          <w:bottom w:val="single" w:color="auto" w:sz="4" w:space="1"/>
          <w:right w:val="single" w:color="auto" w:sz="4" w:space="4"/>
        </w:pBdr>
        <w:adjustRightInd w:val="0"/>
        <w:snapToGrid w:val="0"/>
        <w:spacing w:line="288" w:lineRule="auto"/>
        <w:ind w:firstLine="422" w:firstLineChars="200"/>
        <w:jc w:val="left"/>
        <w:rPr>
          <w:rFonts w:ascii="宋体" w:hAnsi="宋体" w:eastAsia="宋体" w:cs="Times New Roman"/>
          <w:b/>
          <w:szCs w:val="21"/>
        </w:rPr>
      </w:pPr>
      <w:r>
        <w:rPr>
          <w:rFonts w:hint="eastAsia" w:ascii="宋体" w:hAnsi="宋体" w:eastAsia="宋体" w:cs="Times New Roman"/>
          <w:b/>
          <w:szCs w:val="21"/>
          <w:u w:val="single"/>
        </w:rPr>
        <w:t xml:space="preserve"> 学生生活区组团厨房设备 </w:t>
      </w:r>
      <w:r>
        <w:rPr>
          <w:rFonts w:hint="eastAsia" w:ascii="宋体" w:hAnsi="宋体" w:eastAsia="宋体" w:cs="Times New Roman"/>
          <w:b/>
          <w:szCs w:val="21"/>
        </w:rPr>
        <w:t>招标项目的潜在投标人应在</w:t>
      </w:r>
      <w:r>
        <w:rPr>
          <w:rFonts w:hint="eastAsia" w:ascii="宋体" w:hAnsi="宋体" w:eastAsia="宋体" w:cs="Times New Roman"/>
          <w:b/>
          <w:szCs w:val="21"/>
          <w:u w:val="single"/>
        </w:rPr>
        <w:t xml:space="preserve"> 政府采购云平台（https：//www.zcygov.cn）</w:t>
      </w:r>
      <w:r>
        <w:rPr>
          <w:rFonts w:hint="eastAsia" w:ascii="宋体" w:hAnsi="宋体" w:eastAsia="宋体" w:cs="Times New Roman"/>
          <w:b/>
          <w:szCs w:val="21"/>
        </w:rPr>
        <w:t>获取（下载）招标文件，并于</w:t>
      </w:r>
      <w:r>
        <w:rPr>
          <w:rFonts w:hint="eastAsia" w:ascii="宋体" w:hAnsi="宋体" w:eastAsia="宋体" w:cs="Times New Roman"/>
          <w:b/>
          <w:szCs w:val="21"/>
          <w:u w:val="single"/>
        </w:rPr>
        <w:t>2022年07月30日13：30：00（北京时间）</w:t>
      </w:r>
      <w:r>
        <w:rPr>
          <w:rFonts w:hint="eastAsia" w:ascii="宋体" w:hAnsi="宋体" w:eastAsia="宋体" w:cs="Times New Roman"/>
          <w:b/>
          <w:bCs/>
          <w:szCs w:val="21"/>
        </w:rPr>
        <w:t>前递交（上传）投标</w:t>
      </w:r>
      <w:r>
        <w:rPr>
          <w:rFonts w:ascii="宋体" w:hAnsi="宋体" w:eastAsia="宋体" w:cs="Times New Roman"/>
          <w:b/>
          <w:bCs/>
          <w:szCs w:val="21"/>
        </w:rPr>
        <w:t>文件</w:t>
      </w:r>
      <w:r>
        <w:rPr>
          <w:rFonts w:hint="eastAsia" w:ascii="宋体" w:hAnsi="宋体" w:eastAsia="宋体" w:cs="Times New Roman"/>
          <w:b/>
          <w:szCs w:val="21"/>
        </w:rPr>
        <w:t>。</w:t>
      </w:r>
    </w:p>
    <w:p>
      <w:pPr>
        <w:adjustRightInd w:val="0"/>
        <w:snapToGrid w:val="0"/>
        <w:spacing w:line="288" w:lineRule="auto"/>
        <w:rPr>
          <w:rFonts w:ascii="宋体" w:hAnsi="宋体" w:eastAsia="宋体" w:cs="宋体"/>
          <w:b/>
          <w:szCs w:val="21"/>
        </w:rPr>
      </w:pPr>
      <w:bookmarkStart w:id="0" w:name="_Toc28359002"/>
      <w:bookmarkStart w:id="1" w:name="_Toc35393621"/>
      <w:bookmarkStart w:id="2" w:name="_Toc35393790"/>
      <w:bookmarkStart w:id="3" w:name="_Toc28359079"/>
      <w:bookmarkStart w:id="4" w:name="_Hlk24379207"/>
      <w:r>
        <w:rPr>
          <w:rFonts w:hint="eastAsia" w:ascii="宋体" w:hAnsi="宋体" w:eastAsia="宋体" w:cs="宋体"/>
          <w:b/>
          <w:szCs w:val="21"/>
        </w:rPr>
        <w:t>一、项目基本情况</w:t>
      </w:r>
      <w:bookmarkEnd w:id="0"/>
      <w:bookmarkEnd w:id="1"/>
      <w:bookmarkEnd w:id="2"/>
      <w:bookmarkEnd w:id="3"/>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t xml:space="preserve">1.项目编号：QSZB-Z(H)-E22190(GK) </w:t>
      </w:r>
    </w:p>
    <w:p>
      <w:pPr>
        <w:adjustRightInd w:val="0"/>
        <w:snapToGrid w:val="0"/>
        <w:spacing w:line="288" w:lineRule="auto"/>
        <w:ind w:firstLine="420" w:firstLineChars="200"/>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.项目名称：学生生活区组团厨房设备</w:t>
      </w:r>
    </w:p>
    <w:bookmarkEnd w:id="4"/>
    <w:p>
      <w:pPr>
        <w:adjustRightInd w:val="0"/>
        <w:snapToGrid w:val="0"/>
        <w:spacing w:line="288" w:lineRule="auto"/>
        <w:ind w:firstLine="420" w:firstLineChars="200"/>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.预算金额：</w:t>
      </w:r>
      <w:r>
        <w:rPr>
          <w:rFonts w:ascii="宋体" w:hAnsi="宋体" w:eastAsia="宋体" w:cs="Times New Roman"/>
          <w:szCs w:val="21"/>
        </w:rPr>
        <w:t>2800000</w:t>
      </w:r>
      <w:r>
        <w:rPr>
          <w:rFonts w:hint="eastAsia" w:ascii="宋体" w:hAnsi="宋体" w:eastAsia="宋体" w:cs="Times New Roman"/>
          <w:szCs w:val="21"/>
        </w:rPr>
        <w:t>元</w:t>
      </w:r>
    </w:p>
    <w:p>
      <w:pPr>
        <w:adjustRightInd w:val="0"/>
        <w:snapToGrid w:val="0"/>
        <w:spacing w:line="288" w:lineRule="auto"/>
        <w:ind w:firstLine="420" w:firstLineChars="200"/>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.最高限价：</w:t>
      </w:r>
      <w:r>
        <w:rPr>
          <w:rFonts w:ascii="宋体" w:hAnsi="宋体" w:eastAsia="宋体" w:cs="Times New Roman"/>
          <w:szCs w:val="21"/>
        </w:rPr>
        <w:t>2800000</w:t>
      </w:r>
      <w:r>
        <w:rPr>
          <w:rFonts w:hint="eastAsia" w:ascii="宋体" w:hAnsi="宋体" w:eastAsia="宋体" w:cs="Times New Roman"/>
          <w:szCs w:val="21"/>
        </w:rPr>
        <w:t>元</w:t>
      </w:r>
    </w:p>
    <w:p>
      <w:pPr>
        <w:adjustRightInd w:val="0"/>
        <w:snapToGrid w:val="0"/>
        <w:spacing w:line="288" w:lineRule="auto"/>
        <w:ind w:firstLine="420" w:firstLineChars="200"/>
        <w:rPr>
          <w:rFonts w:ascii="宋体" w:hAnsi="宋体" w:eastAsia="宋体" w:cs="Times New Roman"/>
          <w:szCs w:val="21"/>
          <w:u w:val="single"/>
        </w:rPr>
      </w:pPr>
      <w:r>
        <w:rPr>
          <w:rFonts w:ascii="宋体" w:hAnsi="宋体" w:eastAsia="宋体" w:cs="Times New Roman"/>
          <w:szCs w:val="21"/>
        </w:rPr>
        <w:t>5</w:t>
      </w:r>
      <w:r>
        <w:rPr>
          <w:rFonts w:hint="eastAsia" w:ascii="宋体" w:hAnsi="宋体" w:eastAsia="宋体" w:cs="Times New Roman"/>
          <w:szCs w:val="21"/>
        </w:rPr>
        <w:t>.合同履约期限：</w:t>
      </w:r>
      <w:r>
        <w:rPr>
          <w:rFonts w:hint="eastAsia" w:ascii="宋体" w:hAnsi="宋体" w:eastAsia="宋体" w:cs="宋体"/>
          <w:szCs w:val="21"/>
        </w:rPr>
        <w:t>收到采购人指令单后</w:t>
      </w:r>
      <w:r>
        <w:rPr>
          <w:rFonts w:ascii="宋体" w:hAnsi="宋体" w:eastAsia="宋体" w:cs="宋体"/>
          <w:szCs w:val="21"/>
        </w:rPr>
        <w:t>30天内交货安装调试，具体时间根据学校实际工程进度再另行通知</w:t>
      </w:r>
      <w:r>
        <w:rPr>
          <w:rFonts w:hint="eastAsia" w:ascii="宋体" w:hAnsi="宋体" w:eastAsia="宋体" w:cs="宋体"/>
          <w:szCs w:val="21"/>
        </w:rPr>
        <w:t>。</w:t>
      </w:r>
    </w:p>
    <w:p>
      <w:pPr>
        <w:adjustRightInd w:val="0"/>
        <w:snapToGrid w:val="0"/>
        <w:spacing w:line="288" w:lineRule="auto"/>
        <w:ind w:firstLine="420" w:firstLineChars="200"/>
        <w:rPr>
          <w:rFonts w:ascii="宋体" w:hAnsi="宋体" w:eastAsia="宋体" w:cs="Times New Roman"/>
          <w:bCs/>
          <w:szCs w:val="21"/>
        </w:rPr>
      </w:pPr>
      <w:r>
        <w:rPr>
          <w:rFonts w:ascii="宋体" w:hAnsi="宋体" w:eastAsia="宋体" w:cs="Times New Roman"/>
          <w:bCs/>
          <w:szCs w:val="21"/>
        </w:rPr>
        <w:t>6</w:t>
      </w:r>
      <w:r>
        <w:rPr>
          <w:rFonts w:hint="eastAsia" w:ascii="宋体" w:hAnsi="宋体" w:eastAsia="宋体" w:cs="Times New Roman"/>
          <w:bCs/>
          <w:szCs w:val="21"/>
        </w:rPr>
        <w:t>.本项目（是）接受联合体投标。</w:t>
      </w:r>
    </w:p>
    <w:p>
      <w:pPr>
        <w:adjustRightInd w:val="0"/>
        <w:snapToGrid w:val="0"/>
        <w:spacing w:line="288" w:lineRule="auto"/>
        <w:ind w:firstLine="420" w:firstLineChars="200"/>
        <w:rPr>
          <w:rFonts w:ascii="宋体" w:hAnsi="宋体" w:eastAsia="宋体" w:cs="Times New Roman"/>
          <w:szCs w:val="21"/>
        </w:rPr>
      </w:pPr>
      <w:r>
        <w:rPr>
          <w:rFonts w:ascii="宋体" w:hAnsi="宋体" w:eastAsia="宋体" w:cs="Times New Roman"/>
          <w:szCs w:val="21"/>
        </w:rPr>
        <w:t>7</w:t>
      </w:r>
      <w:r>
        <w:rPr>
          <w:rFonts w:hint="eastAsia" w:ascii="宋体" w:hAnsi="宋体" w:eastAsia="宋体" w:cs="Times New Roman"/>
          <w:szCs w:val="21"/>
        </w:rPr>
        <w:t>.采购需求：</w:t>
      </w:r>
    </w:p>
    <w:tbl>
      <w:tblPr>
        <w:tblStyle w:val="27"/>
        <w:tblW w:w="949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3006"/>
        <w:gridCol w:w="708"/>
        <w:gridCol w:w="709"/>
        <w:gridCol w:w="3119"/>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9" w:hRule="atLeast"/>
        </w:trPr>
        <w:tc>
          <w:tcPr>
            <w:tcW w:w="675" w:type="dxa"/>
            <w:tcBorders>
              <w:tl2br w:val="nil"/>
              <w:tr2bl w:val="nil"/>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序号</w:t>
            </w:r>
          </w:p>
        </w:tc>
        <w:tc>
          <w:tcPr>
            <w:tcW w:w="3006" w:type="dxa"/>
            <w:tcBorders>
              <w:right w:val="single" w:color="auto" w:sz="4" w:space="0"/>
              <w:tl2br w:val="nil"/>
              <w:tr2bl w:val="nil"/>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名称</w:t>
            </w:r>
          </w:p>
        </w:tc>
        <w:tc>
          <w:tcPr>
            <w:tcW w:w="708" w:type="dxa"/>
            <w:tcBorders>
              <w:tl2br w:val="nil"/>
              <w:tr2bl w:val="nil"/>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数量</w:t>
            </w:r>
          </w:p>
        </w:tc>
        <w:tc>
          <w:tcPr>
            <w:tcW w:w="709" w:type="dxa"/>
            <w:tcBorders>
              <w:tl2br w:val="nil"/>
              <w:tr2bl w:val="nil"/>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单位</w:t>
            </w:r>
          </w:p>
        </w:tc>
        <w:tc>
          <w:tcPr>
            <w:tcW w:w="3119" w:type="dxa"/>
            <w:tcBorders>
              <w:right w:val="single" w:color="auto" w:sz="4" w:space="0"/>
              <w:tl2br w:val="nil"/>
              <w:tr2bl w:val="nil"/>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简要技术需求或服务要求</w:t>
            </w:r>
          </w:p>
        </w:tc>
        <w:tc>
          <w:tcPr>
            <w:tcW w:w="1276" w:type="dxa"/>
            <w:tcBorders>
              <w:right w:val="single" w:color="auto" w:sz="4" w:space="0"/>
              <w:tl2br w:val="nil"/>
              <w:tr2bl w:val="nil"/>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szCs w:val="21"/>
              </w:rPr>
              <w:t>是否允许采购进口产品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tcBorders>
              <w:tl2br w:val="nil"/>
              <w:tr2bl w:val="nil"/>
            </w:tcBorders>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1</w:t>
            </w:r>
          </w:p>
        </w:tc>
        <w:tc>
          <w:tcPr>
            <w:tcW w:w="3006" w:type="dxa"/>
            <w:tcBorders>
              <w:right w:val="single" w:color="auto" w:sz="4" w:space="0"/>
              <w:tl2br w:val="nil"/>
              <w:tr2bl w:val="nil"/>
            </w:tcBorders>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Times New Roman"/>
                <w:szCs w:val="21"/>
              </w:rPr>
              <w:t>学生生活区组团厨房设备</w:t>
            </w:r>
          </w:p>
        </w:tc>
        <w:tc>
          <w:tcPr>
            <w:tcW w:w="708" w:type="dxa"/>
            <w:tcBorders>
              <w:tl2br w:val="nil"/>
              <w:tr2bl w:val="nil"/>
            </w:tcBorders>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1</w:t>
            </w:r>
          </w:p>
        </w:tc>
        <w:tc>
          <w:tcPr>
            <w:tcW w:w="709" w:type="dxa"/>
            <w:tcBorders>
              <w:tl2br w:val="nil"/>
              <w:tr2bl w:val="nil"/>
            </w:tcBorders>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批</w:t>
            </w:r>
          </w:p>
        </w:tc>
        <w:tc>
          <w:tcPr>
            <w:tcW w:w="3119" w:type="dxa"/>
            <w:tcBorders>
              <w:right w:val="single" w:color="auto" w:sz="4" w:space="0"/>
              <w:tl2br w:val="nil"/>
              <w:tr2bl w:val="nil"/>
            </w:tcBorders>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详见第二章采购需求</w:t>
            </w:r>
          </w:p>
        </w:tc>
        <w:tc>
          <w:tcPr>
            <w:tcW w:w="1276" w:type="dxa"/>
            <w:tcBorders>
              <w:right w:val="single" w:color="auto" w:sz="4" w:space="0"/>
              <w:tl2br w:val="nil"/>
              <w:tr2bl w:val="nil"/>
            </w:tcBorders>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否</w:t>
            </w:r>
          </w:p>
        </w:tc>
      </w:tr>
    </w:tbl>
    <w:p>
      <w:pPr>
        <w:adjustRightInd w:val="0"/>
        <w:snapToGrid w:val="0"/>
        <w:spacing w:line="288" w:lineRule="auto"/>
        <w:rPr>
          <w:rFonts w:ascii="宋体" w:hAnsi="宋体" w:eastAsia="宋体" w:cs="宋体"/>
          <w:b/>
          <w:szCs w:val="21"/>
        </w:rPr>
      </w:pPr>
      <w:bookmarkStart w:id="5" w:name="_Toc28359080"/>
      <w:bookmarkStart w:id="6" w:name="_Toc28359003"/>
      <w:bookmarkStart w:id="7" w:name="_Toc35393791"/>
      <w:bookmarkStart w:id="8" w:name="_Toc35393622"/>
      <w:r>
        <w:rPr>
          <w:rFonts w:hint="eastAsia" w:ascii="宋体" w:hAnsi="宋体" w:eastAsia="宋体" w:cs="宋体"/>
          <w:b/>
          <w:szCs w:val="21"/>
        </w:rPr>
        <w:t>二、申请人的资格要求：</w:t>
      </w:r>
      <w:bookmarkEnd w:id="5"/>
      <w:bookmarkEnd w:id="6"/>
      <w:bookmarkEnd w:id="7"/>
      <w:bookmarkEnd w:id="8"/>
    </w:p>
    <w:p>
      <w:pPr>
        <w:adjustRightInd w:val="0"/>
        <w:snapToGrid w:val="0"/>
        <w:spacing w:line="288" w:lineRule="auto"/>
        <w:ind w:firstLine="420" w:firstLineChars="200"/>
        <w:rPr>
          <w:rFonts w:ascii="宋体" w:hAnsi="宋体" w:eastAsia="宋体" w:cs="Times New Roman"/>
          <w:bCs/>
          <w:szCs w:val="21"/>
        </w:rPr>
      </w:pPr>
      <w:r>
        <w:rPr>
          <w:rFonts w:hint="eastAsia" w:ascii="宋体" w:hAnsi="宋体" w:eastAsia="宋体" w:cs="Times New Roman"/>
          <w:bCs/>
          <w:szCs w:val="21"/>
        </w:rPr>
        <w:t>1.满足《中华人民共和国政府采购法》第二十二条规定，未被“信用中国”（www.creditchina.gov.cn）</w:t>
      </w:r>
      <w:r>
        <w:rPr>
          <w:rFonts w:ascii="宋体" w:hAnsi="宋体" w:eastAsia="宋体" w:cs="Times New Roman"/>
          <w:bCs/>
          <w:szCs w:val="21"/>
        </w:rPr>
        <w:t>、中国政府采购网（www.ccgp.gov.cn）列入失信被执行人、重大税收违法案件当事人名单、政府采购严重违法失信行为记录名单</w:t>
      </w:r>
      <w:r>
        <w:rPr>
          <w:rFonts w:hint="eastAsia" w:ascii="宋体" w:hAnsi="宋体" w:eastAsia="宋体" w:cs="Times New Roman"/>
          <w:bCs/>
          <w:szCs w:val="21"/>
        </w:rPr>
        <w:t>；</w:t>
      </w:r>
    </w:p>
    <w:p>
      <w:pPr>
        <w:adjustRightInd w:val="0"/>
        <w:snapToGrid w:val="0"/>
        <w:spacing w:line="288" w:lineRule="auto"/>
        <w:ind w:firstLine="420" w:firstLineChars="200"/>
        <w:rPr>
          <w:rFonts w:ascii="宋体" w:hAnsi="宋体" w:eastAsia="宋体" w:cs="Times New Roman"/>
          <w:szCs w:val="21"/>
        </w:rPr>
      </w:pPr>
      <w:bookmarkStart w:id="9" w:name="_Toc28359081"/>
      <w:bookmarkStart w:id="10" w:name="_Toc28359004"/>
      <w:r>
        <w:rPr>
          <w:rFonts w:hint="eastAsia" w:ascii="宋体" w:hAnsi="宋体" w:eastAsia="宋体" w:cs="Times New Roman"/>
          <w:szCs w:val="21"/>
        </w:rPr>
        <w:t>2.落实政府采购政策需满足的资格要求：无</w:t>
      </w:r>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t>3.本项目的特定资格要求：无</w:t>
      </w:r>
    </w:p>
    <w:p>
      <w:pPr>
        <w:adjustRightInd w:val="0"/>
        <w:snapToGrid w:val="0"/>
        <w:spacing w:line="288" w:lineRule="auto"/>
        <w:rPr>
          <w:rFonts w:ascii="宋体" w:hAnsi="宋体" w:eastAsia="宋体" w:cs="宋体"/>
          <w:b/>
          <w:szCs w:val="21"/>
        </w:rPr>
      </w:pPr>
      <w:bookmarkStart w:id="11" w:name="_Toc35393623"/>
      <w:bookmarkStart w:id="12" w:name="_Toc35393792"/>
      <w:r>
        <w:rPr>
          <w:rFonts w:hint="eastAsia" w:ascii="宋体" w:hAnsi="宋体" w:eastAsia="宋体" w:cs="宋体"/>
          <w:b/>
          <w:szCs w:val="21"/>
        </w:rPr>
        <w:t>三、获取招标文件</w:t>
      </w:r>
      <w:bookmarkEnd w:id="9"/>
      <w:bookmarkEnd w:id="10"/>
      <w:bookmarkEnd w:id="11"/>
      <w:bookmarkEnd w:id="12"/>
    </w:p>
    <w:p>
      <w:pPr>
        <w:adjustRightInd w:val="0"/>
        <w:snapToGrid w:val="0"/>
        <w:spacing w:line="288" w:lineRule="auto"/>
        <w:ind w:firstLine="420" w:firstLineChars="200"/>
        <w:rPr>
          <w:rFonts w:ascii="宋体" w:hAnsi="宋体" w:eastAsia="宋体" w:cs="Times New Roman"/>
          <w:szCs w:val="21"/>
        </w:rPr>
      </w:pPr>
      <w:bookmarkStart w:id="13" w:name="_Toc28359082"/>
      <w:bookmarkStart w:id="14" w:name="_Toc28359005"/>
      <w:bookmarkStart w:id="15" w:name="_Toc35393624"/>
      <w:bookmarkStart w:id="16" w:name="_Toc35393793"/>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时间：</w:t>
      </w:r>
      <w:r>
        <w:rPr>
          <w:rFonts w:ascii="宋体" w:hAnsi="宋体" w:eastAsia="宋体" w:cs="Times New Roman"/>
          <w:szCs w:val="21"/>
        </w:rPr>
        <w:t>/</w:t>
      </w:r>
      <w:r>
        <w:rPr>
          <w:rFonts w:hint="eastAsia" w:ascii="宋体" w:hAnsi="宋体" w:eastAsia="宋体" w:cs="Times New Roman"/>
          <w:szCs w:val="21"/>
        </w:rPr>
        <w:t>至2022年07月30日，上午</w:t>
      </w:r>
      <w:r>
        <w:rPr>
          <w:rFonts w:hint="eastAsia" w:ascii="宋体" w:hAnsi="宋体" w:eastAsia="宋体" w:cs="Times New Roman"/>
          <w:bCs/>
          <w:szCs w:val="21"/>
        </w:rPr>
        <w:t>00：00至12：00，下午12：00至23：59（北京时间，线上获取法定节假日均可，线下获取文件法定节假日除外）</w:t>
      </w:r>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地点（网址）：政府采购云平台（https：//www.zcygov.cn）</w:t>
      </w:r>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w:t>
      </w:r>
      <w:r>
        <w:rPr>
          <w:rFonts w:hint="eastAsia" w:ascii="宋体" w:hAnsi="宋体" w:eastAsia="宋体" w:cs="Times New Roman"/>
          <w:szCs w:val="21"/>
        </w:rPr>
        <w:t>方式：供应商登录政采云平台（https：//www.zcygov.cn）</w:t>
      </w:r>
      <w:r>
        <w:rPr>
          <w:rFonts w:ascii="宋体" w:hAnsi="宋体" w:eastAsia="宋体" w:cs="Times New Roman"/>
          <w:szCs w:val="21"/>
        </w:rPr>
        <w:t>在线申请获取采购文件（进入“项目采购”应用，在获取采购文件菜单中选择项目，申请获取采购文件）。</w:t>
      </w:r>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售价（元）：0</w:t>
      </w:r>
    </w:p>
    <w:p>
      <w:pPr>
        <w:adjustRightInd w:val="0"/>
        <w:snapToGrid w:val="0"/>
        <w:spacing w:line="288" w:lineRule="auto"/>
        <w:rPr>
          <w:rFonts w:ascii="宋体" w:hAnsi="宋体" w:eastAsia="宋体" w:cs="宋体"/>
          <w:b/>
          <w:szCs w:val="21"/>
        </w:rPr>
      </w:pPr>
      <w:r>
        <w:rPr>
          <w:rFonts w:hint="eastAsia" w:ascii="宋体" w:hAnsi="宋体" w:eastAsia="宋体" w:cs="宋体"/>
          <w:b/>
          <w:szCs w:val="21"/>
        </w:rPr>
        <w:t>四、提交（上传）投标文件</w:t>
      </w:r>
      <w:bookmarkEnd w:id="13"/>
      <w:bookmarkEnd w:id="14"/>
      <w:r>
        <w:rPr>
          <w:rFonts w:hint="eastAsia" w:ascii="宋体" w:hAnsi="宋体" w:eastAsia="宋体" w:cs="宋体"/>
          <w:b/>
          <w:szCs w:val="21"/>
        </w:rPr>
        <w:t>截止时间、开标时间和地点</w:t>
      </w:r>
      <w:bookmarkEnd w:id="15"/>
      <w:bookmarkEnd w:id="16"/>
    </w:p>
    <w:p>
      <w:pPr>
        <w:adjustRightInd w:val="0"/>
        <w:snapToGrid w:val="0"/>
        <w:spacing w:line="288" w:lineRule="auto"/>
        <w:ind w:firstLine="420" w:firstLineChars="200"/>
        <w:rPr>
          <w:rFonts w:ascii="宋体" w:hAnsi="宋体" w:eastAsia="宋体" w:cs="Times New Roman"/>
          <w:bCs/>
          <w:szCs w:val="21"/>
        </w:rPr>
      </w:pPr>
      <w:bookmarkStart w:id="17" w:name="_Hlk81212057"/>
      <w:r>
        <w:rPr>
          <w:rFonts w:hint="eastAsia" w:ascii="宋体" w:hAnsi="宋体" w:eastAsia="宋体" w:cs="Times New Roman"/>
          <w:bCs/>
          <w:szCs w:val="21"/>
        </w:rPr>
        <w:t>提交投标文件截止时间：2022年07月30日13：30：00（北京时间）</w:t>
      </w:r>
    </w:p>
    <w:p>
      <w:pPr>
        <w:adjustRightInd w:val="0"/>
        <w:snapToGrid w:val="0"/>
        <w:spacing w:line="288" w:lineRule="auto"/>
        <w:ind w:firstLine="420" w:firstLineChars="200"/>
        <w:rPr>
          <w:rFonts w:ascii="宋体" w:hAnsi="宋体" w:eastAsia="宋体" w:cs="Times New Roman"/>
          <w:bCs/>
          <w:szCs w:val="21"/>
        </w:rPr>
      </w:pPr>
      <w:r>
        <w:rPr>
          <w:rFonts w:ascii="宋体" w:hAnsi="宋体" w:eastAsia="宋体" w:cs="Times New Roman"/>
          <w:bCs/>
          <w:szCs w:val="21"/>
        </w:rPr>
        <w:t>投标地点（网址）：</w:t>
      </w:r>
      <w:r>
        <w:rPr>
          <w:rFonts w:hint="eastAsia" w:ascii="宋体" w:hAnsi="宋体" w:eastAsia="宋体" w:cs="Times New Roman"/>
          <w:szCs w:val="21"/>
        </w:rPr>
        <w:t>政府采购云平台（https：//www.zcygov.cn）</w:t>
      </w:r>
    </w:p>
    <w:p>
      <w:pPr>
        <w:adjustRightInd w:val="0"/>
        <w:snapToGrid w:val="0"/>
        <w:spacing w:line="288" w:lineRule="auto"/>
        <w:ind w:firstLine="420" w:firstLineChars="200"/>
        <w:rPr>
          <w:rFonts w:ascii="宋体" w:hAnsi="宋体" w:eastAsia="宋体" w:cs="Times New Roman"/>
          <w:bCs/>
          <w:szCs w:val="21"/>
        </w:rPr>
      </w:pPr>
      <w:r>
        <w:rPr>
          <w:rFonts w:ascii="宋体" w:hAnsi="宋体" w:eastAsia="宋体" w:cs="Times New Roman"/>
          <w:bCs/>
          <w:szCs w:val="21"/>
        </w:rPr>
        <w:t>开标时间：</w:t>
      </w:r>
      <w:r>
        <w:rPr>
          <w:rFonts w:hint="eastAsia" w:ascii="宋体" w:hAnsi="宋体" w:eastAsia="宋体" w:cs="Times New Roman"/>
          <w:bCs/>
          <w:szCs w:val="21"/>
        </w:rPr>
        <w:t>2022年07月30日13：30：00（北京时间）</w:t>
      </w:r>
    </w:p>
    <w:p>
      <w:pPr>
        <w:adjustRightInd w:val="0"/>
        <w:snapToGrid w:val="0"/>
        <w:spacing w:line="288" w:lineRule="auto"/>
        <w:ind w:firstLine="420" w:firstLineChars="200"/>
        <w:rPr>
          <w:rFonts w:ascii="宋体" w:hAnsi="宋体" w:eastAsia="宋体" w:cs="宋体"/>
          <w:color w:val="000000"/>
        </w:rPr>
      </w:pPr>
      <w:r>
        <w:rPr>
          <w:rFonts w:ascii="宋体" w:hAnsi="宋体" w:eastAsia="宋体" w:cs="Times New Roman"/>
          <w:bCs/>
          <w:szCs w:val="21"/>
        </w:rPr>
        <w:t>开标地点（网址）：</w:t>
      </w:r>
      <w:r>
        <w:rPr>
          <w:rFonts w:hint="eastAsia" w:ascii="宋体" w:hAnsi="宋体" w:eastAsia="宋体" w:cs="Times New Roman"/>
          <w:szCs w:val="21"/>
        </w:rPr>
        <w:t>政府采购云平台（https：//www.zcygov.cn）</w:t>
      </w:r>
      <w:bookmarkStart w:id="18" w:name="_Hlk81212131"/>
      <w:r>
        <w:rPr>
          <w:rFonts w:hint="eastAsia" w:ascii="宋体" w:hAnsi="宋体" w:eastAsia="宋体" w:cs="Times New Roman"/>
          <w:szCs w:val="21"/>
        </w:rPr>
        <w:t>/</w:t>
      </w:r>
      <w:bookmarkEnd w:id="17"/>
      <w:bookmarkEnd w:id="18"/>
      <w:bookmarkStart w:id="19" w:name="_Toc28359084"/>
      <w:bookmarkStart w:id="20" w:name="_Toc35393794"/>
      <w:bookmarkStart w:id="21" w:name="_Toc28359007"/>
      <w:bookmarkStart w:id="22" w:name="_Toc35393625"/>
      <w:r>
        <w:rPr>
          <w:rFonts w:hint="eastAsia" w:ascii="宋体" w:hAnsi="宋体" w:eastAsia="宋体" w:cs="宋体"/>
          <w:color w:val="000000"/>
        </w:rPr>
        <w:t>杭州市钱塘区学源街18号浙江财经大学行政楼20</w:t>
      </w:r>
      <w:r>
        <w:rPr>
          <w:rFonts w:ascii="宋体" w:hAnsi="宋体" w:eastAsia="宋体" w:cs="宋体"/>
          <w:color w:val="000000"/>
        </w:rPr>
        <w:t>0</w:t>
      </w:r>
      <w:r>
        <w:rPr>
          <w:rFonts w:hint="eastAsia" w:ascii="宋体" w:hAnsi="宋体" w:eastAsia="宋体" w:cs="宋体"/>
          <w:color w:val="000000"/>
        </w:rPr>
        <w:t>室</w:t>
      </w:r>
    </w:p>
    <w:p>
      <w:pPr>
        <w:adjustRightInd w:val="0"/>
        <w:snapToGrid w:val="0"/>
        <w:spacing w:line="288" w:lineRule="auto"/>
        <w:rPr>
          <w:rFonts w:ascii="宋体" w:hAnsi="宋体" w:eastAsia="宋体" w:cs="宋体"/>
          <w:b/>
          <w:szCs w:val="21"/>
        </w:rPr>
      </w:pPr>
      <w:r>
        <w:rPr>
          <w:rFonts w:hint="eastAsia" w:ascii="宋体" w:hAnsi="宋体" w:eastAsia="宋体" w:cs="宋体"/>
          <w:b/>
          <w:szCs w:val="21"/>
        </w:rPr>
        <w:t>五、公告期限</w:t>
      </w:r>
      <w:bookmarkEnd w:id="19"/>
      <w:bookmarkEnd w:id="20"/>
      <w:bookmarkEnd w:id="21"/>
      <w:bookmarkEnd w:id="22"/>
    </w:p>
    <w:p>
      <w:pPr>
        <w:adjustRightInd w:val="0"/>
        <w:snapToGrid w:val="0"/>
        <w:spacing w:line="288" w:lineRule="auto"/>
        <w:ind w:firstLine="420" w:firstLineChars="200"/>
        <w:rPr>
          <w:rFonts w:ascii="宋体" w:hAnsi="宋体" w:eastAsia="宋体" w:cs="宋体"/>
          <w:kern w:val="0"/>
          <w:szCs w:val="21"/>
        </w:rPr>
      </w:pPr>
      <w:r>
        <w:rPr>
          <w:rFonts w:hint="eastAsia" w:ascii="宋体" w:hAnsi="宋体" w:eastAsia="宋体" w:cs="宋体"/>
          <w:kern w:val="0"/>
          <w:szCs w:val="21"/>
        </w:rPr>
        <w:t>自本公告发布之日起5个工作日。</w:t>
      </w:r>
    </w:p>
    <w:p>
      <w:pPr>
        <w:adjustRightInd w:val="0"/>
        <w:snapToGrid w:val="0"/>
        <w:spacing w:line="288" w:lineRule="auto"/>
        <w:rPr>
          <w:rFonts w:ascii="宋体" w:hAnsi="宋体" w:eastAsia="宋体" w:cs="宋体"/>
          <w:b/>
          <w:szCs w:val="21"/>
        </w:rPr>
      </w:pPr>
      <w:bookmarkStart w:id="23" w:name="_Toc35393795"/>
      <w:bookmarkStart w:id="24" w:name="_Toc35393626"/>
      <w:r>
        <w:rPr>
          <w:rFonts w:hint="eastAsia" w:ascii="宋体" w:hAnsi="宋体" w:eastAsia="宋体" w:cs="宋体"/>
          <w:b/>
          <w:szCs w:val="21"/>
        </w:rPr>
        <w:t>六、其他补充事宜</w:t>
      </w:r>
      <w:bookmarkEnd w:id="23"/>
      <w:bookmarkEnd w:id="24"/>
    </w:p>
    <w:p>
      <w:pPr>
        <w:adjustRightInd w:val="0"/>
        <w:snapToGrid w:val="0"/>
        <w:spacing w:line="288" w:lineRule="auto"/>
        <w:ind w:firstLine="420" w:firstLineChars="200"/>
        <w:rPr>
          <w:rFonts w:ascii="宋体" w:hAnsi="宋体" w:eastAsia="宋体" w:cs="Times New Roman"/>
          <w:szCs w:val="21"/>
        </w:rPr>
      </w:pPr>
      <w:bookmarkStart w:id="25" w:name="_Hlk92271231"/>
      <w:r>
        <w:rPr>
          <w:rFonts w:ascii="宋体" w:hAnsi="宋体" w:eastAsia="宋体" w:cs="Times New Roman"/>
          <w:szCs w:val="21"/>
        </w:rPr>
        <w:t>1.《浙江省财政厅关于进一步发挥政府采购政策功能全力推动经济稳进提质的通知》 （浙财采监（2022）3号）、《浙江省财政厅关于进一步促进政府采购公平竞争打造最优营商环境的通知》（浙财采监（2021）22号）已分别于2022年1月30日和2022年2月1日开始实施，此前有关规定与上述文件内容不一致的，按上述文件要求执行。</w:t>
      </w:r>
    </w:p>
    <w:p>
      <w:pPr>
        <w:adjustRightInd w:val="0"/>
        <w:snapToGrid w:val="0"/>
        <w:spacing w:line="288" w:lineRule="auto"/>
        <w:ind w:firstLine="420" w:firstLineChars="200"/>
        <w:rPr>
          <w:rFonts w:ascii="宋体" w:hAnsi="宋体" w:eastAsia="宋体" w:cs="Times New Roman"/>
          <w:szCs w:val="21"/>
        </w:rPr>
      </w:pPr>
      <w:r>
        <w:rPr>
          <w:rFonts w:ascii="宋体" w:hAnsi="宋体" w:eastAsia="宋体" w:cs="Times New Roman"/>
          <w:szCs w:val="21"/>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napToGrid w:val="0"/>
        <w:spacing w:line="288" w:lineRule="auto"/>
        <w:ind w:firstLine="420" w:firstLineChars="200"/>
        <w:rPr>
          <w:rFonts w:ascii="宋体" w:hAnsi="宋体" w:eastAsia="宋体" w:cs="Times New Roman"/>
          <w:szCs w:val="21"/>
        </w:rPr>
      </w:pPr>
      <w:r>
        <w:rPr>
          <w:rFonts w:ascii="宋体" w:hAnsi="宋体" w:eastAsia="宋体" w:cs="Times New Roman"/>
          <w:szCs w:val="21"/>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adjustRightInd w:val="0"/>
        <w:snapToGrid w:val="0"/>
        <w:spacing w:line="288" w:lineRule="auto"/>
        <w:ind w:firstLine="420" w:firstLineChars="200"/>
        <w:rPr>
          <w:rFonts w:ascii="宋体" w:hAnsi="宋体" w:eastAsia="宋体" w:cs="Times New Roman"/>
          <w:szCs w:val="21"/>
          <w:highlight w:val="cyan"/>
        </w:rPr>
      </w:pPr>
      <w:r>
        <w:rPr>
          <w:rFonts w:ascii="宋体" w:hAnsi="宋体" w:eastAsia="宋体" w:cs="Times New Roman"/>
          <w:szCs w:val="21"/>
        </w:rPr>
        <w:t>4.其他事项：</w:t>
      </w:r>
      <w:bookmarkStart w:id="26" w:name="_Hlk92271331"/>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需要落实的政府采购政策：包括节约资源、保护环境、促进中小企业发展等。详见招标文件的第</w:t>
      </w:r>
      <w:r>
        <w:rPr>
          <w:rFonts w:hint="eastAsia" w:ascii="宋体" w:hAnsi="宋体" w:eastAsia="宋体" w:cs="Times New Roman"/>
          <w:szCs w:val="21"/>
        </w:rPr>
        <w:t>三章-采购项目需要落实的政府采购政策</w:t>
      </w:r>
      <w:r>
        <w:rPr>
          <w:rFonts w:ascii="宋体" w:hAnsi="宋体" w:eastAsia="宋体" w:cs="Times New Roman"/>
          <w:szCs w:val="21"/>
        </w:rPr>
        <w:t>。</w:t>
      </w:r>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t>▲</w:t>
      </w:r>
      <w:bookmarkStart w:id="27" w:name="_Hlk92271072"/>
      <w:r>
        <w:rPr>
          <w:rFonts w:hint="eastAsia" w:ascii="宋体" w:hAnsi="宋体" w:eastAsia="宋体" w:cs="Times New Roman"/>
          <w:szCs w:val="21"/>
        </w:rPr>
        <w:t>（2）</w:t>
      </w:r>
      <w:r>
        <w:rPr>
          <w:rFonts w:ascii="宋体" w:hAnsi="宋体" w:eastAsia="宋体" w:cs="Times New Roman"/>
          <w:szCs w:val="21"/>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bookmarkEnd w:id="27"/>
    </w:p>
    <w:bookmarkEnd w:id="25"/>
    <w:bookmarkEnd w:id="26"/>
    <w:p>
      <w:pPr>
        <w:adjustRightInd w:val="0"/>
        <w:snapToGrid w:val="0"/>
        <w:spacing w:line="288" w:lineRule="auto"/>
        <w:rPr>
          <w:rFonts w:ascii="宋体" w:hAnsi="宋体" w:eastAsia="宋体" w:cs="Times New Roman"/>
          <w:b/>
          <w:szCs w:val="21"/>
        </w:rPr>
      </w:pPr>
      <w:bookmarkStart w:id="28" w:name="_Toc28359008"/>
      <w:bookmarkStart w:id="29" w:name="_Toc28359085"/>
      <w:bookmarkStart w:id="30" w:name="_Toc35393627"/>
      <w:bookmarkStart w:id="31" w:name="_Toc35393796"/>
      <w:r>
        <w:rPr>
          <w:rFonts w:hint="eastAsia" w:ascii="宋体" w:hAnsi="宋体" w:eastAsia="宋体" w:cs="宋体"/>
          <w:b/>
          <w:szCs w:val="21"/>
        </w:rPr>
        <w:t>七、对本次招标提出询问、质疑、投诉请按</w:t>
      </w:r>
      <w:r>
        <w:rPr>
          <w:rFonts w:ascii="宋体" w:hAnsi="宋体" w:eastAsia="宋体" w:cs="宋体"/>
          <w:b/>
          <w:szCs w:val="21"/>
        </w:rPr>
        <w:t>以下方式</w:t>
      </w:r>
      <w:r>
        <w:rPr>
          <w:rFonts w:hint="eastAsia" w:ascii="宋体" w:hAnsi="宋体" w:eastAsia="宋体" w:cs="宋体"/>
          <w:b/>
          <w:szCs w:val="21"/>
        </w:rPr>
        <w:t>联系</w:t>
      </w:r>
      <w:bookmarkEnd w:id="28"/>
      <w:bookmarkEnd w:id="29"/>
      <w:bookmarkEnd w:id="30"/>
      <w:bookmarkEnd w:id="31"/>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1.采购人信息</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名称：浙江财经大学</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地址：浙江省杭州市下沙高教园区学源街</w:t>
      </w:r>
      <w:r>
        <w:rPr>
          <w:rFonts w:ascii="宋体" w:hAnsi="宋体" w:eastAsia="宋体" w:cs="Times New Roman"/>
          <w:szCs w:val="21"/>
        </w:rPr>
        <w:t>18号</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传真：/</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项目联系人（询问）：李老师</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项目联系方式（询问）：</w:t>
      </w:r>
      <w:r>
        <w:rPr>
          <w:rFonts w:ascii="宋体" w:hAnsi="宋体" w:eastAsia="宋体" w:cs="Times New Roman"/>
          <w:szCs w:val="21"/>
        </w:rPr>
        <w:t>0571-56608986</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质疑联系人：鲍老师</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质疑联系方式：</w:t>
      </w:r>
      <w:r>
        <w:rPr>
          <w:rFonts w:ascii="宋体" w:hAnsi="宋体" w:eastAsia="宋体" w:cs="Times New Roman"/>
          <w:szCs w:val="21"/>
        </w:rPr>
        <w:t>0571-86732900</w:t>
      </w:r>
    </w:p>
    <w:p>
      <w:pPr>
        <w:adjustRightInd w:val="0"/>
        <w:snapToGrid w:val="0"/>
        <w:spacing w:line="288" w:lineRule="auto"/>
        <w:ind w:firstLine="424" w:firstLineChars="202"/>
        <w:rPr>
          <w:rFonts w:ascii="宋体" w:hAnsi="宋体" w:eastAsia="宋体" w:cs="Times New Roman"/>
          <w:szCs w:val="21"/>
        </w:rPr>
      </w:pP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2.采购代理机构信息</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名称：浙江求是招标代理有限公司</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地址：杭州市西湖区玉古路173号中田大厦21楼</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传真：/</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项目联系人（询问）：</w:t>
      </w:r>
      <w:r>
        <w:rPr>
          <w:rFonts w:hint="eastAsia" w:ascii="宋体" w:hAnsi="宋体" w:eastAsia="宋体" w:cs="Times New Roman"/>
          <w:bCs/>
          <w:spacing w:val="-6"/>
          <w:szCs w:val="21"/>
        </w:rPr>
        <w:t>刘冰冰、王鑫涛</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项目联系方式（询问）：0571-87666117</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质疑联系人：余水星</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质疑联系方式：0571-81110356</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质疑邮箱：</w:t>
      </w:r>
      <w:r>
        <w:rPr>
          <w:rFonts w:ascii="宋体" w:hAnsi="宋体" w:eastAsia="宋体" w:cs="Times New Roman"/>
          <w:szCs w:val="21"/>
        </w:rPr>
        <w:t>jdkh@qszb.net</w:t>
      </w:r>
    </w:p>
    <w:p>
      <w:pPr>
        <w:adjustRightInd w:val="0"/>
        <w:snapToGrid w:val="0"/>
        <w:spacing w:line="288" w:lineRule="auto"/>
        <w:ind w:firstLine="424" w:firstLineChars="202"/>
        <w:rPr>
          <w:rFonts w:ascii="宋体" w:hAnsi="宋体" w:eastAsia="宋体" w:cs="Times New Roman"/>
          <w:szCs w:val="21"/>
        </w:rPr>
      </w:pP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3.同级政府采购监督管理部门</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名称：浙江省财政厅政府采购监管处</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地址：杭州市环城西路37号</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传真：/</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联系人：倪文良、吴聪瑜</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监督投诉电话：0571-87057615、87058489</w:t>
      </w:r>
    </w:p>
    <w:p>
      <w:pPr>
        <w:adjustRightInd w:val="0"/>
        <w:snapToGrid w:val="0"/>
        <w:spacing w:line="288" w:lineRule="auto"/>
        <w:rPr>
          <w:rFonts w:ascii="宋体" w:hAnsi="宋体" w:eastAsia="宋体" w:cs="Times New Roman"/>
          <w:szCs w:val="21"/>
        </w:rPr>
      </w:pPr>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t>若对项目采购电子交易系统操作有疑问，可登录政采云</w:t>
      </w:r>
      <w:r>
        <w:rPr>
          <w:rFonts w:ascii="宋体" w:hAnsi="宋体" w:eastAsia="宋体" w:cs="Times New Roman"/>
          <w:szCs w:val="21"/>
        </w:rPr>
        <w:t xml:space="preserve"> （https：//www.zcygov.cn/），点击右侧咨询小采，获取采小蜜智能服务管家帮助，或拨打政采云服务热线400-881-7190获取热线服务帮助。</w:t>
      </w:r>
    </w:p>
    <w:p>
      <w:pPr>
        <w:adjustRightInd w:val="0"/>
        <w:snapToGrid w:val="0"/>
        <w:spacing w:line="288" w:lineRule="auto"/>
        <w:ind w:firstLine="420" w:firstLineChars="200"/>
        <w:rPr>
          <w:rFonts w:ascii="宋体" w:hAnsi="宋体" w:eastAsia="宋体" w:cs="Times New Roman"/>
          <w:szCs w:val="21"/>
        </w:rPr>
      </w:pPr>
      <w:r>
        <w:rPr>
          <w:rFonts w:ascii="宋体" w:hAnsi="宋体" w:eastAsia="宋体" w:cs="Times New Roman"/>
          <w:szCs w:val="21"/>
        </w:rPr>
        <w:t>CA问题联系电话（人工）：汇信CA400-888-4636；天谷CA400-087-8198。</w:t>
      </w:r>
    </w:p>
    <w:p>
      <w:pPr>
        <w:adjustRightInd w:val="0"/>
        <w:snapToGrid w:val="0"/>
        <w:spacing w:line="288" w:lineRule="auto"/>
        <w:ind w:left="238"/>
        <w:jc w:val="center"/>
        <w:outlineLvl w:val="0"/>
        <w:rPr>
          <w:rFonts w:ascii="宋体" w:hAnsi="宋体" w:eastAsia="宋体" w:cs="Times New Roman"/>
          <w:b/>
          <w:bCs/>
          <w:sz w:val="32"/>
          <w:szCs w:val="32"/>
        </w:rPr>
      </w:pPr>
      <w:r>
        <w:rPr>
          <w:rFonts w:hint="eastAsia" w:ascii="宋体" w:hAnsi="宋体" w:eastAsia="宋体" w:cs="Times New Roman"/>
          <w:szCs w:val="21"/>
        </w:rPr>
        <w:br w:type="page"/>
      </w:r>
      <w:r>
        <w:rPr>
          <w:rFonts w:hint="eastAsia" w:ascii="宋体" w:hAnsi="宋体" w:eastAsia="宋体" w:cs="Times New Roman"/>
          <w:b/>
          <w:sz w:val="32"/>
          <w:szCs w:val="32"/>
        </w:rPr>
        <w:t xml:space="preserve">第二章  </w:t>
      </w:r>
      <w:r>
        <w:rPr>
          <w:rFonts w:hint="eastAsia" w:ascii="宋体" w:hAnsi="宋体" w:eastAsia="宋体" w:cs="Times New Roman"/>
          <w:b/>
          <w:bCs/>
          <w:sz w:val="32"/>
          <w:szCs w:val="32"/>
        </w:rPr>
        <w:t>采购需求</w:t>
      </w:r>
    </w:p>
    <w:p>
      <w:pPr>
        <w:adjustRightInd w:val="0"/>
        <w:snapToGrid w:val="0"/>
        <w:spacing w:line="288" w:lineRule="auto"/>
        <w:outlineLvl w:val="1"/>
        <w:rPr>
          <w:rFonts w:ascii="宋体" w:hAnsi="宋体" w:eastAsia="宋体" w:cs="Times New Roman"/>
          <w:b/>
          <w:szCs w:val="21"/>
        </w:rPr>
      </w:pPr>
      <w:r>
        <w:rPr>
          <w:rFonts w:hint="eastAsia" w:ascii="宋体" w:hAnsi="宋体" w:eastAsia="宋体" w:cs="Times New Roman"/>
          <w:b/>
          <w:szCs w:val="21"/>
        </w:rPr>
        <w:t>一、为落实政府采购政策需满足的要求</w:t>
      </w:r>
    </w:p>
    <w:tbl>
      <w:tblPr>
        <w:tblStyle w:val="27"/>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256"/>
        <w:gridCol w:w="5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8" w:type="dxa"/>
            <w:vAlign w:val="center"/>
          </w:tcPr>
          <w:p>
            <w:pPr>
              <w:adjustRightInd w:val="0"/>
              <w:snapToGrid w:val="0"/>
              <w:spacing w:line="288" w:lineRule="auto"/>
              <w:jc w:val="center"/>
              <w:rPr>
                <w:rFonts w:ascii="宋体" w:hAnsi="宋体" w:eastAsia="宋体" w:cs="宋体"/>
                <w:b/>
                <w:bCs/>
                <w:szCs w:val="21"/>
              </w:rPr>
            </w:pPr>
            <w:bookmarkStart w:id="32" w:name="_Hlk45005599"/>
            <w:r>
              <w:rPr>
                <w:rFonts w:hint="eastAsia" w:ascii="宋体" w:hAnsi="宋体" w:eastAsia="宋体" w:cs="宋体"/>
                <w:b/>
                <w:bCs/>
                <w:szCs w:val="21"/>
              </w:rPr>
              <w:t>序号</w:t>
            </w:r>
          </w:p>
        </w:tc>
        <w:tc>
          <w:tcPr>
            <w:tcW w:w="3256"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政策名称</w:t>
            </w:r>
          </w:p>
        </w:tc>
        <w:tc>
          <w:tcPr>
            <w:tcW w:w="5529"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8"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szCs w:val="21"/>
              </w:rPr>
              <w:t>1</w:t>
            </w:r>
          </w:p>
        </w:tc>
        <w:tc>
          <w:tcPr>
            <w:tcW w:w="3256" w:type="dxa"/>
            <w:vAlign w:val="center"/>
          </w:tcPr>
          <w:p>
            <w:pPr>
              <w:adjustRightInd w:val="0"/>
              <w:snapToGrid w:val="0"/>
              <w:spacing w:line="288" w:lineRule="auto"/>
              <w:jc w:val="left"/>
              <w:rPr>
                <w:rFonts w:ascii="宋体" w:hAnsi="宋体" w:eastAsia="宋体" w:cs="宋体"/>
                <w:b/>
                <w:bCs/>
                <w:szCs w:val="21"/>
              </w:rPr>
            </w:pPr>
            <w:r>
              <w:rPr>
                <w:rFonts w:hint="eastAsia" w:ascii="宋体" w:hAnsi="宋体" w:eastAsia="宋体" w:cs="宋体"/>
                <w:szCs w:val="21"/>
              </w:rPr>
              <w:t>政府采购进口产品</w:t>
            </w:r>
          </w:p>
        </w:tc>
        <w:tc>
          <w:tcPr>
            <w:tcW w:w="5529" w:type="dxa"/>
            <w:vAlign w:val="center"/>
          </w:tcPr>
          <w:p>
            <w:pPr>
              <w:adjustRightInd w:val="0"/>
              <w:snapToGrid w:val="0"/>
              <w:spacing w:line="288" w:lineRule="auto"/>
              <w:jc w:val="left"/>
              <w:rPr>
                <w:rFonts w:ascii="宋体" w:hAnsi="宋体" w:eastAsia="宋体" w:cs="宋体"/>
                <w:b/>
                <w:bCs/>
                <w:szCs w:val="21"/>
              </w:rPr>
            </w:pPr>
            <w:r>
              <w:rPr>
                <w:rFonts w:hint="eastAsia" w:ascii="宋体" w:hAnsi="宋体" w:eastAsia="宋体" w:cs="宋体"/>
                <w:szCs w:val="21"/>
              </w:rPr>
              <w:t>不允许采购进口产品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8"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szCs w:val="21"/>
              </w:rPr>
              <w:t>2</w:t>
            </w:r>
          </w:p>
        </w:tc>
        <w:tc>
          <w:tcPr>
            <w:tcW w:w="3256" w:type="dxa"/>
            <w:vAlign w:val="center"/>
          </w:tcPr>
          <w:p>
            <w:pPr>
              <w:adjustRightInd w:val="0"/>
              <w:snapToGrid w:val="0"/>
              <w:spacing w:line="288" w:lineRule="auto"/>
              <w:jc w:val="left"/>
              <w:rPr>
                <w:rFonts w:ascii="宋体" w:hAnsi="宋体" w:eastAsia="宋体" w:cs="宋体"/>
                <w:b/>
                <w:bCs/>
                <w:szCs w:val="21"/>
              </w:rPr>
            </w:pPr>
            <w:r>
              <w:rPr>
                <w:rFonts w:hint="eastAsia" w:ascii="宋体" w:hAnsi="宋体" w:eastAsia="宋体" w:cs="宋体"/>
                <w:szCs w:val="21"/>
              </w:rPr>
              <w:t>政府强制采购节能产品</w:t>
            </w:r>
          </w:p>
        </w:tc>
        <w:tc>
          <w:tcPr>
            <w:tcW w:w="5529" w:type="dxa"/>
            <w:vAlign w:val="center"/>
          </w:tcPr>
          <w:p>
            <w:pPr>
              <w:adjustRightInd w:val="0"/>
              <w:snapToGrid w:val="0"/>
              <w:spacing w:line="288" w:lineRule="auto"/>
              <w:jc w:val="left"/>
              <w:rPr>
                <w:rFonts w:ascii="宋体" w:hAnsi="宋体" w:eastAsia="宋体" w:cs="宋体"/>
                <w:b/>
                <w:bCs/>
                <w:szCs w:val="21"/>
              </w:rPr>
            </w:pPr>
            <w:r>
              <w:rPr>
                <w:rFonts w:hint="eastAsia" w:ascii="宋体" w:hAnsi="宋体" w:eastAsia="宋体" w:cs="宋体"/>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8"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szCs w:val="21"/>
              </w:rPr>
              <w:t>3</w:t>
            </w:r>
          </w:p>
        </w:tc>
        <w:tc>
          <w:tcPr>
            <w:tcW w:w="3256" w:type="dxa"/>
            <w:vAlign w:val="center"/>
          </w:tcPr>
          <w:p>
            <w:pPr>
              <w:adjustRightInd w:val="0"/>
              <w:snapToGrid w:val="0"/>
              <w:spacing w:line="288" w:lineRule="auto"/>
              <w:jc w:val="left"/>
              <w:rPr>
                <w:rFonts w:ascii="宋体" w:hAnsi="宋体" w:eastAsia="宋体" w:cs="宋体"/>
                <w:b/>
                <w:bCs/>
                <w:szCs w:val="21"/>
              </w:rPr>
            </w:pPr>
            <w:r>
              <w:rPr>
                <w:rFonts w:hint="eastAsia" w:ascii="宋体" w:hAnsi="宋体" w:eastAsia="宋体" w:cs="宋体"/>
                <w:szCs w:val="21"/>
              </w:rPr>
              <w:t>政府优先采购节能、环保产品</w:t>
            </w:r>
          </w:p>
        </w:tc>
        <w:tc>
          <w:tcPr>
            <w:tcW w:w="5529" w:type="dxa"/>
            <w:vAlign w:val="center"/>
          </w:tcPr>
          <w:p>
            <w:pPr>
              <w:adjustRightInd w:val="0"/>
              <w:snapToGrid w:val="0"/>
              <w:spacing w:line="288" w:lineRule="auto"/>
              <w:jc w:val="left"/>
              <w:rPr>
                <w:rFonts w:ascii="宋体" w:hAnsi="宋体" w:eastAsia="宋体" w:cs="宋体"/>
                <w:b/>
                <w:bCs/>
                <w:szCs w:val="21"/>
              </w:rPr>
            </w:pPr>
            <w:r>
              <w:rPr>
                <w:rFonts w:hint="eastAsia" w:ascii="宋体" w:hAnsi="宋体" w:eastAsia="宋体" w:cs="宋体"/>
                <w:szCs w:val="21"/>
              </w:rPr>
              <w:t>提供材料详见招标文件第六章“商务和技术文件”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8" w:type="dxa"/>
            <w:vAlign w:val="center"/>
          </w:tcPr>
          <w:p>
            <w:pPr>
              <w:adjustRightInd w:val="0"/>
              <w:snapToGrid w:val="0"/>
              <w:spacing w:line="288" w:lineRule="auto"/>
              <w:jc w:val="center"/>
              <w:rPr>
                <w:rFonts w:ascii="宋体" w:hAnsi="宋体" w:eastAsia="宋体" w:cs="宋体"/>
                <w:b/>
                <w:bCs/>
                <w:color w:val="FF0000"/>
                <w:szCs w:val="21"/>
              </w:rPr>
            </w:pPr>
            <w:r>
              <w:rPr>
                <w:rFonts w:hint="eastAsia" w:ascii="宋体" w:hAnsi="宋体" w:eastAsia="宋体" w:cs="宋体"/>
                <w:szCs w:val="21"/>
              </w:rPr>
              <w:t>4</w:t>
            </w:r>
          </w:p>
        </w:tc>
        <w:tc>
          <w:tcPr>
            <w:tcW w:w="3256" w:type="dxa"/>
            <w:vAlign w:val="center"/>
          </w:tcPr>
          <w:p>
            <w:pPr>
              <w:adjustRightInd w:val="0"/>
              <w:snapToGrid w:val="0"/>
              <w:spacing w:line="288" w:lineRule="auto"/>
              <w:jc w:val="left"/>
              <w:rPr>
                <w:rFonts w:ascii="宋体" w:hAnsi="宋体" w:eastAsia="宋体" w:cs="宋体"/>
                <w:color w:val="FF0000"/>
                <w:szCs w:val="21"/>
              </w:rPr>
            </w:pPr>
            <w:r>
              <w:rPr>
                <w:rFonts w:hint="eastAsia" w:ascii="宋体" w:hAnsi="宋体" w:eastAsia="宋体" w:cs="宋体"/>
                <w:szCs w:val="21"/>
              </w:rPr>
              <w:t>政府采购促进中小企业发展</w:t>
            </w:r>
          </w:p>
        </w:tc>
        <w:tc>
          <w:tcPr>
            <w:tcW w:w="5529" w:type="dxa"/>
            <w:vAlign w:val="center"/>
          </w:tcPr>
          <w:p>
            <w:pPr>
              <w:adjustRightInd w:val="0"/>
              <w:snapToGrid w:val="0"/>
              <w:spacing w:line="288" w:lineRule="auto"/>
              <w:jc w:val="left"/>
              <w:rPr>
                <w:rFonts w:ascii="宋体" w:hAnsi="宋体" w:eastAsia="宋体" w:cs="宋体"/>
                <w:szCs w:val="21"/>
              </w:rPr>
            </w:pPr>
            <w:r>
              <w:rPr>
                <w:rFonts w:hint="eastAsia" w:ascii="宋体" w:hAnsi="宋体" w:eastAsia="宋体" w:cs="宋体"/>
                <w:szCs w:val="21"/>
              </w:rPr>
              <w:t>提供材料详见招标文件第六章“报价文件”</w:t>
            </w:r>
          </w:p>
          <w:p>
            <w:pPr>
              <w:adjustRightInd w:val="0"/>
              <w:snapToGrid w:val="0"/>
              <w:spacing w:line="288" w:lineRule="auto"/>
              <w:jc w:val="left"/>
              <w:rPr>
                <w:rFonts w:ascii="宋体" w:hAnsi="宋体" w:eastAsia="宋体" w:cs="Times New Roman"/>
                <w:b/>
                <w:bCs/>
                <w:szCs w:val="21"/>
              </w:rPr>
            </w:pPr>
            <w:r>
              <w:rPr>
                <w:rFonts w:hint="eastAsia" w:ascii="宋体" w:hAnsi="宋体" w:eastAsia="宋体" w:cs="Times New Roman"/>
                <w:b/>
                <w:bCs/>
                <w:szCs w:val="21"/>
              </w:rPr>
              <w:t>本项目采购项目属性：货物类，采购标的对应的中小企业划分标准所属行业：工业</w:t>
            </w:r>
          </w:p>
          <w:p>
            <w:pPr>
              <w:adjustRightInd w:val="0"/>
              <w:snapToGrid w:val="0"/>
              <w:spacing w:line="288" w:lineRule="auto"/>
              <w:jc w:val="left"/>
              <w:rPr>
                <w:rFonts w:ascii="宋体" w:hAnsi="宋体" w:eastAsia="宋体" w:cs="宋体"/>
                <w:b/>
                <w:bCs/>
                <w:color w:val="FF0000"/>
                <w:szCs w:val="21"/>
              </w:rPr>
            </w:pPr>
            <w:r>
              <w:rPr>
                <w:rFonts w:hint="eastAsia" w:ascii="宋体" w:hAnsi="宋体" w:eastAsia="宋体" w:cs="Times New Roman"/>
                <w:b/>
                <w:bCs/>
                <w:szCs w:val="21"/>
              </w:rPr>
              <w:t>中小企业划型标准：</w:t>
            </w:r>
            <w:r>
              <w:rPr>
                <w:rFonts w:hint="eastAsia" w:ascii="宋体" w:hAnsi="宋体" w:eastAsia="宋体" w:cs="Times New Roman"/>
                <w:bCs/>
                <w:szCs w:val="21"/>
              </w:rPr>
              <w:t>从业人员</w:t>
            </w:r>
            <w:r>
              <w:rPr>
                <w:rFonts w:ascii="宋体" w:hAnsi="宋体" w:eastAsia="宋体" w:cs="Times New Roman"/>
                <w:bCs/>
                <w:szCs w:val="21"/>
              </w:rPr>
              <w:t>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8"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5</w:t>
            </w:r>
          </w:p>
        </w:tc>
        <w:tc>
          <w:tcPr>
            <w:tcW w:w="3256" w:type="dxa"/>
            <w:vAlign w:val="center"/>
          </w:tcPr>
          <w:p>
            <w:pPr>
              <w:adjustRightInd w:val="0"/>
              <w:snapToGrid w:val="0"/>
              <w:spacing w:line="288" w:lineRule="auto"/>
              <w:jc w:val="left"/>
              <w:rPr>
                <w:rFonts w:ascii="宋体" w:hAnsi="宋体" w:eastAsia="宋体" w:cs="宋体"/>
                <w:szCs w:val="21"/>
              </w:rPr>
            </w:pPr>
            <w:r>
              <w:rPr>
                <w:rFonts w:hint="eastAsia" w:ascii="宋体" w:hAnsi="宋体" w:eastAsia="宋体" w:cs="宋体"/>
                <w:szCs w:val="21"/>
              </w:rPr>
              <w:t>政府采购支持监狱企业发展</w:t>
            </w:r>
          </w:p>
        </w:tc>
        <w:tc>
          <w:tcPr>
            <w:tcW w:w="5529" w:type="dxa"/>
            <w:vAlign w:val="center"/>
          </w:tcPr>
          <w:p>
            <w:pPr>
              <w:adjustRightInd w:val="0"/>
              <w:snapToGrid w:val="0"/>
              <w:spacing w:line="288" w:lineRule="auto"/>
              <w:jc w:val="left"/>
              <w:rPr>
                <w:rFonts w:ascii="宋体" w:hAnsi="宋体" w:eastAsia="宋体" w:cs="Times New Roman"/>
                <w:b/>
                <w:bCs/>
                <w:szCs w:val="21"/>
              </w:rPr>
            </w:pPr>
            <w:r>
              <w:rPr>
                <w:rFonts w:hint="eastAsia" w:ascii="宋体" w:hAnsi="宋体" w:eastAsia="宋体" w:cs="宋体"/>
                <w:szCs w:val="21"/>
              </w:rPr>
              <w:t>提供材料详见招标文件第六章“报价文件”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08"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6</w:t>
            </w:r>
          </w:p>
        </w:tc>
        <w:tc>
          <w:tcPr>
            <w:tcW w:w="3256" w:type="dxa"/>
            <w:vAlign w:val="center"/>
          </w:tcPr>
          <w:p>
            <w:pPr>
              <w:adjustRightInd w:val="0"/>
              <w:snapToGrid w:val="0"/>
              <w:spacing w:line="288" w:lineRule="auto"/>
              <w:jc w:val="left"/>
              <w:rPr>
                <w:rFonts w:ascii="宋体" w:hAnsi="宋体" w:eastAsia="宋体" w:cs="宋体"/>
                <w:szCs w:val="21"/>
              </w:rPr>
            </w:pPr>
            <w:r>
              <w:rPr>
                <w:rFonts w:hint="eastAsia" w:ascii="宋体" w:hAnsi="宋体" w:eastAsia="宋体" w:cs="宋体"/>
                <w:szCs w:val="21"/>
              </w:rPr>
              <w:t>政府采购促进残疾人就业</w:t>
            </w:r>
          </w:p>
        </w:tc>
        <w:tc>
          <w:tcPr>
            <w:tcW w:w="5529" w:type="dxa"/>
            <w:vAlign w:val="center"/>
          </w:tcPr>
          <w:p>
            <w:pPr>
              <w:adjustRightInd w:val="0"/>
              <w:snapToGrid w:val="0"/>
              <w:spacing w:line="288" w:lineRule="auto"/>
              <w:jc w:val="left"/>
              <w:rPr>
                <w:rFonts w:ascii="宋体" w:hAnsi="宋体" w:eastAsia="宋体" w:cs="宋体"/>
                <w:szCs w:val="21"/>
              </w:rPr>
            </w:pPr>
            <w:r>
              <w:rPr>
                <w:rFonts w:hint="eastAsia" w:ascii="宋体" w:hAnsi="宋体" w:eastAsia="宋体" w:cs="宋体"/>
                <w:szCs w:val="21"/>
              </w:rPr>
              <w:t>提供材料详见招标文件第六章“报价文件”</w:t>
            </w:r>
          </w:p>
        </w:tc>
      </w:tr>
      <w:bookmarkEnd w:id="32"/>
    </w:tbl>
    <w:p>
      <w:pPr>
        <w:adjustRightInd w:val="0"/>
        <w:snapToGrid w:val="0"/>
        <w:spacing w:line="288" w:lineRule="auto"/>
        <w:rPr>
          <w:rFonts w:ascii="宋体" w:hAnsi="宋体" w:eastAsia="宋体" w:cs="Times New Roman"/>
          <w:b/>
          <w:spacing w:val="-4"/>
          <w:szCs w:val="21"/>
        </w:rPr>
      </w:pPr>
    </w:p>
    <w:p>
      <w:pPr>
        <w:adjustRightInd w:val="0"/>
        <w:snapToGrid w:val="0"/>
        <w:spacing w:line="288" w:lineRule="auto"/>
        <w:outlineLvl w:val="1"/>
        <w:rPr>
          <w:rFonts w:ascii="宋体" w:hAnsi="宋体" w:eastAsia="宋体" w:cs="Times New Roman"/>
          <w:b/>
          <w:szCs w:val="21"/>
        </w:rPr>
      </w:pPr>
      <w:r>
        <w:rPr>
          <w:rFonts w:hint="eastAsia" w:ascii="宋体" w:hAnsi="宋体" w:eastAsia="宋体" w:cs="Times New Roman"/>
          <w:b/>
          <w:szCs w:val="21"/>
        </w:rPr>
        <w:t>二、采购资金的支付方式、时间、条件</w:t>
      </w:r>
    </w:p>
    <w:tbl>
      <w:tblPr>
        <w:tblStyle w:val="27"/>
        <w:tblW w:w="949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43"/>
        <w:gridCol w:w="76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Times New Roman"/>
                <w:b/>
                <w:spacing w:val="-6"/>
                <w:szCs w:val="21"/>
              </w:rPr>
            </w:pPr>
            <w:bookmarkStart w:id="33" w:name="_Hlk45005608"/>
            <w:r>
              <w:rPr>
                <w:rFonts w:hint="eastAsia" w:ascii="宋体" w:hAnsi="宋体" w:eastAsia="宋体" w:cs="Times New Roman"/>
                <w:b/>
                <w:spacing w:val="-6"/>
                <w:szCs w:val="21"/>
              </w:rPr>
              <w:t>▲履约保证金</w:t>
            </w:r>
          </w:p>
        </w:tc>
        <w:tc>
          <w:tcPr>
            <w:tcW w:w="76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ind w:firstLine="396" w:firstLineChars="200"/>
              <w:rPr>
                <w:rFonts w:ascii="宋体" w:hAnsi="宋体" w:eastAsia="宋体" w:cs="宋体"/>
                <w:spacing w:val="-6"/>
                <w:kern w:val="0"/>
                <w:szCs w:val="21"/>
              </w:rPr>
            </w:pPr>
            <w:r>
              <w:rPr>
                <w:rFonts w:hint="eastAsia" w:ascii="宋体" w:hAnsi="宋体" w:eastAsia="宋体" w:cs="宋体"/>
                <w:spacing w:val="-6"/>
                <w:kern w:val="0"/>
                <w:szCs w:val="21"/>
              </w:rPr>
              <w:t>1.合同签订后一周内，中标人向采购人提交合同总价</w:t>
            </w:r>
            <w:r>
              <w:rPr>
                <w:rFonts w:ascii="宋体" w:hAnsi="宋体" w:eastAsia="宋体" w:cs="宋体"/>
                <w:spacing w:val="-6"/>
                <w:kern w:val="0"/>
                <w:szCs w:val="21"/>
              </w:rPr>
              <w:t>1%</w:t>
            </w:r>
            <w:r>
              <w:rPr>
                <w:rFonts w:hint="eastAsia" w:ascii="宋体" w:hAnsi="宋体" w:eastAsia="宋体" w:cs="宋体"/>
                <w:spacing w:val="-6"/>
                <w:kern w:val="0"/>
                <w:szCs w:val="21"/>
              </w:rPr>
              <w:t>的履约保证金，履约保证金在合同履约期间无违约情形的，项目验收结束后，于一周内退还（不计息）；</w:t>
            </w:r>
          </w:p>
          <w:p>
            <w:pPr>
              <w:adjustRightInd w:val="0"/>
              <w:snapToGrid w:val="0"/>
              <w:spacing w:line="288" w:lineRule="auto"/>
              <w:ind w:firstLine="396" w:firstLineChars="200"/>
              <w:rPr>
                <w:rFonts w:ascii="宋体" w:hAnsi="宋体" w:eastAsia="宋体" w:cs="宋体"/>
                <w:spacing w:val="-6"/>
                <w:kern w:val="0"/>
                <w:szCs w:val="21"/>
              </w:rPr>
            </w:pPr>
            <w:r>
              <w:rPr>
                <w:rFonts w:hint="eastAsia" w:ascii="宋体" w:hAnsi="宋体" w:eastAsia="宋体" w:cs="宋体"/>
                <w:spacing w:val="-6"/>
                <w:kern w:val="0"/>
                <w:szCs w:val="21"/>
              </w:rPr>
              <w:t>2.提交方式：支票、汇票、本票或金融机构、担保机构出具的保函等非现金形式。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Times New Roman"/>
                <w:b/>
                <w:spacing w:val="-6"/>
                <w:szCs w:val="21"/>
              </w:rPr>
            </w:pPr>
            <w:r>
              <w:rPr>
                <w:rFonts w:hint="eastAsia" w:ascii="宋体" w:hAnsi="宋体" w:eastAsia="宋体" w:cs="Times New Roman"/>
                <w:b/>
                <w:spacing w:val="-6"/>
                <w:szCs w:val="21"/>
              </w:rPr>
              <w:t>▲付款方式</w:t>
            </w:r>
          </w:p>
        </w:tc>
        <w:tc>
          <w:tcPr>
            <w:tcW w:w="76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88" w:lineRule="auto"/>
              <w:ind w:firstLine="396" w:firstLineChars="200"/>
              <w:jc w:val="left"/>
              <w:rPr>
                <w:rFonts w:ascii="宋体" w:hAnsi="宋体" w:eastAsia="宋体" w:cs="宋体"/>
                <w:color w:val="000000"/>
                <w:spacing w:val="-6"/>
                <w:kern w:val="0"/>
                <w:szCs w:val="21"/>
              </w:rPr>
            </w:pPr>
            <w:r>
              <w:rPr>
                <w:rFonts w:hint="eastAsia" w:ascii="宋体" w:hAnsi="宋体" w:eastAsia="宋体" w:cs="宋体"/>
                <w:spacing w:val="-6"/>
                <w:kern w:val="0"/>
                <w:szCs w:val="21"/>
              </w:rPr>
              <w:t>合同生效以及具备实施条件后</w:t>
            </w:r>
            <w:r>
              <w:rPr>
                <w:rFonts w:ascii="宋体" w:hAnsi="宋体" w:eastAsia="宋体" w:cs="宋体"/>
                <w:spacing w:val="-6"/>
                <w:kern w:val="0"/>
                <w:szCs w:val="21"/>
              </w:rPr>
              <w:t>7个工作日内</w:t>
            </w:r>
            <w:r>
              <w:rPr>
                <w:rFonts w:hint="eastAsia" w:ascii="宋体" w:hAnsi="宋体" w:eastAsia="宋体" w:cs="宋体"/>
                <w:spacing w:val="-6"/>
                <w:kern w:val="0"/>
                <w:szCs w:val="21"/>
              </w:rPr>
              <w:t>，且</w:t>
            </w:r>
            <w:r>
              <w:rPr>
                <w:rFonts w:hint="eastAsia" w:ascii="宋体" w:hAnsi="宋体" w:eastAsia="宋体" w:cs="Arial"/>
                <w:color w:val="000000"/>
                <w:kern w:val="0"/>
                <w:szCs w:val="21"/>
              </w:rPr>
              <w:t>供应商已向采购人提交银行、保险公司等金融机构出具的预付款保函（等额）的，</w:t>
            </w:r>
            <w:r>
              <w:rPr>
                <w:rFonts w:hint="eastAsia" w:ascii="宋体" w:hAnsi="宋体" w:eastAsia="宋体" w:cs="宋体"/>
                <w:spacing w:val="-6"/>
                <w:kern w:val="0"/>
                <w:szCs w:val="21"/>
              </w:rPr>
              <w:t>采购人</w:t>
            </w:r>
            <w:r>
              <w:rPr>
                <w:rFonts w:hint="eastAsia" w:ascii="宋体" w:hAnsi="宋体" w:eastAsia="宋体" w:cs="宋体"/>
                <w:color w:val="000000"/>
                <w:spacing w:val="-6"/>
                <w:kern w:val="0"/>
                <w:szCs w:val="21"/>
              </w:rPr>
              <w:t>向供应商支付合同总价的4</w:t>
            </w:r>
            <w:r>
              <w:rPr>
                <w:rFonts w:ascii="宋体" w:hAnsi="宋体" w:eastAsia="宋体" w:cs="宋体"/>
                <w:color w:val="000000"/>
                <w:spacing w:val="-6"/>
                <w:kern w:val="0"/>
                <w:szCs w:val="21"/>
              </w:rPr>
              <w:t>0</w:t>
            </w:r>
            <w:r>
              <w:rPr>
                <w:rFonts w:hint="eastAsia" w:ascii="宋体" w:hAnsi="宋体" w:eastAsia="宋体" w:cs="宋体"/>
                <w:color w:val="000000"/>
                <w:spacing w:val="-6"/>
                <w:kern w:val="0"/>
                <w:szCs w:val="21"/>
              </w:rPr>
              <w:t>%%；项目履约完成，经采购人验收合格后，</w:t>
            </w:r>
            <w:r>
              <w:rPr>
                <w:rFonts w:hint="eastAsia" w:ascii="宋体" w:hAnsi="宋体" w:eastAsia="宋体" w:cs="宋体"/>
                <w:spacing w:val="-6"/>
                <w:kern w:val="0"/>
                <w:szCs w:val="21"/>
              </w:rPr>
              <w:t>收到发票后</w:t>
            </w:r>
            <w:r>
              <w:rPr>
                <w:rFonts w:ascii="宋体" w:hAnsi="宋体" w:eastAsia="宋体" w:cs="宋体"/>
                <w:spacing w:val="-6"/>
                <w:kern w:val="0"/>
                <w:szCs w:val="21"/>
              </w:rPr>
              <w:t>7个工作日内</w:t>
            </w:r>
            <w:r>
              <w:rPr>
                <w:rFonts w:hint="eastAsia" w:ascii="宋体" w:hAnsi="宋体" w:eastAsia="宋体" w:cs="宋体"/>
                <w:spacing w:val="-6"/>
                <w:kern w:val="0"/>
                <w:szCs w:val="21"/>
              </w:rPr>
              <w:t>，</w:t>
            </w:r>
            <w:r>
              <w:rPr>
                <w:rFonts w:hint="eastAsia" w:ascii="宋体" w:hAnsi="宋体" w:eastAsia="宋体" w:cs="宋体"/>
                <w:color w:val="000000"/>
                <w:spacing w:val="-6"/>
                <w:kern w:val="0"/>
                <w:szCs w:val="21"/>
              </w:rPr>
              <w:t>采购人向供应商支付合同总价的</w:t>
            </w:r>
            <w:r>
              <w:rPr>
                <w:rFonts w:ascii="宋体" w:hAnsi="宋体" w:eastAsia="宋体" w:cs="宋体"/>
                <w:color w:val="000000"/>
                <w:spacing w:val="-6"/>
                <w:kern w:val="0"/>
                <w:szCs w:val="21"/>
              </w:rPr>
              <w:t>6</w:t>
            </w:r>
            <w:r>
              <w:rPr>
                <w:rFonts w:hint="eastAsia" w:ascii="宋体" w:hAnsi="宋体" w:eastAsia="宋体" w:cs="宋体"/>
                <w:color w:val="000000"/>
                <w:spacing w:val="-6"/>
                <w:kern w:val="0"/>
                <w:szCs w:val="21"/>
              </w:rPr>
              <w:t>0%</w:t>
            </w:r>
            <w:r>
              <w:rPr>
                <w:rFonts w:hint="eastAsia" w:ascii="宋体" w:hAnsi="宋体" w:eastAsia="宋体" w:cs="宋体"/>
                <w:spacing w:val="-6"/>
                <w:kern w:val="0"/>
                <w:szCs w:val="21"/>
              </w:rPr>
              <w:t>。</w:t>
            </w:r>
          </w:p>
          <w:p>
            <w:pPr>
              <w:autoSpaceDE w:val="0"/>
              <w:autoSpaceDN w:val="0"/>
              <w:adjustRightInd w:val="0"/>
              <w:snapToGrid w:val="0"/>
              <w:spacing w:line="288" w:lineRule="auto"/>
              <w:ind w:firstLine="396" w:firstLineChars="200"/>
              <w:jc w:val="left"/>
              <w:rPr>
                <w:rFonts w:ascii="宋体" w:hAnsi="宋体" w:eastAsia="宋体" w:cs="宋体"/>
                <w:spacing w:val="-6"/>
                <w:kern w:val="0"/>
                <w:szCs w:val="21"/>
              </w:rPr>
            </w:pPr>
            <w:r>
              <w:rPr>
                <w:rFonts w:hint="eastAsia" w:ascii="宋体" w:hAnsi="宋体" w:eastAsia="宋体" w:cs="宋体"/>
                <w:spacing w:val="-6"/>
                <w:kern w:val="0"/>
                <w:szCs w:val="21"/>
              </w:rPr>
              <w:t>在签订合同时，供应商明确表示无需预付款或者主动要求降低预付款比例的，可降低预付款比例（预付款保函同步调整）。</w:t>
            </w:r>
          </w:p>
        </w:tc>
      </w:tr>
      <w:bookmarkEnd w:id="33"/>
    </w:tbl>
    <w:p>
      <w:pPr>
        <w:adjustRightInd w:val="0"/>
        <w:snapToGrid w:val="0"/>
        <w:spacing w:line="288" w:lineRule="auto"/>
        <w:rPr>
          <w:rFonts w:ascii="宋体" w:hAnsi="宋体" w:eastAsia="宋体" w:cs="Times New Roman"/>
          <w:spacing w:val="-4"/>
          <w:szCs w:val="21"/>
        </w:rPr>
      </w:pPr>
    </w:p>
    <w:p>
      <w:pPr>
        <w:adjustRightInd w:val="0"/>
        <w:snapToGrid w:val="0"/>
        <w:spacing w:line="288" w:lineRule="auto"/>
        <w:outlineLvl w:val="1"/>
        <w:rPr>
          <w:rFonts w:ascii="宋体" w:hAnsi="宋体" w:eastAsia="宋体" w:cs="Times New Roman"/>
          <w:b/>
          <w:szCs w:val="21"/>
        </w:rPr>
      </w:pPr>
      <w:r>
        <w:rPr>
          <w:rFonts w:hint="eastAsia" w:ascii="宋体" w:hAnsi="宋体" w:eastAsia="宋体" w:cs="Times New Roman"/>
          <w:b/>
          <w:szCs w:val="21"/>
        </w:rPr>
        <w:t>三、服务要求（技术要求里另有注明的以技术要求为准）</w:t>
      </w:r>
    </w:p>
    <w:tbl>
      <w:tblPr>
        <w:tblStyle w:val="27"/>
        <w:tblW w:w="9498"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43"/>
        <w:gridCol w:w="765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交付时间</w:t>
            </w:r>
          </w:p>
        </w:tc>
        <w:tc>
          <w:tcPr>
            <w:tcW w:w="76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收到采购人指令单后</w:t>
            </w:r>
            <w:r>
              <w:rPr>
                <w:rFonts w:ascii="宋体" w:hAnsi="宋体" w:eastAsia="宋体" w:cs="宋体"/>
                <w:szCs w:val="21"/>
              </w:rPr>
              <w:t>30天内交货安装调试，具体时间根据学校实际工程进度再另行通知。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交付地点</w:t>
            </w:r>
          </w:p>
        </w:tc>
        <w:tc>
          <w:tcPr>
            <w:tcW w:w="76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浙江财经大学下沙校区，采购人指定地点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质保期</w:t>
            </w:r>
          </w:p>
        </w:tc>
        <w:tc>
          <w:tcPr>
            <w:tcW w:w="76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3年，项目验收合格后开始计算。</w:t>
            </w:r>
          </w:p>
          <w:p>
            <w:pPr>
              <w:adjustRightInd w:val="0"/>
              <w:snapToGrid w:val="0"/>
              <w:spacing w:line="288" w:lineRule="auto"/>
              <w:rPr>
                <w:rFonts w:ascii="宋体" w:hAnsi="宋体" w:eastAsia="宋体" w:cs="宋体"/>
                <w:szCs w:val="21"/>
              </w:rPr>
            </w:pPr>
            <w:r>
              <w:rPr>
                <w:rFonts w:hint="eastAsia" w:ascii="宋体" w:hAnsi="宋体" w:eastAsia="宋体" w:cs="宋体"/>
                <w:szCs w:val="21"/>
              </w:rPr>
              <w:t>▲质保期不满足招标文件要求的投标无效。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服务标准、期限、效率</w:t>
            </w:r>
          </w:p>
        </w:tc>
        <w:tc>
          <w:tcPr>
            <w:tcW w:w="76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ascii="宋体" w:hAnsi="宋体" w:eastAsia="宋体" w:cs="宋体"/>
                <w:szCs w:val="21"/>
              </w:rPr>
              <w:t>1</w:t>
            </w:r>
            <w:r>
              <w:rPr>
                <w:rFonts w:hint="eastAsia" w:ascii="宋体" w:hAnsi="宋体" w:eastAsia="宋体" w:cs="宋体"/>
                <w:szCs w:val="21"/>
              </w:rPr>
              <w:t>.在质保期内，供应商应对货物出现的质量及安全问题负责处理解决并承担一切费用。</w:t>
            </w:r>
          </w:p>
          <w:p>
            <w:pPr>
              <w:adjustRightInd w:val="0"/>
              <w:snapToGrid w:val="0"/>
              <w:spacing w:line="288" w:lineRule="auto"/>
              <w:rPr>
                <w:rFonts w:ascii="宋体" w:hAnsi="宋体" w:eastAsia="宋体" w:cs="宋体"/>
                <w:szCs w:val="21"/>
              </w:rPr>
            </w:pPr>
            <w:r>
              <w:rPr>
                <w:rFonts w:ascii="宋体" w:hAnsi="宋体" w:eastAsia="宋体" w:cs="宋体"/>
                <w:szCs w:val="21"/>
              </w:rPr>
              <w:t>2.</w:t>
            </w:r>
            <w:r>
              <w:rPr>
                <w:rFonts w:hint="eastAsia" w:ascii="宋体" w:hAnsi="宋体" w:eastAsia="宋体" w:cs="宋体"/>
                <w:szCs w:val="21"/>
              </w:rPr>
              <w:t>质保期内出现无法排除的故障，供应商需无条件更换同型号产品。</w:t>
            </w:r>
          </w:p>
          <w:p>
            <w:pPr>
              <w:adjustRightInd w:val="0"/>
              <w:snapToGrid w:val="0"/>
              <w:spacing w:line="288" w:lineRule="auto"/>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质保期满后，供应商继续为采购人服务，仅收取零配件成本费。</w:t>
            </w:r>
          </w:p>
          <w:p>
            <w:pPr>
              <w:adjustRightInd w:val="0"/>
              <w:snapToGrid w:val="0"/>
              <w:spacing w:line="288" w:lineRule="auto"/>
              <w:rPr>
                <w:rFonts w:ascii="宋体" w:hAnsi="宋体" w:eastAsia="宋体" w:cs="宋体"/>
                <w:szCs w:val="21"/>
              </w:rPr>
            </w:pPr>
            <w:r>
              <w:rPr>
                <w:rFonts w:ascii="宋体" w:hAnsi="宋体" w:eastAsia="宋体" w:cs="宋体"/>
                <w:szCs w:val="21"/>
              </w:rPr>
              <w:t>4.</w:t>
            </w:r>
            <w:r>
              <w:rPr>
                <w:rFonts w:hint="eastAsia" w:ascii="宋体" w:hAnsi="宋体" w:eastAsia="宋体" w:cs="宋体"/>
                <w:szCs w:val="21"/>
              </w:rPr>
              <w:t>因人为因素出现的故障不在免费保修范围内。</w:t>
            </w:r>
          </w:p>
          <w:p>
            <w:pPr>
              <w:adjustRightInd w:val="0"/>
              <w:snapToGrid w:val="0"/>
              <w:spacing w:line="288" w:lineRule="auto"/>
              <w:rPr>
                <w:rFonts w:ascii="宋体" w:hAnsi="宋体" w:eastAsia="宋体" w:cs="宋体"/>
                <w:szCs w:val="21"/>
                <w:u w:val="single"/>
              </w:rPr>
            </w:pPr>
            <w:r>
              <w:rPr>
                <w:rFonts w:ascii="宋体" w:hAnsi="宋体" w:eastAsia="宋体" w:cs="宋体"/>
                <w:szCs w:val="21"/>
              </w:rPr>
              <w:t>5</w:t>
            </w:r>
            <w:r>
              <w:rPr>
                <w:rFonts w:hint="eastAsia" w:ascii="宋体" w:hAnsi="宋体" w:eastAsia="宋体" w:cs="宋体"/>
                <w:szCs w:val="21"/>
              </w:rPr>
              <w:t>.</w:t>
            </w:r>
            <w:r>
              <w:rPr>
                <w:rFonts w:hint="eastAsia" w:ascii="宋体" w:hAnsi="宋体" w:eastAsia="宋体" w:cs="宋体"/>
                <w:szCs w:val="21"/>
                <w:u w:val="single"/>
              </w:rPr>
              <w:t>如在使用过程中发生质量问题，供应商维修响应时间：    小时以内；</w:t>
            </w:r>
          </w:p>
          <w:p>
            <w:pPr>
              <w:adjustRightInd w:val="0"/>
              <w:snapToGrid w:val="0"/>
              <w:spacing w:line="288" w:lineRule="auto"/>
              <w:rPr>
                <w:rFonts w:ascii="宋体" w:hAnsi="宋体" w:eastAsia="宋体" w:cs="宋体"/>
                <w:szCs w:val="21"/>
                <w:u w:val="single"/>
              </w:rPr>
            </w:pPr>
            <w:r>
              <w:rPr>
                <w:rFonts w:hint="eastAsia" w:ascii="宋体" w:hAnsi="宋体" w:eastAsia="宋体" w:cs="宋体"/>
                <w:szCs w:val="21"/>
                <w:u w:val="single"/>
              </w:rPr>
              <w:t>电话技术支持时间：    小时以内；</w:t>
            </w:r>
          </w:p>
          <w:p>
            <w:pPr>
              <w:adjustRightInd w:val="0"/>
              <w:snapToGrid w:val="0"/>
              <w:spacing w:line="288" w:lineRule="auto"/>
              <w:rPr>
                <w:rFonts w:ascii="宋体" w:hAnsi="宋体" w:eastAsia="宋体" w:cs="宋体"/>
                <w:szCs w:val="21"/>
                <w:u w:val="single"/>
              </w:rPr>
            </w:pPr>
            <w:r>
              <w:rPr>
                <w:rFonts w:hint="eastAsia" w:ascii="宋体" w:hAnsi="宋体" w:eastAsia="宋体" w:cs="宋体"/>
                <w:szCs w:val="21"/>
                <w:u w:val="single"/>
              </w:rPr>
              <w:t>若需上门维修，则在：    小时内到达现场并进行维修；</w:t>
            </w:r>
          </w:p>
          <w:p>
            <w:pPr>
              <w:adjustRightInd w:val="0"/>
              <w:snapToGrid w:val="0"/>
              <w:spacing w:line="288" w:lineRule="auto"/>
              <w:rPr>
                <w:rFonts w:ascii="宋体" w:hAnsi="宋体" w:eastAsia="宋体" w:cs="宋体"/>
                <w:szCs w:val="21"/>
              </w:rPr>
            </w:pPr>
            <w:r>
              <w:rPr>
                <w:rFonts w:ascii="宋体" w:hAnsi="宋体" w:eastAsia="宋体" w:cs="宋体"/>
                <w:szCs w:val="21"/>
              </w:rPr>
              <w:t>6</w:t>
            </w:r>
            <w:r>
              <w:rPr>
                <w:rFonts w:hint="eastAsia" w:ascii="宋体" w:hAnsi="宋体" w:eastAsia="宋体" w:cs="宋体"/>
                <w:szCs w:val="21"/>
              </w:rPr>
              <w:t>.培训：</w:t>
            </w:r>
          </w:p>
          <w:p>
            <w:pPr>
              <w:adjustRightInd w:val="0"/>
              <w:snapToGrid w:val="0"/>
              <w:spacing w:line="288" w:lineRule="auto"/>
              <w:rPr>
                <w:rFonts w:ascii="宋体" w:hAnsi="宋体" w:eastAsia="宋体" w:cs="宋体"/>
                <w:szCs w:val="21"/>
              </w:rPr>
            </w:pPr>
            <w:r>
              <w:rPr>
                <w:rFonts w:hint="eastAsia" w:ascii="宋体" w:hAnsi="宋体" w:eastAsia="宋体" w:cs="宋体"/>
                <w:szCs w:val="21"/>
              </w:rPr>
              <w:t>供应商应对采购人的操作人员、维修人员免费进行培训；</w:t>
            </w:r>
          </w:p>
          <w:p>
            <w:pPr>
              <w:adjustRightInd w:val="0"/>
              <w:snapToGrid w:val="0"/>
              <w:spacing w:line="288" w:lineRule="auto"/>
              <w:rPr>
                <w:rFonts w:ascii="宋体" w:hAnsi="宋体" w:eastAsia="宋体" w:cs="宋体"/>
                <w:szCs w:val="21"/>
              </w:rPr>
            </w:pPr>
            <w:r>
              <w:rPr>
                <w:rFonts w:hint="eastAsia" w:ascii="宋体" w:hAnsi="宋体" w:eastAsia="宋体" w:cs="宋体"/>
                <w:szCs w:val="21"/>
              </w:rPr>
              <w:t>供应商应提供相应的培训计划；</w:t>
            </w:r>
          </w:p>
          <w:p>
            <w:pPr>
              <w:adjustRightInd w:val="0"/>
              <w:snapToGrid w:val="0"/>
              <w:spacing w:line="288" w:lineRule="auto"/>
              <w:rPr>
                <w:rFonts w:ascii="宋体" w:hAnsi="宋体" w:eastAsia="宋体" w:cs="宋体"/>
                <w:szCs w:val="21"/>
              </w:rPr>
            </w:pPr>
            <w:r>
              <w:rPr>
                <w:rFonts w:hint="eastAsia" w:ascii="宋体" w:hAnsi="宋体" w:eastAsia="宋体" w:cs="宋体"/>
                <w:szCs w:val="21"/>
              </w:rPr>
              <w:t>上述内容的实现方式、时间、地点、人数应在投标文件中详细说明。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其他技术、服务要求</w:t>
            </w:r>
          </w:p>
        </w:tc>
        <w:tc>
          <w:tcPr>
            <w:tcW w:w="76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1</w:t>
            </w:r>
            <w:r>
              <w:rPr>
                <w:rFonts w:ascii="宋体" w:hAnsi="宋体" w:eastAsia="宋体" w:cs="宋体"/>
                <w:szCs w:val="21"/>
              </w:rPr>
              <w:t>.</w:t>
            </w:r>
            <w:r>
              <w:rPr>
                <w:rFonts w:hint="eastAsia" w:ascii="宋体" w:hAnsi="宋体" w:eastAsia="宋体" w:cs="宋体"/>
                <w:szCs w:val="21"/>
              </w:rPr>
              <w:t>供应商应按招标文件规定的货物性能、技术要求、质量标准向采购人提供未经使用的全新产品，符合国家法律规定和技术规格、质量标准的出厂原装合格产品。</w:t>
            </w:r>
          </w:p>
          <w:p>
            <w:pPr>
              <w:adjustRightInd w:val="0"/>
              <w:snapToGrid w:val="0"/>
              <w:spacing w:line="288" w:lineRule="auto"/>
              <w:rPr>
                <w:rFonts w:ascii="宋体" w:hAnsi="宋体" w:eastAsia="宋体" w:cs="宋体"/>
                <w:szCs w:val="21"/>
              </w:rPr>
            </w:pPr>
            <w:r>
              <w:rPr>
                <w:rFonts w:ascii="宋体" w:hAnsi="宋体" w:eastAsia="宋体" w:cs="宋体"/>
                <w:szCs w:val="21"/>
              </w:rPr>
              <w:t>2</w:t>
            </w:r>
            <w:r>
              <w:rPr>
                <w:rFonts w:hint="eastAsia" w:ascii="宋体" w:hAnsi="宋体" w:eastAsia="宋体" w:cs="宋体"/>
                <w:szCs w:val="21"/>
              </w:rPr>
              <w:t>.技术支持：</w:t>
            </w:r>
          </w:p>
          <w:p>
            <w:pPr>
              <w:adjustRightInd w:val="0"/>
              <w:snapToGrid w:val="0"/>
              <w:spacing w:line="288" w:lineRule="auto"/>
              <w:rPr>
                <w:rFonts w:ascii="宋体" w:hAnsi="宋体" w:eastAsia="宋体" w:cs="宋体"/>
                <w:szCs w:val="21"/>
              </w:rPr>
            </w:pPr>
            <w:r>
              <w:rPr>
                <w:rFonts w:hint="eastAsia" w:ascii="宋体" w:hAnsi="宋体" w:eastAsia="宋体" w:cs="宋体"/>
                <w:szCs w:val="21"/>
              </w:rPr>
              <w:t>供应商应及时免费提供合同货物软件的升级，免费提供合同货物新功能和应用的资料。</w:t>
            </w:r>
          </w:p>
          <w:p>
            <w:pPr>
              <w:adjustRightInd w:val="0"/>
              <w:snapToGrid w:val="0"/>
              <w:spacing w:line="288" w:lineRule="auto"/>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.安装调试：</w:t>
            </w:r>
          </w:p>
          <w:p>
            <w:pPr>
              <w:adjustRightInd w:val="0"/>
              <w:snapToGrid w:val="0"/>
              <w:spacing w:line="288" w:lineRule="auto"/>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.1安装地点：采购人指定地点；</w:t>
            </w:r>
          </w:p>
          <w:p>
            <w:pPr>
              <w:adjustRightInd w:val="0"/>
              <w:snapToGrid w:val="0"/>
              <w:spacing w:line="288" w:lineRule="auto"/>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2安装完成时间：接到采购人通知后在规定时间内完成安装和调试，如在规定的时间内由于供应商的原因不能完成安装和调试，供应商应承担由此给采购人造成的损失；因所购厨房设备尺寸及安装需与厨房装修配合，故供应商在制作定制设备前，设备尺寸需要与采购人核实为准，如与招标文件设备有10%以内的误差，供应商应无条件配合制造及安装，费用不得增减。</w:t>
            </w:r>
          </w:p>
          <w:p>
            <w:pPr>
              <w:adjustRightInd w:val="0"/>
              <w:snapToGrid w:val="0"/>
              <w:spacing w:line="288" w:lineRule="auto"/>
              <w:rPr>
                <w:rFonts w:ascii="宋体" w:hAnsi="宋体" w:eastAsia="宋体" w:cs="宋体"/>
                <w:szCs w:val="21"/>
              </w:rPr>
            </w:pPr>
            <w:r>
              <w:rPr>
                <w:rFonts w:hint="eastAsia" w:ascii="宋体" w:hAnsi="宋体" w:eastAsia="宋体" w:cs="宋体"/>
                <w:szCs w:val="21"/>
              </w:rPr>
              <w:t>3</w:t>
            </w:r>
            <w:r>
              <w:rPr>
                <w:rFonts w:ascii="宋体" w:hAnsi="宋体" w:eastAsia="宋体" w:cs="宋体"/>
                <w:szCs w:val="21"/>
              </w:rPr>
              <w:t>.3</w:t>
            </w:r>
            <w:r>
              <w:rPr>
                <w:rFonts w:hint="eastAsia" w:ascii="宋体" w:hAnsi="宋体" w:eastAsia="宋体" w:cs="宋体"/>
                <w:szCs w:val="21"/>
              </w:rPr>
              <w:t>安装要求：对安装队伍加强管理，遵守现场的一切规章制度，文明施工，注意安全，安装及质保期间一切伤亡事故由供应商负全责；安装期间，供应商必须服从采购人管理，产品进场需要经采购人验货后才能安装；供应商安装及调试人员在运输装卸途中对产品造成损坏，应由供应商负责更换承担一切费用；无论安装及调试或退换过程中，供应商负责及时清理所有垃圾。</w:t>
            </w:r>
          </w:p>
          <w:p>
            <w:pPr>
              <w:adjustRightInd w:val="0"/>
              <w:snapToGrid w:val="0"/>
              <w:spacing w:line="288" w:lineRule="auto"/>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w:t>
            </w:r>
            <w:r>
              <w:rPr>
                <w:rFonts w:ascii="宋体" w:hAnsi="宋体" w:eastAsia="宋体" w:cs="宋体"/>
                <w:szCs w:val="21"/>
              </w:rPr>
              <w:t>4</w:t>
            </w:r>
            <w:r>
              <w:rPr>
                <w:rFonts w:hint="eastAsia" w:ascii="宋体" w:hAnsi="宋体" w:eastAsia="宋体" w:cs="宋体"/>
                <w:szCs w:val="21"/>
              </w:rPr>
              <w:t>如供应商委托国内代理（或其他机构）负责安装或配合安装应在签约时指明，但供应商仍要对合同货物及其安装质量负全部责任；</w:t>
            </w:r>
          </w:p>
          <w:p>
            <w:pPr>
              <w:adjustRightInd w:val="0"/>
              <w:snapToGrid w:val="0"/>
              <w:spacing w:line="288" w:lineRule="auto"/>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w:t>
            </w:r>
            <w:r>
              <w:rPr>
                <w:rFonts w:ascii="宋体" w:hAnsi="宋体" w:eastAsia="宋体" w:cs="宋体"/>
                <w:szCs w:val="21"/>
              </w:rPr>
              <w:t>5</w:t>
            </w:r>
            <w:r>
              <w:rPr>
                <w:rFonts w:hint="eastAsia" w:ascii="宋体" w:hAnsi="宋体" w:eastAsia="宋体" w:cs="宋体"/>
                <w:szCs w:val="21"/>
              </w:rPr>
              <w:t>安装标准：符合我国国家有关技术规范要求和技术标准，所有的软件和硬件必须保证同时安装到位；</w:t>
            </w:r>
          </w:p>
          <w:p>
            <w:pPr>
              <w:adjustRightInd w:val="0"/>
              <w:snapToGrid w:val="0"/>
              <w:spacing w:line="288" w:lineRule="auto"/>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w:t>
            </w:r>
            <w:r>
              <w:rPr>
                <w:rFonts w:ascii="宋体" w:hAnsi="宋体" w:eastAsia="宋体" w:cs="宋体"/>
                <w:szCs w:val="21"/>
              </w:rPr>
              <w:t>6</w:t>
            </w:r>
            <w:r>
              <w:rPr>
                <w:rFonts w:hint="eastAsia" w:ascii="宋体" w:hAnsi="宋体" w:eastAsia="宋体" w:cs="宋体"/>
                <w:szCs w:val="21"/>
              </w:rPr>
              <w:t>供应商免费提供合同货物的安装服务；</w:t>
            </w:r>
          </w:p>
          <w:p>
            <w:pPr>
              <w:adjustRightInd w:val="0"/>
              <w:snapToGrid w:val="0"/>
              <w:spacing w:line="288" w:lineRule="auto"/>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w:t>
            </w:r>
            <w:r>
              <w:rPr>
                <w:rFonts w:ascii="宋体" w:hAnsi="宋体" w:eastAsia="宋体" w:cs="宋体"/>
                <w:szCs w:val="21"/>
              </w:rPr>
              <w:t>7</w:t>
            </w:r>
            <w:r>
              <w:rPr>
                <w:rFonts w:hint="eastAsia" w:ascii="宋体" w:hAnsi="宋体" w:eastAsia="宋体" w:cs="宋体"/>
                <w:szCs w:val="21"/>
              </w:rPr>
              <w:t>供应商在投标文件中应提供安装调试计划、对安装场地和环境的要求。</w:t>
            </w:r>
          </w:p>
          <w:p>
            <w:pPr>
              <w:adjustRightInd w:val="0"/>
              <w:snapToGrid w:val="0"/>
              <w:spacing w:line="288" w:lineRule="auto"/>
              <w:rPr>
                <w:rFonts w:ascii="宋体" w:hAnsi="宋体" w:eastAsia="宋体" w:cs="宋体"/>
                <w:szCs w:val="21"/>
              </w:rPr>
            </w:pPr>
            <w:r>
              <w:rPr>
                <w:rFonts w:ascii="宋体" w:hAnsi="宋体" w:eastAsia="宋体" w:cs="宋体"/>
                <w:szCs w:val="21"/>
              </w:rPr>
              <w:t>4</w:t>
            </w:r>
            <w:r>
              <w:rPr>
                <w:rFonts w:hint="eastAsia" w:ascii="宋体" w:hAnsi="宋体" w:eastAsia="宋体" w:cs="宋体"/>
                <w:szCs w:val="21"/>
              </w:rPr>
              <w:t>.供应商应提供质保期满后主要零部件报价单、质保期满后维护费、软件升级及其相关服务内容；</w:t>
            </w:r>
          </w:p>
          <w:p>
            <w:pPr>
              <w:adjustRightInd w:val="0"/>
              <w:snapToGrid w:val="0"/>
              <w:spacing w:line="288" w:lineRule="auto"/>
              <w:rPr>
                <w:rFonts w:ascii="宋体" w:hAnsi="宋体" w:eastAsia="宋体" w:cs="宋体"/>
                <w:szCs w:val="21"/>
              </w:rPr>
            </w:pPr>
            <w:r>
              <w:rPr>
                <w:rFonts w:ascii="宋体" w:hAnsi="宋体" w:eastAsia="宋体" w:cs="宋体"/>
                <w:szCs w:val="21"/>
              </w:rPr>
              <w:t>5</w:t>
            </w:r>
            <w:r>
              <w:rPr>
                <w:rFonts w:hint="eastAsia" w:ascii="宋体" w:hAnsi="宋体" w:eastAsia="宋体" w:cs="宋体"/>
                <w:szCs w:val="21"/>
              </w:rPr>
              <w:t>.供货时提供有关的全套技术文件。</w:t>
            </w:r>
          </w:p>
          <w:p>
            <w:pPr>
              <w:adjustRightInd w:val="0"/>
              <w:snapToGrid w:val="0"/>
              <w:spacing w:line="288" w:lineRule="auto"/>
              <w:rPr>
                <w:rFonts w:ascii="宋体" w:hAnsi="宋体" w:eastAsia="宋体" w:cs="Times New Roman"/>
                <w:spacing w:val="-6"/>
                <w:szCs w:val="21"/>
              </w:rPr>
            </w:pPr>
            <w:r>
              <w:rPr>
                <w:rFonts w:hint="eastAsia" w:ascii="宋体" w:hAnsi="宋体" w:eastAsia="宋体" w:cs="宋体"/>
                <w:szCs w:val="21"/>
              </w:rPr>
              <w:t>6</w:t>
            </w:r>
            <w:r>
              <w:rPr>
                <w:rFonts w:ascii="宋体" w:hAnsi="宋体" w:eastAsia="宋体" w:cs="宋体"/>
                <w:szCs w:val="21"/>
              </w:rPr>
              <w:t>.</w:t>
            </w:r>
            <w:r>
              <w:rPr>
                <w:rFonts w:hint="eastAsia" w:ascii="宋体" w:hAnsi="宋体" w:eastAsia="宋体" w:cs="Times New Roman"/>
                <w:spacing w:val="-6"/>
                <w:szCs w:val="21"/>
              </w:rPr>
              <w:t>供应商应保证所提供的货物或其中任何一部分均不会侵犯第三方的知识产权。</w:t>
            </w:r>
          </w:p>
          <w:p>
            <w:pPr>
              <w:spacing w:line="288" w:lineRule="auto"/>
              <w:jc w:val="left"/>
              <w:outlineLvl w:val="0"/>
              <w:rPr>
                <w:rFonts w:ascii="宋体" w:hAnsi="宋体" w:eastAsia="宋体" w:cs="宋体"/>
                <w:szCs w:val="21"/>
              </w:rPr>
            </w:pPr>
            <w:r>
              <w:rPr>
                <w:rFonts w:hint="eastAsia" w:ascii="宋体" w:hAnsi="宋体" w:eastAsia="宋体" w:cs="宋体"/>
                <w:szCs w:val="21"/>
              </w:rPr>
              <w:t>7．</w:t>
            </w:r>
            <w:bookmarkStart w:id="34" w:name="_Hlk70026569"/>
            <w:r>
              <w:rPr>
                <w:rFonts w:hint="eastAsia" w:ascii="宋体" w:hAnsi="宋体" w:eastAsia="宋体" w:cs="宋体"/>
                <w:szCs w:val="21"/>
              </w:rPr>
              <w:t xml:space="preserve">工作范围 </w:t>
            </w:r>
          </w:p>
          <w:p>
            <w:pPr>
              <w:spacing w:line="288" w:lineRule="auto"/>
              <w:jc w:val="left"/>
              <w:outlineLvl w:val="0"/>
              <w:rPr>
                <w:rFonts w:ascii="宋体" w:hAnsi="宋体" w:eastAsia="宋体" w:cs="宋体"/>
                <w:szCs w:val="21"/>
              </w:rPr>
            </w:pPr>
            <w:r>
              <w:rPr>
                <w:rFonts w:hint="eastAsia" w:ascii="宋体" w:hAnsi="宋体" w:eastAsia="宋体" w:cs="宋体"/>
                <w:szCs w:val="21"/>
              </w:rPr>
              <w:t>中标人须完成下列项目：</w:t>
            </w:r>
          </w:p>
          <w:p>
            <w:pPr>
              <w:spacing w:line="288" w:lineRule="auto"/>
              <w:jc w:val="left"/>
              <w:outlineLvl w:val="0"/>
              <w:rPr>
                <w:rFonts w:ascii="宋体" w:hAnsi="宋体" w:eastAsia="宋体" w:cs="宋体"/>
                <w:szCs w:val="21"/>
              </w:rPr>
            </w:pPr>
            <w:r>
              <w:rPr>
                <w:rFonts w:hint="eastAsia" w:ascii="宋体" w:hAnsi="宋体" w:eastAsia="宋体" w:cs="宋体"/>
                <w:szCs w:val="21"/>
              </w:rPr>
              <w:t>（1）协助采购人进行电气、给排水、装修和燃气等施工图的修改。</w:t>
            </w:r>
          </w:p>
          <w:p>
            <w:pPr>
              <w:spacing w:line="288" w:lineRule="auto"/>
              <w:jc w:val="left"/>
              <w:outlineLvl w:val="0"/>
              <w:rPr>
                <w:rFonts w:ascii="宋体" w:hAnsi="宋体" w:eastAsia="宋体" w:cs="宋体"/>
                <w:szCs w:val="21"/>
              </w:rPr>
            </w:pPr>
            <w:r>
              <w:rPr>
                <w:rFonts w:hint="eastAsia" w:ascii="宋体" w:hAnsi="宋体" w:eastAsia="宋体" w:cs="宋体"/>
                <w:szCs w:val="21"/>
              </w:rPr>
              <w:t>（2）提供厨房设备。</w:t>
            </w:r>
          </w:p>
          <w:p>
            <w:pPr>
              <w:spacing w:line="288" w:lineRule="auto"/>
              <w:jc w:val="left"/>
              <w:outlineLvl w:val="0"/>
              <w:rPr>
                <w:rFonts w:ascii="宋体" w:hAnsi="宋体" w:eastAsia="宋体" w:cs="宋体"/>
                <w:szCs w:val="21"/>
              </w:rPr>
            </w:pPr>
            <w:r>
              <w:rPr>
                <w:rFonts w:hint="eastAsia" w:ascii="宋体" w:hAnsi="宋体" w:eastAsia="宋体" w:cs="宋体"/>
                <w:szCs w:val="21"/>
              </w:rPr>
              <w:t>（3）设备的就位和安装（包括和外部系统的联接）施工。包含但不限于如设备基础特殊工艺处理；制冷设备（室内外机）的安装和连接；各排烟罩至排烟道的连接；各种水电汽管线的非埋墙埋地部分施工等。</w:t>
            </w:r>
          </w:p>
          <w:p>
            <w:pPr>
              <w:spacing w:line="288" w:lineRule="auto"/>
              <w:jc w:val="left"/>
              <w:outlineLvl w:val="0"/>
              <w:rPr>
                <w:rFonts w:ascii="宋体" w:hAnsi="宋体" w:eastAsia="宋体" w:cs="宋体"/>
                <w:szCs w:val="21"/>
              </w:rPr>
            </w:pPr>
            <w:r>
              <w:rPr>
                <w:rFonts w:hint="eastAsia" w:ascii="宋体" w:hAnsi="宋体" w:eastAsia="宋体" w:cs="宋体"/>
                <w:szCs w:val="21"/>
              </w:rPr>
              <w:t>（4）设备的检查、检验及测试。</w:t>
            </w:r>
          </w:p>
          <w:p>
            <w:pPr>
              <w:spacing w:line="288" w:lineRule="auto"/>
              <w:jc w:val="left"/>
              <w:outlineLvl w:val="0"/>
              <w:rPr>
                <w:rFonts w:ascii="宋体" w:hAnsi="宋体" w:eastAsia="宋体" w:cs="宋体"/>
                <w:szCs w:val="21"/>
              </w:rPr>
            </w:pPr>
            <w:r>
              <w:rPr>
                <w:rFonts w:hint="eastAsia" w:ascii="宋体" w:hAnsi="宋体" w:eastAsia="宋体" w:cs="宋体"/>
                <w:szCs w:val="21"/>
              </w:rPr>
              <w:t>（5）设备的电气线、上下水管、燃油或燃气蒸汽管、排烟通风管的连接和检查。</w:t>
            </w:r>
          </w:p>
          <w:p>
            <w:pPr>
              <w:spacing w:line="288" w:lineRule="auto"/>
              <w:jc w:val="left"/>
              <w:outlineLvl w:val="0"/>
              <w:rPr>
                <w:rFonts w:ascii="宋体" w:hAnsi="宋体" w:eastAsia="宋体" w:cs="宋体"/>
                <w:szCs w:val="21"/>
              </w:rPr>
            </w:pPr>
            <w:r>
              <w:rPr>
                <w:rFonts w:hint="eastAsia" w:ascii="宋体" w:hAnsi="宋体" w:eastAsia="宋体" w:cs="宋体"/>
                <w:szCs w:val="21"/>
              </w:rPr>
              <w:t>（6）总体调试及工程验收、整改（包括整体验收）。</w:t>
            </w:r>
          </w:p>
          <w:p>
            <w:pPr>
              <w:spacing w:line="288" w:lineRule="auto"/>
              <w:jc w:val="left"/>
              <w:outlineLvl w:val="0"/>
              <w:rPr>
                <w:rFonts w:ascii="宋体" w:hAnsi="宋体" w:eastAsia="宋体" w:cs="宋体"/>
                <w:szCs w:val="21"/>
              </w:rPr>
            </w:pPr>
            <w:r>
              <w:rPr>
                <w:rFonts w:hint="eastAsia" w:ascii="宋体" w:hAnsi="宋体" w:eastAsia="宋体" w:cs="宋体"/>
                <w:szCs w:val="21"/>
              </w:rPr>
              <w:t>（7）售后服务，包括对采购人操作人员的使用及维护培训。</w:t>
            </w:r>
          </w:p>
          <w:p>
            <w:pPr>
              <w:spacing w:line="288" w:lineRule="auto"/>
              <w:jc w:val="left"/>
              <w:outlineLvl w:val="0"/>
              <w:rPr>
                <w:rFonts w:ascii="宋体" w:hAnsi="宋体" w:eastAsia="宋体" w:cs="宋体"/>
                <w:szCs w:val="21"/>
              </w:rPr>
            </w:pPr>
            <w:r>
              <w:rPr>
                <w:rFonts w:hint="eastAsia" w:ascii="宋体" w:hAnsi="宋体" w:eastAsia="宋体" w:cs="宋体"/>
                <w:szCs w:val="21"/>
              </w:rPr>
              <w:t>（8）项目实施过程中与其它协作方、采购人的协调和配合，配合费</w:t>
            </w:r>
            <w:r>
              <w:rPr>
                <w:rStyle w:val="36"/>
                <w:rFonts w:hint="eastAsia" w:ascii="宋体" w:hAnsi="宋体" w:eastAsia="宋体"/>
              </w:rPr>
              <w:t>已需计入总总报价中。</w:t>
            </w:r>
            <w:r>
              <w:rPr>
                <w:rFonts w:hint="eastAsia" w:ascii="宋体" w:hAnsi="宋体" w:eastAsia="宋体" w:cs="宋体"/>
                <w:szCs w:val="21"/>
              </w:rPr>
              <w:t>中标人须服从采购人的安排，实施材料堆放、临时设施搭设、现场运输、临时水电接通等事宜，相关费用均需计入报价总价 。</w:t>
            </w:r>
          </w:p>
          <w:p>
            <w:pPr>
              <w:pStyle w:val="91"/>
              <w:spacing w:after="120"/>
              <w:rPr>
                <w:rFonts w:ascii="宋体" w:hAnsi="宋体" w:cs="宋体"/>
                <w:color w:val="auto"/>
                <w:kern w:val="2"/>
                <w:sz w:val="21"/>
                <w:szCs w:val="21"/>
              </w:rPr>
            </w:pPr>
            <w:r>
              <w:rPr>
                <w:rFonts w:hint="eastAsia" w:ascii="宋体" w:hAnsi="宋体" w:cs="宋体"/>
                <w:color w:val="auto"/>
                <w:kern w:val="2"/>
                <w:sz w:val="21"/>
                <w:szCs w:val="21"/>
              </w:rPr>
              <w:t>（9）进场后对图纸进行深化设计并报采购人及相关单位进行确认后，方可进行施工。</w:t>
            </w:r>
          </w:p>
          <w:p>
            <w:pPr>
              <w:spacing w:line="288" w:lineRule="auto"/>
              <w:jc w:val="left"/>
              <w:outlineLvl w:val="0"/>
              <w:rPr>
                <w:rFonts w:ascii="宋体" w:hAnsi="宋体" w:eastAsia="宋体" w:cs="宋体"/>
                <w:szCs w:val="21"/>
              </w:rPr>
            </w:pPr>
            <w:r>
              <w:rPr>
                <w:rFonts w:hint="eastAsia" w:ascii="宋体" w:hAnsi="宋体" w:eastAsia="宋体" w:cs="宋体"/>
                <w:szCs w:val="21"/>
              </w:rPr>
              <w:t>（10）配合做好厨房设备相关卫生质检备案，进行燃气管道设计施工方案对接。</w:t>
            </w:r>
          </w:p>
          <w:bookmarkEnd w:id="34"/>
          <w:p>
            <w:pPr>
              <w:spacing w:line="288" w:lineRule="auto"/>
              <w:jc w:val="left"/>
              <w:outlineLvl w:val="0"/>
              <w:rPr>
                <w:rFonts w:ascii="宋体" w:hAnsi="宋体" w:eastAsia="宋体" w:cs="宋体"/>
                <w:szCs w:val="21"/>
              </w:rPr>
            </w:pPr>
            <w:r>
              <w:rPr>
                <w:rFonts w:ascii="宋体" w:hAnsi="宋体" w:eastAsia="宋体" w:cs="宋体"/>
                <w:szCs w:val="21"/>
              </w:rPr>
              <w:t>8</w:t>
            </w:r>
            <w:r>
              <w:rPr>
                <w:rFonts w:hint="eastAsia" w:ascii="宋体" w:hAnsi="宋体" w:eastAsia="宋体" w:cs="宋体"/>
                <w:szCs w:val="21"/>
              </w:rPr>
              <w:t>．资料要求</w:t>
            </w:r>
          </w:p>
          <w:p>
            <w:pPr>
              <w:spacing w:line="288" w:lineRule="auto"/>
              <w:jc w:val="left"/>
              <w:outlineLvl w:val="0"/>
              <w:rPr>
                <w:rFonts w:ascii="宋体" w:hAnsi="宋体" w:eastAsia="宋体" w:cs="宋体"/>
                <w:szCs w:val="21"/>
              </w:rPr>
            </w:pPr>
            <w:r>
              <w:rPr>
                <w:rFonts w:hint="eastAsia" w:ascii="宋体" w:hAnsi="宋体" w:eastAsia="宋体" w:cs="宋体"/>
                <w:szCs w:val="21"/>
              </w:rPr>
              <w:t>基本要求</w:t>
            </w:r>
          </w:p>
          <w:p>
            <w:pPr>
              <w:spacing w:line="288" w:lineRule="auto"/>
              <w:jc w:val="left"/>
              <w:outlineLvl w:val="0"/>
              <w:rPr>
                <w:rFonts w:ascii="宋体" w:hAnsi="宋体" w:eastAsia="宋体" w:cs="宋体"/>
                <w:szCs w:val="21"/>
              </w:rPr>
            </w:pPr>
            <w:r>
              <w:rPr>
                <w:rFonts w:hint="eastAsia" w:ascii="宋体" w:hAnsi="宋体" w:eastAsia="宋体" w:cs="宋体"/>
                <w:szCs w:val="21"/>
              </w:rPr>
              <w:t>1）所有提交的图纸及技术文件应使用国际单位制。</w:t>
            </w:r>
          </w:p>
          <w:p>
            <w:pPr>
              <w:spacing w:line="288" w:lineRule="auto"/>
              <w:jc w:val="left"/>
              <w:outlineLvl w:val="0"/>
              <w:rPr>
                <w:rFonts w:ascii="宋体" w:hAnsi="宋体" w:eastAsia="宋体" w:cs="宋体"/>
                <w:szCs w:val="21"/>
              </w:rPr>
            </w:pPr>
            <w:r>
              <w:rPr>
                <w:rFonts w:hint="eastAsia" w:ascii="宋体" w:hAnsi="宋体" w:eastAsia="宋体" w:cs="宋体"/>
                <w:szCs w:val="21"/>
              </w:rPr>
              <w:t>2）提交的图纸及文件应清楚、完整，否则，招标人将有权拒绝。</w:t>
            </w:r>
          </w:p>
          <w:p>
            <w:pPr>
              <w:spacing w:line="288" w:lineRule="auto"/>
              <w:jc w:val="left"/>
              <w:outlineLvl w:val="0"/>
              <w:rPr>
                <w:rFonts w:ascii="宋体" w:hAnsi="宋体" w:eastAsia="宋体" w:cs="宋体"/>
                <w:szCs w:val="21"/>
              </w:rPr>
            </w:pPr>
            <w:r>
              <w:rPr>
                <w:rFonts w:hint="eastAsia" w:ascii="宋体" w:hAnsi="宋体" w:eastAsia="宋体" w:cs="宋体"/>
                <w:szCs w:val="21"/>
              </w:rPr>
              <w:t>3）采购人将不认可与采购要求不一致的图纸及技术文件。</w:t>
            </w:r>
          </w:p>
          <w:p>
            <w:pPr>
              <w:spacing w:line="288" w:lineRule="auto"/>
              <w:jc w:val="left"/>
              <w:outlineLvl w:val="0"/>
              <w:rPr>
                <w:rFonts w:ascii="宋体" w:hAnsi="宋体" w:eastAsia="宋体" w:cs="宋体"/>
                <w:szCs w:val="21"/>
              </w:rPr>
            </w:pPr>
            <w:r>
              <w:rPr>
                <w:rFonts w:hint="eastAsia" w:ascii="宋体" w:hAnsi="宋体" w:eastAsia="宋体" w:cs="宋体"/>
                <w:szCs w:val="21"/>
              </w:rPr>
              <w:t>4）中标后需提供的资料。</w:t>
            </w:r>
          </w:p>
          <w:p>
            <w:pPr>
              <w:spacing w:line="288" w:lineRule="auto"/>
              <w:jc w:val="left"/>
              <w:outlineLvl w:val="0"/>
              <w:rPr>
                <w:rFonts w:ascii="宋体" w:hAnsi="宋体" w:eastAsia="宋体" w:cs="宋体"/>
                <w:szCs w:val="21"/>
              </w:rPr>
            </w:pPr>
            <w:r>
              <w:rPr>
                <w:rFonts w:hint="eastAsia" w:ascii="宋体" w:hAnsi="宋体" w:eastAsia="宋体" w:cs="宋体"/>
                <w:szCs w:val="21"/>
              </w:rPr>
              <w:t>①上下水接口位置及尺寸图、明沟位置及尺寸图、电气连接及功率图、排烟通风管的接管图及要求风量、燃油或燃气、蒸汽走向图、厨房隔墙图等技术资料。</w:t>
            </w:r>
          </w:p>
          <w:p>
            <w:pPr>
              <w:spacing w:line="288" w:lineRule="auto"/>
              <w:jc w:val="left"/>
              <w:outlineLvl w:val="0"/>
              <w:rPr>
                <w:rFonts w:ascii="宋体" w:hAnsi="宋体" w:eastAsia="宋体" w:cs="宋体"/>
                <w:szCs w:val="21"/>
              </w:rPr>
            </w:pPr>
            <w:r>
              <w:rPr>
                <w:rFonts w:hint="eastAsia" w:ascii="宋体" w:hAnsi="宋体" w:eastAsia="宋体" w:cs="宋体"/>
                <w:szCs w:val="21"/>
              </w:rPr>
              <w:t>②其他供货方认为可能需要的文件。</w:t>
            </w:r>
          </w:p>
          <w:p>
            <w:pPr>
              <w:spacing w:line="288" w:lineRule="auto"/>
              <w:jc w:val="left"/>
              <w:outlineLvl w:val="0"/>
              <w:rPr>
                <w:rFonts w:ascii="宋体" w:hAnsi="宋体" w:eastAsia="宋体" w:cs="宋体"/>
                <w:szCs w:val="21"/>
              </w:rPr>
            </w:pPr>
            <w:r>
              <w:rPr>
                <w:rFonts w:hint="eastAsia" w:ascii="宋体" w:hAnsi="宋体" w:eastAsia="宋体" w:cs="宋体"/>
                <w:szCs w:val="21"/>
              </w:rPr>
              <w:t>5）交货时需提供的资料（1）合格证（2）使用手册（3）厨房竣工图。</w:t>
            </w:r>
          </w:p>
          <w:p>
            <w:pPr>
              <w:spacing w:line="288" w:lineRule="auto"/>
              <w:jc w:val="left"/>
              <w:outlineLvl w:val="0"/>
              <w:rPr>
                <w:rFonts w:ascii="宋体" w:hAnsi="宋体" w:eastAsia="宋体" w:cs="宋体"/>
                <w:szCs w:val="21"/>
              </w:rPr>
            </w:pPr>
            <w:r>
              <w:rPr>
                <w:rFonts w:ascii="宋体" w:hAnsi="宋体" w:eastAsia="宋体" w:cs="宋体"/>
                <w:szCs w:val="21"/>
              </w:rPr>
              <w:t>9</w:t>
            </w:r>
            <w:r>
              <w:rPr>
                <w:rFonts w:hint="eastAsia" w:ascii="宋体" w:hAnsi="宋体" w:eastAsia="宋体" w:cs="宋体"/>
                <w:szCs w:val="21"/>
              </w:rPr>
              <w:t>．项目整体工程质量要求</w:t>
            </w:r>
          </w:p>
          <w:p>
            <w:pPr>
              <w:adjustRightInd w:val="0"/>
              <w:snapToGrid w:val="0"/>
              <w:spacing w:line="288" w:lineRule="auto"/>
              <w:rPr>
                <w:rFonts w:ascii="宋体" w:hAnsi="宋体" w:eastAsia="宋体" w:cs="宋体"/>
                <w:szCs w:val="21"/>
              </w:rPr>
            </w:pPr>
            <w:r>
              <w:rPr>
                <w:rFonts w:ascii="宋体" w:hAnsi="宋体" w:eastAsia="宋体" w:cs="宋体"/>
                <w:szCs w:val="21"/>
              </w:rPr>
              <w:t>质量要求</w:t>
            </w:r>
            <w:r>
              <w:rPr>
                <w:rFonts w:hint="eastAsia" w:ascii="宋体" w:hAnsi="宋体" w:eastAsia="宋体" w:cs="宋体"/>
                <w:szCs w:val="21"/>
              </w:rPr>
              <w:t>“合格”。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验收标准</w:t>
            </w:r>
          </w:p>
        </w:tc>
        <w:tc>
          <w:tcPr>
            <w:tcW w:w="76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1.验收由采购人负责实施；</w:t>
            </w:r>
          </w:p>
          <w:p>
            <w:pPr>
              <w:adjustRightInd w:val="0"/>
              <w:snapToGrid w:val="0"/>
              <w:spacing w:line="288" w:lineRule="auto"/>
              <w:rPr>
                <w:rFonts w:ascii="宋体" w:hAnsi="宋体" w:eastAsia="宋体" w:cs="宋体"/>
                <w:szCs w:val="21"/>
              </w:rPr>
            </w:pPr>
            <w:r>
              <w:rPr>
                <w:rFonts w:hint="eastAsia" w:ascii="宋体" w:hAnsi="宋体" w:eastAsia="宋体" w:cs="宋体"/>
                <w:szCs w:val="21"/>
              </w:rPr>
              <w:t>2.验收依据：</w:t>
            </w:r>
          </w:p>
          <w:p>
            <w:pPr>
              <w:adjustRightInd w:val="0"/>
              <w:snapToGrid w:val="0"/>
              <w:spacing w:line="288" w:lineRule="auto"/>
              <w:rPr>
                <w:rFonts w:ascii="宋体" w:hAnsi="宋体" w:eastAsia="宋体" w:cs="宋体"/>
                <w:szCs w:val="21"/>
              </w:rPr>
            </w:pPr>
            <w:r>
              <w:rPr>
                <w:rFonts w:hint="eastAsia" w:ascii="宋体" w:hAnsi="宋体" w:eastAsia="宋体" w:cs="宋体"/>
                <w:szCs w:val="21"/>
              </w:rPr>
              <w:t>2.1合同、招标文件、投标文件；</w:t>
            </w:r>
          </w:p>
          <w:p>
            <w:pPr>
              <w:adjustRightInd w:val="0"/>
              <w:snapToGrid w:val="0"/>
              <w:spacing w:line="288" w:lineRule="auto"/>
              <w:rPr>
                <w:rFonts w:ascii="宋体" w:hAnsi="宋体" w:eastAsia="宋体" w:cs="宋体"/>
                <w:szCs w:val="21"/>
              </w:rPr>
            </w:pPr>
            <w:r>
              <w:rPr>
                <w:rFonts w:hint="eastAsia" w:ascii="宋体" w:hAnsi="宋体" w:eastAsia="宋体" w:cs="宋体"/>
                <w:szCs w:val="21"/>
              </w:rPr>
              <w:t>2.2供应商提供的技术规格、经采购人认可的合同货物的有效检验文件；</w:t>
            </w:r>
          </w:p>
          <w:p>
            <w:pPr>
              <w:adjustRightInd w:val="0"/>
              <w:snapToGrid w:val="0"/>
              <w:spacing w:line="288" w:lineRule="auto"/>
              <w:rPr>
                <w:rFonts w:ascii="宋体" w:hAnsi="宋体" w:eastAsia="宋体" w:cs="宋体"/>
                <w:szCs w:val="21"/>
              </w:rPr>
            </w:pPr>
            <w:r>
              <w:rPr>
                <w:rFonts w:hint="eastAsia" w:ascii="宋体" w:hAnsi="宋体" w:eastAsia="宋体" w:cs="宋体"/>
                <w:szCs w:val="21"/>
              </w:rPr>
              <w:t>2.3供应商投标文件中提供的经采购人认可的合同货物的验收标准（符合中国有关的国家、地方、行业标准）和检测办法及相应检测手段。</w:t>
            </w:r>
          </w:p>
          <w:p>
            <w:pPr>
              <w:adjustRightInd w:val="0"/>
              <w:snapToGrid w:val="0"/>
              <w:spacing w:line="288" w:lineRule="auto"/>
              <w:rPr>
                <w:rFonts w:ascii="宋体" w:hAnsi="宋体" w:eastAsia="宋体" w:cs="宋体"/>
                <w:szCs w:val="21"/>
              </w:rPr>
            </w:pPr>
            <w:r>
              <w:rPr>
                <w:rFonts w:hint="eastAsia" w:ascii="宋体" w:hAnsi="宋体" w:eastAsia="宋体" w:cs="宋体"/>
                <w:szCs w:val="21"/>
              </w:rPr>
              <w:t>3.供应商应派员在所供货物到采购人处时进行到货验收，有需要时能联系产品制造商到场共同验收，若发现任何损坏及质量问题，供应商负责妥善处理直至采购人满意，由此产生的费用由供应商承担。</w:t>
            </w:r>
          </w:p>
          <w:p>
            <w:pPr>
              <w:adjustRightInd w:val="0"/>
              <w:snapToGrid w:val="0"/>
              <w:spacing w:line="288" w:lineRule="auto"/>
              <w:rPr>
                <w:rFonts w:ascii="宋体" w:hAnsi="宋体" w:eastAsia="宋体" w:cs="宋体"/>
                <w:szCs w:val="21"/>
              </w:rPr>
            </w:pPr>
            <w:r>
              <w:rPr>
                <w:rFonts w:hint="eastAsia" w:ascii="宋体" w:hAnsi="宋体" w:eastAsia="宋体" w:cs="宋体"/>
                <w:szCs w:val="21"/>
              </w:rPr>
              <w:t>4.验收合格的条件：</w:t>
            </w:r>
          </w:p>
          <w:p>
            <w:pPr>
              <w:adjustRightInd w:val="0"/>
              <w:snapToGrid w:val="0"/>
              <w:spacing w:line="288" w:lineRule="auto"/>
              <w:rPr>
                <w:rFonts w:ascii="宋体" w:hAnsi="宋体" w:eastAsia="宋体" w:cs="宋体"/>
                <w:szCs w:val="21"/>
              </w:rPr>
            </w:pPr>
            <w:r>
              <w:rPr>
                <w:rFonts w:hint="eastAsia" w:ascii="宋体" w:hAnsi="宋体" w:eastAsia="宋体" w:cs="宋体"/>
                <w:szCs w:val="21"/>
              </w:rPr>
              <w:t>4.1所供货物符合产品标准和合同的要求；</w:t>
            </w:r>
          </w:p>
          <w:p>
            <w:pPr>
              <w:adjustRightInd w:val="0"/>
              <w:snapToGrid w:val="0"/>
              <w:spacing w:line="288" w:lineRule="auto"/>
              <w:rPr>
                <w:rFonts w:ascii="宋体" w:hAnsi="宋体" w:eastAsia="宋体" w:cs="宋体"/>
                <w:szCs w:val="21"/>
              </w:rPr>
            </w:pPr>
            <w:r>
              <w:rPr>
                <w:rFonts w:hint="eastAsia" w:ascii="宋体" w:hAnsi="宋体" w:eastAsia="宋体" w:cs="宋体"/>
                <w:szCs w:val="21"/>
              </w:rPr>
              <w:t>4.2在进行测试和验收过程中发现的问题已被解决并得到采购人的认可；</w:t>
            </w:r>
          </w:p>
          <w:p>
            <w:pPr>
              <w:adjustRightInd w:val="0"/>
              <w:snapToGrid w:val="0"/>
              <w:spacing w:line="288" w:lineRule="auto"/>
              <w:rPr>
                <w:rFonts w:ascii="宋体" w:hAnsi="宋体" w:eastAsia="宋体" w:cs="宋体"/>
                <w:szCs w:val="21"/>
              </w:rPr>
            </w:pPr>
            <w:r>
              <w:rPr>
                <w:rFonts w:hint="eastAsia" w:ascii="宋体" w:hAnsi="宋体" w:eastAsia="宋体" w:cs="宋体"/>
                <w:szCs w:val="21"/>
              </w:rPr>
              <w:t>4.3合同中规定的所有货物和材料均已交付；</w:t>
            </w:r>
          </w:p>
          <w:p>
            <w:pPr>
              <w:adjustRightInd w:val="0"/>
              <w:snapToGrid w:val="0"/>
              <w:spacing w:line="288" w:lineRule="auto"/>
              <w:rPr>
                <w:rFonts w:ascii="宋体" w:hAnsi="宋体" w:eastAsia="宋体" w:cs="宋体"/>
                <w:szCs w:val="21"/>
              </w:rPr>
            </w:pPr>
            <w:r>
              <w:rPr>
                <w:rFonts w:hint="eastAsia" w:ascii="宋体" w:hAnsi="宋体" w:eastAsia="宋体" w:cs="宋体"/>
                <w:szCs w:val="21"/>
              </w:rPr>
              <w:t>4.4所供货物已通过使用单位组织的验收；</w:t>
            </w:r>
          </w:p>
          <w:p>
            <w:pPr>
              <w:adjustRightInd w:val="0"/>
              <w:snapToGrid w:val="0"/>
              <w:spacing w:line="288" w:lineRule="auto"/>
              <w:rPr>
                <w:rFonts w:ascii="宋体" w:hAnsi="宋体" w:eastAsia="宋体" w:cs="宋体"/>
                <w:szCs w:val="21"/>
              </w:rPr>
            </w:pPr>
            <w:r>
              <w:rPr>
                <w:rFonts w:hint="eastAsia" w:ascii="宋体" w:hAnsi="宋体" w:eastAsia="宋体" w:cs="宋体"/>
                <w:szCs w:val="21"/>
              </w:rPr>
              <w:t>4.5所有相关的技术文件及资料均已提交并得到接受。</w:t>
            </w:r>
          </w:p>
        </w:tc>
      </w:tr>
    </w:tbl>
    <w:p>
      <w:pPr>
        <w:adjustRightInd w:val="0"/>
        <w:snapToGrid w:val="0"/>
        <w:spacing w:line="288" w:lineRule="auto"/>
        <w:rPr>
          <w:rFonts w:ascii="宋体" w:hAnsi="宋体" w:eastAsia="宋体" w:cs="Times New Roman"/>
          <w:b/>
          <w:szCs w:val="21"/>
        </w:rPr>
      </w:pPr>
    </w:p>
    <w:p>
      <w:pPr>
        <w:adjustRightInd w:val="0"/>
        <w:snapToGrid w:val="0"/>
        <w:spacing w:line="288" w:lineRule="auto"/>
        <w:outlineLvl w:val="1"/>
        <w:rPr>
          <w:rFonts w:ascii="宋体" w:hAnsi="宋体" w:eastAsia="宋体" w:cs="Times New Roman"/>
          <w:b/>
          <w:szCs w:val="21"/>
        </w:rPr>
      </w:pPr>
      <w:r>
        <w:rPr>
          <w:rFonts w:hint="eastAsia" w:ascii="宋体" w:hAnsi="宋体" w:eastAsia="宋体" w:cs="Times New Roman"/>
          <w:b/>
          <w:szCs w:val="21"/>
        </w:rPr>
        <w:t>四、技术要求</w:t>
      </w:r>
    </w:p>
    <w:p>
      <w:pPr>
        <w:adjustRightInd w:val="0"/>
        <w:snapToGrid w:val="0"/>
        <w:spacing w:line="288" w:lineRule="auto"/>
        <w:rPr>
          <w:rFonts w:ascii="宋体" w:hAnsi="宋体" w:eastAsia="宋体" w:cs="Times New Roman"/>
          <w:szCs w:val="21"/>
        </w:rPr>
      </w:pPr>
      <w:bookmarkStart w:id="35" w:name="_Hlk45005556"/>
    </w:p>
    <w:bookmarkEnd w:id="35"/>
    <w:p>
      <w:pPr>
        <w:adjustRightInd w:val="0"/>
        <w:snapToGrid w:val="0"/>
        <w:spacing w:line="288" w:lineRule="auto"/>
        <w:rPr>
          <w:rFonts w:ascii="宋体" w:hAnsi="宋体" w:eastAsia="宋体" w:cs="宋体"/>
          <w:b/>
          <w:bCs/>
          <w:szCs w:val="21"/>
        </w:rPr>
      </w:pPr>
      <w:bookmarkStart w:id="36" w:name="_Hlk92271413"/>
      <w:r>
        <w:rPr>
          <w:rFonts w:hint="eastAsia" w:ascii="宋体" w:hAnsi="宋体" w:eastAsia="宋体" w:cs="宋体"/>
          <w:b/>
          <w:bCs/>
          <w:szCs w:val="21"/>
        </w:rPr>
        <w:t>1</w:t>
      </w:r>
      <w:r>
        <w:rPr>
          <w:rFonts w:ascii="宋体" w:hAnsi="宋体" w:eastAsia="宋体" w:cs="宋体"/>
          <w:b/>
          <w:bCs/>
          <w:szCs w:val="21"/>
        </w:rPr>
        <w:t>.</w:t>
      </w:r>
      <w:r>
        <w:rPr>
          <w:rFonts w:hint="eastAsia" w:ascii="宋体" w:hAnsi="宋体" w:eastAsia="宋体" w:cs="宋体"/>
          <w:b/>
          <w:bCs/>
          <w:szCs w:val="21"/>
        </w:rPr>
        <w:t>需执行的国家相关标准、行业标准、地方标准或者其他标准、规范：</w:t>
      </w:r>
      <w:bookmarkStart w:id="37" w:name="_Hlk94018176"/>
      <w:r>
        <w:rPr>
          <w:rFonts w:hint="eastAsia" w:ascii="宋体" w:hAnsi="宋体" w:eastAsia="宋体" w:cs="宋体"/>
          <w:szCs w:val="21"/>
        </w:rPr>
        <w:t>如技术要求中未注明需执行的国家相关标准、行业标准、地方标准或者其他标准、规范的，执行最新标准、规范。</w:t>
      </w:r>
      <w:bookmarkEnd w:id="37"/>
    </w:p>
    <w:bookmarkEnd w:id="36"/>
    <w:p>
      <w:pPr>
        <w:adjustRightInd w:val="0"/>
        <w:snapToGrid w:val="0"/>
        <w:spacing w:line="288" w:lineRule="auto"/>
        <w:rPr>
          <w:rFonts w:ascii="宋体" w:hAnsi="宋体" w:eastAsia="宋体" w:cs="Times New Roman"/>
          <w:b/>
          <w:bCs/>
          <w:spacing w:val="-4"/>
          <w:szCs w:val="21"/>
        </w:rPr>
      </w:pPr>
      <w:r>
        <w:rPr>
          <w:rFonts w:ascii="宋体" w:hAnsi="宋体" w:eastAsia="宋体" w:cs="宋体"/>
          <w:b/>
          <w:bCs/>
          <w:szCs w:val="21"/>
        </w:rPr>
        <w:t>2</w:t>
      </w:r>
      <w:r>
        <w:rPr>
          <w:rFonts w:hint="eastAsia" w:ascii="宋体" w:hAnsi="宋体" w:eastAsia="宋体" w:cs="宋体"/>
          <w:b/>
          <w:bCs/>
          <w:szCs w:val="21"/>
        </w:rPr>
        <w:t>.需实现的目标：</w:t>
      </w:r>
      <w:r>
        <w:rPr>
          <w:rFonts w:hint="eastAsia" w:ascii="宋体" w:hAnsi="宋体" w:eastAsia="宋体" w:cs="宋体"/>
          <w:bCs/>
          <w:szCs w:val="21"/>
        </w:rPr>
        <w:t>根据下沙校区学生生活区组团（西北）项目总体工程进度，配合做好项目图纸深化、现场施工，实现厨房设备的功能，满足建筑功能需求。</w:t>
      </w:r>
    </w:p>
    <w:p>
      <w:pPr>
        <w:adjustRightInd w:val="0"/>
        <w:snapToGrid w:val="0"/>
        <w:spacing w:line="288" w:lineRule="auto"/>
        <w:rPr>
          <w:rFonts w:ascii="宋体" w:hAnsi="宋体" w:eastAsia="宋体" w:cs="Times New Roman"/>
          <w:b/>
          <w:bCs/>
          <w:spacing w:val="-4"/>
          <w:szCs w:val="21"/>
        </w:rPr>
      </w:pPr>
      <w:r>
        <w:rPr>
          <w:rFonts w:ascii="宋体" w:hAnsi="宋体" w:eastAsia="宋体" w:cs="Times New Roman"/>
          <w:b/>
          <w:bCs/>
          <w:spacing w:val="-4"/>
          <w:szCs w:val="21"/>
        </w:rPr>
        <w:t>3.</w:t>
      </w:r>
      <w:r>
        <w:rPr>
          <w:rFonts w:hint="eastAsia" w:ascii="宋体" w:hAnsi="宋体" w:eastAsia="宋体" w:cs="Times New Roman"/>
          <w:b/>
          <w:bCs/>
          <w:spacing w:val="-4"/>
          <w:szCs w:val="21"/>
        </w:rPr>
        <w:t>需满足的质量、安全、技术规格、物理特性等要求：</w:t>
      </w:r>
    </w:p>
    <w:tbl>
      <w:tblPr>
        <w:tblStyle w:val="27"/>
        <w:tblW w:w="9197" w:type="dxa"/>
        <w:jc w:val="center"/>
        <w:tblLayout w:type="fixed"/>
        <w:tblCellMar>
          <w:top w:w="0" w:type="dxa"/>
          <w:left w:w="0" w:type="dxa"/>
          <w:bottom w:w="0" w:type="dxa"/>
          <w:right w:w="0" w:type="dxa"/>
        </w:tblCellMar>
      </w:tblPr>
      <w:tblGrid>
        <w:gridCol w:w="497"/>
        <w:gridCol w:w="1341"/>
        <w:gridCol w:w="1288"/>
        <w:gridCol w:w="3411"/>
        <w:gridCol w:w="476"/>
        <w:gridCol w:w="518"/>
        <w:gridCol w:w="1113"/>
        <w:gridCol w:w="553"/>
      </w:tblGrid>
      <w:tr>
        <w:tblPrEx>
          <w:tblCellMar>
            <w:top w:w="0" w:type="dxa"/>
            <w:left w:w="0" w:type="dxa"/>
            <w:bottom w:w="0" w:type="dxa"/>
            <w:right w:w="0" w:type="dxa"/>
          </w:tblCellMar>
        </w:tblPrEx>
        <w:trPr>
          <w:trHeight w:val="508" w:hRule="atLeast"/>
          <w:tblHeader/>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b/>
                <w:bCs/>
                <w:kern w:val="0"/>
                <w:szCs w:val="21"/>
              </w:rPr>
            </w:pPr>
            <w:bookmarkStart w:id="38" w:name="_Hlk69115255"/>
            <w:r>
              <w:rPr>
                <w:rFonts w:hint="eastAsia" w:ascii="宋体" w:hAnsi="宋体" w:eastAsia="宋体" w:cs="宋体"/>
                <w:b/>
                <w:bCs/>
                <w:kern w:val="0"/>
                <w:szCs w:val="21"/>
              </w:rPr>
              <w:t>序号</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b/>
                <w:bCs/>
                <w:kern w:val="0"/>
                <w:szCs w:val="21"/>
              </w:rPr>
            </w:pPr>
            <w:r>
              <w:rPr>
                <w:rFonts w:hint="eastAsia" w:ascii="宋体" w:hAnsi="宋体" w:eastAsia="宋体" w:cs="宋体"/>
                <w:b/>
                <w:bCs/>
                <w:kern w:val="0"/>
                <w:szCs w:val="21"/>
              </w:rPr>
              <w:t>产品名称</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b/>
                <w:bCs/>
                <w:kern w:val="0"/>
                <w:szCs w:val="21"/>
              </w:rPr>
            </w:pPr>
            <w:r>
              <w:rPr>
                <w:rFonts w:hint="eastAsia" w:ascii="宋体" w:hAnsi="宋体" w:eastAsia="宋体" w:cs="宋体"/>
                <w:b/>
                <w:bCs/>
                <w:kern w:val="0"/>
                <w:szCs w:val="21"/>
              </w:rPr>
              <w:t>规格</w:t>
            </w:r>
          </w:p>
          <w:p>
            <w:pPr>
              <w:widowControl/>
              <w:jc w:val="center"/>
              <w:textAlignment w:val="center"/>
              <w:rPr>
                <w:rFonts w:ascii="宋体" w:hAnsi="宋体" w:eastAsia="宋体" w:cs="宋体"/>
                <w:b/>
                <w:bCs/>
                <w:kern w:val="0"/>
                <w:szCs w:val="21"/>
              </w:rPr>
            </w:pPr>
            <w:r>
              <w:rPr>
                <w:rFonts w:hint="eastAsia" w:ascii="宋体" w:hAnsi="宋体" w:eastAsia="宋体" w:cs="宋体"/>
                <w:b/>
                <w:bCs/>
                <w:kern w:val="0"/>
                <w:szCs w:val="21"/>
              </w:rPr>
              <w:t>（尺寸单位为mm）</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b/>
                <w:bCs/>
                <w:kern w:val="0"/>
                <w:szCs w:val="21"/>
              </w:rPr>
            </w:pPr>
            <w:r>
              <w:rPr>
                <w:rFonts w:hint="eastAsia" w:ascii="宋体" w:hAnsi="宋体" w:eastAsia="宋体" w:cs="宋体"/>
                <w:b/>
                <w:bCs/>
                <w:kern w:val="0"/>
                <w:szCs w:val="21"/>
              </w:rPr>
              <w:t>技术参数</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b/>
                <w:bCs/>
                <w:kern w:val="0"/>
                <w:szCs w:val="21"/>
              </w:rPr>
            </w:pPr>
            <w:r>
              <w:rPr>
                <w:rFonts w:hint="eastAsia" w:ascii="宋体" w:hAnsi="宋体" w:eastAsia="宋体" w:cs="宋体"/>
                <w:b/>
                <w:bCs/>
                <w:kern w:val="0"/>
                <w:szCs w:val="21"/>
              </w:rPr>
              <w:t>数量</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b/>
                <w:bCs/>
                <w:kern w:val="0"/>
                <w:szCs w:val="21"/>
              </w:rPr>
            </w:pPr>
            <w:r>
              <w:rPr>
                <w:rFonts w:hint="eastAsia" w:ascii="宋体" w:hAnsi="宋体" w:eastAsia="宋体" w:cs="宋体"/>
                <w:b/>
                <w:bCs/>
                <w:kern w:val="0"/>
                <w:szCs w:val="21"/>
              </w:rPr>
              <w:t>单位</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b/>
                <w:bCs/>
                <w:kern w:val="0"/>
                <w:szCs w:val="21"/>
              </w:rPr>
            </w:pPr>
            <w:r>
              <w:rPr>
                <w:rFonts w:hint="eastAsia" w:ascii="宋体" w:hAnsi="宋体" w:eastAsia="宋体" w:cs="宋体"/>
                <w:b/>
                <w:bCs/>
                <w:kern w:val="0"/>
                <w:szCs w:val="21"/>
              </w:rPr>
              <w:t>参考图片</w:t>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b/>
                <w:bCs/>
                <w:kern w:val="0"/>
                <w:szCs w:val="21"/>
              </w:rPr>
            </w:pPr>
            <w:r>
              <w:rPr>
                <w:rFonts w:hint="eastAsia" w:ascii="宋体" w:hAnsi="宋体" w:eastAsia="宋体" w:cs="宋体"/>
                <w:b/>
                <w:bCs/>
                <w:kern w:val="0"/>
                <w:szCs w:val="21"/>
              </w:rPr>
              <w:t>备注</w:t>
            </w:r>
          </w:p>
        </w:tc>
      </w:tr>
      <w:tr>
        <w:tblPrEx>
          <w:tblCellMar>
            <w:top w:w="0" w:type="dxa"/>
            <w:left w:w="0" w:type="dxa"/>
            <w:bottom w:w="0" w:type="dxa"/>
            <w:right w:w="0" w:type="dxa"/>
          </w:tblCellMar>
        </w:tblPrEx>
        <w:trPr>
          <w:trHeight w:val="90" w:hRule="atLeast"/>
          <w:jc w:val="center"/>
        </w:trPr>
        <w:tc>
          <w:tcPr>
            <w:tcW w:w="9197"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冷藏库、冷冻库：</w:t>
            </w:r>
          </w:p>
        </w:tc>
      </w:tr>
      <w:tr>
        <w:tblPrEx>
          <w:tblCellMar>
            <w:top w:w="0" w:type="dxa"/>
            <w:left w:w="0" w:type="dxa"/>
            <w:bottom w:w="0" w:type="dxa"/>
            <w:right w:w="0" w:type="dxa"/>
          </w:tblCellMar>
        </w:tblPrEx>
        <w:trPr>
          <w:trHeight w:val="1060"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四层格栅货架</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1200×500×1800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立管：φ38mm，壁厚≥1.2mm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主搁档：25mm×38mm方管，壁厚≥1.2mm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次搁档：25mm×50mm方管，壁厚≥1.2mm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配全钢可调子弹脚</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19</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drawing>
                <wp:anchor distT="0" distB="0" distL="114300" distR="114300" simplePos="0" relativeHeight="251660288" behindDoc="0" locked="0" layoutInCell="1" allowOverlap="1">
                  <wp:simplePos x="0" y="0"/>
                  <wp:positionH relativeFrom="column">
                    <wp:posOffset>104775</wp:posOffset>
                  </wp:positionH>
                  <wp:positionV relativeFrom="paragraph">
                    <wp:posOffset>40640</wp:posOffset>
                  </wp:positionV>
                  <wp:extent cx="492760" cy="516890"/>
                  <wp:effectExtent l="0" t="0" r="2540" b="0"/>
                  <wp:wrapNone/>
                  <wp:docPr id="87" name="图片 87"/>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92760" cy="51689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925"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低搁架</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1200×500×200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立柱：50mm×50mm方管</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横管：壁厚≥1.2mm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配防滑皮腿</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t>8</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61312" behindDoc="0" locked="0" layoutInCell="1" allowOverlap="1">
                  <wp:simplePos x="0" y="0"/>
                  <wp:positionH relativeFrom="column">
                    <wp:posOffset>83185</wp:posOffset>
                  </wp:positionH>
                  <wp:positionV relativeFrom="paragraph">
                    <wp:posOffset>40640</wp:posOffset>
                  </wp:positionV>
                  <wp:extent cx="570865" cy="525780"/>
                  <wp:effectExtent l="0" t="0" r="635" b="7620"/>
                  <wp:wrapNone/>
                  <wp:docPr id="86" name="图片 86"/>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0865" cy="52578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90" w:hRule="atLeast"/>
          <w:jc w:val="center"/>
        </w:trPr>
        <w:tc>
          <w:tcPr>
            <w:tcW w:w="9197"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米库、面库：</w:t>
            </w:r>
          </w:p>
        </w:tc>
      </w:tr>
      <w:tr>
        <w:tblPrEx>
          <w:tblCellMar>
            <w:top w:w="0" w:type="dxa"/>
            <w:left w:w="0" w:type="dxa"/>
            <w:bottom w:w="0" w:type="dxa"/>
            <w:right w:w="0" w:type="dxa"/>
          </w:tblCellMar>
        </w:tblPrEx>
        <w:trPr>
          <w:trHeight w:val="901"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米面架</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1200×500×200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立柱：50mm×50mm方管</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横管：壁厚≥1.2mm</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配防滑皮腿</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28</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62336" behindDoc="0" locked="0" layoutInCell="1" allowOverlap="1">
                  <wp:simplePos x="0" y="0"/>
                  <wp:positionH relativeFrom="column">
                    <wp:posOffset>54610</wp:posOffset>
                  </wp:positionH>
                  <wp:positionV relativeFrom="paragraph">
                    <wp:posOffset>45720</wp:posOffset>
                  </wp:positionV>
                  <wp:extent cx="602615" cy="514350"/>
                  <wp:effectExtent l="0" t="0" r="6985" b="0"/>
                  <wp:wrapNone/>
                  <wp:docPr id="85" name="图片 85"/>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02615" cy="51435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199"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平板车</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900×600×900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板厚≥1.14mm，加强筋≥0.94mm；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配承重静音脚轮，其中两只带刹车掣；</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推柄：φ32圆管，壁厚≥1.2mm，一次性弯制成型，光滑无毛刺。</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辆</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63360" behindDoc="0" locked="0" layoutInCell="1" allowOverlap="1">
                  <wp:simplePos x="0" y="0"/>
                  <wp:positionH relativeFrom="column">
                    <wp:posOffset>118110</wp:posOffset>
                  </wp:positionH>
                  <wp:positionV relativeFrom="paragraph">
                    <wp:posOffset>60960</wp:posOffset>
                  </wp:positionV>
                  <wp:extent cx="503555" cy="629920"/>
                  <wp:effectExtent l="0" t="0" r="10795" b="17780"/>
                  <wp:wrapNone/>
                  <wp:docPr id="84" name="图片 84"/>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03555" cy="62992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90" w:hRule="atLeast"/>
          <w:jc w:val="center"/>
        </w:trPr>
        <w:tc>
          <w:tcPr>
            <w:tcW w:w="9197"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水产加工：</w:t>
            </w:r>
          </w:p>
        </w:tc>
      </w:tr>
      <w:tr>
        <w:tblPrEx>
          <w:tblCellMar>
            <w:top w:w="0" w:type="dxa"/>
            <w:left w:w="0" w:type="dxa"/>
            <w:bottom w:w="0" w:type="dxa"/>
            <w:right w:w="0" w:type="dxa"/>
          </w:tblCellMar>
        </w:tblPrEx>
        <w:trPr>
          <w:trHeight w:val="1180"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四层格栅货架</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1200×500×1800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立管：φ38mm，壁厚≥1.2mm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主搁档：25mm×38mm方管，壁厚≥1.2mm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次搁档：25mm×50mm方管，壁厚≥1.2mm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配全钢可调子弹脚</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66432" behindDoc="0" locked="0" layoutInCell="1" allowOverlap="1">
                  <wp:simplePos x="0" y="0"/>
                  <wp:positionH relativeFrom="column">
                    <wp:posOffset>57150</wp:posOffset>
                  </wp:positionH>
                  <wp:positionV relativeFrom="paragraph">
                    <wp:posOffset>31115</wp:posOffset>
                  </wp:positionV>
                  <wp:extent cx="532130" cy="690880"/>
                  <wp:effectExtent l="0" t="0" r="1270" b="0"/>
                  <wp:wrapNone/>
                  <wp:docPr id="83" name="图片 83"/>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32130" cy="69088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rPr>
          <w:trHeight w:val="1235"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双层工作台</w:t>
            </w:r>
          </w:p>
          <w:p>
            <w:pPr>
              <w:widowControl/>
              <w:jc w:val="center"/>
              <w:textAlignment w:val="center"/>
              <w:rPr>
                <w:rFonts w:ascii="宋体" w:hAnsi="宋体" w:eastAsia="宋体" w:cs="宋体"/>
                <w:kern w:val="0"/>
                <w:szCs w:val="21"/>
              </w:rPr>
            </w:pPr>
            <w:r>
              <w:rPr>
                <w:rFonts w:hint="eastAsia" w:ascii="宋体" w:hAnsi="宋体" w:eastAsia="宋体" w:cs="宋体"/>
                <w:kern w:val="0"/>
                <w:szCs w:val="21"/>
              </w:rPr>
              <w:t>（其中1台带背，背高≥150mm）</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1800×800×800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SUS304-2B优质不锈钢板制作：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台面钢板厚≥1.2mm，下衬防潮板减噪，厚度≥12mm；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下层平板：板厚≥1.0mm，加强筋≥1.0mm；脚管：φ38mm，壁厚≥1.2mm</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配有可调子弹脚</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67456" behindDoc="0" locked="0" layoutInCell="1" allowOverlap="1">
                  <wp:simplePos x="0" y="0"/>
                  <wp:positionH relativeFrom="column">
                    <wp:posOffset>16510</wp:posOffset>
                  </wp:positionH>
                  <wp:positionV relativeFrom="paragraph">
                    <wp:posOffset>137160</wp:posOffset>
                  </wp:positionV>
                  <wp:extent cx="657225" cy="521970"/>
                  <wp:effectExtent l="0" t="0" r="9525" b="0"/>
                  <wp:wrapNone/>
                  <wp:docPr id="82" name="图片 82"/>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57225" cy="52197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085"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刀具砧板组合消毒柜</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600×600×1600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发纹贴塑不锈钢板，板厚≥1.0mm；</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带刀具、砧板放置槽，多层次紫外线杀菌；消毒方式：紫外线加臭氧红外线循环风，电压：220V，紫外线功率≥17w，红外线功率≥300w。</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68480" behindDoc="0" locked="0" layoutInCell="1" allowOverlap="1">
                  <wp:simplePos x="0" y="0"/>
                  <wp:positionH relativeFrom="column">
                    <wp:posOffset>146050</wp:posOffset>
                  </wp:positionH>
                  <wp:positionV relativeFrom="paragraph">
                    <wp:posOffset>46355</wp:posOffset>
                  </wp:positionV>
                  <wp:extent cx="462280" cy="576580"/>
                  <wp:effectExtent l="0" t="0" r="13970" b="13970"/>
                  <wp:wrapNone/>
                  <wp:docPr id="81" name="图片 8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62280" cy="57658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szCs w:val="21"/>
              </w:rPr>
              <w:t>厂制品</w:t>
            </w:r>
          </w:p>
        </w:tc>
      </w:tr>
      <w:tr>
        <w:tblPrEx>
          <w:tblCellMar>
            <w:top w:w="0" w:type="dxa"/>
            <w:left w:w="0" w:type="dxa"/>
            <w:bottom w:w="0" w:type="dxa"/>
            <w:right w:w="0" w:type="dxa"/>
          </w:tblCellMar>
        </w:tblPrEx>
        <w:trPr>
          <w:trHeight w:val="3384"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四门冷藏柜</w:t>
            </w:r>
          </w:p>
          <w:p>
            <w:pPr>
              <w:widowControl/>
              <w:jc w:val="center"/>
              <w:textAlignment w:val="center"/>
              <w:rPr>
                <w:rFonts w:ascii="宋体" w:hAnsi="宋体" w:eastAsia="宋体" w:cs="宋体"/>
                <w:kern w:val="0"/>
                <w:szCs w:val="21"/>
              </w:rPr>
            </w:pPr>
            <w:r>
              <w:rPr>
                <w:rFonts w:hint="eastAsia" w:ascii="宋体" w:hAnsi="宋体" w:eastAsia="宋体" w:cs="宋体"/>
                <w:kern w:val="0"/>
                <w:szCs w:val="21"/>
              </w:rPr>
              <w:t>（风冷）</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1、内、外箱体采用食品级优质不锈钢板，优质压缩机及风机，环保冷媒；</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2、提供数字温控器，手触面板为直流5V供电，安全防水；</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3、环戊烷高密度发泡保温层，厚度≥75mm；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4、整体式可拆卸机组，方便后期维养；</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5、提供强力风冷系统，带智能除霜系统，化霜水强制蒸发，无需外接排水；</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6、箱体内圆弧设计，盆形底板，易清洁；</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7、可承受43℃环境温度；</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8、柜内要求温度：冷藏+1℃～+4℃  ；</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9、配有8件GN2/1浸塑层架； </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10、150mm高不锈钢可调底脚；</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11、电功率：≤1kw 220V/1/50Hz</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12、有效容积≥940L</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13、通过CCC认证</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▲14、能耗等级≤2级</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64384" behindDoc="0" locked="0" layoutInCell="1" allowOverlap="1">
                  <wp:simplePos x="0" y="0"/>
                  <wp:positionH relativeFrom="column">
                    <wp:posOffset>78105</wp:posOffset>
                  </wp:positionH>
                  <wp:positionV relativeFrom="paragraph">
                    <wp:posOffset>772160</wp:posOffset>
                  </wp:positionV>
                  <wp:extent cx="509905" cy="637540"/>
                  <wp:effectExtent l="19050" t="0" r="4445" b="0"/>
                  <wp:wrapNone/>
                  <wp:docPr id="80" name="图片 80"/>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09905" cy="63754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p>
        </w:tc>
      </w:tr>
      <w:tr>
        <w:tblPrEx>
          <w:tblCellMar>
            <w:top w:w="0" w:type="dxa"/>
            <w:left w:w="0" w:type="dxa"/>
            <w:bottom w:w="0" w:type="dxa"/>
            <w:right w:w="0" w:type="dxa"/>
          </w:tblCellMar>
        </w:tblPrEx>
        <w:trPr>
          <w:trHeight w:val="3441"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5</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四门冷冻柜</w:t>
            </w:r>
          </w:p>
          <w:p>
            <w:pPr>
              <w:widowControl/>
              <w:jc w:val="center"/>
              <w:textAlignment w:val="center"/>
              <w:rPr>
                <w:rFonts w:ascii="宋体" w:hAnsi="宋体" w:eastAsia="宋体" w:cs="宋体"/>
                <w:kern w:val="0"/>
                <w:szCs w:val="21"/>
              </w:rPr>
            </w:pPr>
            <w:r>
              <w:rPr>
                <w:rFonts w:hint="eastAsia" w:ascii="宋体" w:hAnsi="宋体" w:eastAsia="宋体" w:cs="宋体"/>
                <w:kern w:val="0"/>
                <w:szCs w:val="21"/>
              </w:rPr>
              <w:t>（风冷）</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1、内、外箱体采用食品级优质不锈钢板，优质压缩机及风机，环保冷媒；</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2、提供数字温控器，手触面板为直流5V供电，安全防水；</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3、环戊烷高密度发泡保温层，厚度≥75mm；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4、整体式可拆卸机组，方便后期维养；</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5、提供强力风冷系统，带智能除霜系统，化霜水强制蒸发，无需外接排水；</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6、箱体内圆弧设计，盆形底板，易清洁；</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7、可承受43℃环境温度；</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8、柜内要求温度：冷冻：-22℃～-18℃</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9、配有8件GN2/1浸塑层架；</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10、150mm高不锈钢可调底脚；</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11、电功率：≤1KW  220V/1/50Hz</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12、有效容积≥940L</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13、通过CCC认证</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▲14、能耗等级≤2级</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65408" behindDoc="0" locked="0" layoutInCell="1" allowOverlap="1">
                  <wp:simplePos x="0" y="0"/>
                  <wp:positionH relativeFrom="column">
                    <wp:posOffset>113665</wp:posOffset>
                  </wp:positionH>
                  <wp:positionV relativeFrom="paragraph">
                    <wp:posOffset>744220</wp:posOffset>
                  </wp:positionV>
                  <wp:extent cx="501650" cy="669290"/>
                  <wp:effectExtent l="19050" t="0" r="0" b="0"/>
                  <wp:wrapNone/>
                  <wp:docPr id="79" name="图片 79"/>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01650" cy="66929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p>
        </w:tc>
      </w:tr>
      <w:tr>
        <w:tblPrEx>
          <w:tblCellMar>
            <w:top w:w="0" w:type="dxa"/>
            <w:left w:w="0" w:type="dxa"/>
            <w:bottom w:w="0" w:type="dxa"/>
            <w:right w:w="0" w:type="dxa"/>
          </w:tblCellMar>
        </w:tblPrEx>
        <w:trPr>
          <w:trHeight w:val="90" w:hRule="atLeast"/>
          <w:jc w:val="center"/>
        </w:trPr>
        <w:tc>
          <w:tcPr>
            <w:tcW w:w="9197"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禽类加工、肉类加工：</w:t>
            </w:r>
          </w:p>
        </w:tc>
      </w:tr>
      <w:tr>
        <w:tblPrEx>
          <w:tblCellMar>
            <w:top w:w="0" w:type="dxa"/>
            <w:left w:w="0" w:type="dxa"/>
            <w:bottom w:w="0" w:type="dxa"/>
            <w:right w:w="0" w:type="dxa"/>
          </w:tblCellMar>
        </w:tblPrEx>
        <w:trPr>
          <w:trHeight w:val="1083"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四层格栅货架</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1200×500×1800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立管：φ38mm，壁厚≥1.2mm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主搁档：25mm×38mm方管，壁厚≥1.2mm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次搁档：25mm×50mm方管，壁厚≥1.2mm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配全钢可调子弹脚</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69504" behindDoc="0" locked="0" layoutInCell="1" allowOverlap="1">
                  <wp:simplePos x="0" y="0"/>
                  <wp:positionH relativeFrom="column">
                    <wp:posOffset>122555</wp:posOffset>
                  </wp:positionH>
                  <wp:positionV relativeFrom="paragraph">
                    <wp:posOffset>64770</wp:posOffset>
                  </wp:positionV>
                  <wp:extent cx="477520" cy="594995"/>
                  <wp:effectExtent l="0" t="0" r="0" b="0"/>
                  <wp:wrapNone/>
                  <wp:docPr id="78" name="图片 78"/>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77520" cy="594995"/>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272"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双层工作台</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1800×800×800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SUS304-2B优质不锈钢板制作：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台面钢板厚≥1.2mm，下衬防潮板减噪，厚度≥12mm；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下层平板：板厚≥1.0mm，加强筋≥1.0mm；脚管：φ38mm，壁厚≥1.2mm</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配有可调子弹脚</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6</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71552" behindDoc="0" locked="0" layoutInCell="1" allowOverlap="1">
                  <wp:simplePos x="0" y="0"/>
                  <wp:positionH relativeFrom="column">
                    <wp:posOffset>99060</wp:posOffset>
                  </wp:positionH>
                  <wp:positionV relativeFrom="paragraph">
                    <wp:posOffset>95250</wp:posOffset>
                  </wp:positionV>
                  <wp:extent cx="586740" cy="446405"/>
                  <wp:effectExtent l="19050" t="0" r="3810" b="0"/>
                  <wp:wrapNone/>
                  <wp:docPr id="77" name="图片 77"/>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6740" cy="446405"/>
                          </a:xfrm>
                          <a:prstGeom prst="rect">
                            <a:avLst/>
                          </a:prstGeom>
                          <a:noFill/>
                          <a:ln>
                            <a:noFill/>
                          </a:ln>
                          <a:effectLst/>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90" w:hRule="atLeast"/>
          <w:jc w:val="center"/>
        </w:trPr>
        <w:tc>
          <w:tcPr>
            <w:tcW w:w="9197"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肉类细加工：</w:t>
            </w:r>
          </w:p>
        </w:tc>
      </w:tr>
      <w:tr>
        <w:tblPrEx>
          <w:tblCellMar>
            <w:top w:w="0" w:type="dxa"/>
            <w:left w:w="0" w:type="dxa"/>
            <w:bottom w:w="0" w:type="dxa"/>
            <w:right w:w="0" w:type="dxa"/>
          </w:tblCellMar>
        </w:tblPrEx>
        <w:trPr>
          <w:trHeight w:val="3604"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四门冷冻柜</w:t>
            </w:r>
          </w:p>
          <w:p>
            <w:pPr>
              <w:widowControl/>
              <w:jc w:val="center"/>
              <w:textAlignment w:val="center"/>
              <w:rPr>
                <w:rFonts w:ascii="宋体" w:hAnsi="宋体" w:eastAsia="宋体" w:cs="宋体"/>
                <w:kern w:val="0"/>
                <w:szCs w:val="21"/>
              </w:rPr>
            </w:pPr>
            <w:r>
              <w:rPr>
                <w:rFonts w:hint="eastAsia" w:ascii="宋体" w:hAnsi="宋体" w:eastAsia="宋体" w:cs="宋体"/>
                <w:kern w:val="0"/>
                <w:szCs w:val="21"/>
              </w:rPr>
              <w:t>（风冷）</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tabs>
                <w:tab w:val="center" w:pos="2327"/>
              </w:tabs>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1、内、外箱体采用食品级优质不锈钢板，优质压缩机及风机，环保冷媒；</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2、数字温控器，手触面板为直流5V供电，安全防水；</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3、75mm环戊烷高密度发泡保温层，环保节能；</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4、整体式可拆卸机组，方便后期维养；</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5、提供强力风冷系统，带智能除霜系统，化霜水强制蒸发，无需外接排水；</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6、箱体内圆弧设计，盆形底板，易清洁；</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7、可承受43℃环境温度；</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8、柜内要求温度：冷冻：-22℃～-18℃</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9、配有8件GN2/1浸塑层架；</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10、150mm高不锈钢可调底脚；</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11、电功率：≤1KW  220V/1/50Hz</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12、有效容积≥940L</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13、通过CCC认证</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▲14、能耗等级≤2级</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70528" behindDoc="0" locked="0" layoutInCell="1" allowOverlap="1">
                  <wp:simplePos x="0" y="0"/>
                  <wp:positionH relativeFrom="column">
                    <wp:posOffset>133985</wp:posOffset>
                  </wp:positionH>
                  <wp:positionV relativeFrom="paragraph">
                    <wp:posOffset>799465</wp:posOffset>
                  </wp:positionV>
                  <wp:extent cx="480060" cy="626745"/>
                  <wp:effectExtent l="19050" t="0" r="0" b="0"/>
                  <wp:wrapNone/>
                  <wp:docPr id="76" name="图片 76"/>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80060" cy="626745"/>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p>
        </w:tc>
      </w:tr>
      <w:tr>
        <w:tblPrEx>
          <w:tblCellMar>
            <w:top w:w="0" w:type="dxa"/>
            <w:left w:w="0" w:type="dxa"/>
            <w:bottom w:w="0" w:type="dxa"/>
            <w:right w:w="0" w:type="dxa"/>
          </w:tblCellMar>
        </w:tblPrEx>
        <w:trPr>
          <w:trHeight w:val="3439"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四门冷藏柜</w:t>
            </w:r>
          </w:p>
          <w:p>
            <w:pPr>
              <w:widowControl/>
              <w:jc w:val="center"/>
              <w:textAlignment w:val="center"/>
              <w:rPr>
                <w:rFonts w:ascii="宋体" w:hAnsi="宋体" w:eastAsia="宋体" w:cs="宋体"/>
                <w:kern w:val="0"/>
                <w:szCs w:val="21"/>
              </w:rPr>
            </w:pPr>
            <w:r>
              <w:rPr>
                <w:rFonts w:hint="eastAsia" w:ascii="宋体" w:hAnsi="宋体" w:eastAsia="宋体" w:cs="宋体"/>
                <w:kern w:val="0"/>
                <w:szCs w:val="21"/>
              </w:rPr>
              <w:t>（风冷）</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1、内、外箱体采用食品级优质不锈钢板，优质压缩机及风机，环保冷媒；</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2、提供数字温控器，手触面板为直流5V供电，安全防水；</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3、75mm环戊烷高密度发泡保温层；</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4、整体式可拆卸机组，方便后期维养；</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5、提供强力风冷系统，带智能除霜系统，化霜水强制蒸发，无需外接排水；</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6、箱体内圆弧设计，盆形底板，易清洁；</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7、可承受43℃环境温度；</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8、柜内要求温度：冷藏+1℃～+4℃  </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9、配有8件GN2/1浸塑层架；</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10、150mm高不锈钢可调底脚；</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11、电功率：≤1KW  220V/1/50Hz</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12、有效容积≥940L</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13、通过CCC认证</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▲14、能耗等级≤2级</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72576" behindDoc="0" locked="0" layoutInCell="1" allowOverlap="1">
                  <wp:simplePos x="0" y="0"/>
                  <wp:positionH relativeFrom="column">
                    <wp:posOffset>111125</wp:posOffset>
                  </wp:positionH>
                  <wp:positionV relativeFrom="paragraph">
                    <wp:posOffset>795020</wp:posOffset>
                  </wp:positionV>
                  <wp:extent cx="490855" cy="664845"/>
                  <wp:effectExtent l="0" t="0" r="4445" b="1905"/>
                  <wp:wrapNone/>
                  <wp:docPr id="75" name="图片 75"/>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90855" cy="664845"/>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p>
        </w:tc>
      </w:tr>
      <w:tr>
        <w:tblPrEx>
          <w:tblCellMar>
            <w:top w:w="0" w:type="dxa"/>
            <w:left w:w="0" w:type="dxa"/>
            <w:bottom w:w="0" w:type="dxa"/>
            <w:right w:w="0" w:type="dxa"/>
          </w:tblCellMar>
        </w:tblPrEx>
        <w:trPr>
          <w:trHeight w:val="908"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双层工作台</w:t>
            </w:r>
          </w:p>
          <w:p>
            <w:pPr>
              <w:widowControl/>
              <w:jc w:val="center"/>
              <w:textAlignment w:val="center"/>
              <w:rPr>
                <w:rFonts w:ascii="宋体" w:hAnsi="宋体" w:eastAsia="宋体" w:cs="宋体"/>
                <w:kern w:val="0"/>
                <w:szCs w:val="21"/>
              </w:rPr>
            </w:pPr>
            <w:r>
              <w:rPr>
                <w:rFonts w:hint="eastAsia" w:ascii="宋体" w:hAnsi="宋体" w:eastAsia="宋体" w:cs="宋体"/>
                <w:kern w:val="0"/>
                <w:szCs w:val="21"/>
              </w:rPr>
              <w:t>（带背，背高≥150mm）</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1800×800×800</w:t>
            </w:r>
          </w:p>
        </w:tc>
        <w:tc>
          <w:tcPr>
            <w:tcW w:w="3411" w:type="dxa"/>
            <w:vMerge w:val="restart"/>
            <w:tcBorders>
              <w:top w:val="single" w:color="000000" w:sz="4" w:space="0"/>
              <w:left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SUS304-2B优质不锈钢板制作：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台面钢板厚≥1.2mm，下衬防潮板减噪，厚度≥12mm；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下层平板：板厚≥1.0mm，加强筋≥1.0mm；脚管：φ38mm，壁厚≥1.2mm</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配有可调子弹脚</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73600" behindDoc="0" locked="0" layoutInCell="1" allowOverlap="1">
                  <wp:simplePos x="0" y="0"/>
                  <wp:positionH relativeFrom="column">
                    <wp:posOffset>38735</wp:posOffset>
                  </wp:positionH>
                  <wp:positionV relativeFrom="paragraph">
                    <wp:posOffset>45720</wp:posOffset>
                  </wp:positionV>
                  <wp:extent cx="649605" cy="494030"/>
                  <wp:effectExtent l="0" t="0" r="0" b="1270"/>
                  <wp:wrapNone/>
                  <wp:docPr id="74" name="图片 74"/>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49605" cy="49403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803"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双层工作台</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1600×800×800</w:t>
            </w:r>
          </w:p>
        </w:tc>
        <w:tc>
          <w:tcPr>
            <w:tcW w:w="3411" w:type="dxa"/>
            <w:vMerge w:val="continue"/>
            <w:tcBorders>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szCs w:val="21"/>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74624" behindDoc="0" locked="0" layoutInCell="1" allowOverlap="1">
                  <wp:simplePos x="0" y="0"/>
                  <wp:positionH relativeFrom="column">
                    <wp:posOffset>110490</wp:posOffset>
                  </wp:positionH>
                  <wp:positionV relativeFrom="paragraph">
                    <wp:posOffset>34925</wp:posOffset>
                  </wp:positionV>
                  <wp:extent cx="511175" cy="394970"/>
                  <wp:effectExtent l="0" t="0" r="3175" b="5080"/>
                  <wp:wrapNone/>
                  <wp:docPr id="73" name="图片 73"/>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11175" cy="394970"/>
                          </a:xfrm>
                          <a:prstGeom prst="rect">
                            <a:avLst/>
                          </a:prstGeom>
                          <a:noFill/>
                          <a:ln>
                            <a:noFill/>
                          </a:ln>
                          <a:effectLst/>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432"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5</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刀具砧板组合消毒柜</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1200×600×1600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SUS304-2B优质不锈钢板制作：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柜体板厚≥1.14mm；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上层活动刀具存放箱，下层砧板存放架， 带紫外线杀菌灯</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配重力脚φ50mm，150mm高；</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功率/电压：≥60W/220V</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75648" behindDoc="0" locked="0" layoutInCell="1" allowOverlap="1">
                  <wp:simplePos x="0" y="0"/>
                  <wp:positionH relativeFrom="column">
                    <wp:posOffset>97790</wp:posOffset>
                  </wp:positionH>
                  <wp:positionV relativeFrom="paragraph">
                    <wp:posOffset>132715</wp:posOffset>
                  </wp:positionV>
                  <wp:extent cx="512445" cy="631825"/>
                  <wp:effectExtent l="0" t="0" r="1905" b="15875"/>
                  <wp:wrapNone/>
                  <wp:docPr id="72" name="图片 72"/>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12445" cy="631825"/>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厂制品</w:t>
            </w:r>
          </w:p>
          <w:p>
            <w:pPr>
              <w:widowControl/>
              <w:jc w:val="center"/>
              <w:textAlignment w:val="center"/>
              <w:rPr>
                <w:rFonts w:ascii="宋体" w:hAnsi="宋体" w:eastAsia="宋体" w:cs="宋体"/>
                <w:kern w:val="0"/>
                <w:szCs w:val="21"/>
                <w:bdr w:val="single" w:color="000000" w:sz="4" w:space="0"/>
              </w:rPr>
            </w:pPr>
          </w:p>
        </w:tc>
      </w:tr>
      <w:tr>
        <w:tblPrEx>
          <w:tblCellMar>
            <w:top w:w="0" w:type="dxa"/>
            <w:left w:w="0" w:type="dxa"/>
            <w:bottom w:w="0" w:type="dxa"/>
            <w:right w:w="0" w:type="dxa"/>
          </w:tblCellMar>
        </w:tblPrEx>
        <w:trPr>
          <w:trHeight w:val="1418"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6</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切肉机</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ind w:left="42" w:leftChars="20" w:right="42" w:rightChars="20"/>
              <w:jc w:val="left"/>
              <w:rPr>
                <w:rFonts w:ascii="宋体" w:hAnsi="宋体" w:eastAsia="宋体" w:cs="宋体"/>
                <w:kern w:val="0"/>
                <w:szCs w:val="21"/>
              </w:rPr>
            </w:pPr>
            <w:r>
              <w:rPr>
                <w:rFonts w:hint="eastAsia" w:ascii="宋体" w:hAnsi="宋体" w:eastAsia="宋体" w:cs="宋体"/>
                <w:kern w:val="0"/>
                <w:szCs w:val="21"/>
              </w:rPr>
              <w:t>优质不锈钢板制作：</w:t>
            </w:r>
          </w:p>
          <w:p>
            <w:pPr>
              <w:ind w:left="42" w:leftChars="20" w:right="42" w:rightChars="20"/>
              <w:jc w:val="left"/>
              <w:rPr>
                <w:rFonts w:ascii="宋体" w:hAnsi="宋体" w:eastAsia="宋体" w:cs="宋体"/>
                <w:szCs w:val="21"/>
              </w:rPr>
            </w:pPr>
            <w:r>
              <w:rPr>
                <w:rFonts w:hint="eastAsia" w:ascii="宋体" w:hAnsi="宋体" w:eastAsia="宋体" w:cs="宋体"/>
                <w:szCs w:val="21"/>
              </w:rPr>
              <w:t>1、入料口尺寸：≥180（L）*90（W）（mm）</w:t>
            </w:r>
          </w:p>
          <w:p>
            <w:pPr>
              <w:ind w:left="42" w:leftChars="20" w:right="42" w:rightChars="20"/>
              <w:jc w:val="left"/>
              <w:rPr>
                <w:rFonts w:ascii="宋体" w:hAnsi="宋体" w:eastAsia="宋体" w:cs="宋体"/>
                <w:szCs w:val="21"/>
              </w:rPr>
            </w:pPr>
            <w:r>
              <w:rPr>
                <w:rFonts w:hint="eastAsia" w:ascii="宋体" w:hAnsi="宋体" w:eastAsia="宋体" w:cs="宋体"/>
                <w:szCs w:val="21"/>
              </w:rPr>
              <w:t>2、切条尺寸范围：2.5-40mm(可调)</w:t>
            </w:r>
          </w:p>
          <w:p>
            <w:pPr>
              <w:ind w:left="42" w:leftChars="20" w:right="42" w:rightChars="20"/>
              <w:jc w:val="left"/>
              <w:rPr>
                <w:rFonts w:ascii="宋体" w:hAnsi="宋体" w:eastAsia="宋体" w:cs="宋体"/>
                <w:szCs w:val="21"/>
              </w:rPr>
            </w:pPr>
            <w:r>
              <w:rPr>
                <w:rFonts w:hint="eastAsia" w:ascii="宋体" w:hAnsi="宋体" w:eastAsia="宋体" w:cs="宋体"/>
                <w:kern w:val="0"/>
                <w:szCs w:val="21"/>
              </w:rPr>
              <w:t>▲</w:t>
            </w:r>
            <w:r>
              <w:rPr>
                <w:rFonts w:hint="eastAsia" w:ascii="宋体" w:hAnsi="宋体" w:eastAsia="宋体" w:cs="宋体"/>
                <w:szCs w:val="21"/>
              </w:rPr>
              <w:t>3、产量：</w:t>
            </w:r>
            <w:r>
              <w:rPr>
                <w:rFonts w:hint="eastAsia" w:ascii="宋体" w:hAnsi="宋体" w:eastAsia="宋体" w:cs="宋体"/>
                <w:kern w:val="0"/>
                <w:szCs w:val="21"/>
              </w:rPr>
              <w:t>≥</w:t>
            </w:r>
            <w:r>
              <w:rPr>
                <w:rFonts w:hint="eastAsia" w:ascii="宋体" w:hAnsi="宋体" w:eastAsia="宋体" w:cs="宋体"/>
                <w:szCs w:val="21"/>
              </w:rPr>
              <w:t>800KG/HR</w:t>
            </w:r>
          </w:p>
          <w:p>
            <w:pPr>
              <w:ind w:left="42" w:leftChars="20" w:right="42" w:rightChars="20"/>
              <w:jc w:val="left"/>
              <w:rPr>
                <w:rFonts w:ascii="宋体" w:hAnsi="宋体" w:eastAsia="宋体" w:cs="宋体"/>
                <w:szCs w:val="21"/>
              </w:rPr>
            </w:pPr>
            <w:r>
              <w:rPr>
                <w:rFonts w:hint="eastAsia" w:ascii="宋体" w:hAnsi="宋体" w:eastAsia="宋体" w:cs="宋体"/>
                <w:szCs w:val="21"/>
              </w:rPr>
              <w:t>4、电源：380V 三相</w:t>
            </w:r>
          </w:p>
          <w:p>
            <w:pPr>
              <w:ind w:left="42" w:leftChars="20" w:right="42" w:rightChars="20"/>
              <w:jc w:val="left"/>
              <w:rPr>
                <w:rFonts w:ascii="宋体" w:hAnsi="宋体" w:eastAsia="宋体" w:cs="宋体"/>
                <w:szCs w:val="21"/>
              </w:rPr>
            </w:pPr>
            <w:r>
              <w:rPr>
                <w:rFonts w:hint="eastAsia" w:ascii="宋体" w:hAnsi="宋体" w:eastAsia="宋体" w:cs="宋体"/>
                <w:szCs w:val="21"/>
              </w:rPr>
              <w:t>5、功率：≥1.5KW</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drawing>
                <wp:inline distT="0" distB="0" distL="0" distR="0">
                  <wp:extent cx="771525" cy="700405"/>
                  <wp:effectExtent l="0" t="0" r="9525" b="4445"/>
                  <wp:docPr id="29" name="图片 29" descr="IMG_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377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71525" cy="700405"/>
                          </a:xfrm>
                          <a:prstGeom prst="rect">
                            <a:avLst/>
                          </a:prstGeom>
                          <a:noFill/>
                          <a:ln>
                            <a:noFill/>
                          </a:ln>
                        </pic:spPr>
                      </pic:pic>
                    </a:graphicData>
                  </a:graphic>
                </wp:inline>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p>
        </w:tc>
      </w:tr>
      <w:tr>
        <w:tblPrEx>
          <w:tblCellMar>
            <w:top w:w="0" w:type="dxa"/>
            <w:left w:w="0" w:type="dxa"/>
            <w:bottom w:w="0" w:type="dxa"/>
            <w:right w:w="0" w:type="dxa"/>
          </w:tblCellMar>
        </w:tblPrEx>
        <w:trPr>
          <w:trHeight w:val="2964"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7</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大型绞肉机</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jc w:val="center"/>
              <w:rPr>
                <w:rFonts w:ascii="宋体" w:hAnsi="宋体" w:eastAsia="宋体" w:cs="宋体"/>
                <w:szCs w:val="21"/>
              </w:rPr>
            </w:pPr>
            <w:r>
              <w:rPr>
                <w:rFonts w:hint="eastAsia" w:ascii="宋体" w:hAnsi="宋体" w:eastAsia="宋体" w:cs="宋体"/>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ind w:left="42" w:leftChars="20" w:right="42" w:rightChars="20"/>
              <w:jc w:val="left"/>
              <w:rPr>
                <w:rFonts w:ascii="宋体" w:hAnsi="宋体" w:eastAsia="宋体" w:cs="宋体"/>
                <w:szCs w:val="21"/>
              </w:rPr>
            </w:pPr>
            <w:r>
              <w:rPr>
                <w:rFonts w:hint="eastAsia" w:ascii="宋体" w:hAnsi="宋体" w:eastAsia="宋体" w:cs="宋体"/>
                <w:szCs w:val="21"/>
              </w:rPr>
              <w:t>▲1、产量：零度以上，以6mm绞网为≥800-1000kgs/hr；-5℃至0℃，以6mm绞网为≥500-700kgs/hr</w:t>
            </w:r>
          </w:p>
          <w:p>
            <w:pPr>
              <w:ind w:left="42" w:leftChars="20" w:right="42" w:rightChars="20"/>
              <w:jc w:val="left"/>
              <w:rPr>
                <w:rFonts w:ascii="宋体" w:hAnsi="宋体" w:eastAsia="宋体" w:cs="宋体"/>
                <w:szCs w:val="21"/>
              </w:rPr>
            </w:pPr>
            <w:r>
              <w:rPr>
                <w:rFonts w:hint="eastAsia" w:ascii="宋体" w:hAnsi="宋体" w:eastAsia="宋体" w:cs="宋体"/>
                <w:szCs w:val="21"/>
              </w:rPr>
              <w:t>2、电动机：3P 380V 50HZ 转速：200 RPM</w:t>
            </w:r>
          </w:p>
          <w:p>
            <w:pPr>
              <w:ind w:left="42" w:leftChars="20" w:right="42" w:rightChars="20"/>
              <w:jc w:val="left"/>
              <w:rPr>
                <w:rFonts w:ascii="宋体" w:hAnsi="宋体" w:eastAsia="宋体" w:cs="宋体"/>
                <w:szCs w:val="21"/>
              </w:rPr>
            </w:pPr>
            <w:r>
              <w:rPr>
                <w:rFonts w:hint="eastAsia" w:ascii="宋体" w:hAnsi="宋体" w:eastAsia="宋体" w:cs="宋体"/>
                <w:szCs w:val="21"/>
              </w:rPr>
              <w:t>3、功率：≥3KW</w:t>
            </w:r>
          </w:p>
          <w:p>
            <w:pPr>
              <w:ind w:left="42" w:leftChars="20" w:right="42" w:rightChars="20"/>
              <w:jc w:val="left"/>
              <w:rPr>
                <w:rFonts w:ascii="宋体" w:hAnsi="宋体" w:eastAsia="宋体" w:cs="宋体"/>
                <w:szCs w:val="21"/>
              </w:rPr>
            </w:pPr>
            <w:r>
              <w:rPr>
                <w:rFonts w:hint="eastAsia" w:ascii="宋体" w:hAnsi="宋体" w:eastAsia="宋体" w:cs="宋体"/>
                <w:szCs w:val="21"/>
              </w:rPr>
              <w:t>4、设备提供孔板规格：22，16，6各一块</w:t>
            </w:r>
          </w:p>
          <w:p>
            <w:pPr>
              <w:ind w:left="42" w:leftChars="20" w:right="42" w:rightChars="20"/>
              <w:jc w:val="left"/>
              <w:rPr>
                <w:rFonts w:ascii="宋体" w:hAnsi="宋体" w:eastAsia="宋体" w:cs="宋体"/>
                <w:szCs w:val="21"/>
              </w:rPr>
            </w:pPr>
            <w:r>
              <w:rPr>
                <w:rFonts w:hint="eastAsia" w:ascii="宋体" w:hAnsi="宋体" w:eastAsia="宋体" w:cs="宋体"/>
                <w:szCs w:val="21"/>
              </w:rPr>
              <w:t>5、传动方式：直接传动，无皮带无链条，扭力大；</w:t>
            </w:r>
          </w:p>
          <w:p>
            <w:pPr>
              <w:ind w:left="42" w:leftChars="20" w:right="42" w:rightChars="20"/>
              <w:jc w:val="left"/>
              <w:rPr>
                <w:rFonts w:ascii="宋体" w:hAnsi="宋体" w:eastAsia="宋体" w:cs="宋体"/>
                <w:szCs w:val="21"/>
              </w:rPr>
            </w:pPr>
            <w:r>
              <w:rPr>
                <w:rFonts w:hint="eastAsia" w:ascii="宋体" w:hAnsi="宋体" w:eastAsia="宋体" w:cs="宋体"/>
                <w:szCs w:val="21"/>
              </w:rPr>
              <w:t>6、整机采用1.5mm以上304全不锈钢制造。</w:t>
            </w:r>
          </w:p>
          <w:p>
            <w:pPr>
              <w:ind w:left="42" w:leftChars="20" w:right="42" w:rightChars="20"/>
              <w:jc w:val="left"/>
              <w:rPr>
                <w:rFonts w:ascii="宋体" w:hAnsi="宋体" w:eastAsia="宋体" w:cs="宋体"/>
                <w:szCs w:val="21"/>
              </w:rPr>
            </w:pPr>
            <w:r>
              <w:rPr>
                <w:rFonts w:hint="eastAsia" w:ascii="宋体" w:hAnsi="宋体" w:eastAsia="宋体" w:cs="宋体"/>
                <w:szCs w:val="21"/>
              </w:rPr>
              <w:t>7、机械表面处理：玻璃喷砂露面处理；</w:t>
            </w:r>
          </w:p>
          <w:p>
            <w:pPr>
              <w:ind w:left="42" w:leftChars="20" w:right="42" w:rightChars="20"/>
              <w:jc w:val="left"/>
              <w:rPr>
                <w:rFonts w:ascii="宋体" w:hAnsi="宋体" w:eastAsia="宋体" w:cs="宋体"/>
                <w:szCs w:val="21"/>
              </w:rPr>
            </w:pPr>
            <w:r>
              <w:rPr>
                <w:rFonts w:hint="eastAsia" w:ascii="宋体" w:hAnsi="宋体" w:eastAsia="宋体" w:cs="宋体"/>
                <w:szCs w:val="21"/>
              </w:rPr>
              <w:t>8、马达需具有过载自动停机自动复归功能。</w:t>
            </w:r>
          </w:p>
          <w:p>
            <w:pPr>
              <w:ind w:left="42" w:leftChars="20" w:right="42" w:rightChars="20"/>
              <w:jc w:val="left"/>
              <w:rPr>
                <w:rFonts w:ascii="宋体" w:hAnsi="宋体" w:eastAsia="宋体" w:cs="宋体"/>
                <w:szCs w:val="21"/>
              </w:rPr>
            </w:pPr>
            <w:r>
              <w:rPr>
                <w:rFonts w:hint="eastAsia" w:ascii="宋体" w:hAnsi="宋体" w:eastAsia="宋体" w:cs="宋体"/>
                <w:szCs w:val="21"/>
              </w:rPr>
              <w:t>9、三网双刀型：采粗中细 三个绞网切削。</w:t>
            </w:r>
          </w:p>
          <w:p>
            <w:pPr>
              <w:ind w:left="42" w:leftChars="20" w:right="42" w:rightChars="20"/>
              <w:jc w:val="left"/>
              <w:rPr>
                <w:rFonts w:ascii="宋体" w:hAnsi="宋体" w:eastAsia="宋体" w:cs="宋体"/>
                <w:szCs w:val="21"/>
              </w:rPr>
            </w:pPr>
            <w:r>
              <w:rPr>
                <w:rFonts w:hint="eastAsia" w:ascii="宋体" w:hAnsi="宋体" w:eastAsia="宋体" w:cs="宋体"/>
                <w:szCs w:val="21"/>
              </w:rPr>
              <w:t>10、双面刀：两支双面绞刀采双面切削。</w:t>
            </w:r>
          </w:p>
          <w:p>
            <w:pPr>
              <w:ind w:left="42" w:leftChars="20" w:right="42" w:rightChars="20"/>
              <w:jc w:val="left"/>
              <w:rPr>
                <w:rFonts w:ascii="宋体" w:hAnsi="宋体" w:eastAsia="宋体" w:cs="宋体"/>
                <w:szCs w:val="21"/>
              </w:rPr>
            </w:pPr>
            <w:r>
              <w:rPr>
                <w:rFonts w:hint="eastAsia" w:ascii="宋体" w:hAnsi="宋体" w:eastAsia="宋体" w:cs="宋体"/>
                <w:szCs w:val="21"/>
              </w:rPr>
              <w:t>11、开关：防水矽胶套。</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drawing>
                <wp:inline distT="0" distB="0" distL="0" distR="0">
                  <wp:extent cx="765175" cy="1043940"/>
                  <wp:effectExtent l="0" t="0" r="0" b="3810"/>
                  <wp:docPr id="28" name="图片 28" descr="单水池连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单水池连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65175" cy="1043940"/>
                          </a:xfrm>
                          <a:prstGeom prst="rect">
                            <a:avLst/>
                          </a:prstGeom>
                          <a:noFill/>
                          <a:ln>
                            <a:noFill/>
                          </a:ln>
                        </pic:spPr>
                      </pic:pic>
                    </a:graphicData>
                  </a:graphic>
                </wp:inline>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p>
        </w:tc>
      </w:tr>
      <w:tr>
        <w:tblPrEx>
          <w:tblCellMar>
            <w:top w:w="0" w:type="dxa"/>
            <w:left w:w="0" w:type="dxa"/>
            <w:bottom w:w="0" w:type="dxa"/>
            <w:right w:w="0" w:type="dxa"/>
          </w:tblCellMar>
        </w:tblPrEx>
        <w:trPr>
          <w:trHeight w:val="90" w:hRule="atLeast"/>
          <w:jc w:val="center"/>
        </w:trPr>
        <w:tc>
          <w:tcPr>
            <w:tcW w:w="9197"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蔬菜加工区：</w:t>
            </w:r>
          </w:p>
        </w:tc>
      </w:tr>
      <w:tr>
        <w:tblPrEx>
          <w:tblCellMar>
            <w:top w:w="0" w:type="dxa"/>
            <w:left w:w="0" w:type="dxa"/>
            <w:bottom w:w="0" w:type="dxa"/>
            <w:right w:w="0" w:type="dxa"/>
          </w:tblCellMar>
        </w:tblPrEx>
        <w:trPr>
          <w:trHeight w:val="1084" w:hRule="atLeast"/>
          <w:jc w:val="center"/>
        </w:trPr>
        <w:tc>
          <w:tcPr>
            <w:tcW w:w="497" w:type="dxa"/>
            <w:tcBorders>
              <w:top w:val="single" w:color="000000" w:sz="4" w:space="0"/>
              <w:left w:val="single" w:color="000000" w:sz="4" w:space="0"/>
              <w:bottom w:val="single" w:color="auto"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341" w:type="dxa"/>
            <w:tcBorders>
              <w:top w:val="single" w:color="000000" w:sz="4" w:space="0"/>
              <w:left w:val="single" w:color="000000" w:sz="4" w:space="0"/>
              <w:bottom w:val="single" w:color="auto"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四层格栅货架</w:t>
            </w:r>
          </w:p>
        </w:tc>
        <w:tc>
          <w:tcPr>
            <w:tcW w:w="1288" w:type="dxa"/>
            <w:tcBorders>
              <w:top w:val="single" w:color="000000" w:sz="4" w:space="0"/>
              <w:left w:val="single" w:color="auto" w:sz="4" w:space="0"/>
              <w:bottom w:val="single" w:color="auto"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1200×500×1800</w:t>
            </w:r>
          </w:p>
        </w:tc>
        <w:tc>
          <w:tcPr>
            <w:tcW w:w="3411" w:type="dxa"/>
            <w:tcBorders>
              <w:top w:val="single" w:color="000000" w:sz="4" w:space="0"/>
              <w:left w:val="single" w:color="000000" w:sz="4" w:space="0"/>
              <w:bottom w:val="single" w:color="auto"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立管：φ38mm，壁厚≥1.2mm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主搁档：25mm×38mm方管，壁厚≥1.2mm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次搁档：25mm×50mm方管，壁厚≥1.2mm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配全钢可调子弹脚</w:t>
            </w:r>
          </w:p>
        </w:tc>
        <w:tc>
          <w:tcPr>
            <w:tcW w:w="476" w:type="dxa"/>
            <w:tcBorders>
              <w:top w:val="single" w:color="000000" w:sz="4" w:space="0"/>
              <w:left w:val="single" w:color="000000" w:sz="4" w:space="0"/>
              <w:bottom w:val="single" w:color="auto"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7</w:t>
            </w:r>
          </w:p>
        </w:tc>
        <w:tc>
          <w:tcPr>
            <w:tcW w:w="518" w:type="dxa"/>
            <w:tcBorders>
              <w:top w:val="single" w:color="000000" w:sz="4" w:space="0"/>
              <w:left w:val="single" w:color="000000" w:sz="4" w:space="0"/>
              <w:bottom w:val="single" w:color="auto"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auto"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76672" behindDoc="0" locked="0" layoutInCell="1" allowOverlap="1">
                  <wp:simplePos x="0" y="0"/>
                  <wp:positionH relativeFrom="column">
                    <wp:posOffset>124460</wp:posOffset>
                  </wp:positionH>
                  <wp:positionV relativeFrom="paragraph">
                    <wp:posOffset>6350</wp:posOffset>
                  </wp:positionV>
                  <wp:extent cx="501015" cy="664210"/>
                  <wp:effectExtent l="0" t="0" r="0" b="2540"/>
                  <wp:wrapNone/>
                  <wp:docPr id="71" name="图片 7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01015" cy="66421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auto"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099" w:hRule="atLeast"/>
          <w:jc w:val="center"/>
        </w:trPr>
        <w:tc>
          <w:tcPr>
            <w:tcW w:w="497" w:type="dxa"/>
            <w:tcBorders>
              <w:top w:val="single" w:color="auto" w:sz="4" w:space="0"/>
              <w:left w:val="single" w:color="auto" w:sz="4" w:space="0"/>
              <w:bottom w:val="single" w:color="auto"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341" w:type="dxa"/>
            <w:tcBorders>
              <w:top w:val="single" w:color="auto" w:sz="4" w:space="0"/>
              <w:left w:val="single" w:color="000000" w:sz="4" w:space="0"/>
              <w:bottom w:val="single" w:color="auto"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毛刷清洗去皮机</w:t>
            </w:r>
          </w:p>
        </w:tc>
        <w:tc>
          <w:tcPr>
            <w:tcW w:w="1288" w:type="dxa"/>
            <w:tcBorders>
              <w:top w:val="single" w:color="auto" w:sz="4" w:space="0"/>
              <w:left w:val="single" w:color="000000" w:sz="4" w:space="0"/>
              <w:bottom w:val="single" w:color="auto" w:sz="4" w:space="0"/>
              <w:right w:val="single" w:color="000000" w:sz="4" w:space="0"/>
            </w:tcBorders>
            <w:shd w:val="clear" w:color="auto" w:fill="auto"/>
            <w:tcMar>
              <w:top w:w="8" w:type="dxa"/>
              <w:left w:w="8" w:type="dxa"/>
              <w:right w:w="8" w:type="dxa"/>
            </w:tcMar>
            <w:vAlign w:val="center"/>
          </w:tcPr>
          <w:p>
            <w:pPr>
              <w:widowControl/>
              <w:ind w:firstLine="420" w:firstLineChars="200"/>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auto" w:sz="4" w:space="0"/>
              <w:left w:val="single" w:color="000000" w:sz="4" w:space="0"/>
              <w:bottom w:val="single" w:color="auto"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整机国标304精制</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辊刷使用实心轴制造，缸体U型弧度设计，采用尼龙毛刷，翻滚摩擦去皮。</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产量：</w:t>
            </w:r>
            <w:r>
              <w:rPr>
                <w:rFonts w:hint="eastAsia" w:ascii="宋体" w:hAnsi="宋体" w:eastAsia="宋体" w:cs="宋体"/>
                <w:szCs w:val="21"/>
              </w:rPr>
              <w:t>500-600Kg/HR</w:t>
            </w:r>
            <w:r>
              <w:rPr>
                <w:rFonts w:hint="eastAsia" w:ascii="宋体" w:hAnsi="宋体" w:eastAsia="宋体" w:cs="宋体"/>
                <w:kern w:val="0"/>
                <w:szCs w:val="21"/>
              </w:rPr>
              <w:t xml:space="preserve">       </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电源/380V 三相功率：≥1.1KW。</w:t>
            </w:r>
          </w:p>
        </w:tc>
        <w:tc>
          <w:tcPr>
            <w:tcW w:w="476" w:type="dxa"/>
            <w:tcBorders>
              <w:top w:val="single" w:color="auto" w:sz="4" w:space="0"/>
              <w:left w:val="single" w:color="000000" w:sz="4" w:space="0"/>
              <w:bottom w:val="single" w:color="auto"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auto" w:sz="4" w:space="0"/>
              <w:left w:val="single" w:color="000000" w:sz="4" w:space="0"/>
              <w:bottom w:val="single" w:color="auto"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台</w:t>
            </w:r>
          </w:p>
        </w:tc>
        <w:tc>
          <w:tcPr>
            <w:tcW w:w="1113" w:type="dxa"/>
            <w:tcBorders>
              <w:top w:val="single" w:color="auto" w:sz="4" w:space="0"/>
              <w:left w:val="single" w:color="000000" w:sz="4" w:space="0"/>
              <w:bottom w:val="single" w:color="auto"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drawing>
                <wp:inline distT="0" distB="0" distL="0" distR="0">
                  <wp:extent cx="700405" cy="596900"/>
                  <wp:effectExtent l="0" t="0" r="4445" b="0"/>
                  <wp:docPr id="27" name="图片 27" descr="1606994257(1)"/>
                  <wp:cNvGraphicFramePr/>
                  <a:graphic xmlns:a="http://schemas.openxmlformats.org/drawingml/2006/main">
                    <a:graphicData uri="http://schemas.openxmlformats.org/drawingml/2006/picture">
                      <pic:pic xmlns:pic="http://schemas.openxmlformats.org/drawingml/2006/picture">
                        <pic:nvPicPr>
                          <pic:cNvPr id="27" name="图片 27" descr="1606994257(1)"/>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700405" cy="596900"/>
                          </a:xfrm>
                          <a:prstGeom prst="rect">
                            <a:avLst/>
                          </a:prstGeom>
                          <a:noFill/>
                          <a:ln>
                            <a:noFill/>
                          </a:ln>
                        </pic:spPr>
                      </pic:pic>
                    </a:graphicData>
                  </a:graphic>
                </wp:inline>
              </w:drawing>
            </w:r>
          </w:p>
        </w:tc>
        <w:tc>
          <w:tcPr>
            <w:tcW w:w="553" w:type="dxa"/>
            <w:tcBorders>
              <w:top w:val="single" w:color="auto" w:sz="4" w:space="0"/>
              <w:left w:val="single" w:color="000000" w:sz="4" w:space="0"/>
              <w:bottom w:val="single" w:color="auto"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p>
        </w:tc>
      </w:tr>
      <w:tr>
        <w:tblPrEx>
          <w:tblCellMar>
            <w:top w:w="0" w:type="dxa"/>
            <w:left w:w="0" w:type="dxa"/>
            <w:bottom w:w="0" w:type="dxa"/>
            <w:right w:w="0" w:type="dxa"/>
          </w:tblCellMar>
        </w:tblPrEx>
        <w:trPr>
          <w:trHeight w:val="1257" w:hRule="atLeast"/>
          <w:jc w:val="center"/>
        </w:trPr>
        <w:tc>
          <w:tcPr>
            <w:tcW w:w="497" w:type="dxa"/>
            <w:tcBorders>
              <w:top w:val="single" w:color="auto"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1341" w:type="dxa"/>
            <w:tcBorders>
              <w:top w:val="single" w:color="auto"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双层工作台</w:t>
            </w:r>
          </w:p>
          <w:p>
            <w:pPr>
              <w:widowControl/>
              <w:jc w:val="center"/>
              <w:textAlignment w:val="center"/>
              <w:rPr>
                <w:rFonts w:ascii="宋体" w:hAnsi="宋体" w:eastAsia="宋体" w:cs="宋体"/>
                <w:kern w:val="0"/>
                <w:szCs w:val="21"/>
              </w:rPr>
            </w:pPr>
            <w:r>
              <w:rPr>
                <w:rFonts w:hint="eastAsia" w:ascii="宋体" w:hAnsi="宋体" w:eastAsia="宋体" w:cs="宋体"/>
                <w:kern w:val="0"/>
                <w:szCs w:val="21"/>
              </w:rPr>
              <w:t>（带背，背高≥150mm）</w:t>
            </w:r>
          </w:p>
        </w:tc>
        <w:tc>
          <w:tcPr>
            <w:tcW w:w="1288" w:type="dxa"/>
            <w:tcBorders>
              <w:top w:val="single" w:color="auto"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1800×800×800</w:t>
            </w:r>
          </w:p>
        </w:tc>
        <w:tc>
          <w:tcPr>
            <w:tcW w:w="3411" w:type="dxa"/>
            <w:tcBorders>
              <w:top w:val="single" w:color="auto"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SUS304-2B优质不锈钢板制作：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台面钢板厚≥1.2mm，下衬防潮板减噪，厚度≥12mm；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下层平板：板厚≥1.0mm，加强筋≥1.0mm；脚管：φ38mm，壁厚≥1.2mm</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配有可调子弹脚</w:t>
            </w:r>
          </w:p>
        </w:tc>
        <w:tc>
          <w:tcPr>
            <w:tcW w:w="476" w:type="dxa"/>
            <w:tcBorders>
              <w:top w:val="single" w:color="auto"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518" w:type="dxa"/>
            <w:tcBorders>
              <w:top w:val="single" w:color="auto"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auto"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77696" behindDoc="0" locked="0" layoutInCell="1" allowOverlap="1">
                  <wp:simplePos x="0" y="0"/>
                  <wp:positionH relativeFrom="column">
                    <wp:posOffset>90805</wp:posOffset>
                  </wp:positionH>
                  <wp:positionV relativeFrom="paragraph">
                    <wp:posOffset>114935</wp:posOffset>
                  </wp:positionV>
                  <wp:extent cx="565785" cy="421005"/>
                  <wp:effectExtent l="0" t="0" r="5715" b="0"/>
                  <wp:wrapNone/>
                  <wp:docPr id="70" name="图片 70"/>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65785" cy="421005"/>
                          </a:xfrm>
                          <a:prstGeom prst="rect">
                            <a:avLst/>
                          </a:prstGeom>
                          <a:noFill/>
                          <a:ln>
                            <a:noFill/>
                          </a:ln>
                          <a:effectLst/>
                        </pic:spPr>
                      </pic:pic>
                    </a:graphicData>
                  </a:graphic>
                </wp:anchor>
              </w:drawing>
            </w:r>
          </w:p>
        </w:tc>
        <w:tc>
          <w:tcPr>
            <w:tcW w:w="553" w:type="dxa"/>
            <w:tcBorders>
              <w:top w:val="single" w:color="auto"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90" w:hRule="atLeast"/>
          <w:jc w:val="center"/>
        </w:trPr>
        <w:tc>
          <w:tcPr>
            <w:tcW w:w="9197"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蔬菜细加工：</w:t>
            </w:r>
          </w:p>
        </w:tc>
      </w:tr>
      <w:tr>
        <w:tblPrEx>
          <w:tblCellMar>
            <w:top w:w="0" w:type="dxa"/>
            <w:left w:w="0" w:type="dxa"/>
            <w:bottom w:w="0" w:type="dxa"/>
            <w:right w:w="0" w:type="dxa"/>
          </w:tblCellMar>
        </w:tblPrEx>
        <w:trPr>
          <w:trHeight w:val="148"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双层工作台</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1800×800×800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SUS304-2B优质不锈钢板制作：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台面钢板厚≥1.2mm，下衬防潮板减噪，厚度≥12mm；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下层平板：板厚≥1.0mm，加强筋≥1.0mm；脚管：φ38mm，壁厚≥1.2mm</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配有可调子弹脚</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6</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12512" behindDoc="0" locked="0" layoutInCell="1" allowOverlap="1">
                  <wp:simplePos x="0" y="0"/>
                  <wp:positionH relativeFrom="column">
                    <wp:posOffset>67310</wp:posOffset>
                  </wp:positionH>
                  <wp:positionV relativeFrom="paragraph">
                    <wp:posOffset>239395</wp:posOffset>
                  </wp:positionV>
                  <wp:extent cx="508000" cy="422275"/>
                  <wp:effectExtent l="0" t="0" r="6350" b="0"/>
                  <wp:wrapNone/>
                  <wp:docPr id="69" name="图片 69"/>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08000" cy="422275"/>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510"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刀具砧板组合消毒柜</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1200*600*1600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SUS304-2B优质不锈钢板制作：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柜体板厚≥0.94mm；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上层活动刀具存放箱，下层砧板存放架-带紫外线杀菌灯。</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配重力脚φ50mm，150mm高；</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功率/电压：≥60W/220V</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13536" behindDoc="0" locked="0" layoutInCell="1" allowOverlap="1">
                  <wp:simplePos x="0" y="0"/>
                  <wp:positionH relativeFrom="column">
                    <wp:posOffset>93980</wp:posOffset>
                  </wp:positionH>
                  <wp:positionV relativeFrom="paragraph">
                    <wp:posOffset>92075</wp:posOffset>
                  </wp:positionV>
                  <wp:extent cx="515620" cy="640080"/>
                  <wp:effectExtent l="0" t="0" r="17780" b="7620"/>
                  <wp:wrapNone/>
                  <wp:docPr id="68" name="图片 68"/>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15620" cy="64008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3627"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四门冷藏柜</w:t>
            </w:r>
          </w:p>
          <w:p>
            <w:pPr>
              <w:widowControl/>
              <w:jc w:val="center"/>
              <w:textAlignment w:val="center"/>
              <w:rPr>
                <w:rFonts w:ascii="宋体" w:hAnsi="宋体" w:eastAsia="宋体" w:cs="宋体"/>
                <w:kern w:val="0"/>
                <w:szCs w:val="21"/>
              </w:rPr>
            </w:pPr>
            <w:r>
              <w:rPr>
                <w:rFonts w:hint="eastAsia" w:ascii="宋体" w:hAnsi="宋体" w:eastAsia="宋体" w:cs="宋体"/>
                <w:kern w:val="0"/>
                <w:szCs w:val="21"/>
              </w:rPr>
              <w:t>（风冷）</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1、内、外箱体采用食品级优质不锈钢板，优质压缩机及风机，环保冷媒；</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2、提供数字温控器，手触面板为直流5V供电，安全防水；</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3、75mm环戊烷高密度发泡保温层；</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4、整体式可拆卸机组，方便后期维养；</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5、提供强力风冷系统，带智能除霜系统，化霜水强制蒸发，无需外接排水；</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6、箱体内圆弧设计，盆形底板，易清洁；</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7、可承受43℃环境温度；</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8、柜内要求温度：冷藏+1℃～+4℃  </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9、配有8件GN2/1浸塑层架；</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10、150mm高不锈钢可调底脚；</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11、电功率：≤1.1KW  220V/1/50Hz</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12、有效容积≥940L</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13、通过CCC认证</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▲14、能耗等级≤2级                                </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78720" behindDoc="0" locked="0" layoutInCell="1" allowOverlap="1">
                  <wp:simplePos x="0" y="0"/>
                  <wp:positionH relativeFrom="column">
                    <wp:posOffset>104775</wp:posOffset>
                  </wp:positionH>
                  <wp:positionV relativeFrom="paragraph">
                    <wp:posOffset>717550</wp:posOffset>
                  </wp:positionV>
                  <wp:extent cx="490855" cy="653415"/>
                  <wp:effectExtent l="0" t="0" r="4445" b="0"/>
                  <wp:wrapNone/>
                  <wp:docPr id="67" name="图片 67"/>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90855" cy="653415"/>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p>
        </w:tc>
      </w:tr>
      <w:tr>
        <w:tblPrEx>
          <w:tblCellMar>
            <w:top w:w="0" w:type="dxa"/>
            <w:left w:w="0" w:type="dxa"/>
            <w:bottom w:w="0" w:type="dxa"/>
            <w:right w:w="0" w:type="dxa"/>
          </w:tblCellMar>
        </w:tblPrEx>
        <w:trPr>
          <w:trHeight w:val="573"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多功能切菜机</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p>
            <w:pPr>
              <w:widowControl/>
              <w:jc w:val="center"/>
              <w:textAlignment w:val="center"/>
              <w:rPr>
                <w:rFonts w:ascii="宋体" w:hAnsi="宋体" w:eastAsia="宋体" w:cs="宋体"/>
                <w:kern w:val="0"/>
                <w:szCs w:val="21"/>
              </w:rPr>
            </w:pP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1、叶菜部切长度：1－60mm(可调)</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2、▲产量</w:t>
            </w:r>
            <w:r>
              <w:rPr>
                <w:rFonts w:hint="eastAsia" w:ascii="宋体" w:hAnsi="宋体" w:eastAsia="宋体" w:cs="宋体"/>
                <w:szCs w:val="21"/>
              </w:rPr>
              <w:t>600-1000KG/H(叶菜)， 300-1000KG/H(根茎)</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3、电源：220V单相，功率：≥1.3KW</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4、入料输送带可徒手拆卸、安装，便于清洗及更换，且不易藏污納垢；</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5、叶菜部入料口变大，斩刀片亦加大；</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6、叶菜部入料输送带可加宽后可放较大的食材；</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7、根茎部加装入料斗；</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8、双头型切菜机，可同时工作亦可单独工作。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9、通过更换刀盘或双调频调节输送带与斩刀速度，可切出各种规格的片、丝、丁，可变频调速。</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10、丝盘采用磨具种丝。</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11、内、外选用优质不锈钢板制作。</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drawing>
                <wp:inline distT="0" distB="0" distL="114300" distR="114300">
                  <wp:extent cx="752475" cy="755650"/>
                  <wp:effectExtent l="0" t="0" r="9525" b="6350"/>
                  <wp:docPr id="17259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7" name="图片 8"/>
                          <pic:cNvPicPr>
                            <a:picLocks noChangeAspect="1"/>
                          </pic:cNvPicPr>
                        </pic:nvPicPr>
                        <pic:blipFill>
                          <a:blip r:embed="rId26" cstate="print"/>
                          <a:stretch>
                            <a:fillRect/>
                          </a:stretch>
                        </pic:blipFill>
                        <pic:spPr>
                          <a:xfrm>
                            <a:off x="0" y="0"/>
                            <a:ext cx="752475" cy="755650"/>
                          </a:xfrm>
                          <a:prstGeom prst="rect">
                            <a:avLst/>
                          </a:prstGeom>
                          <a:noFill/>
                          <a:ln w="9525">
                            <a:noFill/>
                          </a:ln>
                        </pic:spPr>
                      </pic:pic>
                    </a:graphicData>
                  </a:graphic>
                </wp:inline>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p>
        </w:tc>
      </w:tr>
      <w:tr>
        <w:tblPrEx>
          <w:tblCellMar>
            <w:top w:w="0" w:type="dxa"/>
            <w:left w:w="0" w:type="dxa"/>
            <w:bottom w:w="0" w:type="dxa"/>
            <w:right w:w="0" w:type="dxa"/>
          </w:tblCellMar>
        </w:tblPrEx>
        <w:trPr>
          <w:trHeight w:val="90" w:hRule="atLeast"/>
          <w:jc w:val="center"/>
        </w:trPr>
        <w:tc>
          <w:tcPr>
            <w:tcW w:w="9197"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调味品库、粮油库、一次性用品库：</w:t>
            </w:r>
          </w:p>
        </w:tc>
      </w:tr>
      <w:tr>
        <w:tblPrEx>
          <w:tblCellMar>
            <w:top w:w="0" w:type="dxa"/>
            <w:left w:w="0" w:type="dxa"/>
            <w:bottom w:w="0" w:type="dxa"/>
            <w:right w:w="0" w:type="dxa"/>
          </w:tblCellMar>
        </w:tblPrEx>
        <w:trPr>
          <w:trHeight w:val="1258"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四层平板架</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1200×500×1550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优质不锈钢雪花丝贴膜板，墙板、层板、底板板厚≥1.0mm；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加强筋全部采用不锈钢板制作；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立管φ38mm，≥1.2mm；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配全钢可调子弹脚</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14</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14560" behindDoc="0" locked="0" layoutInCell="1" allowOverlap="1">
                  <wp:simplePos x="0" y="0"/>
                  <wp:positionH relativeFrom="column">
                    <wp:posOffset>114300</wp:posOffset>
                  </wp:positionH>
                  <wp:positionV relativeFrom="paragraph">
                    <wp:posOffset>121285</wp:posOffset>
                  </wp:positionV>
                  <wp:extent cx="502920" cy="600710"/>
                  <wp:effectExtent l="0" t="0" r="0" b="8890"/>
                  <wp:wrapNone/>
                  <wp:docPr id="66" name="图片 66"/>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02920" cy="60071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261"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四层格栅货架</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1200×500×1800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立管：φ38mm，壁厚≥1.2mm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主搁档：25mm×38mm方管，壁厚≥1.2mm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次搁档：25mm×50mm方管，壁厚≥1.2mm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配全钢可调子弹脚</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15584" behindDoc="0" locked="0" layoutInCell="1" allowOverlap="1">
                  <wp:simplePos x="0" y="0"/>
                  <wp:positionH relativeFrom="column">
                    <wp:posOffset>123190</wp:posOffset>
                  </wp:positionH>
                  <wp:positionV relativeFrom="paragraph">
                    <wp:posOffset>109855</wp:posOffset>
                  </wp:positionV>
                  <wp:extent cx="495935" cy="566420"/>
                  <wp:effectExtent l="0" t="0" r="0" b="5080"/>
                  <wp:wrapNone/>
                  <wp:docPr id="65" name="图片 65"/>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95935" cy="56642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990"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米面架</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1200×500×200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立柱：50mm×50mm方管</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横管：壁厚≥1.2mm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配防滑皮腿</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t>10</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16608" behindDoc="0" locked="0" layoutInCell="1" allowOverlap="1">
                  <wp:simplePos x="0" y="0"/>
                  <wp:positionH relativeFrom="column">
                    <wp:posOffset>87630</wp:posOffset>
                  </wp:positionH>
                  <wp:positionV relativeFrom="paragraph">
                    <wp:posOffset>58420</wp:posOffset>
                  </wp:positionV>
                  <wp:extent cx="538480" cy="424180"/>
                  <wp:effectExtent l="0" t="0" r="0" b="0"/>
                  <wp:wrapNone/>
                  <wp:docPr id="64" name="图片 64"/>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38480" cy="42418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290"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平板车</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900×600×900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板厚≥1.14mm，加强筋≥0.94mm；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配承重静音脚轮，其中两只带刹车掣；</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推柄：φ32圆管，壁厚≥1.2mm，一次性弯制成型，光滑无毛刺。</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辆</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79744" behindDoc="0" locked="0" layoutInCell="1" allowOverlap="1">
                  <wp:simplePos x="0" y="0"/>
                  <wp:positionH relativeFrom="column">
                    <wp:posOffset>86360</wp:posOffset>
                  </wp:positionH>
                  <wp:positionV relativeFrom="paragraph">
                    <wp:posOffset>36195</wp:posOffset>
                  </wp:positionV>
                  <wp:extent cx="554355" cy="615315"/>
                  <wp:effectExtent l="0" t="0" r="17145" b="13335"/>
                  <wp:wrapNone/>
                  <wp:docPr id="63" name="图片 63"/>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54355" cy="615315"/>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90" w:hRule="atLeast"/>
          <w:jc w:val="center"/>
        </w:trPr>
        <w:tc>
          <w:tcPr>
            <w:tcW w:w="9197"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二次更衣、冷菜间：</w:t>
            </w:r>
          </w:p>
        </w:tc>
      </w:tr>
      <w:tr>
        <w:tblPrEx>
          <w:tblCellMar>
            <w:top w:w="0" w:type="dxa"/>
            <w:left w:w="0" w:type="dxa"/>
            <w:bottom w:w="0" w:type="dxa"/>
            <w:right w:w="0" w:type="dxa"/>
          </w:tblCellMar>
        </w:tblPrEx>
        <w:trPr>
          <w:trHeight w:val="1205"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单向移门调理台</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1500×700×(800+150)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SUS304-2B优质不锈钢板制作：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台面板厚≥1.2mm，下衬12mm防潮板减噪；</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层板板厚≥1.0mm，</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加强筋≥1.0mm，单侧单移门，内分两层；重力脚φ50mm，高度≥150mm，厚度≥1.2mm。</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80768" behindDoc="0" locked="0" layoutInCell="1" allowOverlap="1">
                  <wp:simplePos x="0" y="0"/>
                  <wp:positionH relativeFrom="column">
                    <wp:posOffset>55245</wp:posOffset>
                  </wp:positionH>
                  <wp:positionV relativeFrom="paragraph">
                    <wp:posOffset>121285</wp:posOffset>
                  </wp:positionV>
                  <wp:extent cx="635635" cy="481965"/>
                  <wp:effectExtent l="0" t="0" r="0" b="0"/>
                  <wp:wrapNone/>
                  <wp:docPr id="62" name="图片 62"/>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35635" cy="481965"/>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560"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感应烘手器</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1、功率/电压：1.5KW/220V</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2、配备红外自动感应系统和芯片控制技术，要求性能稳定。</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3、连续感应测试≥30万次。</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4、干手时间5~9秒。</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5、要求使用环保、安全防火工程塑料。</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6、可切换凉风/热风。</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81792" behindDoc="0" locked="0" layoutInCell="1" allowOverlap="1">
                  <wp:simplePos x="0" y="0"/>
                  <wp:positionH relativeFrom="column">
                    <wp:posOffset>172720</wp:posOffset>
                  </wp:positionH>
                  <wp:positionV relativeFrom="paragraph">
                    <wp:posOffset>108585</wp:posOffset>
                  </wp:positionV>
                  <wp:extent cx="469900" cy="755650"/>
                  <wp:effectExtent l="0" t="0" r="6350" b="6350"/>
                  <wp:wrapNone/>
                  <wp:docPr id="61" name="图片 6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9900" cy="75565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p>
        </w:tc>
      </w:tr>
      <w:tr>
        <w:tblPrEx>
          <w:tblCellMar>
            <w:top w:w="0" w:type="dxa"/>
            <w:left w:w="0" w:type="dxa"/>
            <w:bottom w:w="0" w:type="dxa"/>
            <w:right w:w="0" w:type="dxa"/>
          </w:tblCellMar>
        </w:tblPrEx>
        <w:trPr>
          <w:trHeight w:val="515"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3</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自动感应皂液器</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1、智能感应，壁挂式；</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2、材质：ABS</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3、红外感应、急速出泡、LED显示、绵密泡泡</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szCs w:val="21"/>
              </w:rPr>
              <w:drawing>
                <wp:inline distT="0" distB="0" distL="0" distR="0">
                  <wp:extent cx="415290" cy="661670"/>
                  <wp:effectExtent l="0" t="0" r="381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15290" cy="661670"/>
                          </a:xfrm>
                          <a:prstGeom prst="rect">
                            <a:avLst/>
                          </a:prstGeom>
                          <a:noFill/>
                          <a:ln>
                            <a:noFill/>
                          </a:ln>
                          <a:effectLst/>
                        </pic:spPr>
                      </pic:pic>
                    </a:graphicData>
                  </a:graphic>
                </wp:inline>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p>
        </w:tc>
      </w:tr>
      <w:tr>
        <w:tblPrEx>
          <w:tblCellMar>
            <w:top w:w="0" w:type="dxa"/>
            <w:left w:w="0" w:type="dxa"/>
            <w:bottom w:w="0" w:type="dxa"/>
            <w:right w:w="0" w:type="dxa"/>
          </w:tblCellMar>
        </w:tblPrEx>
        <w:trPr>
          <w:trHeight w:val="3079"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t>4</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卧式两门冷藏柜</w:t>
            </w:r>
          </w:p>
          <w:p>
            <w:pPr>
              <w:widowControl/>
              <w:jc w:val="center"/>
              <w:textAlignment w:val="center"/>
              <w:rPr>
                <w:rFonts w:ascii="宋体" w:hAnsi="宋体" w:eastAsia="宋体" w:cs="宋体"/>
                <w:kern w:val="0"/>
                <w:szCs w:val="21"/>
              </w:rPr>
            </w:pPr>
            <w:r>
              <w:rPr>
                <w:rFonts w:hint="eastAsia" w:ascii="宋体" w:hAnsi="宋体" w:eastAsia="宋体" w:cs="宋体"/>
                <w:kern w:val="0"/>
                <w:szCs w:val="21"/>
              </w:rPr>
              <w:t>（风冷）</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1、内、外箱体采用食品级优质不锈钢板，优质压缩机及风机，环保冷媒；</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2、数字温控，手触面板为直流5V供电，安全防水；</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73、环戊烷高密度发泡保温层，厚度≥5mm；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4、整体式可抽出式机组，方便后期维养；</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5、提供强力风冷系统，带智能除霜系统，化霜水强制蒸发，无需外接排水；</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6、箱体内圆弧设计，盆形底板，易清洁；</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7、可承受43℃环境温度；</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8、柜内要求温度：冷藏+1℃～+4℃   </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9、配有4件GN2/1浸塑层架；</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10、150mm高不锈钢可调底脚；</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11、电功率：≤1KW  220V/1/50Hz</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12、有效容积≥410L</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82816" behindDoc="0" locked="0" layoutInCell="1" allowOverlap="1">
                  <wp:simplePos x="0" y="0"/>
                  <wp:positionH relativeFrom="column">
                    <wp:posOffset>38100</wp:posOffset>
                  </wp:positionH>
                  <wp:positionV relativeFrom="paragraph">
                    <wp:posOffset>761365</wp:posOffset>
                  </wp:positionV>
                  <wp:extent cx="597535" cy="391160"/>
                  <wp:effectExtent l="0" t="0" r="12065" b="8890"/>
                  <wp:wrapNone/>
                  <wp:docPr id="60" name="图片 60"/>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97535" cy="39116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p>
        </w:tc>
      </w:tr>
      <w:tr>
        <w:tblPrEx>
          <w:tblCellMar>
            <w:top w:w="0" w:type="dxa"/>
            <w:left w:w="0" w:type="dxa"/>
            <w:bottom w:w="0" w:type="dxa"/>
            <w:right w:w="0" w:type="dxa"/>
          </w:tblCellMar>
        </w:tblPrEx>
        <w:trPr>
          <w:trHeight w:val="90" w:hRule="atLeast"/>
          <w:jc w:val="center"/>
        </w:trPr>
        <w:tc>
          <w:tcPr>
            <w:tcW w:w="9197"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烹饪间：</w:t>
            </w:r>
          </w:p>
        </w:tc>
      </w:tr>
      <w:tr>
        <w:tblPrEx>
          <w:tblCellMar>
            <w:top w:w="0" w:type="dxa"/>
            <w:left w:w="0" w:type="dxa"/>
            <w:bottom w:w="0" w:type="dxa"/>
            <w:right w:w="0" w:type="dxa"/>
          </w:tblCellMar>
        </w:tblPrEx>
        <w:trPr>
          <w:trHeight w:val="3621"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四门双温柜</w:t>
            </w:r>
          </w:p>
          <w:p>
            <w:pPr>
              <w:widowControl/>
              <w:jc w:val="center"/>
              <w:textAlignment w:val="center"/>
              <w:rPr>
                <w:rFonts w:ascii="宋体" w:hAnsi="宋体" w:eastAsia="宋体" w:cs="宋体"/>
                <w:kern w:val="0"/>
                <w:szCs w:val="21"/>
              </w:rPr>
            </w:pPr>
            <w:r>
              <w:rPr>
                <w:rFonts w:hint="eastAsia" w:ascii="宋体" w:hAnsi="宋体" w:eastAsia="宋体" w:cs="宋体"/>
                <w:kern w:val="0"/>
                <w:szCs w:val="21"/>
              </w:rPr>
              <w:t>（风冷）</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1、内、外箱体采用食品级优质不锈钢板，优质压缩机及风机，环保冷媒；</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2、提供数字温控器，手触面板为直流5V供电，安全防水；</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3、75mm环戊烷高密度发泡保温层；</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4、整体式可拆卸机组，方便后期维养；</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5、提供强力风冷系统，带智能除霜系统，化霜水强制蒸发，无需外接排水；</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6、箱体内圆弧设计，盆形底板，易清洁；</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7、可承受43℃环境温度；</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8、柜内要求温度：冷藏+1℃～+4℃   冷冻：-22℃～-18℃</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9、配有8件GN2/1浸塑层架；</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10、150mm高不锈钢可调底脚；</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11、电功率：≤1KW  220V/1/50Hz</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12、有效容积≥940L</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13、通过CCC认证</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▲14、能耗等级≤2级   </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83840" behindDoc="0" locked="0" layoutInCell="1" allowOverlap="1">
                  <wp:simplePos x="0" y="0"/>
                  <wp:positionH relativeFrom="column">
                    <wp:posOffset>86995</wp:posOffset>
                  </wp:positionH>
                  <wp:positionV relativeFrom="paragraph">
                    <wp:posOffset>754380</wp:posOffset>
                  </wp:positionV>
                  <wp:extent cx="528320" cy="711835"/>
                  <wp:effectExtent l="19050" t="0" r="5080" b="0"/>
                  <wp:wrapNone/>
                  <wp:docPr id="59" name="图片 59"/>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8320" cy="711835"/>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p>
        </w:tc>
      </w:tr>
      <w:tr>
        <w:tblPrEx>
          <w:tblCellMar>
            <w:top w:w="0" w:type="dxa"/>
            <w:left w:w="0" w:type="dxa"/>
            <w:bottom w:w="0" w:type="dxa"/>
            <w:right w:w="0" w:type="dxa"/>
          </w:tblCellMar>
        </w:tblPrEx>
        <w:trPr>
          <w:trHeight w:val="1110"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四层格栅货架</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1200×500×1800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立管：φ38mm，壁厚≥1.2mm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主搁档：25mm×38mm方管，壁厚≥1.2mm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次搁档：25mm×50mm方管，壁厚≥1.2mm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配全钢可调子弹脚</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10</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84864" behindDoc="0" locked="0" layoutInCell="1" allowOverlap="1">
                  <wp:simplePos x="0" y="0"/>
                  <wp:positionH relativeFrom="column">
                    <wp:posOffset>120015</wp:posOffset>
                  </wp:positionH>
                  <wp:positionV relativeFrom="paragraph">
                    <wp:posOffset>17145</wp:posOffset>
                  </wp:positionV>
                  <wp:extent cx="468630" cy="476250"/>
                  <wp:effectExtent l="0" t="0" r="7620" b="0"/>
                  <wp:wrapNone/>
                  <wp:docPr id="58" name="图片 58"/>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8630" cy="47625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120"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活动GN盆架车</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通脚30mm方管，壁厚≥1.35mm；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配承重静音脚轮，其中两只带刹车掣；</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加强托码架厚度≥1.35mm；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可存放16盆；</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辆</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85888" behindDoc="0" locked="0" layoutInCell="1" allowOverlap="1">
                  <wp:simplePos x="0" y="0"/>
                  <wp:positionH relativeFrom="column">
                    <wp:posOffset>163195</wp:posOffset>
                  </wp:positionH>
                  <wp:positionV relativeFrom="paragraph">
                    <wp:posOffset>24765</wp:posOffset>
                  </wp:positionV>
                  <wp:extent cx="432435" cy="529590"/>
                  <wp:effectExtent l="0" t="0" r="5715" b="3810"/>
                  <wp:wrapNone/>
                  <wp:docPr id="57" name="图片 57"/>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32435" cy="52959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262"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双向移门调理台</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1800×800×800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SUS304-2B优质不锈钢板制作：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台面板厚≥1.2mm，下衬12mm防潮板减噪；层板板厚≥1.0mm，</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加强筋≥1.0mm，双侧双移门，内分两层，重力脚φ50mm，高度≥150mm，厚度≥1.2mm。</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5</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86912" behindDoc="0" locked="0" layoutInCell="1" allowOverlap="1">
                  <wp:simplePos x="0" y="0"/>
                  <wp:positionH relativeFrom="column">
                    <wp:posOffset>3175</wp:posOffset>
                  </wp:positionH>
                  <wp:positionV relativeFrom="paragraph">
                    <wp:posOffset>136525</wp:posOffset>
                  </wp:positionV>
                  <wp:extent cx="698500" cy="553085"/>
                  <wp:effectExtent l="0" t="0" r="6350" b="0"/>
                  <wp:wrapNone/>
                  <wp:docPr id="56" name="图片 56"/>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98500" cy="553085"/>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90" w:hRule="atLeast"/>
          <w:jc w:val="center"/>
        </w:trPr>
        <w:tc>
          <w:tcPr>
            <w:tcW w:w="9197"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蒸煮间：</w:t>
            </w:r>
          </w:p>
        </w:tc>
      </w:tr>
      <w:tr>
        <w:tblPrEx>
          <w:tblCellMar>
            <w:top w:w="0" w:type="dxa"/>
            <w:left w:w="0" w:type="dxa"/>
            <w:bottom w:w="0" w:type="dxa"/>
            <w:right w:w="0" w:type="dxa"/>
          </w:tblCellMar>
        </w:tblPrEx>
        <w:trPr>
          <w:trHeight w:val="1268"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双向移门调理台</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1800×800×800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SUS304-2B优质不锈钢板制作：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台面板厚≥1.2mm，下衬12mm防潮板减噪；层板板厚≥1.0mm，</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加强筋≥1.0mm，双侧双移门，内分两层，重力脚φ50mm，高度≥150mm，厚度≥1.2mm。</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6</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02272" behindDoc="0" locked="0" layoutInCell="1" allowOverlap="1">
                  <wp:simplePos x="0" y="0"/>
                  <wp:positionH relativeFrom="column">
                    <wp:posOffset>23495</wp:posOffset>
                  </wp:positionH>
                  <wp:positionV relativeFrom="paragraph">
                    <wp:posOffset>144780</wp:posOffset>
                  </wp:positionV>
                  <wp:extent cx="675005" cy="497205"/>
                  <wp:effectExtent l="0" t="0" r="0" b="0"/>
                  <wp:wrapNone/>
                  <wp:docPr id="55" name="图片 55"/>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75005" cy="497205"/>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90" w:hRule="atLeast"/>
          <w:jc w:val="center"/>
        </w:trPr>
        <w:tc>
          <w:tcPr>
            <w:tcW w:w="9197"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面点热加工间、用具清洗消毒间：</w:t>
            </w:r>
          </w:p>
        </w:tc>
      </w:tr>
      <w:tr>
        <w:tblPrEx>
          <w:tblCellMar>
            <w:top w:w="0" w:type="dxa"/>
            <w:left w:w="0" w:type="dxa"/>
            <w:bottom w:w="0" w:type="dxa"/>
            <w:right w:w="0" w:type="dxa"/>
          </w:tblCellMar>
        </w:tblPrEx>
        <w:trPr>
          <w:trHeight w:val="1229"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四层平板架</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1200×500×1550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优质不锈钢雪花丝贴膜板，墙板、层板、底板板厚≥1.0mm；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加强筋全部采用不锈钢板制作；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立管φ38mm，≥1.2mm；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配全钢可调子弹脚</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87936" behindDoc="0" locked="0" layoutInCell="1" allowOverlap="1">
                  <wp:simplePos x="0" y="0"/>
                  <wp:positionH relativeFrom="column">
                    <wp:posOffset>113030</wp:posOffset>
                  </wp:positionH>
                  <wp:positionV relativeFrom="paragraph">
                    <wp:posOffset>53340</wp:posOffset>
                  </wp:positionV>
                  <wp:extent cx="501015" cy="652780"/>
                  <wp:effectExtent l="0" t="0" r="0" b="0"/>
                  <wp:wrapNone/>
                  <wp:docPr id="54" name="图片 54"/>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01015" cy="65278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232"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双向移门调理台</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1800×700×800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SUS304-2B优质不锈钢板制作：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台面板厚≥1.2mm，下衬12mm防潮板减噪；层板板厚≥1.0mm，</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加强筋≥1.0mm，双侧双移门，内分两层，重力脚φ50mm，高度≥150mm，厚度≥1.2mm。</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88960" behindDoc="0" locked="0" layoutInCell="1" allowOverlap="1">
                  <wp:simplePos x="0" y="0"/>
                  <wp:positionH relativeFrom="column">
                    <wp:posOffset>22860</wp:posOffset>
                  </wp:positionH>
                  <wp:positionV relativeFrom="paragraph">
                    <wp:posOffset>135890</wp:posOffset>
                  </wp:positionV>
                  <wp:extent cx="675005" cy="500380"/>
                  <wp:effectExtent l="0" t="0" r="0" b="0"/>
                  <wp:wrapNone/>
                  <wp:docPr id="53" name="图片 53"/>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75005" cy="50038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180"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活动GN盆架车</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通脚30mm方管，壁厚≥1.35mm；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配承重静音脚轮，其中两只带刹车掣；</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加强托码架厚度≥1.35mm；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可存放16盆；</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辆</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89984" behindDoc="0" locked="0" layoutInCell="1" allowOverlap="1">
                  <wp:simplePos x="0" y="0"/>
                  <wp:positionH relativeFrom="column">
                    <wp:posOffset>106045</wp:posOffset>
                  </wp:positionH>
                  <wp:positionV relativeFrom="paragraph">
                    <wp:posOffset>34925</wp:posOffset>
                  </wp:positionV>
                  <wp:extent cx="493395" cy="704850"/>
                  <wp:effectExtent l="0" t="0" r="1905" b="0"/>
                  <wp:wrapNone/>
                  <wp:docPr id="52" name="图片 52"/>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93395" cy="70485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374"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电饼铛</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1、工作温度：120~250℃</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2、功率：≥4.8KW/380V</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需满足以下特性要求：</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1）要求坚固耐用，耐腐蚀，耐高温；</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2）铝锅导热迅速均匀，耐刮耐磨，耐高温；</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3）旋转式开关，升温恒温可轻易调节；</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shd w:val="clear" w:color="auto" w:fill="FFFFFF"/>
              </w:rPr>
              <w:drawing>
                <wp:anchor distT="0" distB="0" distL="114300" distR="114300" simplePos="0" relativeHeight="251691008" behindDoc="0" locked="0" layoutInCell="1" allowOverlap="1">
                  <wp:simplePos x="0" y="0"/>
                  <wp:positionH relativeFrom="column">
                    <wp:posOffset>76835</wp:posOffset>
                  </wp:positionH>
                  <wp:positionV relativeFrom="paragraph">
                    <wp:posOffset>131445</wp:posOffset>
                  </wp:positionV>
                  <wp:extent cx="561975" cy="654685"/>
                  <wp:effectExtent l="0" t="0" r="9525" b="0"/>
                  <wp:wrapNone/>
                  <wp:docPr id="51" name="图片 5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654685"/>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p>
        </w:tc>
      </w:tr>
      <w:tr>
        <w:tblPrEx>
          <w:tblCellMar>
            <w:top w:w="0" w:type="dxa"/>
            <w:left w:w="0" w:type="dxa"/>
            <w:bottom w:w="0" w:type="dxa"/>
            <w:right w:w="0" w:type="dxa"/>
          </w:tblCellMar>
        </w:tblPrEx>
        <w:trPr>
          <w:trHeight w:val="1355"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6</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大容量油炸机</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1、电热管加热；</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2、恒温、定时，烘烤和保温自由转变；</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3、容量：≥40L</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4、功率/电压：</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≥6.0KW/380V</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szCs w:val="21"/>
              </w:rPr>
              <w:t>5、产品内外壳采用食品级不锈钢制作</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shd w:val="clear" w:color="auto" w:fill="FFFFFF"/>
              </w:rPr>
              <w:drawing>
                <wp:anchor distT="0" distB="0" distL="114300" distR="114300" simplePos="0" relativeHeight="251692032" behindDoc="0" locked="0" layoutInCell="1" allowOverlap="1">
                  <wp:simplePos x="0" y="0"/>
                  <wp:positionH relativeFrom="column">
                    <wp:posOffset>85090</wp:posOffset>
                  </wp:positionH>
                  <wp:positionV relativeFrom="paragraph">
                    <wp:posOffset>83820</wp:posOffset>
                  </wp:positionV>
                  <wp:extent cx="592455" cy="624840"/>
                  <wp:effectExtent l="0" t="0" r="0" b="3810"/>
                  <wp:wrapNone/>
                  <wp:docPr id="50" name="图片 50"/>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92455" cy="624840"/>
                          </a:xfrm>
                          <a:prstGeom prst="rect">
                            <a:avLst/>
                          </a:prstGeom>
                          <a:noFill/>
                          <a:ln>
                            <a:noFill/>
                          </a:ln>
                          <a:effectLst/>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p>
        </w:tc>
      </w:tr>
      <w:tr>
        <w:trPr>
          <w:trHeight w:val="1948"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7</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插盘式醒发箱</w:t>
            </w:r>
          </w:p>
          <w:p>
            <w:pPr>
              <w:widowControl/>
              <w:jc w:val="center"/>
              <w:textAlignment w:val="center"/>
              <w:rPr>
                <w:rFonts w:ascii="宋体" w:hAnsi="宋体" w:eastAsia="宋体" w:cs="宋体"/>
                <w:kern w:val="0"/>
                <w:szCs w:val="21"/>
              </w:rPr>
            </w:pPr>
            <w:r>
              <w:rPr>
                <w:rFonts w:hint="eastAsia" w:ascii="宋体" w:hAnsi="宋体" w:eastAsia="宋体" w:cs="宋体"/>
                <w:kern w:val="0"/>
                <w:szCs w:val="21"/>
              </w:rPr>
              <w:t>（36盘）</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1、电压220V/≥2.9KW，                             </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2、层数18层，每层双盘</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3、标准盘尺寸400mm*600mm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4、采用喷雾式结构，在机器开始工作后极短时间内产生蒸汽</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5、热风循环结构</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6、全部为双层不锈钢制作，PU保温层</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7、全自动预约控制系统醒发，数字显示使温度、湿度精准，有时间控制、报警模式</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shd w:val="clear" w:color="auto" w:fill="FFFFFF"/>
              </w:rPr>
              <w:drawing>
                <wp:anchor distT="0" distB="0" distL="114300" distR="114300" simplePos="0" relativeHeight="251693056" behindDoc="0" locked="0" layoutInCell="1" allowOverlap="1">
                  <wp:simplePos x="0" y="0"/>
                  <wp:positionH relativeFrom="column">
                    <wp:posOffset>99060</wp:posOffset>
                  </wp:positionH>
                  <wp:positionV relativeFrom="paragraph">
                    <wp:posOffset>215265</wp:posOffset>
                  </wp:positionV>
                  <wp:extent cx="452755" cy="819785"/>
                  <wp:effectExtent l="0" t="0" r="4445" b="0"/>
                  <wp:wrapNone/>
                  <wp:docPr id="49" name="图片 49"/>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52755" cy="819785"/>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p>
        </w:tc>
      </w:tr>
      <w:tr>
        <w:tblPrEx>
          <w:tblCellMar>
            <w:top w:w="0" w:type="dxa"/>
            <w:left w:w="0" w:type="dxa"/>
            <w:bottom w:w="0" w:type="dxa"/>
            <w:right w:w="0" w:type="dxa"/>
          </w:tblCellMar>
        </w:tblPrEx>
        <w:trPr>
          <w:trHeight w:val="2236"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8</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三层六盘电烤箱</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1、电压380V/≥19.5KW，                             </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2、三层六盘，每层两盘</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3、标准盘尺寸400mm*600mm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4、可采用微电脑数字控制系统，温度精准+-1度，优质电子元件</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5、双层钢化玻璃隔热</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6、磨砂拉手，不传热，避免烫伤</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7、控制器内部设有16组温度调节程序</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8、烤炉要求设有排湿系统装置，可根据烘焙产品湿度大小随意调节</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shd w:val="clear" w:color="auto" w:fill="FFFFFF"/>
              </w:rPr>
              <w:drawing>
                <wp:anchor distT="0" distB="0" distL="114300" distR="114300" simplePos="0" relativeHeight="251694080" behindDoc="0" locked="0" layoutInCell="1" allowOverlap="1">
                  <wp:simplePos x="0" y="0"/>
                  <wp:positionH relativeFrom="column">
                    <wp:posOffset>81915</wp:posOffset>
                  </wp:positionH>
                  <wp:positionV relativeFrom="paragraph">
                    <wp:posOffset>436245</wp:posOffset>
                  </wp:positionV>
                  <wp:extent cx="534035" cy="587375"/>
                  <wp:effectExtent l="0" t="0" r="0" b="3175"/>
                  <wp:wrapNone/>
                  <wp:docPr id="48" name="图片 48"/>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34035" cy="587375"/>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p>
        </w:tc>
      </w:tr>
      <w:tr>
        <w:tblPrEx>
          <w:tblCellMar>
            <w:top w:w="0" w:type="dxa"/>
            <w:left w:w="0" w:type="dxa"/>
            <w:bottom w:w="0" w:type="dxa"/>
            <w:right w:w="0" w:type="dxa"/>
          </w:tblCellMar>
        </w:tblPrEx>
        <w:trPr>
          <w:trHeight w:val="90" w:hRule="atLeast"/>
          <w:jc w:val="center"/>
        </w:trPr>
        <w:tc>
          <w:tcPr>
            <w:tcW w:w="9197"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面点制作间</w:t>
            </w:r>
          </w:p>
        </w:tc>
      </w:tr>
      <w:tr>
        <w:tblPrEx>
          <w:tblCellMar>
            <w:top w:w="0" w:type="dxa"/>
            <w:left w:w="0" w:type="dxa"/>
            <w:bottom w:w="0" w:type="dxa"/>
            <w:right w:w="0" w:type="dxa"/>
          </w:tblCellMar>
        </w:tblPrEx>
        <w:trPr>
          <w:trHeight w:val="1358"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搅拌机</w:t>
            </w:r>
          </w:p>
          <w:p>
            <w:pPr>
              <w:widowControl/>
              <w:jc w:val="center"/>
              <w:textAlignment w:val="center"/>
              <w:rPr>
                <w:rFonts w:ascii="宋体" w:hAnsi="宋体" w:eastAsia="宋体" w:cs="宋体"/>
                <w:kern w:val="0"/>
                <w:szCs w:val="21"/>
              </w:rPr>
            </w:pPr>
            <w:r>
              <w:rPr>
                <w:rFonts w:hint="eastAsia" w:ascii="宋体" w:hAnsi="宋体" w:eastAsia="宋体" w:cs="宋体"/>
                <w:kern w:val="0"/>
                <w:szCs w:val="21"/>
              </w:rPr>
              <w:t>（60升）</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1、电压380V/≥2.25KW，                                                                     2、转速：144/248/403/转/分                           3、配置：1桶、1球、1小推车</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szCs w:val="21"/>
              </w:rPr>
              <w:t>4、料桶壳采用食品级不锈钢制作</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shd w:val="clear" w:color="auto" w:fill="FFFFFF"/>
              </w:rPr>
              <w:drawing>
                <wp:anchor distT="0" distB="0" distL="114300" distR="114300" simplePos="0" relativeHeight="251695104" behindDoc="0" locked="0" layoutInCell="1" allowOverlap="1">
                  <wp:simplePos x="0" y="0"/>
                  <wp:positionH relativeFrom="column">
                    <wp:posOffset>94615</wp:posOffset>
                  </wp:positionH>
                  <wp:positionV relativeFrom="paragraph">
                    <wp:posOffset>6985</wp:posOffset>
                  </wp:positionV>
                  <wp:extent cx="544195" cy="811530"/>
                  <wp:effectExtent l="0" t="0" r="8255" b="7620"/>
                  <wp:wrapNone/>
                  <wp:docPr id="47" name="图片 47"/>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4195" cy="81153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p>
        </w:tc>
      </w:tr>
      <w:tr>
        <w:tblPrEx>
          <w:tblCellMar>
            <w:top w:w="0" w:type="dxa"/>
            <w:left w:w="0" w:type="dxa"/>
            <w:bottom w:w="0" w:type="dxa"/>
            <w:right w:w="0" w:type="dxa"/>
          </w:tblCellMar>
        </w:tblPrEx>
        <w:trPr>
          <w:trHeight w:val="949"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揉压面机</w:t>
            </w:r>
          </w:p>
          <w:p>
            <w:pPr>
              <w:widowControl/>
              <w:jc w:val="center"/>
              <w:textAlignment w:val="center"/>
              <w:rPr>
                <w:rFonts w:ascii="宋体" w:hAnsi="宋体" w:eastAsia="宋体" w:cs="宋体"/>
                <w:kern w:val="0"/>
                <w:szCs w:val="21"/>
              </w:rPr>
            </w:pPr>
            <w:r>
              <w:rPr>
                <w:rFonts w:hint="eastAsia" w:ascii="宋体" w:hAnsi="宋体" w:eastAsia="宋体" w:cs="宋体"/>
                <w:kern w:val="0"/>
                <w:szCs w:val="21"/>
              </w:rPr>
              <w:t>（往复式）</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1"/>
              <w:widowControl/>
              <w:ind w:left="42" w:leftChars="20" w:right="42" w:rightChars="20"/>
              <w:rPr>
                <w:rFonts w:ascii="宋体" w:hAnsi="宋体" w:eastAsia="宋体" w:cs="宋体"/>
                <w:szCs w:val="21"/>
              </w:rPr>
            </w:pPr>
            <w:r>
              <w:rPr>
                <w:rFonts w:hint="eastAsia" w:ascii="宋体" w:hAnsi="宋体" w:eastAsia="宋体" w:cs="宋体"/>
                <w:kern w:val="0"/>
                <w:szCs w:val="21"/>
              </w:rPr>
              <w:t>1、</w:t>
            </w:r>
            <w:r>
              <w:rPr>
                <w:rFonts w:hint="eastAsia" w:ascii="宋体" w:hAnsi="宋体" w:eastAsia="宋体" w:cs="宋体"/>
                <w:szCs w:val="21"/>
              </w:rPr>
              <w:t>与食物接触部件采用食品级不锈钢制作；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2、功率/电压≥3.0KW/220V</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shd w:val="clear" w:color="auto" w:fill="FFFFFF"/>
              </w:rPr>
              <w:drawing>
                <wp:anchor distT="0" distB="0" distL="114300" distR="114300" simplePos="0" relativeHeight="251696128" behindDoc="0" locked="0" layoutInCell="1" allowOverlap="1">
                  <wp:simplePos x="0" y="0"/>
                  <wp:positionH relativeFrom="column">
                    <wp:posOffset>81280</wp:posOffset>
                  </wp:positionH>
                  <wp:positionV relativeFrom="paragraph">
                    <wp:posOffset>29210</wp:posOffset>
                  </wp:positionV>
                  <wp:extent cx="518160" cy="541655"/>
                  <wp:effectExtent l="0" t="0" r="0" b="0"/>
                  <wp:wrapNone/>
                  <wp:docPr id="46" name="图片 46"/>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18160" cy="541655"/>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p>
        </w:tc>
      </w:tr>
      <w:tr>
        <w:tblPrEx>
          <w:tblCellMar>
            <w:top w:w="0" w:type="dxa"/>
            <w:left w:w="0" w:type="dxa"/>
            <w:bottom w:w="0" w:type="dxa"/>
            <w:right w:w="0" w:type="dxa"/>
          </w:tblCellMar>
        </w:tblPrEx>
        <w:trPr>
          <w:trHeight w:val="1905"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和面机</w:t>
            </w:r>
          </w:p>
          <w:p>
            <w:pPr>
              <w:widowControl/>
              <w:jc w:val="center"/>
              <w:textAlignment w:val="center"/>
              <w:rPr>
                <w:rFonts w:ascii="宋体" w:hAnsi="宋体" w:eastAsia="宋体" w:cs="宋体"/>
                <w:kern w:val="0"/>
                <w:szCs w:val="21"/>
              </w:rPr>
            </w:pPr>
            <w:r>
              <w:rPr>
                <w:rFonts w:hint="eastAsia" w:ascii="宋体" w:hAnsi="宋体" w:eastAsia="宋体" w:cs="宋体"/>
                <w:kern w:val="0"/>
                <w:szCs w:val="21"/>
              </w:rPr>
              <w:t>（50KG）</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1、电压380V/≥7.6KW；                            </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2、勾通转速：216/108/18</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3、单次至少可80kg面团，50kg干粉</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4、采用螺旋式设计</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5、可根据产品配方调节快速、慢速转换</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6、微控制台控制系统，操作简单、方便，可精准控制时间</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7、带安全防护罩</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szCs w:val="21"/>
              </w:rPr>
              <w:t>8、与食物接触部件采用食品级不锈钢制作</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drawing>
                <wp:inline distT="0" distB="0" distL="0" distR="0">
                  <wp:extent cx="583565" cy="668020"/>
                  <wp:effectExtent l="0" t="0" r="6985" b="0"/>
                  <wp:docPr id="24" name="图片 24" descr="QQ截图20150421192104.png"/>
                  <wp:cNvGraphicFramePr/>
                  <a:graphic xmlns:a="http://schemas.openxmlformats.org/drawingml/2006/main">
                    <a:graphicData uri="http://schemas.openxmlformats.org/drawingml/2006/picture">
                      <pic:pic xmlns:pic="http://schemas.openxmlformats.org/drawingml/2006/picture">
                        <pic:nvPicPr>
                          <pic:cNvPr id="24" name="图片 24" descr="QQ截图20150421192104.png"/>
                          <pic:cNvPicPr>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3565" cy="668020"/>
                          </a:xfrm>
                          <a:prstGeom prst="rect">
                            <a:avLst/>
                          </a:prstGeom>
                          <a:noFill/>
                          <a:ln>
                            <a:noFill/>
                          </a:ln>
                        </pic:spPr>
                      </pic:pic>
                    </a:graphicData>
                  </a:graphic>
                </wp:inline>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p>
        </w:tc>
      </w:tr>
      <w:tr>
        <w:tblPrEx>
          <w:tblCellMar>
            <w:top w:w="0" w:type="dxa"/>
            <w:left w:w="0" w:type="dxa"/>
            <w:bottom w:w="0" w:type="dxa"/>
            <w:right w:w="0" w:type="dxa"/>
          </w:tblCellMar>
        </w:tblPrEx>
        <w:trPr>
          <w:trHeight w:val="3688"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四门双温柜（风冷）</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1、内、外箱体采用食品级优质不锈钢板，优质压缩机及风机，环保冷媒；</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2、提供数字温控器，手触面板为直流5V供电，安全防水；</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3、75mm环戊烷高密度发泡保温层；</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4、整体式可拆卸机组，方便后期维养；</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5、提供强力风冷系统，带智能除霜系统，化霜水强制蒸发，无需外接排水；</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6、箱体内圆弧设计，盆形底板，易清洁；</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7、可承受43℃环境温度；</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8、柜内要求温度：冷藏+1℃～+4℃   冷冻：-22℃～-18℃</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9、配有8件GN2/1浸塑层架；</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10、150mm高不锈钢可调底脚；</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11、电功率：≤1KW  220V/1/50Hz</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12、有效容积≥940L</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13、通过CCC认证</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▲14、能耗等级≤2级                                                                                     </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97152" behindDoc="0" locked="0" layoutInCell="1" allowOverlap="1">
                  <wp:simplePos x="0" y="0"/>
                  <wp:positionH relativeFrom="column">
                    <wp:posOffset>90170</wp:posOffset>
                  </wp:positionH>
                  <wp:positionV relativeFrom="paragraph">
                    <wp:posOffset>806450</wp:posOffset>
                  </wp:positionV>
                  <wp:extent cx="475615" cy="631190"/>
                  <wp:effectExtent l="0" t="0" r="635" b="0"/>
                  <wp:wrapNone/>
                  <wp:docPr id="45" name="图片 45"/>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475615" cy="63119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p>
        </w:tc>
      </w:tr>
      <w:tr>
        <w:tblPrEx>
          <w:tblCellMar>
            <w:top w:w="0" w:type="dxa"/>
            <w:left w:w="0" w:type="dxa"/>
            <w:bottom w:w="0" w:type="dxa"/>
            <w:right w:w="0" w:type="dxa"/>
          </w:tblCellMar>
        </w:tblPrEx>
        <w:trPr>
          <w:trHeight w:val="1242"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5</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四门保洁柜</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1200×500×1800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SUS304-2B优质不锈钢板制作：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面板厚≥1.2mm，侧板、门板厚≥0.8mm，层板厚≥1.0mm</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加强筋厚≥1.0mm，配四扇移门，内分四层，重力脚φ50mm，高度≥150mm，厚度≥1.2mm。</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98176" behindDoc="0" locked="0" layoutInCell="1" allowOverlap="1">
                  <wp:simplePos x="0" y="0"/>
                  <wp:positionH relativeFrom="column">
                    <wp:posOffset>64770</wp:posOffset>
                  </wp:positionH>
                  <wp:positionV relativeFrom="paragraph">
                    <wp:posOffset>37465</wp:posOffset>
                  </wp:positionV>
                  <wp:extent cx="572770" cy="694055"/>
                  <wp:effectExtent l="0" t="0" r="0" b="0"/>
                  <wp:wrapNone/>
                  <wp:docPr id="44" name="图片 44"/>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72770" cy="694055"/>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974"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6</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木案面工作台</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1800×800×800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台面：选用优质柳案木制作，案板厚≥60mm；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横档：25mm×50mm不锈钢型管，壁厚≥1.2mm；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脚管：50mm×50mm不锈钢型管，壁厚≥1.5mm；</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 xml:space="preserve">配有可调子弹脚；                            </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699200" behindDoc="0" locked="0" layoutInCell="1" allowOverlap="1">
                  <wp:simplePos x="0" y="0"/>
                  <wp:positionH relativeFrom="column">
                    <wp:posOffset>41910</wp:posOffset>
                  </wp:positionH>
                  <wp:positionV relativeFrom="paragraph">
                    <wp:posOffset>98425</wp:posOffset>
                  </wp:positionV>
                  <wp:extent cx="617855" cy="442595"/>
                  <wp:effectExtent l="0" t="0" r="0" b="0"/>
                  <wp:wrapNone/>
                  <wp:docPr id="43" name="图片 43"/>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7855" cy="442595"/>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378"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7</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双层工作台</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1800×600×800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SUS304-2B优质不锈钢板制作：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台面钢板厚≥1.2mm，下衬防潮板减噪，厚度≥12mm；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下层平板：板厚≥1.0mm，加强筋≥1.0mm；脚管：φ38mm，壁厚≥1.2mm</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配有可调子弹脚</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00224" behindDoc="0" locked="0" layoutInCell="1" allowOverlap="1">
                  <wp:simplePos x="0" y="0"/>
                  <wp:positionH relativeFrom="column">
                    <wp:posOffset>38100</wp:posOffset>
                  </wp:positionH>
                  <wp:positionV relativeFrom="paragraph">
                    <wp:posOffset>187960</wp:posOffset>
                  </wp:positionV>
                  <wp:extent cx="645795" cy="482600"/>
                  <wp:effectExtent l="0" t="0" r="1905" b="0"/>
                  <wp:wrapNone/>
                  <wp:docPr id="42" name="图片 42"/>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5795" cy="48260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218"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8</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面粉车</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500×500×500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SUS304-2B优质不锈钢板制作：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板厚≥1.2mm，加强筋≥0.94mm；</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蝶形翻盖，配承重静音脚轮，其中两只带刹车掣；</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辆</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01248" behindDoc="0" locked="0" layoutInCell="1" allowOverlap="1">
                  <wp:simplePos x="0" y="0"/>
                  <wp:positionH relativeFrom="column">
                    <wp:posOffset>38100</wp:posOffset>
                  </wp:positionH>
                  <wp:positionV relativeFrom="paragraph">
                    <wp:posOffset>80010</wp:posOffset>
                  </wp:positionV>
                  <wp:extent cx="626745" cy="565150"/>
                  <wp:effectExtent l="0" t="0" r="1905" b="6350"/>
                  <wp:wrapNone/>
                  <wp:docPr id="41" name="图片 4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26745" cy="56515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520"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9</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包子机</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1、产量：≥3600个/h </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2、功率：380V/≥1.55KW</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w:t>
            </w:r>
            <w:r>
              <w:rPr>
                <w:rFonts w:hint="eastAsia" w:ascii="宋体" w:hAnsi="宋体" w:eastAsia="宋体" w:cs="宋体"/>
                <w:szCs w:val="21"/>
              </w:rPr>
              <w:t>与食物接触部件采用食品级不锈钢制作</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bdr w:val="single" w:color="000000" w:sz="4" w:space="0"/>
                <w:shd w:val="clear" w:color="auto" w:fill="FFFFFF"/>
              </w:rPr>
              <w:drawing>
                <wp:inline distT="0" distB="0" distL="0" distR="0">
                  <wp:extent cx="720090" cy="797560"/>
                  <wp:effectExtent l="0" t="0" r="3810" b="2540"/>
                  <wp:docPr id="23" name="图片 23" descr="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风柜"/>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720090" cy="797560"/>
                          </a:xfrm>
                          <a:prstGeom prst="rect">
                            <a:avLst/>
                          </a:prstGeom>
                          <a:noFill/>
                          <a:ln>
                            <a:noFill/>
                          </a:ln>
                        </pic:spPr>
                      </pic:pic>
                    </a:graphicData>
                  </a:graphic>
                </wp:inline>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p>
        </w:tc>
      </w:tr>
      <w:tr>
        <w:tblPrEx>
          <w:tblCellMar>
            <w:top w:w="0" w:type="dxa"/>
            <w:left w:w="0" w:type="dxa"/>
            <w:bottom w:w="0" w:type="dxa"/>
            <w:right w:w="0" w:type="dxa"/>
          </w:tblCellMar>
        </w:tblPrEx>
        <w:trPr>
          <w:trHeight w:val="1550"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10</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馒头机</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1、产量：≥4500个/h </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2、功率：380V/≥1.1KW</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szCs w:val="21"/>
              </w:rPr>
              <w:t>3、与食物接触部件采用食品级不锈钢制作</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bdr w:val="single" w:color="000000" w:sz="4" w:space="0"/>
                <w:shd w:val="clear" w:color="auto" w:fill="FFFFFF"/>
              </w:rPr>
              <w:drawing>
                <wp:inline distT="0" distB="0" distL="0" distR="0">
                  <wp:extent cx="765175" cy="713105"/>
                  <wp:effectExtent l="0" t="0" r="0" b="0"/>
                  <wp:docPr id="22" name="图片 22" descr="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风柜"/>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765175" cy="713105"/>
                          </a:xfrm>
                          <a:prstGeom prst="rect">
                            <a:avLst/>
                          </a:prstGeom>
                          <a:noFill/>
                          <a:ln>
                            <a:noFill/>
                          </a:ln>
                        </pic:spPr>
                      </pic:pic>
                    </a:graphicData>
                  </a:graphic>
                </wp:inline>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p>
        </w:tc>
      </w:tr>
      <w:tr>
        <w:tblPrEx>
          <w:tblCellMar>
            <w:top w:w="0" w:type="dxa"/>
            <w:left w:w="0" w:type="dxa"/>
            <w:bottom w:w="0" w:type="dxa"/>
            <w:right w:w="0" w:type="dxa"/>
          </w:tblCellMar>
        </w:tblPrEx>
        <w:trPr>
          <w:trHeight w:val="90" w:hRule="atLeast"/>
          <w:jc w:val="center"/>
        </w:trPr>
        <w:tc>
          <w:tcPr>
            <w:tcW w:w="9197"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售菜间：</w:t>
            </w:r>
          </w:p>
        </w:tc>
      </w:tr>
      <w:tr>
        <w:tblPrEx>
          <w:tblCellMar>
            <w:top w:w="0" w:type="dxa"/>
            <w:left w:w="0" w:type="dxa"/>
            <w:bottom w:w="0" w:type="dxa"/>
            <w:right w:w="0" w:type="dxa"/>
          </w:tblCellMar>
        </w:tblPrEx>
        <w:trPr>
          <w:trHeight w:val="3524"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四门玻璃门冷藏柜（风冷）</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1、内、外箱体采用食品级优质不锈钢板，优质压缩机及风机，环保冷媒；</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2、提供数字温控器，手触面板为直流5V供电，安全防水；</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3、75mm环戊烷高密度发泡保温层；</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4、整体式可拆卸机组，方便后期维养；</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5、提供强力风冷系统，带智能除霜系统，化霜水强制蒸发，无需外接排水；</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6、箱体内圆弧设计，盆形底板，易清洁；</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7、可承受43℃环境温度；</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8、柜内要求温度：冷藏+1℃～+4℃   </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9、配有8件GN2/1浸塑层架；</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10、150mm高不锈钢可调底脚；</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11、电功率：≤1.1KW  220V/1/50Hz</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12、有效容积≥940L</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13、通过CCC认证</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▲14、能耗等级≤2级   </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03296" behindDoc="0" locked="0" layoutInCell="1" allowOverlap="1">
                  <wp:simplePos x="0" y="0"/>
                  <wp:positionH relativeFrom="column">
                    <wp:posOffset>92075</wp:posOffset>
                  </wp:positionH>
                  <wp:positionV relativeFrom="paragraph">
                    <wp:posOffset>669925</wp:posOffset>
                  </wp:positionV>
                  <wp:extent cx="552450" cy="694055"/>
                  <wp:effectExtent l="19050" t="0" r="0" b="0"/>
                  <wp:wrapNone/>
                  <wp:docPr id="40" name="图片 40"/>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52450" cy="694055"/>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p>
        </w:tc>
      </w:tr>
      <w:tr>
        <w:tblPrEx>
          <w:tblCellMar>
            <w:top w:w="0" w:type="dxa"/>
            <w:left w:w="0" w:type="dxa"/>
            <w:bottom w:w="0" w:type="dxa"/>
            <w:right w:w="0" w:type="dxa"/>
          </w:tblCellMar>
        </w:tblPrEx>
        <w:trPr>
          <w:trHeight w:val="1156"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三层送餐车</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800×600×900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SUS304-2B优质不锈钢板制作：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层板厚≥1.2mm，加强筋≥0.94mm；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配承重静音脚轮，其中两只带刹车掣；</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推柄：φ32圆管，壁厚≥1.2mm，一次性弯制成型，光滑无毛刺。</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辆</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04320" behindDoc="0" locked="0" layoutInCell="1" allowOverlap="1">
                  <wp:simplePos x="0" y="0"/>
                  <wp:positionH relativeFrom="column">
                    <wp:posOffset>81915</wp:posOffset>
                  </wp:positionH>
                  <wp:positionV relativeFrom="paragraph">
                    <wp:posOffset>92075</wp:posOffset>
                  </wp:positionV>
                  <wp:extent cx="544830" cy="586105"/>
                  <wp:effectExtent l="0" t="0" r="7620" b="4445"/>
                  <wp:wrapNone/>
                  <wp:docPr id="39" name="图片 39"/>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44830" cy="586105"/>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2705"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双向开门保温柜车</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≥700×800×1750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highlight w:val="yellow"/>
              </w:rPr>
            </w:pPr>
            <w:r>
              <w:rPr>
                <w:rFonts w:hint="eastAsia" w:ascii="宋体" w:hAnsi="宋体" w:eastAsia="宋体" w:cs="宋体"/>
                <w:kern w:val="0"/>
                <w:szCs w:val="21"/>
              </w:rPr>
              <w:t>1、SUS304-2B优质不锈钢板制作；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2、优质加热元件；</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3、数字温控器，手触面板为直充5V，安全，防水；75mm环戊烷高密度发泡保温层；</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4、热风专用循环风扇，均匀分布温度；</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5、温度在78℃～82℃；单门带锁；</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▲6、适放16格1/1GN容器。4只重力轮，前两轮带刹车；</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7、开门小于90度角，自动关闭；</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8、箱内圆弧形设计，一体式盆形底盘，易清洁；</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9、电功率：≥2.5KW   220V/1/50Hz</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inline distT="0" distB="0" distL="114300" distR="114300">
                  <wp:extent cx="701040" cy="1183005"/>
                  <wp:effectExtent l="0" t="0" r="0" b="5715"/>
                  <wp:docPr id="93" name="图片 93" descr="1654696609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1654696609889"/>
                          <pic:cNvPicPr>
                            <a:picLocks noChangeAspect="1"/>
                          </pic:cNvPicPr>
                        </pic:nvPicPr>
                        <pic:blipFill>
                          <a:blip r:embed="rId53"/>
                          <a:stretch>
                            <a:fillRect/>
                          </a:stretch>
                        </pic:blipFill>
                        <pic:spPr>
                          <a:xfrm>
                            <a:off x="0" y="0"/>
                            <a:ext cx="701040" cy="1183005"/>
                          </a:xfrm>
                          <a:prstGeom prst="rect">
                            <a:avLst/>
                          </a:prstGeom>
                        </pic:spPr>
                      </pic:pic>
                    </a:graphicData>
                  </a:graphic>
                </wp:inline>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2776"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单开门保温车</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≥700×800×1750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numPr>
                <w:ilvl w:val="0"/>
                <w:numId w:val="2"/>
              </w:numPr>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SUS304-2B优质不锈钢板制作；</w:t>
            </w:r>
          </w:p>
          <w:p>
            <w:pPr>
              <w:widowControl/>
              <w:numPr>
                <w:ilvl w:val="0"/>
                <w:numId w:val="2"/>
              </w:numPr>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优质加热元件；</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3、提供数字温控器，手触面板为直充5V，安全，防水；75mm环戊烷高密度发泡保温层；</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4、热风专用循环风扇，均匀分布温度；</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5、温度在78℃～82℃；单门带锁；</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▲6、适放16格1/1GN容器。4只重力轮，前两轮带刹车；</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7、开门小于90度角，自动关闭；</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8、要求箱内圆弧形设计，一体式盆形底盘，易清洁；</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9、电功率：≥2.5KW   220V/1/50Hz</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t>6</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inline distT="0" distB="0" distL="114300" distR="114300">
                  <wp:extent cx="701040" cy="1183005"/>
                  <wp:effectExtent l="0" t="0" r="0" b="5715"/>
                  <wp:docPr id="94" name="图片 94" descr="1654696609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1654696609889"/>
                          <pic:cNvPicPr>
                            <a:picLocks noChangeAspect="1"/>
                          </pic:cNvPicPr>
                        </pic:nvPicPr>
                        <pic:blipFill>
                          <a:blip r:embed="rId53"/>
                          <a:stretch>
                            <a:fillRect/>
                          </a:stretch>
                        </pic:blipFill>
                        <pic:spPr>
                          <a:xfrm>
                            <a:off x="0" y="0"/>
                            <a:ext cx="701040" cy="1183005"/>
                          </a:xfrm>
                          <a:prstGeom prst="rect">
                            <a:avLst/>
                          </a:prstGeom>
                        </pic:spPr>
                      </pic:pic>
                    </a:graphicData>
                  </a:graphic>
                </wp:inline>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180"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5</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四门保洁柜</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1200×600×1800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SUS304-2B优质不锈钢板制作：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面板厚≥1.2mm，侧板、门板厚≥0.8mm，层板厚≥1.0mm</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加强筋厚≥1.0mm，配四扇移门，内分四层，重力脚φ50mm，高度≥150mm，厚度≥1.2mm。</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t>7</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05344" behindDoc="0" locked="0" layoutInCell="1" allowOverlap="1">
                  <wp:simplePos x="0" y="0"/>
                  <wp:positionH relativeFrom="column">
                    <wp:posOffset>56515</wp:posOffset>
                  </wp:positionH>
                  <wp:positionV relativeFrom="paragraph">
                    <wp:posOffset>31115</wp:posOffset>
                  </wp:positionV>
                  <wp:extent cx="581025" cy="685800"/>
                  <wp:effectExtent l="0" t="0" r="9525" b="0"/>
                  <wp:wrapNone/>
                  <wp:docPr id="36" name="图片 36"/>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81025" cy="68580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249"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6</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单向移门调理台</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1800×800×800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SUS304-2B优质不锈钢板制作：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台面板厚≥1.2mm，下衬12mm防潮板减噪；</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层板板厚≥1.0mm，</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加强筋≥1.0mm，单侧单移门，内分两层；重力脚φ50mm，高度≥150mm，厚度≥1.2mm。</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t>6</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11488" behindDoc="0" locked="0" layoutInCell="1" allowOverlap="1">
                  <wp:simplePos x="0" y="0"/>
                  <wp:positionH relativeFrom="column">
                    <wp:posOffset>12065</wp:posOffset>
                  </wp:positionH>
                  <wp:positionV relativeFrom="paragraph">
                    <wp:posOffset>193675</wp:posOffset>
                  </wp:positionV>
                  <wp:extent cx="675005" cy="497205"/>
                  <wp:effectExtent l="0" t="0" r="0" b="0"/>
                  <wp:wrapNone/>
                  <wp:docPr id="35" name="图片 35"/>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75005" cy="497205"/>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3694"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7</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四门双温柜（风冷）</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1、内、外箱体采用食品级优质不锈钢板，优质压缩机及风机，环保冷媒；</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2、提供数字温控器，手触面板为直流5V供电，安全防水；</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3、75mm环戊烷高密度发泡保温层；</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4、整体式可拆卸机组，方便后期维养；</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5、提供强力风冷系统，带智能除霜系统，化霜水强制蒸发，无需外接排水；</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6、箱体内圆弧设计，盆形底板，易清洁；</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7、可承受43℃环境温度；</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8、柜内要求温度：冷藏+1℃～+4℃   冷冻：-22℃～-18℃</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9、配有8件GN2/1浸塑层架；</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10、150mm高不锈钢可调底脚；</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11、电功率：≤1.1KW  220V/1/50Hz</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12、有效容积≥940L</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13、通过CCC认证</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▲14、能耗等级≤2级</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09440" behindDoc="0" locked="0" layoutInCell="1" allowOverlap="1">
                  <wp:simplePos x="0" y="0"/>
                  <wp:positionH relativeFrom="column">
                    <wp:posOffset>115570</wp:posOffset>
                  </wp:positionH>
                  <wp:positionV relativeFrom="paragraph">
                    <wp:posOffset>862330</wp:posOffset>
                  </wp:positionV>
                  <wp:extent cx="485775" cy="669290"/>
                  <wp:effectExtent l="19050" t="0" r="9525" b="0"/>
                  <wp:wrapNone/>
                  <wp:docPr id="34" name="图片 34"/>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485775" cy="66929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p>
        </w:tc>
      </w:tr>
      <w:tr>
        <w:tblPrEx>
          <w:tblCellMar>
            <w:top w:w="0" w:type="dxa"/>
            <w:left w:w="0" w:type="dxa"/>
            <w:bottom w:w="0" w:type="dxa"/>
            <w:right w:w="0" w:type="dxa"/>
          </w:tblCellMar>
        </w:tblPrEx>
        <w:trPr>
          <w:trHeight w:val="2230"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8</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净化一体机（明档式）</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2000mm×1000mm×（500+500）mm</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1、材质：优质不锈钢201双面油墨拉丝，国标1.0材质。</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2、电源：三相五线制（380V）</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3、功率：总功率≤1.5kw</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4、结构：设备集烟罩、净化、排风于一体，上下分体堆叠结构，上下层可以独立进行搬运，组装。</w:t>
            </w:r>
          </w:p>
          <w:p>
            <w:pPr>
              <w:pStyle w:val="11"/>
              <w:widowControl/>
              <w:ind w:left="42" w:leftChars="20" w:right="42" w:rightChars="20"/>
              <w:rPr>
                <w:rFonts w:ascii="宋体" w:hAnsi="宋体" w:eastAsia="宋体" w:cs="宋体"/>
                <w:szCs w:val="21"/>
              </w:rPr>
            </w:pPr>
            <w:r>
              <w:rPr>
                <w:rFonts w:hint="eastAsia" w:ascii="宋体" w:hAnsi="宋体" w:eastAsia="宋体" w:cs="宋体"/>
                <w:kern w:val="0"/>
                <w:szCs w:val="21"/>
              </w:rPr>
              <w:t>5、</w:t>
            </w:r>
            <w:r>
              <w:rPr>
                <w:rFonts w:hint="eastAsia" w:ascii="宋体" w:hAnsi="宋体" w:eastAsia="宋体" w:cs="宋体"/>
                <w:szCs w:val="21"/>
              </w:rPr>
              <w:t>在额定风量下，油烟去除效率≥98%，油烟排放浓度≤0.4mg/m³</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6、噪声≤60分贝</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7、外壳防水等级≥IPX7</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szCs w:val="21"/>
              </w:rPr>
              <w:drawing>
                <wp:inline distT="0" distB="0" distL="0" distR="0">
                  <wp:extent cx="589915" cy="330835"/>
                  <wp:effectExtent l="0" t="0" r="635" b="0"/>
                  <wp:docPr id="21" name="图片 21" descr="1624963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24963308(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89915" cy="330835"/>
                          </a:xfrm>
                          <a:prstGeom prst="rect">
                            <a:avLst/>
                          </a:prstGeom>
                          <a:noFill/>
                          <a:ln>
                            <a:noFill/>
                          </a:ln>
                        </pic:spPr>
                      </pic:pic>
                    </a:graphicData>
                  </a:graphic>
                </wp:inline>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p>
        </w:tc>
      </w:tr>
      <w:tr>
        <w:tblPrEx>
          <w:tblCellMar>
            <w:top w:w="0" w:type="dxa"/>
            <w:left w:w="0" w:type="dxa"/>
            <w:bottom w:w="0" w:type="dxa"/>
            <w:right w:w="0" w:type="dxa"/>
          </w:tblCellMar>
        </w:tblPrEx>
        <w:trPr>
          <w:trHeight w:val="1140"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9</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九眼电磁面汤炉</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800×800×800+30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1、SUS304-2B优质不锈钢板制造，面板厚度≥1.2mm，侧板201，厚度≥1.0mm；                                                                                                                           2、功率≥15KW； </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3、电压380V；</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4、定点沸腾控制，沸腾冲力集中于煮面筛下方。</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5、泡沫溢流导向设计，可配合适当进水，让煮面产生的泡沫自动溢出。</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6、中文显示，显示屏防尘≥IPX6，防水≥IPX8。</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7、功率实时显示，集成电压显示，集成数字电表。</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8、360度旋转火力调节，并集中于显示板上。</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9、定时关，定温，预约开功能；</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10、快捷保温，一键保温。                                                                                                                                                                                     </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drawing>
                <wp:inline distT="0" distB="0" distL="0" distR="0">
                  <wp:extent cx="732790" cy="72644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732790" cy="726440"/>
                          </a:xfrm>
                          <a:prstGeom prst="rect">
                            <a:avLst/>
                          </a:prstGeom>
                          <a:noFill/>
                          <a:ln>
                            <a:noFill/>
                          </a:ln>
                        </pic:spPr>
                      </pic:pic>
                    </a:graphicData>
                  </a:graphic>
                </wp:inline>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p>
        </w:tc>
      </w:tr>
      <w:tr>
        <w:tblPrEx>
          <w:tblCellMar>
            <w:top w:w="0" w:type="dxa"/>
            <w:left w:w="0" w:type="dxa"/>
            <w:bottom w:w="0" w:type="dxa"/>
            <w:right w:w="0" w:type="dxa"/>
          </w:tblCellMar>
        </w:tblPrEx>
        <w:trPr>
          <w:trHeight w:val="1126"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10</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单向移门调理台</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750×800×(800+30)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SUS304-2B优质不锈钢板制作：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台面板厚≥1.2mm，下衬12mm防潮板减噪；</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层板板厚≥1.0mm，加强筋≥1.0mm；</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重力脚φ50mm，高度≥150mm，厚度≥1.2mm。</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t>3</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10464" behindDoc="0" locked="0" layoutInCell="1" allowOverlap="1">
                  <wp:simplePos x="0" y="0"/>
                  <wp:positionH relativeFrom="column">
                    <wp:posOffset>109855</wp:posOffset>
                  </wp:positionH>
                  <wp:positionV relativeFrom="paragraph">
                    <wp:posOffset>78105</wp:posOffset>
                  </wp:positionV>
                  <wp:extent cx="555625" cy="566420"/>
                  <wp:effectExtent l="0" t="0" r="0" b="5080"/>
                  <wp:wrapNone/>
                  <wp:docPr id="33" name="图片 33"/>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55625" cy="56642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90" w:hRule="atLeast"/>
          <w:jc w:val="center"/>
        </w:trPr>
        <w:tc>
          <w:tcPr>
            <w:tcW w:w="9197"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left"/>
              <w:rPr>
                <w:rFonts w:ascii="宋体" w:hAnsi="宋体" w:eastAsia="宋体" w:cs="宋体"/>
                <w:szCs w:val="21"/>
              </w:rPr>
            </w:pPr>
            <w:r>
              <w:rPr>
                <w:rFonts w:hint="eastAsia" w:ascii="宋体" w:hAnsi="宋体" w:eastAsia="宋体" w:cs="宋体"/>
                <w:b/>
                <w:kern w:val="0"/>
                <w:szCs w:val="21"/>
              </w:rPr>
              <w:t>其它设备：</w:t>
            </w:r>
          </w:p>
        </w:tc>
      </w:tr>
      <w:tr>
        <w:tblPrEx>
          <w:tblCellMar>
            <w:top w:w="0" w:type="dxa"/>
            <w:left w:w="0" w:type="dxa"/>
            <w:bottom w:w="0" w:type="dxa"/>
            <w:right w:w="0" w:type="dxa"/>
          </w:tblCellMar>
        </w:tblPrEx>
        <w:trPr>
          <w:trHeight w:val="1064"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粘捕式灭蝇灯</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1、电压：220V交流电（2孔扁插）</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2、单个外箱尺寸：≤390mm×200mm×165mm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3、功率：16W，灯管尺寸：300mm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4、有效面积：60-90m</w:t>
            </w:r>
            <w:r>
              <w:rPr>
                <w:rFonts w:hint="eastAsia" w:ascii="宋体" w:hAnsi="宋体" w:eastAsia="宋体" w:cs="宋体"/>
                <w:kern w:val="0"/>
                <w:szCs w:val="21"/>
                <w:vertAlign w:val="superscript"/>
              </w:rPr>
              <w:t>2</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 xml:space="preserve">5、双管优质紫外诱蚊灯管，配50张粘板                                    </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48</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drawing>
                <wp:inline distT="0" distB="0" distL="0" distR="0">
                  <wp:extent cx="732790" cy="570865"/>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732790" cy="570865"/>
                          </a:xfrm>
                          <a:prstGeom prst="rect">
                            <a:avLst/>
                          </a:prstGeom>
                          <a:noFill/>
                          <a:ln>
                            <a:noFill/>
                          </a:ln>
                        </pic:spPr>
                      </pic:pic>
                    </a:graphicData>
                  </a:graphic>
                </wp:inline>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p>
        </w:tc>
      </w:tr>
      <w:tr>
        <w:tblPrEx>
          <w:tblCellMar>
            <w:top w:w="0" w:type="dxa"/>
            <w:left w:w="0" w:type="dxa"/>
            <w:bottom w:w="0" w:type="dxa"/>
            <w:right w:w="0" w:type="dxa"/>
          </w:tblCellMar>
        </w:tblPrEx>
        <w:trPr>
          <w:trHeight w:val="861"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紫外线杀菌灯</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1、发射短波紫外辐射，起到杀菌的作用；</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2、玻璃外壳；</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3、功率/电压：≥36W/220V</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8</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盏</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shd w:val="clear" w:color="auto" w:fill="FFFFFF"/>
              </w:rPr>
              <w:drawing>
                <wp:anchor distT="0" distB="0" distL="114300" distR="114300" simplePos="0" relativeHeight="251706368" behindDoc="0" locked="0" layoutInCell="1" allowOverlap="1">
                  <wp:simplePos x="0" y="0"/>
                  <wp:positionH relativeFrom="column">
                    <wp:posOffset>97155</wp:posOffset>
                  </wp:positionH>
                  <wp:positionV relativeFrom="paragraph">
                    <wp:posOffset>55245</wp:posOffset>
                  </wp:positionV>
                  <wp:extent cx="504190" cy="476250"/>
                  <wp:effectExtent l="0" t="0" r="0" b="0"/>
                  <wp:wrapNone/>
                  <wp:docPr id="32" name="图片 32"/>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04190" cy="47625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p>
        </w:tc>
      </w:tr>
      <w:tr>
        <w:tblPrEx>
          <w:tblCellMar>
            <w:top w:w="0" w:type="dxa"/>
            <w:left w:w="0" w:type="dxa"/>
            <w:bottom w:w="0" w:type="dxa"/>
            <w:right w:w="0" w:type="dxa"/>
          </w:tblCellMar>
        </w:tblPrEx>
        <w:trPr>
          <w:trHeight w:val="879"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高速静音风幕机</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1、全金属机身，弧线形面板；</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2、静音风轮，高速高效电机；</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3、功率/电压：0.3KW/220V</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shd w:val="clear" w:color="auto" w:fill="FFFFFF"/>
              </w:rPr>
              <w:drawing>
                <wp:anchor distT="0" distB="0" distL="114300" distR="114300" simplePos="0" relativeHeight="251707392" behindDoc="0" locked="0" layoutInCell="1" allowOverlap="1">
                  <wp:simplePos x="0" y="0"/>
                  <wp:positionH relativeFrom="column">
                    <wp:posOffset>85725</wp:posOffset>
                  </wp:positionH>
                  <wp:positionV relativeFrom="paragraph">
                    <wp:posOffset>112395</wp:posOffset>
                  </wp:positionV>
                  <wp:extent cx="589280" cy="270510"/>
                  <wp:effectExtent l="0" t="0" r="1270" b="0"/>
                  <wp:wrapNone/>
                  <wp:docPr id="31" name="图片 3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89280" cy="270510"/>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p>
        </w:tc>
      </w:tr>
      <w:tr>
        <w:tblPrEx>
          <w:tblCellMar>
            <w:top w:w="0" w:type="dxa"/>
            <w:left w:w="0" w:type="dxa"/>
            <w:bottom w:w="0" w:type="dxa"/>
            <w:right w:w="0" w:type="dxa"/>
          </w:tblCellMar>
        </w:tblPrEx>
        <w:trPr>
          <w:trHeight w:val="974"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筷子、勺子消毒车</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按照筷子、勺子定制</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要求360度紫外线辐射，消毒无死角，超大容量，304食品级不锈钢制造。</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6</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bdr w:val="single" w:color="000000" w:sz="4" w:space="0"/>
                <w:shd w:val="clear" w:color="auto" w:fill="FFFFFF"/>
              </w:rPr>
              <w:drawing>
                <wp:inline distT="0" distB="0" distL="0" distR="0">
                  <wp:extent cx="454025" cy="557530"/>
                  <wp:effectExtent l="0" t="0" r="3175" b="0"/>
                  <wp:docPr id="18" name="图片 18" descr="1634020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3402007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454025" cy="557530"/>
                          </a:xfrm>
                          <a:prstGeom prst="rect">
                            <a:avLst/>
                          </a:prstGeom>
                          <a:noFill/>
                          <a:ln>
                            <a:noFill/>
                          </a:ln>
                        </pic:spPr>
                      </pic:pic>
                    </a:graphicData>
                  </a:graphic>
                </wp:inline>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368"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5</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汤桶柜</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700×700×800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1、SUS304-2B优质不锈钢板制作：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2、层板板厚≥1.2mm，加强筋≥0.94mm；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3、配承重静音脚轮，其中两只带刹车掣；</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4、推柄采用Ø32×1.2mm圆管一次性弯制成型，光滑无毛刺</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bdr w:val="single" w:color="000000" w:sz="4" w:space="0"/>
                <w:shd w:val="clear" w:color="auto" w:fill="FFFFFF"/>
              </w:rPr>
              <w:drawing>
                <wp:inline distT="0" distB="0" distL="0" distR="0">
                  <wp:extent cx="680720" cy="700405"/>
                  <wp:effectExtent l="0" t="0" r="5080" b="4445"/>
                  <wp:docPr id="17" name="图片 17" descr="暖饭桶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暖饭桶车"/>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80720" cy="700405"/>
                          </a:xfrm>
                          <a:prstGeom prst="rect">
                            <a:avLst/>
                          </a:prstGeom>
                          <a:noFill/>
                          <a:ln>
                            <a:noFill/>
                          </a:ln>
                        </pic:spPr>
                      </pic:pic>
                    </a:graphicData>
                  </a:graphic>
                </wp:inline>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226"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6</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托盘架车</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1250×500×1250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SUS304-2B优质不锈钢板制作：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层板δ=1.2mm，加强筋δ≥0.94mm；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配承重静音脚轮，其中两只带刹车掣；</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推柄：φ32圆管，壁厚≥1.2mm，一次性弯制成型，光滑无毛刺。</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8</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bdr w:val="single" w:color="000000" w:sz="4" w:space="0"/>
                <w:shd w:val="clear" w:color="auto" w:fill="FFFFFF"/>
              </w:rPr>
              <w:drawing>
                <wp:inline distT="0" distB="0" distL="0" distR="0">
                  <wp:extent cx="641985" cy="732790"/>
                  <wp:effectExtent l="0" t="0" r="5715" b="0"/>
                  <wp:docPr id="16" name="图片 16" descr="1634020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34020566(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1985" cy="732790"/>
                          </a:xfrm>
                          <a:prstGeom prst="rect">
                            <a:avLst/>
                          </a:prstGeom>
                          <a:noFill/>
                          <a:ln>
                            <a:noFill/>
                          </a:ln>
                        </pic:spPr>
                      </pic:pic>
                    </a:graphicData>
                  </a:graphic>
                </wp:inline>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shd w:val="clear" w:color="auto" w:fill="FFFFFF"/>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289"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7</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低搁架</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300×500×200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SUS304-2B优质不锈钢板制作：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围管：25mm×38mm，壁厚≥1.2mm；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方脚管：38mm×38mm，壁厚≥1.2mm；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配防滑套脚；</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t>14</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台</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bdr w:val="single" w:color="000000" w:sz="4" w:space="0"/>
              </w:rPr>
              <w:drawing>
                <wp:anchor distT="0" distB="0" distL="114300" distR="114300" simplePos="0" relativeHeight="251708416" behindDoc="0" locked="0" layoutInCell="1" allowOverlap="1">
                  <wp:simplePos x="0" y="0"/>
                  <wp:positionH relativeFrom="column">
                    <wp:posOffset>83820</wp:posOffset>
                  </wp:positionH>
                  <wp:positionV relativeFrom="paragraph">
                    <wp:posOffset>58420</wp:posOffset>
                  </wp:positionV>
                  <wp:extent cx="546735" cy="573405"/>
                  <wp:effectExtent l="0" t="0" r="5715" b="0"/>
                  <wp:wrapNone/>
                  <wp:docPr id="30" name="图片 30"/>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6735" cy="573405"/>
                          </a:xfrm>
                          <a:prstGeom prst="rect">
                            <a:avLst/>
                          </a:prstGeom>
                          <a:noFill/>
                          <a:ln>
                            <a:noFill/>
                          </a:ln>
                        </pic:spPr>
                      </pic:pic>
                    </a:graphicData>
                  </a:graphic>
                </wp:anchor>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90"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8</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餐盘回收车</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通脚30mm×30mm方管，壁厚≥1.35mm；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配承重静音脚轮，其中两只带刹车掣；（参考图片，结合餐盘定制）</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辆</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drawing>
                <wp:inline distT="0" distB="0" distL="0" distR="0">
                  <wp:extent cx="499110" cy="570865"/>
                  <wp:effectExtent l="0" t="0" r="0" b="635"/>
                  <wp:docPr id="15" name="图片 15" descr="1d0f59af378ee198599098d6d081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d0f59af378ee198599098d6d081a0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499110" cy="570865"/>
                          </a:xfrm>
                          <a:prstGeom prst="rect">
                            <a:avLst/>
                          </a:prstGeom>
                          <a:noFill/>
                          <a:ln>
                            <a:noFill/>
                          </a:ln>
                        </pic:spPr>
                      </pic:pic>
                    </a:graphicData>
                  </a:graphic>
                </wp:inline>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681"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9</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挂墙层板</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1800×350×300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优质不锈钢板制作：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层板≥1.2mm，加强筋≥0.94mm；</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2</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间</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drawing>
                <wp:inline distT="0" distB="0" distL="0" distR="0">
                  <wp:extent cx="674370" cy="266065"/>
                  <wp:effectExtent l="0" t="0" r="0" b="635"/>
                  <wp:docPr id="14" name="图片 14" descr="挂墙层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挂墙层板-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674370" cy="266065"/>
                          </a:xfrm>
                          <a:prstGeom prst="rect">
                            <a:avLst/>
                          </a:prstGeom>
                          <a:noFill/>
                          <a:ln>
                            <a:noFill/>
                          </a:ln>
                        </pic:spPr>
                      </pic:pic>
                    </a:graphicData>
                  </a:graphic>
                </wp:inline>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681"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10</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摇摆龙头</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黄铜主体，铜管壁厚≥1.0mm，管径≥25mm， 黄铜顶杆阀芯，钢片紧固炉具。</w:t>
            </w:r>
          </w:p>
        </w:tc>
        <w:tc>
          <w:tcPr>
            <w:tcW w:w="476"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20</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个</w:t>
            </w: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drawing>
                <wp:inline distT="0" distB="0" distL="0" distR="0">
                  <wp:extent cx="557530" cy="24638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557530" cy="246380"/>
                          </a:xfrm>
                          <a:prstGeom prst="rect">
                            <a:avLst/>
                          </a:prstGeom>
                          <a:noFill/>
                          <a:ln>
                            <a:noFill/>
                          </a:ln>
                        </pic:spPr>
                      </pic:pic>
                    </a:graphicData>
                  </a:graphic>
                </wp:inline>
              </w:drawing>
            </w:r>
          </w:p>
        </w:tc>
        <w:tc>
          <w:tcPr>
            <w:tcW w:w="553"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p>
        </w:tc>
      </w:tr>
      <w:tr>
        <w:tblPrEx>
          <w:tblCellMar>
            <w:top w:w="0" w:type="dxa"/>
            <w:left w:w="0" w:type="dxa"/>
            <w:bottom w:w="0" w:type="dxa"/>
            <w:right w:w="0" w:type="dxa"/>
          </w:tblCellMar>
        </w:tblPrEx>
        <w:trPr>
          <w:trHeight w:val="1495"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t>11</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20框热风消毒柜</w:t>
            </w:r>
          </w:p>
          <w:p>
            <w:pPr>
              <w:widowControl/>
              <w:jc w:val="center"/>
              <w:textAlignment w:val="center"/>
              <w:rPr>
                <w:rFonts w:ascii="宋体" w:hAnsi="宋体" w:eastAsia="宋体" w:cs="宋体"/>
                <w:kern w:val="0"/>
                <w:szCs w:val="21"/>
              </w:rPr>
            </w:pPr>
            <w:r>
              <w:rPr>
                <w:rFonts w:hint="eastAsia" w:ascii="宋体" w:hAnsi="宋体" w:eastAsia="宋体" w:cs="宋体"/>
                <w:kern w:val="0"/>
                <w:szCs w:val="21"/>
              </w:rPr>
              <w:t>（含车）</w:t>
            </w:r>
          </w:p>
          <w:p>
            <w:pPr>
              <w:widowControl/>
              <w:jc w:val="center"/>
              <w:textAlignment w:val="center"/>
              <w:rPr>
                <w:rFonts w:ascii="宋体" w:hAnsi="宋体" w:eastAsia="宋体" w:cs="宋体"/>
                <w:kern w:val="0"/>
                <w:szCs w:val="21"/>
              </w:rPr>
            </w:pPr>
            <w:r>
              <w:rPr>
                <w:rFonts w:hint="eastAsia" w:ascii="宋体" w:hAnsi="宋体" w:eastAsia="宋体" w:cs="宋体"/>
                <w:b/>
                <w:bCs/>
                <w:kern w:val="0"/>
                <w:szCs w:val="21"/>
              </w:rPr>
              <w:t>（提供样品）</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≥990×960×1890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1、304不锈钢板制造，厚度≥1.2mm。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2、电压≥7KW/3PH/380V；</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3、隔热保温层、热风风道、消毒室三层设计；</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4、可显示温度；</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5、消毒保温时间可设定；</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6、具有加热、启停等操作按钮；</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7、柜顶部装有风扇；</w:t>
            </w:r>
          </w:p>
        </w:tc>
        <w:tc>
          <w:tcPr>
            <w:tcW w:w="476"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5</w:t>
            </w:r>
          </w:p>
        </w:tc>
        <w:tc>
          <w:tcPr>
            <w:tcW w:w="518"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台</w:t>
            </w:r>
          </w:p>
        </w:tc>
        <w:tc>
          <w:tcPr>
            <w:tcW w:w="111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drawing>
                <wp:inline distT="0" distB="0" distL="0" distR="0">
                  <wp:extent cx="583565" cy="771525"/>
                  <wp:effectExtent l="0" t="0" r="6985" b="9525"/>
                  <wp:docPr id="12" name="图片 12" descr="XYXD-4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XYXD-40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83565" cy="771525"/>
                          </a:xfrm>
                          <a:prstGeom prst="rect">
                            <a:avLst/>
                          </a:prstGeom>
                          <a:noFill/>
                          <a:ln>
                            <a:noFill/>
                          </a:ln>
                        </pic:spPr>
                      </pic:pic>
                    </a:graphicData>
                  </a:graphic>
                </wp:inline>
              </w:drawing>
            </w:r>
          </w:p>
        </w:tc>
        <w:tc>
          <w:tcPr>
            <w:tcW w:w="55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43"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双层回收餐车</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1200×600×900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1、304不锈钢板制造，厚度≥1.2mm。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2、配承重静音脚轮，其中两只带刹车掣；</w:t>
            </w:r>
          </w:p>
        </w:tc>
        <w:tc>
          <w:tcPr>
            <w:tcW w:w="476"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2</w:t>
            </w:r>
          </w:p>
        </w:tc>
        <w:tc>
          <w:tcPr>
            <w:tcW w:w="518"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台</w:t>
            </w:r>
          </w:p>
        </w:tc>
        <w:tc>
          <w:tcPr>
            <w:tcW w:w="111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szCs w:val="21"/>
              </w:rPr>
              <w:drawing>
                <wp:inline distT="0" distB="0" distL="0" distR="0">
                  <wp:extent cx="674370" cy="706755"/>
                  <wp:effectExtent l="0" t="0" r="0" b="0"/>
                  <wp:docPr id="11" name="图片 11" descr="回收餐车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回收餐车 拷贝"/>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674370" cy="706755"/>
                          </a:xfrm>
                          <a:prstGeom prst="rect">
                            <a:avLst/>
                          </a:prstGeom>
                          <a:noFill/>
                          <a:ln>
                            <a:noFill/>
                          </a:ln>
                        </pic:spPr>
                      </pic:pic>
                    </a:graphicData>
                  </a:graphic>
                </wp:inline>
              </w:drawing>
            </w:r>
          </w:p>
        </w:tc>
        <w:tc>
          <w:tcPr>
            <w:tcW w:w="55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784"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13</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双孔残菜回收台</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1800×700×800+150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1、304不锈钢板制造，厚度≥1.2mm。</w:t>
            </w:r>
          </w:p>
        </w:tc>
        <w:tc>
          <w:tcPr>
            <w:tcW w:w="476"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2</w:t>
            </w:r>
          </w:p>
        </w:tc>
        <w:tc>
          <w:tcPr>
            <w:tcW w:w="518"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台</w:t>
            </w:r>
          </w:p>
        </w:tc>
        <w:tc>
          <w:tcPr>
            <w:tcW w:w="111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drawing>
                <wp:inline distT="0" distB="0" distL="0" distR="0">
                  <wp:extent cx="680720" cy="408305"/>
                  <wp:effectExtent l="0" t="0" r="5080" b="0"/>
                  <wp:docPr id="10" name="图片 10" descr="1646381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46381433(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680720" cy="408305"/>
                          </a:xfrm>
                          <a:prstGeom prst="rect">
                            <a:avLst/>
                          </a:prstGeom>
                          <a:noFill/>
                          <a:ln>
                            <a:noFill/>
                          </a:ln>
                        </pic:spPr>
                      </pic:pic>
                    </a:graphicData>
                  </a:graphic>
                </wp:inline>
              </w:drawing>
            </w:r>
          </w:p>
        </w:tc>
        <w:tc>
          <w:tcPr>
            <w:tcW w:w="55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1308"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14</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风机启动变频器</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center"/>
              <w:rPr>
                <w:rFonts w:ascii="宋体" w:hAnsi="宋体" w:eastAsia="宋体" w:cs="宋体"/>
                <w:kern w:val="0"/>
                <w:szCs w:val="21"/>
              </w:rPr>
            </w:pPr>
            <w:r>
              <w:rPr>
                <w:rFonts w:hint="eastAsia" w:ascii="宋体" w:hAnsi="宋体" w:eastAsia="宋体" w:cs="宋体"/>
                <w:kern w:val="0"/>
                <w:szCs w:val="21"/>
              </w:rPr>
              <w:t>22KW</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rPr>
                <w:rFonts w:ascii="宋体" w:hAnsi="宋体" w:eastAsia="宋体" w:cs="宋体"/>
                <w:szCs w:val="21"/>
              </w:rPr>
            </w:pPr>
            <w:r>
              <w:rPr>
                <w:rFonts w:hint="eastAsia" w:ascii="宋体" w:hAnsi="宋体" w:eastAsia="宋体" w:cs="宋体"/>
                <w:szCs w:val="21"/>
              </w:rPr>
              <w:t>集缺相保护，过载保护，过流保护，欠压保护，三相不平衡，漏电保护，过热保护等，启动方式为软启动，启动时无启动电流，可对电机调速。</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szCs w:val="21"/>
              </w:rPr>
              <w:t>变频器接线方便，接线为三进三出，输入电压：380V~440V 50HZ</w:t>
            </w:r>
          </w:p>
        </w:tc>
        <w:tc>
          <w:tcPr>
            <w:tcW w:w="476"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3</w:t>
            </w:r>
          </w:p>
        </w:tc>
        <w:tc>
          <w:tcPr>
            <w:tcW w:w="518"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台</w:t>
            </w:r>
          </w:p>
        </w:tc>
        <w:tc>
          <w:tcPr>
            <w:tcW w:w="111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drawing>
                <wp:inline distT="0" distB="0" distL="0" distR="0">
                  <wp:extent cx="752475" cy="732790"/>
                  <wp:effectExtent l="0" t="0" r="9525" b="0"/>
                  <wp:docPr id="9" name="图片 9" descr="R)AZHPW}~Y0XH{Q%HGH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R)AZHPW}~Y0XH{Q%HGHC)@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752475" cy="732790"/>
                          </a:xfrm>
                          <a:prstGeom prst="rect">
                            <a:avLst/>
                          </a:prstGeom>
                          <a:noFill/>
                          <a:ln>
                            <a:noFill/>
                          </a:ln>
                        </pic:spPr>
                      </pic:pic>
                    </a:graphicData>
                  </a:graphic>
                </wp:inline>
              </w:drawing>
            </w:r>
          </w:p>
        </w:tc>
        <w:tc>
          <w:tcPr>
            <w:tcW w:w="55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p>
        </w:tc>
      </w:tr>
      <w:tr>
        <w:tblPrEx>
          <w:tblCellMar>
            <w:top w:w="0" w:type="dxa"/>
            <w:left w:w="0" w:type="dxa"/>
            <w:bottom w:w="0" w:type="dxa"/>
            <w:right w:w="0" w:type="dxa"/>
          </w:tblCellMar>
        </w:tblPrEx>
        <w:trPr>
          <w:trHeight w:val="890"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15</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双层百叶</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300×300</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szCs w:val="21"/>
              </w:rPr>
              <w:t>材料：铝合金</w:t>
            </w:r>
          </w:p>
        </w:tc>
        <w:tc>
          <w:tcPr>
            <w:tcW w:w="476"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12</w:t>
            </w:r>
          </w:p>
        </w:tc>
        <w:tc>
          <w:tcPr>
            <w:tcW w:w="518"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个</w:t>
            </w:r>
          </w:p>
        </w:tc>
        <w:tc>
          <w:tcPr>
            <w:tcW w:w="111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szCs w:val="21"/>
              </w:rPr>
              <w:drawing>
                <wp:inline distT="0" distB="0" distL="0" distR="0">
                  <wp:extent cx="538480" cy="55118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538480" cy="551180"/>
                          </a:xfrm>
                          <a:prstGeom prst="rect">
                            <a:avLst/>
                          </a:prstGeom>
                          <a:noFill/>
                          <a:ln>
                            <a:noFill/>
                          </a:ln>
                        </pic:spPr>
                      </pic:pic>
                    </a:graphicData>
                  </a:graphic>
                </wp:inline>
              </w:drawing>
            </w:r>
          </w:p>
        </w:tc>
        <w:tc>
          <w:tcPr>
            <w:tcW w:w="55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90" w:hRule="atLeast"/>
          <w:jc w:val="center"/>
        </w:trPr>
        <w:tc>
          <w:tcPr>
            <w:tcW w:w="9197"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textAlignment w:val="center"/>
              <w:rPr>
                <w:rFonts w:ascii="宋体" w:hAnsi="宋体" w:eastAsia="宋体" w:cs="宋体"/>
                <w:kern w:val="0"/>
                <w:szCs w:val="21"/>
              </w:rPr>
            </w:pPr>
            <w:r>
              <w:rPr>
                <w:rFonts w:hint="eastAsia" w:ascii="宋体" w:hAnsi="宋体" w:eastAsia="宋体" w:cs="宋体"/>
                <w:b/>
                <w:bCs/>
                <w:kern w:val="0"/>
                <w:szCs w:val="21"/>
              </w:rPr>
              <w:t>教工餐厅档口：</w:t>
            </w:r>
          </w:p>
        </w:tc>
      </w:tr>
      <w:tr>
        <w:tblPrEx>
          <w:tblCellMar>
            <w:top w:w="0" w:type="dxa"/>
            <w:left w:w="0" w:type="dxa"/>
            <w:bottom w:w="0" w:type="dxa"/>
            <w:right w:w="0" w:type="dxa"/>
          </w:tblCellMar>
        </w:tblPrEx>
        <w:trPr>
          <w:trHeight w:val="289"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净化一体机（明档式）</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2000mm×1000mm×（500+500）mm</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1、材质：优质不锈钢201双面油墨拉丝，国标1.0材质。</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2、电源：三相五线制（380V）</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3、功率：总功率≤1.5kw</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4、结构：设备集烟罩、净化、排风于一体，上下分体堆叠结构，上下层可以独立进行搬运，组装。</w:t>
            </w:r>
          </w:p>
          <w:p>
            <w:pPr>
              <w:pStyle w:val="11"/>
              <w:ind w:left="42" w:leftChars="20" w:right="42" w:rightChars="20"/>
              <w:rPr>
                <w:rFonts w:ascii="宋体" w:hAnsi="宋体" w:eastAsia="宋体" w:cs="宋体"/>
                <w:szCs w:val="21"/>
              </w:rPr>
            </w:pPr>
            <w:r>
              <w:rPr>
                <w:rFonts w:hint="eastAsia" w:ascii="宋体" w:hAnsi="宋体" w:eastAsia="宋体" w:cs="宋体"/>
                <w:kern w:val="0"/>
                <w:szCs w:val="21"/>
              </w:rPr>
              <w:t>5、</w:t>
            </w:r>
            <w:r>
              <w:rPr>
                <w:rFonts w:hint="eastAsia" w:ascii="宋体" w:hAnsi="宋体" w:eastAsia="宋体" w:cs="宋体"/>
                <w:szCs w:val="21"/>
              </w:rPr>
              <w:t>在额定风量下，油烟去除效率≥98%，油烟排放浓度≤0.4mg/m³</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6、噪声≤60分贝</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7、外壳防水等级≥IPX7</w:t>
            </w:r>
          </w:p>
        </w:tc>
        <w:tc>
          <w:tcPr>
            <w:tcW w:w="476"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2</w:t>
            </w:r>
          </w:p>
        </w:tc>
        <w:tc>
          <w:tcPr>
            <w:tcW w:w="518"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台</w:t>
            </w:r>
          </w:p>
        </w:tc>
        <w:tc>
          <w:tcPr>
            <w:tcW w:w="111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bdr w:val="single" w:color="000000" w:sz="4" w:space="0"/>
              </w:rPr>
            </w:pPr>
            <w:r>
              <w:rPr>
                <w:rFonts w:hint="eastAsia" w:ascii="宋体" w:hAnsi="宋体" w:eastAsia="宋体" w:cs="宋体"/>
                <w:szCs w:val="21"/>
              </w:rPr>
              <w:drawing>
                <wp:inline distT="0" distB="0" distL="0" distR="0">
                  <wp:extent cx="589915" cy="330835"/>
                  <wp:effectExtent l="0" t="0" r="635" b="0"/>
                  <wp:docPr id="7" name="图片 7" descr="1624963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24963308(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89915" cy="330835"/>
                          </a:xfrm>
                          <a:prstGeom prst="rect">
                            <a:avLst/>
                          </a:prstGeom>
                          <a:noFill/>
                          <a:ln>
                            <a:noFill/>
                          </a:ln>
                        </pic:spPr>
                      </pic:pic>
                    </a:graphicData>
                  </a:graphic>
                </wp:inline>
              </w:drawing>
            </w:r>
          </w:p>
        </w:tc>
        <w:tc>
          <w:tcPr>
            <w:tcW w:w="55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p>
        </w:tc>
      </w:tr>
      <w:tr>
        <w:tblPrEx>
          <w:tblCellMar>
            <w:top w:w="0" w:type="dxa"/>
            <w:left w:w="0" w:type="dxa"/>
            <w:bottom w:w="0" w:type="dxa"/>
            <w:right w:w="0" w:type="dxa"/>
          </w:tblCellMar>
        </w:tblPrEx>
        <w:trPr>
          <w:trHeight w:val="2157"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pStyle w:val="12"/>
              <w:jc w:val="center"/>
              <w:rPr>
                <w:rFonts w:ascii="宋体" w:hAnsi="宋体" w:cs="宋体"/>
                <w:sz w:val="21"/>
                <w:szCs w:val="21"/>
              </w:rPr>
            </w:pPr>
            <w:r>
              <w:rPr>
                <w:rFonts w:hint="eastAsia" w:ascii="宋体" w:hAnsi="宋体" w:cs="宋体"/>
                <w:sz w:val="21"/>
                <w:szCs w:val="21"/>
              </w:rPr>
              <w:t>2</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电磁煎包炉</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spacing w:after="280"/>
              <w:jc w:val="center"/>
              <w:textAlignment w:val="center"/>
              <w:rPr>
                <w:rFonts w:ascii="宋体" w:hAnsi="宋体" w:eastAsia="宋体" w:cs="宋体"/>
                <w:kern w:val="0"/>
                <w:szCs w:val="21"/>
              </w:rPr>
            </w:pPr>
            <w:r>
              <w:rPr>
                <w:rFonts w:hint="eastAsia" w:ascii="宋体" w:hAnsi="宋体" w:eastAsia="宋体" w:cs="宋体"/>
                <w:szCs w:val="21"/>
              </w:rPr>
              <w:t>800×800×800+30mm</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1、材质：优质SUS304不锈钢板，厚度≥1.25mm，侧板201，厚度≥1.0mm；</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2、功率/电压：≥8KW/380V；                 </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3、显示屏带中文故障原因、显示屏显示用电量、实时显示当前输出功率；                      </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4、配磁控360度旋纽火力调节器；</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5、变频动态定温；                        </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6、常用功能：定时，定温，预约功能；</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7、提供温度记忆菜单≥5种。 </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8、显示屏防尘≥IP6X，防水≥IPX8。                      </w:t>
            </w:r>
          </w:p>
        </w:tc>
        <w:tc>
          <w:tcPr>
            <w:tcW w:w="476"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w:t>
            </w:r>
          </w:p>
        </w:tc>
        <w:tc>
          <w:tcPr>
            <w:tcW w:w="518"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台</w:t>
            </w:r>
          </w:p>
        </w:tc>
        <w:tc>
          <w:tcPr>
            <w:tcW w:w="111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drawing>
                <wp:inline distT="0" distB="0" distL="0" distR="0">
                  <wp:extent cx="726440" cy="791210"/>
                  <wp:effectExtent l="0" t="0" r="0" b="8890"/>
                  <wp:docPr id="6" name="图片 6" descr="1653373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53373815(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726440" cy="791210"/>
                          </a:xfrm>
                          <a:prstGeom prst="rect">
                            <a:avLst/>
                          </a:prstGeom>
                          <a:noFill/>
                          <a:ln>
                            <a:noFill/>
                          </a:ln>
                        </pic:spPr>
                      </pic:pic>
                    </a:graphicData>
                  </a:graphic>
                </wp:inline>
              </w:drawing>
            </w:r>
          </w:p>
        </w:tc>
        <w:tc>
          <w:tcPr>
            <w:tcW w:w="55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p>
        </w:tc>
      </w:tr>
      <w:tr>
        <w:tblPrEx>
          <w:tblCellMar>
            <w:top w:w="0" w:type="dxa"/>
            <w:left w:w="0" w:type="dxa"/>
            <w:bottom w:w="0" w:type="dxa"/>
            <w:right w:w="0" w:type="dxa"/>
          </w:tblCellMar>
        </w:tblPrEx>
        <w:trPr>
          <w:trHeight w:val="1855"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3</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电磁四眼煲仔炉</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szCs w:val="21"/>
              </w:rPr>
              <w:t>800×800×800+30mm</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ind w:left="42" w:leftChars="20" w:right="42" w:rightChars="20"/>
              <w:jc w:val="left"/>
              <w:rPr>
                <w:rFonts w:ascii="宋体" w:hAnsi="宋体" w:eastAsia="宋体" w:cs="宋体"/>
                <w:szCs w:val="21"/>
              </w:rPr>
            </w:pPr>
            <w:r>
              <w:rPr>
                <w:rFonts w:hint="eastAsia" w:ascii="宋体" w:hAnsi="宋体" w:eastAsia="宋体" w:cs="宋体"/>
                <w:szCs w:val="21"/>
              </w:rPr>
              <w:t xml:space="preserve">1、功率≥ 3.5KW×4/380v                    </w:t>
            </w:r>
          </w:p>
          <w:p>
            <w:pPr>
              <w:ind w:left="42" w:leftChars="20" w:right="42" w:rightChars="20"/>
              <w:jc w:val="left"/>
              <w:rPr>
                <w:rFonts w:ascii="宋体" w:hAnsi="宋体" w:eastAsia="宋体" w:cs="宋体"/>
                <w:szCs w:val="21"/>
              </w:rPr>
            </w:pPr>
            <w:r>
              <w:rPr>
                <w:rFonts w:hint="eastAsia" w:ascii="宋体" w:hAnsi="宋体" w:eastAsia="宋体" w:cs="宋体"/>
                <w:szCs w:val="21"/>
              </w:rPr>
              <w:t>2、优质SUS304不锈钢板，实厚</w:t>
            </w:r>
            <w:r>
              <w:rPr>
                <w:rFonts w:hint="eastAsia" w:ascii="宋体" w:hAnsi="宋体" w:eastAsia="宋体" w:cs="宋体"/>
                <w:kern w:val="0"/>
                <w:szCs w:val="21"/>
              </w:rPr>
              <w:t>≥1.25mm</w:t>
            </w:r>
            <w:r>
              <w:rPr>
                <w:rFonts w:hint="eastAsia" w:ascii="宋体" w:hAnsi="宋体" w:eastAsia="宋体" w:cs="宋体"/>
                <w:szCs w:val="21"/>
              </w:rPr>
              <w:t>，侧板201，</w:t>
            </w:r>
            <w:r>
              <w:rPr>
                <w:rFonts w:hint="eastAsia" w:ascii="宋体" w:hAnsi="宋体" w:eastAsia="宋体" w:cs="宋体"/>
                <w:kern w:val="0"/>
                <w:szCs w:val="21"/>
              </w:rPr>
              <w:t>厚度≥1.0mm；</w:t>
            </w:r>
          </w:p>
          <w:p>
            <w:pPr>
              <w:ind w:left="42" w:leftChars="20" w:right="42" w:rightChars="20"/>
              <w:jc w:val="left"/>
              <w:rPr>
                <w:rFonts w:ascii="宋体" w:hAnsi="宋体" w:eastAsia="宋体" w:cs="宋体"/>
                <w:szCs w:val="21"/>
              </w:rPr>
            </w:pPr>
            <w:r>
              <w:rPr>
                <w:rFonts w:hint="eastAsia" w:ascii="宋体" w:hAnsi="宋体" w:eastAsia="宋体" w:cs="宋体"/>
                <w:szCs w:val="21"/>
              </w:rPr>
              <w:t>3、配有磁控旋纽火力调节器；</w:t>
            </w:r>
          </w:p>
          <w:p>
            <w:pPr>
              <w:ind w:left="42" w:leftChars="20" w:right="42" w:rightChars="20"/>
              <w:jc w:val="left"/>
              <w:rPr>
                <w:rFonts w:ascii="宋体" w:hAnsi="宋体" w:eastAsia="宋体" w:cs="宋体"/>
                <w:szCs w:val="21"/>
              </w:rPr>
            </w:pPr>
            <w:r>
              <w:rPr>
                <w:rFonts w:hint="eastAsia" w:ascii="宋体" w:hAnsi="宋体" w:eastAsia="宋体" w:cs="宋体"/>
                <w:szCs w:val="21"/>
              </w:rPr>
              <w:t>4、带定时功能；</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szCs w:val="21"/>
              </w:rPr>
              <w:t>5、带4个时间记忆快捷键，可以通过编程方式分别定义4个时间记忆快捷键                              6、前、后、左、右、上、下  六个面电磁场幅射报告皆低于8%。</w:t>
            </w:r>
          </w:p>
        </w:tc>
        <w:tc>
          <w:tcPr>
            <w:tcW w:w="476"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2</w:t>
            </w:r>
          </w:p>
        </w:tc>
        <w:tc>
          <w:tcPr>
            <w:tcW w:w="518"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台</w:t>
            </w:r>
          </w:p>
        </w:tc>
        <w:tc>
          <w:tcPr>
            <w:tcW w:w="111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drawing>
                <wp:inline distT="0" distB="0" distL="0" distR="0">
                  <wp:extent cx="661670" cy="583565"/>
                  <wp:effectExtent l="0" t="0" r="5080" b="6985"/>
                  <wp:docPr id="5" name="图片 5" descr="1624524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24524495(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661670" cy="583565"/>
                          </a:xfrm>
                          <a:prstGeom prst="rect">
                            <a:avLst/>
                          </a:prstGeom>
                          <a:noFill/>
                          <a:ln>
                            <a:noFill/>
                          </a:ln>
                        </pic:spPr>
                      </pic:pic>
                    </a:graphicData>
                  </a:graphic>
                </wp:inline>
              </w:drawing>
            </w:r>
          </w:p>
        </w:tc>
        <w:tc>
          <w:tcPr>
            <w:tcW w:w="55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p>
        </w:tc>
      </w:tr>
      <w:tr>
        <w:tblPrEx>
          <w:tblCellMar>
            <w:top w:w="0" w:type="dxa"/>
            <w:left w:w="0" w:type="dxa"/>
            <w:bottom w:w="0" w:type="dxa"/>
            <w:right w:w="0" w:type="dxa"/>
          </w:tblCellMar>
        </w:tblPrEx>
        <w:trPr>
          <w:trHeight w:val="1265"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4</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排烟风管</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center"/>
              <w:rPr>
                <w:rFonts w:ascii="宋体" w:hAnsi="宋体" w:eastAsia="宋体" w:cs="宋体"/>
                <w:kern w:val="0"/>
                <w:szCs w:val="21"/>
              </w:rPr>
            </w:pPr>
            <w:r>
              <w:rPr>
                <w:rFonts w:hint="eastAsia" w:ascii="宋体" w:hAnsi="宋体" w:eastAsia="宋体" w:cs="宋体"/>
                <w:kern w:val="0"/>
                <w:szCs w:val="21"/>
              </w:rPr>
              <w:t>/</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ind w:left="42" w:leftChars="20" w:right="42" w:rightChars="20"/>
              <w:jc w:val="left"/>
              <w:rPr>
                <w:rFonts w:ascii="宋体" w:hAnsi="宋体" w:eastAsia="宋体" w:cs="宋体"/>
                <w:szCs w:val="21"/>
              </w:rPr>
            </w:pPr>
            <w:r>
              <w:rPr>
                <w:rFonts w:hint="eastAsia" w:ascii="宋体" w:hAnsi="宋体" w:eastAsia="宋体" w:cs="宋体"/>
                <w:szCs w:val="21"/>
              </w:rPr>
              <w:t>1、优质不锈钢板制作，板面五筋加强、阻燃密封处理；</w:t>
            </w:r>
          </w:p>
          <w:p>
            <w:pPr>
              <w:ind w:left="42" w:leftChars="20" w:right="42" w:rightChars="20"/>
              <w:jc w:val="left"/>
              <w:rPr>
                <w:rFonts w:ascii="宋体" w:hAnsi="宋体" w:eastAsia="宋体" w:cs="宋体"/>
                <w:szCs w:val="21"/>
              </w:rPr>
            </w:pPr>
            <w:r>
              <w:rPr>
                <w:rFonts w:hint="eastAsia" w:ascii="宋体" w:hAnsi="宋体" w:eastAsia="宋体" w:cs="宋体"/>
                <w:szCs w:val="21"/>
              </w:rPr>
              <w:t>2、板厚</w:t>
            </w:r>
            <w:r>
              <w:rPr>
                <w:rFonts w:hint="eastAsia" w:ascii="宋体" w:hAnsi="宋体" w:eastAsia="宋体" w:cs="宋体"/>
                <w:kern w:val="0"/>
                <w:szCs w:val="21"/>
              </w:rPr>
              <w:t>≥1.0mm</w:t>
            </w:r>
            <w:r>
              <w:rPr>
                <w:rFonts w:hint="eastAsia" w:ascii="宋体" w:hAnsi="宋体" w:eastAsia="宋体" w:cs="宋体"/>
                <w:szCs w:val="21"/>
              </w:rPr>
              <w:t>，配不锈钢法兰连接，确保长期不漏油；</w:t>
            </w:r>
          </w:p>
          <w:p>
            <w:pPr>
              <w:ind w:left="42" w:leftChars="20" w:right="42" w:rightChars="20"/>
              <w:jc w:val="left"/>
              <w:rPr>
                <w:rFonts w:ascii="宋体" w:hAnsi="宋体" w:eastAsia="宋体" w:cs="宋体"/>
                <w:szCs w:val="21"/>
              </w:rPr>
            </w:pPr>
            <w:r>
              <w:rPr>
                <w:rFonts w:hint="eastAsia" w:ascii="宋体" w:hAnsi="宋体" w:eastAsia="宋体" w:cs="宋体"/>
                <w:szCs w:val="21"/>
              </w:rPr>
              <w:t>3、变径、大小口等异形风管按照安装图纸展开面积1：2计算。</w:t>
            </w:r>
          </w:p>
        </w:tc>
        <w:tc>
          <w:tcPr>
            <w:tcW w:w="476"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50</w:t>
            </w:r>
          </w:p>
        </w:tc>
        <w:tc>
          <w:tcPr>
            <w:tcW w:w="518"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w:t>
            </w:r>
          </w:p>
        </w:tc>
        <w:tc>
          <w:tcPr>
            <w:tcW w:w="111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drawing>
                <wp:inline distT="0" distB="0" distL="0" distR="0">
                  <wp:extent cx="512445" cy="506095"/>
                  <wp:effectExtent l="0" t="0" r="1905" b="8255"/>
                  <wp:docPr id="2" name="图片 2" descr="风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风管"/>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512445" cy="506095"/>
                          </a:xfrm>
                          <a:prstGeom prst="rect">
                            <a:avLst/>
                          </a:prstGeom>
                          <a:noFill/>
                          <a:ln>
                            <a:noFill/>
                          </a:ln>
                        </pic:spPr>
                      </pic:pic>
                    </a:graphicData>
                  </a:graphic>
                </wp:inline>
              </w:drawing>
            </w:r>
          </w:p>
        </w:tc>
        <w:tc>
          <w:tcPr>
            <w:tcW w:w="55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厂制品</w:t>
            </w:r>
          </w:p>
        </w:tc>
      </w:tr>
      <w:tr>
        <w:trPr>
          <w:trHeight w:val="90" w:hRule="atLeast"/>
          <w:jc w:val="center"/>
        </w:trPr>
        <w:tc>
          <w:tcPr>
            <w:tcW w:w="9197" w:type="dxa"/>
            <w:gridSpan w:val="8"/>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b/>
                <w:bCs/>
                <w:kern w:val="0"/>
                <w:szCs w:val="21"/>
              </w:rPr>
              <w:t>回收、清洗系统：</w:t>
            </w:r>
          </w:p>
        </w:tc>
      </w:tr>
      <w:tr>
        <w:tblPrEx>
          <w:tblCellMar>
            <w:top w:w="0" w:type="dxa"/>
            <w:left w:w="0" w:type="dxa"/>
            <w:bottom w:w="0" w:type="dxa"/>
            <w:right w:w="0" w:type="dxa"/>
          </w:tblCellMar>
        </w:tblPrEx>
        <w:trPr>
          <w:trHeight w:val="992"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小件投掷柜</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约8400×350×880</w:t>
            </w:r>
          </w:p>
          <w:p>
            <w:pPr>
              <w:widowControl/>
              <w:jc w:val="center"/>
              <w:textAlignment w:val="center"/>
              <w:rPr>
                <w:rFonts w:ascii="宋体" w:hAnsi="宋体" w:eastAsia="宋体" w:cs="宋体"/>
                <w:kern w:val="0"/>
                <w:szCs w:val="21"/>
              </w:rPr>
            </w:pPr>
            <w:r>
              <w:rPr>
                <w:rFonts w:hint="eastAsia" w:ascii="宋体" w:hAnsi="宋体" w:eastAsia="宋体" w:cs="宋体"/>
                <w:szCs w:val="21"/>
              </w:rPr>
              <w:t>（中标后根据现场实际要求制作相应尺寸。）</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304不锈钢板制造，厚度≥1.2mm，采用双开门设计，投放口带导向边，方便操作。                                                                        </w:t>
            </w:r>
          </w:p>
        </w:tc>
        <w:tc>
          <w:tcPr>
            <w:tcW w:w="476"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1</w:t>
            </w:r>
          </w:p>
        </w:tc>
        <w:tc>
          <w:tcPr>
            <w:tcW w:w="518"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组</w:t>
            </w:r>
          </w:p>
        </w:tc>
        <w:tc>
          <w:tcPr>
            <w:tcW w:w="111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drawing>
                <wp:inline distT="0" distB="0" distL="0" distR="0">
                  <wp:extent cx="711200" cy="501650"/>
                  <wp:effectExtent l="0" t="0" r="0" b="0"/>
                  <wp:docPr id="92" name="图片 92" descr="小件投掷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小件投掷柜.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711200" cy="501650"/>
                          </a:xfrm>
                          <a:prstGeom prst="rect">
                            <a:avLst/>
                          </a:prstGeom>
                          <a:noFill/>
                          <a:ln>
                            <a:noFill/>
                          </a:ln>
                        </pic:spPr>
                      </pic:pic>
                    </a:graphicData>
                  </a:graphic>
                </wp:inline>
              </w:drawing>
            </w:r>
          </w:p>
        </w:tc>
        <w:tc>
          <w:tcPr>
            <w:tcW w:w="55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3660"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w:t>
            </w:r>
          </w:p>
        </w:tc>
        <w:tc>
          <w:tcPr>
            <w:tcW w:w="1341" w:type="dxa"/>
            <w:tcBorders>
              <w:top w:val="single" w:color="000000" w:sz="4" w:space="0"/>
              <w:left w:val="single" w:color="000000" w:sz="4" w:space="0"/>
              <w:bottom w:val="single" w:color="000000" w:sz="4" w:space="0"/>
              <w:right w:val="single" w:color="auto"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圆带式餐盘传送机</w:t>
            </w:r>
          </w:p>
        </w:tc>
        <w:tc>
          <w:tcPr>
            <w:tcW w:w="1288" w:type="dxa"/>
            <w:tcBorders>
              <w:top w:val="single" w:color="000000" w:sz="4" w:space="0"/>
              <w:left w:val="single" w:color="auto" w:sz="4" w:space="0"/>
              <w:bottom w:val="single" w:color="000000" w:sz="4" w:space="0"/>
              <w:right w:val="single" w:color="000000" w:sz="4" w:space="0"/>
            </w:tcBorders>
            <w:shd w:val="clear" w:color="auto" w:fill="auto"/>
            <w:tcMar>
              <w:top w:w="8" w:type="dxa"/>
              <w:left w:w="8" w:type="dxa"/>
              <w:right w:w="8" w:type="dxa"/>
            </w:tcMar>
            <w:vAlign w:val="center"/>
          </w:tcPr>
          <w:p>
            <w:pPr>
              <w:widowControl/>
              <w:jc w:val="left"/>
              <w:textAlignment w:val="center"/>
              <w:rPr>
                <w:rFonts w:ascii="宋体" w:hAnsi="宋体" w:eastAsia="宋体" w:cs="宋体"/>
                <w:kern w:val="0"/>
                <w:szCs w:val="21"/>
              </w:rPr>
            </w:pPr>
            <w:r>
              <w:rPr>
                <w:rFonts w:hint="eastAsia" w:ascii="宋体" w:hAnsi="宋体" w:eastAsia="宋体" w:cs="宋体"/>
                <w:kern w:val="0"/>
                <w:szCs w:val="21"/>
              </w:rPr>
              <w:t>约128</w:t>
            </w:r>
            <w:r>
              <w:rPr>
                <w:rFonts w:ascii="宋体" w:hAnsi="宋体" w:eastAsia="宋体" w:cs="宋体"/>
                <w:kern w:val="0"/>
                <w:szCs w:val="21"/>
              </w:rPr>
              <w:t>0</w:t>
            </w:r>
            <w:r>
              <w:rPr>
                <w:rFonts w:hint="eastAsia" w:ascii="宋体" w:hAnsi="宋体" w:eastAsia="宋体" w:cs="宋体"/>
                <w:kern w:val="0"/>
                <w:szCs w:val="21"/>
              </w:rPr>
              <w:t>0×480×880mm</w:t>
            </w:r>
          </w:p>
          <w:p>
            <w:pPr>
              <w:widowControl/>
              <w:jc w:val="center"/>
              <w:textAlignment w:val="center"/>
              <w:rPr>
                <w:rFonts w:ascii="宋体" w:hAnsi="宋体" w:eastAsia="宋体" w:cs="宋体"/>
                <w:kern w:val="0"/>
                <w:szCs w:val="21"/>
              </w:rPr>
            </w:pPr>
            <w:r>
              <w:rPr>
                <w:rFonts w:hint="eastAsia" w:ascii="宋体" w:hAnsi="宋体" w:eastAsia="宋体" w:cs="宋体"/>
                <w:szCs w:val="21"/>
              </w:rPr>
              <w:t>（中标后根据现场实际要求制作相应尺寸）</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1、要求通过圆带传送餐具，与自动除渣分拣机配套使用，达到高效省时省力效果。</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2、220V/1Ph，总功率：≥1KW 。   </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▲3、传送速度：5～20m/min。</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4、两条平行的圆带通过PP驱动轮带动平底托盘在不锈钢台面滑动，平底托盘直线、水平转弯以及带爬坡传送设计，传送过程无噪音。</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5、配置φ18mm聚氨酯圆带，内嵌加强芯，拉断力≥3000N。</w:t>
            </w:r>
          </w:p>
          <w:p>
            <w:pPr>
              <w:ind w:left="42" w:leftChars="20" w:right="42" w:rightChars="20"/>
              <w:rPr>
                <w:rFonts w:ascii="宋体" w:hAnsi="宋体" w:eastAsia="宋体" w:cs="宋体"/>
                <w:kern w:val="0"/>
                <w:szCs w:val="21"/>
              </w:rPr>
            </w:pPr>
            <w:r>
              <w:rPr>
                <w:rFonts w:hint="eastAsia" w:ascii="宋体" w:hAnsi="宋体" w:eastAsia="宋体" w:cs="宋体"/>
                <w:kern w:val="0"/>
                <w:szCs w:val="21"/>
              </w:rPr>
              <w:t xml:space="preserve">▲6、内置双驱减速电机和变频器，具有无极变频调速，柔性启动功能。                                                    </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7、不锈钢材质托盘导向护边，台面内置残渣篮，清洁方便。</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8、实时数显传送速度，外置调速电位器，能承受≥10000次的工作循环次数。</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9、操作面板上配置总电源开关、启动开关、停止开关和急停开关。                                             </w:t>
            </w:r>
          </w:p>
        </w:tc>
        <w:tc>
          <w:tcPr>
            <w:tcW w:w="476"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szCs w:val="21"/>
              </w:rPr>
              <w:t>条</w:t>
            </w:r>
          </w:p>
        </w:tc>
        <w:tc>
          <w:tcPr>
            <w:tcW w:w="111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drawing>
                <wp:inline distT="0" distB="0" distL="0" distR="0">
                  <wp:extent cx="692150" cy="1403350"/>
                  <wp:effectExtent l="0" t="0" r="0" b="6350"/>
                  <wp:docPr id="91" name="图片 91" descr="17-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17-167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692150" cy="1403350"/>
                          </a:xfrm>
                          <a:prstGeom prst="rect">
                            <a:avLst/>
                          </a:prstGeom>
                          <a:noFill/>
                          <a:ln>
                            <a:noFill/>
                          </a:ln>
                        </pic:spPr>
                      </pic:pic>
                    </a:graphicData>
                  </a:graphic>
                </wp:inline>
              </w:drawing>
            </w:r>
          </w:p>
        </w:tc>
        <w:tc>
          <w:tcPr>
            <w:tcW w:w="55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p>
        </w:tc>
      </w:tr>
      <w:tr>
        <w:tblPrEx>
          <w:tblCellMar>
            <w:top w:w="0" w:type="dxa"/>
            <w:left w:w="0" w:type="dxa"/>
            <w:bottom w:w="0" w:type="dxa"/>
            <w:right w:w="0" w:type="dxa"/>
          </w:tblCellMar>
        </w:tblPrEx>
        <w:trPr>
          <w:trHeight w:val="2826"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自动除渣分拣机</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约33</w:t>
            </w:r>
            <w:r>
              <w:rPr>
                <w:rFonts w:ascii="宋体" w:hAnsi="宋体" w:eastAsia="宋体" w:cs="宋体"/>
                <w:kern w:val="0"/>
                <w:szCs w:val="21"/>
              </w:rPr>
              <w:t>00</w:t>
            </w:r>
            <w:r>
              <w:rPr>
                <w:rFonts w:hint="eastAsia" w:ascii="宋体" w:hAnsi="宋体" w:eastAsia="宋体" w:cs="宋体"/>
                <w:kern w:val="0"/>
                <w:szCs w:val="21"/>
              </w:rPr>
              <w:t>×2100×1800mm（</w:t>
            </w:r>
            <w:r>
              <w:rPr>
                <w:rFonts w:hint="eastAsia" w:ascii="宋体" w:hAnsi="宋体" w:eastAsia="宋体" w:cs="宋体"/>
                <w:szCs w:val="21"/>
              </w:rPr>
              <w:t>中标后根据现场实际要求制作相应尺寸）</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1、要求同时具备除渣和分拣餐具功能。 </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2、380V/50Hz/3PH ，总功率：≤20KW。</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3、最大处理能力≥2000套/小时。</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4、具备分拣平底托盘、碟和碗的功能。</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5、具有自动将碗碟从托盘上分离的功能，使碗碟和托盘从不同的出口输送至清洗设备，碗碟直径≤300mm，碗碟高度≤120mm。  </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6、自动去除托盘及餐具中的食物残渣。</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7、要求双层结构设计，减少热量损失，同时降低噪音。</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8、光电感应自动检测传送圆带，要求可无级变频调速，具有柔性启动功能，传送速度为5～20米/分钟。</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9、设备进出口端与传送系统无缝衔接，实现自动化。  </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10、整机防护等级达到≥IP46</w:t>
            </w:r>
          </w:p>
        </w:tc>
        <w:tc>
          <w:tcPr>
            <w:tcW w:w="476"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台</w:t>
            </w:r>
          </w:p>
        </w:tc>
        <w:tc>
          <w:tcPr>
            <w:tcW w:w="111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drawing>
                <wp:inline distT="0" distB="0" distL="0" distR="0">
                  <wp:extent cx="774700" cy="768350"/>
                  <wp:effectExtent l="0" t="0" r="635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774700" cy="768350"/>
                          </a:xfrm>
                          <a:prstGeom prst="rect">
                            <a:avLst/>
                          </a:prstGeom>
                          <a:noFill/>
                          <a:ln>
                            <a:noFill/>
                          </a:ln>
                        </pic:spPr>
                      </pic:pic>
                    </a:graphicData>
                  </a:graphic>
                </wp:inline>
              </w:drawing>
            </w:r>
          </w:p>
        </w:tc>
        <w:tc>
          <w:tcPr>
            <w:tcW w:w="55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p>
        </w:tc>
      </w:tr>
      <w:tr>
        <w:tblPrEx>
          <w:tblCellMar>
            <w:top w:w="0" w:type="dxa"/>
            <w:left w:w="0" w:type="dxa"/>
            <w:bottom w:w="0" w:type="dxa"/>
            <w:right w:w="0" w:type="dxa"/>
          </w:tblCellMar>
        </w:tblPrEx>
        <w:trPr>
          <w:trHeight w:val="620"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4</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食物残渣减量机</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约1680×700×14</w:t>
            </w:r>
            <w:r>
              <w:rPr>
                <w:rFonts w:ascii="宋体" w:hAnsi="宋体" w:eastAsia="宋体" w:cs="宋体"/>
                <w:kern w:val="0"/>
                <w:szCs w:val="21"/>
              </w:rPr>
              <w:t>00</w:t>
            </w:r>
            <w:r>
              <w:rPr>
                <w:rFonts w:hint="eastAsia" w:ascii="宋体" w:hAnsi="宋体" w:eastAsia="宋体" w:cs="宋体"/>
                <w:kern w:val="0"/>
                <w:szCs w:val="21"/>
              </w:rPr>
              <w:t>mm（</w:t>
            </w:r>
            <w:r>
              <w:rPr>
                <w:rFonts w:hint="eastAsia" w:ascii="宋体" w:hAnsi="宋体" w:eastAsia="宋体" w:cs="宋体"/>
                <w:szCs w:val="21"/>
              </w:rPr>
              <w:t>中标后根据现场实际要求制作相应尺寸）</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1、产品功能：将食物残渣减量化处理。                                                                </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▲2、残渣处理能力：≥400Kg/h 。 </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3、总功率：≥2KW。</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4、与自动除渣分拣机实现无缝对接，集成控制。</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5、噪音要求：运行噪音≤62dB，</w:t>
            </w:r>
          </w:p>
        </w:tc>
        <w:tc>
          <w:tcPr>
            <w:tcW w:w="476"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台</w:t>
            </w:r>
          </w:p>
        </w:tc>
        <w:tc>
          <w:tcPr>
            <w:tcW w:w="111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drawing>
                <wp:inline distT="0" distB="0" distL="0" distR="0">
                  <wp:extent cx="486410" cy="492760"/>
                  <wp:effectExtent l="90805" t="73025" r="108585" b="120015"/>
                  <wp:docPr id="315" name="图片 315" descr="微信图片_20200426195640.jpg"/>
                  <wp:cNvGraphicFramePr/>
                  <a:graphic xmlns:a="http://schemas.openxmlformats.org/drawingml/2006/main">
                    <a:graphicData uri="http://schemas.openxmlformats.org/drawingml/2006/picture">
                      <pic:pic xmlns:pic="http://schemas.openxmlformats.org/drawingml/2006/picture">
                        <pic:nvPicPr>
                          <pic:cNvPr id="315" name="图片 315" descr="微信图片_20200426195640.jpg"/>
                          <pic:cNvPicPr/>
                        </pic:nvPicPr>
                        <pic:blipFill>
                          <a:blip r:embed="rId77" cstate="print"/>
                          <a:srcRect/>
                          <a:stretch>
                            <a:fillRect/>
                          </a:stretch>
                        </pic:blipFill>
                        <pic:spPr>
                          <a:xfrm>
                            <a:off x="0" y="0"/>
                            <a:ext cx="486410" cy="49276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5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p>
        </w:tc>
      </w:tr>
      <w:tr>
        <w:tblPrEx>
          <w:tblCellMar>
            <w:top w:w="0" w:type="dxa"/>
            <w:left w:w="0" w:type="dxa"/>
            <w:bottom w:w="0" w:type="dxa"/>
            <w:right w:w="0" w:type="dxa"/>
          </w:tblCellMar>
        </w:tblPrEx>
        <w:trPr>
          <w:trHeight w:val="3051"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5</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托盘清洗机</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约7400×580×19</w:t>
            </w:r>
            <w:r>
              <w:rPr>
                <w:rFonts w:ascii="宋体" w:hAnsi="宋体" w:eastAsia="宋体" w:cs="宋体"/>
                <w:kern w:val="0"/>
                <w:szCs w:val="21"/>
              </w:rPr>
              <w:t>00</w:t>
            </w:r>
            <w:r>
              <w:rPr>
                <w:rFonts w:hint="eastAsia" w:ascii="宋体" w:hAnsi="宋体" w:eastAsia="宋体" w:cs="宋体"/>
                <w:kern w:val="0"/>
                <w:szCs w:val="21"/>
              </w:rPr>
              <w:t>mm（</w:t>
            </w:r>
            <w:r>
              <w:rPr>
                <w:rFonts w:hint="eastAsia" w:ascii="宋体" w:hAnsi="宋体" w:eastAsia="宋体" w:cs="宋体"/>
                <w:szCs w:val="21"/>
              </w:rPr>
              <w:t>中标后根据现场实际要求制作相应尺寸）</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1、通过圆带自动传送平底托盘，对托盘进行洗涤、喷淋和烘干等功能。</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2、380V/50Hz ，总功率：≤28KW。</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3、洗涤能力≥2000个/小时。</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4、通过食品级φ18mm聚安酯圆带传送托盘，圆带内嵌加强芯，拉伸强度≥3000N。</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5、要求可无极变频调速，柔性启动功能，传送速度为5～20米/分钟。                                            6、可视化电子面板，实时显示机器工作状态。</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7、要求双层结构设计，减少热量损失，同时降低噪音。 </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8、采用智能控制系统。</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9、要求内置双风刀模块，彻底去除托盘上的水珠，确保良好的干燥效果。</w:t>
            </w:r>
          </w:p>
          <w:p>
            <w:pPr>
              <w:widowControl/>
              <w:ind w:right="42" w:rightChars="20"/>
              <w:jc w:val="left"/>
              <w:textAlignment w:val="center"/>
              <w:rPr>
                <w:rFonts w:ascii="宋体" w:hAnsi="宋体" w:eastAsia="宋体" w:cs="宋体"/>
                <w:kern w:val="0"/>
                <w:szCs w:val="21"/>
              </w:rPr>
            </w:pPr>
            <w:r>
              <w:rPr>
                <w:rFonts w:hint="eastAsia" w:ascii="宋体" w:hAnsi="宋体" w:eastAsia="宋体" w:cs="宋体"/>
                <w:kern w:val="0"/>
                <w:szCs w:val="21"/>
              </w:rPr>
              <w:t xml:space="preserve">10、整机防护等级达到≥IP46                                                                           </w:t>
            </w:r>
          </w:p>
        </w:tc>
        <w:tc>
          <w:tcPr>
            <w:tcW w:w="476"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台</w:t>
            </w:r>
          </w:p>
        </w:tc>
        <w:tc>
          <w:tcPr>
            <w:tcW w:w="111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drawing>
                <wp:inline distT="0" distB="0" distL="0" distR="0">
                  <wp:extent cx="838200" cy="508000"/>
                  <wp:effectExtent l="0" t="0" r="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838200" cy="508000"/>
                          </a:xfrm>
                          <a:prstGeom prst="rect">
                            <a:avLst/>
                          </a:prstGeom>
                          <a:noFill/>
                          <a:ln>
                            <a:noFill/>
                          </a:ln>
                        </pic:spPr>
                      </pic:pic>
                    </a:graphicData>
                  </a:graphic>
                </wp:inline>
              </w:drawing>
            </w:r>
          </w:p>
        </w:tc>
        <w:tc>
          <w:tcPr>
            <w:tcW w:w="55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p>
        </w:tc>
      </w:tr>
      <w:tr>
        <w:tblPrEx>
          <w:tblCellMar>
            <w:top w:w="0" w:type="dxa"/>
            <w:left w:w="0" w:type="dxa"/>
            <w:bottom w:w="0" w:type="dxa"/>
            <w:right w:w="0" w:type="dxa"/>
          </w:tblCellMar>
        </w:tblPrEx>
        <w:trPr>
          <w:trHeight w:val="1683"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7</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升降托盘车</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jc w:val="center"/>
              <w:rPr>
                <w:rFonts w:ascii="宋体" w:hAnsi="宋体" w:eastAsia="宋体" w:cs="宋体"/>
                <w:szCs w:val="21"/>
              </w:rPr>
            </w:pPr>
            <w:r>
              <w:rPr>
                <w:rFonts w:hint="eastAsia" w:ascii="宋体" w:hAnsi="宋体" w:eastAsia="宋体" w:cs="宋体"/>
                <w:szCs w:val="21"/>
              </w:rPr>
              <w:t>600×440×950mm</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ind w:left="42" w:leftChars="20" w:right="42" w:rightChars="20"/>
              <w:jc w:val="left"/>
              <w:rPr>
                <w:rFonts w:ascii="宋体" w:hAnsi="宋体" w:eastAsia="宋体" w:cs="宋体"/>
                <w:szCs w:val="21"/>
              </w:rPr>
            </w:pPr>
            <w:r>
              <w:rPr>
                <w:rFonts w:hint="eastAsia" w:ascii="宋体" w:hAnsi="宋体" w:eastAsia="宋体" w:cs="宋体"/>
                <w:szCs w:val="21"/>
              </w:rPr>
              <w:t>1、带自动升降功能，可和托盘传送系统或托盘清洗机组合使用；</w:t>
            </w:r>
          </w:p>
          <w:p>
            <w:pPr>
              <w:ind w:left="42" w:leftChars="20" w:right="42" w:rightChars="20"/>
              <w:jc w:val="left"/>
              <w:rPr>
                <w:rFonts w:ascii="宋体" w:hAnsi="宋体" w:eastAsia="宋体" w:cs="宋体"/>
                <w:szCs w:val="21"/>
              </w:rPr>
            </w:pPr>
            <w:r>
              <w:rPr>
                <w:rFonts w:hint="eastAsia" w:ascii="宋体" w:hAnsi="宋体" w:eastAsia="宋体" w:cs="宋体"/>
                <w:szCs w:val="21"/>
              </w:rPr>
              <w:t>2、最大载重量：≥50Kg；</w:t>
            </w:r>
          </w:p>
          <w:p>
            <w:pPr>
              <w:ind w:left="42" w:leftChars="20" w:right="42" w:rightChars="20"/>
              <w:jc w:val="left"/>
              <w:rPr>
                <w:rFonts w:ascii="宋体" w:hAnsi="宋体" w:eastAsia="宋体" w:cs="宋体"/>
                <w:szCs w:val="21"/>
              </w:rPr>
            </w:pPr>
            <w:r>
              <w:rPr>
                <w:rFonts w:hint="eastAsia" w:ascii="宋体" w:hAnsi="宋体" w:eastAsia="宋体" w:cs="宋体"/>
                <w:szCs w:val="21"/>
              </w:rPr>
              <w:t>3、可放50个托盘；</w:t>
            </w:r>
          </w:p>
          <w:p>
            <w:pPr>
              <w:ind w:left="42" w:leftChars="20" w:right="42" w:rightChars="20"/>
              <w:jc w:val="left"/>
              <w:rPr>
                <w:rFonts w:ascii="宋体" w:hAnsi="宋体" w:eastAsia="宋体" w:cs="宋体"/>
                <w:szCs w:val="21"/>
              </w:rPr>
            </w:pPr>
            <w:r>
              <w:rPr>
                <w:rFonts w:hint="eastAsia" w:ascii="宋体" w:hAnsi="宋体" w:eastAsia="宋体" w:cs="宋体"/>
                <w:szCs w:val="21"/>
              </w:rPr>
              <w:t>4、SUS304不锈钢制作，托盘架材质厚度</w:t>
            </w:r>
            <w:r>
              <w:rPr>
                <w:rFonts w:hint="eastAsia" w:ascii="宋体" w:hAnsi="宋体" w:eastAsia="宋体" w:cs="宋体"/>
                <w:kern w:val="0"/>
                <w:szCs w:val="21"/>
              </w:rPr>
              <w:t>≥</w:t>
            </w:r>
            <w:r>
              <w:rPr>
                <w:rFonts w:hint="eastAsia" w:ascii="宋体" w:hAnsi="宋体" w:eastAsia="宋体" w:cs="宋体"/>
                <w:szCs w:val="21"/>
              </w:rPr>
              <w:t>2.0mm，其它部分材质</w:t>
            </w:r>
            <w:r>
              <w:rPr>
                <w:rFonts w:hint="eastAsia" w:ascii="宋体" w:hAnsi="宋体" w:eastAsia="宋体" w:cs="宋体"/>
                <w:kern w:val="0"/>
                <w:szCs w:val="21"/>
              </w:rPr>
              <w:t>≥</w:t>
            </w:r>
            <w:r>
              <w:rPr>
                <w:rFonts w:hint="eastAsia" w:ascii="宋体" w:hAnsi="宋体" w:eastAsia="宋体" w:cs="宋体"/>
                <w:szCs w:val="21"/>
              </w:rPr>
              <w:t>1.5mm；</w:t>
            </w:r>
          </w:p>
          <w:p>
            <w:pPr>
              <w:ind w:left="42" w:leftChars="20" w:right="42" w:rightChars="20"/>
              <w:jc w:val="left"/>
              <w:rPr>
                <w:rFonts w:ascii="宋体" w:hAnsi="宋体" w:eastAsia="宋体" w:cs="宋体"/>
                <w:szCs w:val="21"/>
              </w:rPr>
            </w:pPr>
            <w:r>
              <w:rPr>
                <w:rFonts w:hint="eastAsia" w:ascii="宋体" w:hAnsi="宋体" w:eastAsia="宋体" w:cs="宋体"/>
                <w:szCs w:val="21"/>
              </w:rPr>
              <w:t>5、配置高品质活动脚轮，带刹车锁定功能；</w:t>
            </w:r>
          </w:p>
          <w:p>
            <w:pPr>
              <w:ind w:left="42" w:leftChars="20" w:right="42" w:rightChars="20"/>
              <w:jc w:val="left"/>
              <w:rPr>
                <w:rFonts w:ascii="宋体" w:hAnsi="宋体" w:eastAsia="宋体" w:cs="宋体"/>
                <w:szCs w:val="21"/>
              </w:rPr>
            </w:pPr>
            <w:r>
              <w:rPr>
                <w:rFonts w:hint="eastAsia" w:ascii="宋体" w:hAnsi="宋体" w:eastAsia="宋体" w:cs="宋体"/>
                <w:szCs w:val="21"/>
              </w:rPr>
              <w:t>6、机体表面圆滑，过渡无任何尖锐菱角。</w:t>
            </w:r>
          </w:p>
        </w:tc>
        <w:tc>
          <w:tcPr>
            <w:tcW w:w="476"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szCs w:val="21"/>
              </w:rPr>
              <w:t>4</w:t>
            </w:r>
          </w:p>
        </w:tc>
        <w:tc>
          <w:tcPr>
            <w:tcW w:w="518"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台</w:t>
            </w:r>
          </w:p>
        </w:tc>
        <w:tc>
          <w:tcPr>
            <w:tcW w:w="111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drawing>
                <wp:inline distT="0" distB="0" distL="0" distR="0">
                  <wp:extent cx="800100" cy="660400"/>
                  <wp:effectExtent l="0" t="0" r="0" b="6350"/>
                  <wp:docPr id="88" name="图片 88" descr="45-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45-1836.jpg"/>
                          <pic:cNvPicPr>
                            <a:picLocks noChangeAspect="1" noChangeArrowheads="1"/>
                          </pic:cNvPicPr>
                        </pic:nvPicPr>
                        <pic:blipFill>
                          <a:blip r:embed="rId79" cstate="print">
                            <a:extLst>
                              <a:ext uri="{28A0092B-C50C-407E-A947-70E740481C1C}">
                                <a14:useLocalDpi xmlns:a14="http://schemas.microsoft.com/office/drawing/2010/main" val="0"/>
                              </a:ext>
                            </a:extLst>
                          </a:blip>
                          <a:srcRect l="15903" r="18974"/>
                          <a:stretch>
                            <a:fillRect/>
                          </a:stretch>
                        </pic:blipFill>
                        <pic:spPr>
                          <a:xfrm>
                            <a:off x="0" y="0"/>
                            <a:ext cx="800100" cy="660400"/>
                          </a:xfrm>
                          <a:prstGeom prst="rect">
                            <a:avLst/>
                          </a:prstGeom>
                          <a:noFill/>
                          <a:ln>
                            <a:noFill/>
                          </a:ln>
                        </pic:spPr>
                      </pic:pic>
                    </a:graphicData>
                  </a:graphic>
                </wp:inline>
              </w:drawing>
            </w:r>
          </w:p>
        </w:tc>
        <w:tc>
          <w:tcPr>
            <w:tcW w:w="55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厂制品</w:t>
            </w:r>
          </w:p>
        </w:tc>
      </w:tr>
      <w:tr>
        <w:tblPrEx>
          <w:tblCellMar>
            <w:top w:w="0" w:type="dxa"/>
            <w:left w:w="0" w:type="dxa"/>
            <w:bottom w:w="0" w:type="dxa"/>
            <w:right w:w="0" w:type="dxa"/>
          </w:tblCellMar>
        </w:tblPrEx>
        <w:trPr>
          <w:trHeight w:val="3975" w:hRule="atLeast"/>
          <w:jc w:val="center"/>
        </w:trPr>
        <w:tc>
          <w:tcPr>
            <w:tcW w:w="497"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8</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四缸带烘干和热回收长龙式洗碗机</w:t>
            </w:r>
          </w:p>
          <w:p>
            <w:pPr>
              <w:widowControl/>
              <w:jc w:val="center"/>
              <w:textAlignment w:val="center"/>
              <w:rPr>
                <w:rFonts w:ascii="宋体" w:hAnsi="宋体" w:eastAsia="宋体" w:cs="宋体"/>
                <w:b/>
                <w:kern w:val="0"/>
                <w:szCs w:val="21"/>
              </w:rPr>
            </w:pPr>
            <w:r>
              <w:rPr>
                <w:rFonts w:hint="eastAsia" w:ascii="宋体" w:hAnsi="宋体" w:eastAsia="宋体" w:cs="宋体"/>
                <w:b/>
                <w:kern w:val="0"/>
                <w:szCs w:val="21"/>
              </w:rPr>
              <w:t>（核心产品）</w:t>
            </w:r>
          </w:p>
        </w:tc>
        <w:tc>
          <w:tcPr>
            <w:tcW w:w="1288"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约6500×9</w:t>
            </w:r>
            <w:r>
              <w:rPr>
                <w:rFonts w:ascii="宋体" w:hAnsi="宋体" w:eastAsia="宋体" w:cs="宋体"/>
                <w:kern w:val="0"/>
                <w:szCs w:val="21"/>
              </w:rPr>
              <w:t>00</w:t>
            </w:r>
            <w:r>
              <w:rPr>
                <w:rFonts w:hint="eastAsia" w:ascii="宋体" w:hAnsi="宋体" w:eastAsia="宋体" w:cs="宋体"/>
                <w:kern w:val="0"/>
                <w:szCs w:val="21"/>
              </w:rPr>
              <w:t>×21</w:t>
            </w:r>
            <w:r>
              <w:rPr>
                <w:rFonts w:ascii="宋体" w:hAnsi="宋体" w:eastAsia="宋体" w:cs="宋体"/>
                <w:kern w:val="0"/>
                <w:szCs w:val="21"/>
              </w:rPr>
              <w:t>00</w:t>
            </w:r>
            <w:r>
              <w:rPr>
                <w:rFonts w:hint="eastAsia" w:ascii="宋体" w:hAnsi="宋体" w:eastAsia="宋体" w:cs="宋体"/>
                <w:kern w:val="0"/>
                <w:szCs w:val="21"/>
              </w:rPr>
              <w:t>mm（</w:t>
            </w:r>
            <w:r>
              <w:rPr>
                <w:rFonts w:hint="eastAsia" w:ascii="宋体" w:hAnsi="宋体" w:eastAsia="宋体" w:cs="宋体"/>
                <w:szCs w:val="21"/>
              </w:rPr>
              <w:t>中标后根据现场实际要求制作相应尺寸）</w:t>
            </w:r>
          </w:p>
        </w:tc>
        <w:tc>
          <w:tcPr>
            <w:tcW w:w="3411" w:type="dxa"/>
            <w:tcBorders>
              <w:top w:val="single" w:color="000000" w:sz="4" w:space="0"/>
              <w:left w:val="single" w:color="000000" w:sz="4" w:space="0"/>
              <w:bottom w:val="single" w:color="000000" w:sz="4" w:space="0"/>
              <w:right w:val="single" w:color="000000" w:sz="4" w:space="0"/>
            </w:tcBorders>
            <w:shd w:val="clear" w:color="auto" w:fill="auto"/>
            <w:tcMar>
              <w:top w:w="8" w:type="dxa"/>
              <w:left w:w="8" w:type="dxa"/>
              <w:right w:w="8" w:type="dxa"/>
            </w:tcMar>
            <w:vAlign w:val="center"/>
          </w:tcPr>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1、全自动传送餐具，对碗碟等餐具进行清洗、漂洗和烘干；</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2、洗涤能力：≥7700碟/小时；</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3、最大耗水量：≤230升/小时；</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4、总功率：≤68KW；</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5、整机双层结构；</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6、提供可视化电子面板，实时显示机器工作状态；</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7、双速可选洗涤速度，可根据餐具情况自由切换；</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8、进出口端配置操作开关，方便操作人员控制机器的运行；</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9、光电感应自动检测传送履带，传送履带拉断力≥5000N；</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10、提供三道漂洗节能设计；</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11、提供清洁剂节约系统设计；</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12、具备内循环环绕热风烘干功能；</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13、内置热回收模块，实现废热回收利用；</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14、长龙机用三相异步电动机防护等级≥IP66；</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15、控制柜防护等级达到≥IP66。</w:t>
            </w:r>
          </w:p>
          <w:p>
            <w:pPr>
              <w:ind w:left="42" w:leftChars="20" w:right="42" w:rightChars="20"/>
              <w:rPr>
                <w:rFonts w:ascii="宋体" w:hAnsi="宋体" w:eastAsia="宋体" w:cs="宋体"/>
                <w:szCs w:val="21"/>
              </w:rPr>
            </w:pPr>
            <w:r>
              <w:rPr>
                <w:rFonts w:hint="eastAsia" w:ascii="宋体" w:hAnsi="宋体" w:eastAsia="宋体" w:cs="宋体"/>
                <w:szCs w:val="21"/>
              </w:rPr>
              <w:t>洗碗机控制电箱技术要求：</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1、配置可视化触控电子面板，实时显示机器工作状态。</w:t>
            </w:r>
          </w:p>
          <w:p>
            <w:pPr>
              <w:widowControl/>
              <w:ind w:left="42" w:leftChars="20" w:right="42" w:rightChars="20"/>
              <w:jc w:val="left"/>
              <w:textAlignment w:val="center"/>
              <w:rPr>
                <w:rFonts w:ascii="宋体" w:hAnsi="宋体" w:eastAsia="宋体" w:cs="宋体"/>
                <w:kern w:val="0"/>
                <w:szCs w:val="21"/>
              </w:rPr>
            </w:pPr>
            <w:r>
              <w:rPr>
                <w:rFonts w:hint="eastAsia" w:ascii="宋体" w:hAnsi="宋体" w:eastAsia="宋体" w:cs="宋体"/>
                <w:kern w:val="0"/>
                <w:szCs w:val="21"/>
              </w:rPr>
              <w:t>2、控制箱置于机器顶部，节省空间。</w:t>
            </w:r>
          </w:p>
          <w:p>
            <w:pPr>
              <w:widowControl/>
              <w:ind w:left="42" w:leftChars="20" w:right="42" w:rightChars="20"/>
              <w:jc w:val="left"/>
              <w:textAlignment w:val="center"/>
              <w:rPr>
                <w:rFonts w:ascii="宋体" w:hAnsi="宋体" w:eastAsia="宋体" w:cs="宋体"/>
                <w:szCs w:val="21"/>
              </w:rPr>
            </w:pPr>
            <w:r>
              <w:rPr>
                <w:rFonts w:hint="eastAsia" w:ascii="宋体" w:hAnsi="宋体" w:eastAsia="宋体" w:cs="宋体"/>
                <w:kern w:val="0"/>
                <w:szCs w:val="21"/>
              </w:rPr>
              <w:t>3、触控电子面板上配置温度数字显示、开关机键及开机指示灯、双速切换键及速度指示灯、超大启动/停止按键及三色状态指示灯。</w:t>
            </w:r>
          </w:p>
        </w:tc>
        <w:tc>
          <w:tcPr>
            <w:tcW w:w="476"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1</w:t>
            </w:r>
          </w:p>
        </w:tc>
        <w:tc>
          <w:tcPr>
            <w:tcW w:w="518" w:type="dxa"/>
            <w:tcBorders>
              <w:top w:val="single" w:color="000000" w:sz="4" w:space="0"/>
              <w:left w:val="nil"/>
              <w:bottom w:val="single" w:color="000000" w:sz="4" w:space="0"/>
              <w:right w:val="single" w:color="000000" w:sz="4" w:space="0"/>
            </w:tcBorders>
            <w:shd w:val="clear" w:color="auto" w:fill="FFFFFF" w:themeFill="background1"/>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台</w:t>
            </w:r>
          </w:p>
        </w:tc>
        <w:tc>
          <w:tcPr>
            <w:tcW w:w="111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drawing>
                <wp:inline distT="0" distB="0" distL="0" distR="0">
                  <wp:extent cx="615950" cy="342900"/>
                  <wp:effectExtent l="0" t="0" r="0" b="0"/>
                  <wp:docPr id="26" name="图片 26" descr="clip_image2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lip_image222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615950" cy="342900"/>
                          </a:xfrm>
                          <a:prstGeom prst="rect">
                            <a:avLst/>
                          </a:prstGeom>
                          <a:noFill/>
                          <a:ln>
                            <a:noFill/>
                          </a:ln>
                        </pic:spPr>
                      </pic:pic>
                    </a:graphicData>
                  </a:graphic>
                </wp:inline>
              </w:drawing>
            </w:r>
          </w:p>
        </w:tc>
        <w:tc>
          <w:tcPr>
            <w:tcW w:w="553" w:type="dxa"/>
            <w:tcBorders>
              <w:top w:val="single" w:color="000000" w:sz="4" w:space="0"/>
              <w:left w:val="nil"/>
              <w:bottom w:val="single" w:color="000000" w:sz="4" w:space="0"/>
              <w:right w:val="single" w:color="000000" w:sz="4" w:space="0"/>
            </w:tcBorders>
            <w:shd w:val="clear" w:color="auto" w:fill="auto"/>
            <w:tcMar>
              <w:top w:w="8" w:type="dxa"/>
              <w:left w:w="8" w:type="dxa"/>
              <w:right w:w="8" w:type="dxa"/>
            </w:tcMar>
            <w:vAlign w:val="center"/>
          </w:tcPr>
          <w:p>
            <w:pPr>
              <w:widowControl/>
              <w:jc w:val="center"/>
              <w:textAlignment w:val="center"/>
              <w:rPr>
                <w:rFonts w:ascii="宋体" w:hAnsi="宋体" w:eastAsia="宋体" w:cs="宋体"/>
                <w:kern w:val="0"/>
                <w:szCs w:val="21"/>
              </w:rPr>
            </w:pPr>
          </w:p>
        </w:tc>
      </w:tr>
    </w:tbl>
    <w:p>
      <w:pPr>
        <w:adjustRightInd w:val="0"/>
        <w:snapToGrid w:val="0"/>
        <w:rPr>
          <w:rFonts w:ascii="宋体" w:hAnsi="宋体" w:eastAsia="宋体"/>
          <w:b/>
          <w:bCs/>
          <w:szCs w:val="21"/>
        </w:rPr>
      </w:pPr>
    </w:p>
    <w:bookmarkEnd w:id="38"/>
    <w:p>
      <w:pPr>
        <w:adjustRightInd w:val="0"/>
        <w:snapToGrid w:val="0"/>
        <w:spacing w:line="288" w:lineRule="auto"/>
        <w:rPr>
          <w:rFonts w:ascii="宋体" w:hAnsi="宋体" w:eastAsia="宋体" w:cs="Times New Roman"/>
          <w:b/>
          <w:bCs/>
          <w:szCs w:val="21"/>
        </w:rPr>
      </w:pPr>
    </w:p>
    <w:p>
      <w:pPr>
        <w:adjustRightInd w:val="0"/>
        <w:snapToGrid w:val="0"/>
        <w:spacing w:line="288" w:lineRule="auto"/>
        <w:rPr>
          <w:rFonts w:ascii="宋体" w:hAnsi="宋体" w:eastAsia="宋体" w:cs="Times New Roman"/>
          <w:b/>
          <w:bCs/>
          <w:szCs w:val="21"/>
        </w:rPr>
      </w:pPr>
      <w:r>
        <w:rPr>
          <w:rFonts w:hint="eastAsia" w:ascii="宋体" w:hAnsi="宋体" w:eastAsia="宋体" w:cs="Times New Roman"/>
          <w:b/>
          <w:bCs/>
          <w:szCs w:val="21"/>
        </w:rPr>
        <w:t>本项目为浙江财经大学学生生活区组团厨房设备项目，包括设备生产、安装等内容，投标人投标前可自行勘查现场，充分了解项目实际要求</w:t>
      </w:r>
      <w:r>
        <w:rPr>
          <w:rFonts w:ascii="宋体" w:hAnsi="宋体" w:eastAsia="宋体" w:cs="Times New Roman"/>
          <w:b/>
          <w:bCs/>
          <w:szCs w:val="21"/>
        </w:rPr>
        <w:t>，以做出准确报价。因现场勘查不充分导致的报价缺失由</w:t>
      </w:r>
      <w:r>
        <w:rPr>
          <w:rFonts w:hint="eastAsia" w:ascii="宋体" w:hAnsi="宋体" w:eastAsia="宋体" w:cs="Times New Roman"/>
          <w:b/>
          <w:bCs/>
          <w:szCs w:val="21"/>
        </w:rPr>
        <w:t>投标人</w:t>
      </w:r>
      <w:r>
        <w:rPr>
          <w:rFonts w:ascii="宋体" w:hAnsi="宋体" w:eastAsia="宋体" w:cs="Times New Roman"/>
          <w:b/>
          <w:bCs/>
          <w:szCs w:val="21"/>
        </w:rPr>
        <w:t>自行承担，采购人不再另行支付费用。现场勘查所产生风险由</w:t>
      </w:r>
      <w:r>
        <w:rPr>
          <w:rFonts w:hint="eastAsia" w:ascii="宋体" w:hAnsi="宋体" w:eastAsia="宋体" w:cs="Times New Roman"/>
          <w:b/>
          <w:bCs/>
          <w:szCs w:val="21"/>
        </w:rPr>
        <w:t>投标人</w:t>
      </w:r>
      <w:r>
        <w:rPr>
          <w:rFonts w:ascii="宋体" w:hAnsi="宋体" w:eastAsia="宋体" w:cs="Times New Roman"/>
          <w:b/>
          <w:bCs/>
          <w:szCs w:val="21"/>
        </w:rPr>
        <w:t>自行承担。</w:t>
      </w:r>
    </w:p>
    <w:p>
      <w:pPr>
        <w:adjustRightInd w:val="0"/>
        <w:snapToGrid w:val="0"/>
        <w:spacing w:line="288" w:lineRule="auto"/>
        <w:rPr>
          <w:rFonts w:ascii="宋体" w:hAnsi="宋体" w:eastAsia="宋体" w:cs="Times New Roman"/>
          <w:b/>
          <w:bCs/>
          <w:szCs w:val="21"/>
        </w:rPr>
      </w:pPr>
      <w:r>
        <w:rPr>
          <w:rFonts w:hint="eastAsia" w:ascii="宋体" w:hAnsi="宋体" w:eastAsia="宋体" w:cs="Times New Roman"/>
          <w:b/>
          <w:bCs/>
          <w:szCs w:val="21"/>
        </w:rPr>
        <w:t>踏勘时间：</w:t>
      </w:r>
      <w:r>
        <w:rPr>
          <w:rFonts w:ascii="宋体" w:hAnsi="宋体" w:eastAsia="宋体" w:cs="Times New Roman"/>
          <w:b/>
          <w:bCs/>
          <w:szCs w:val="21"/>
        </w:rPr>
        <w:t>/至2022年07月29日，上午09：00-- 11：00</w:t>
      </w:r>
      <w:r>
        <w:rPr>
          <w:rFonts w:hint="eastAsia" w:ascii="宋体" w:hAnsi="宋体" w:eastAsia="宋体" w:cs="Times New Roman"/>
          <w:b/>
          <w:bCs/>
          <w:szCs w:val="21"/>
        </w:rPr>
        <w:t>，下午1</w:t>
      </w:r>
      <w:r>
        <w:rPr>
          <w:rFonts w:ascii="宋体" w:hAnsi="宋体" w:eastAsia="宋体" w:cs="Times New Roman"/>
          <w:b/>
          <w:bCs/>
          <w:szCs w:val="21"/>
        </w:rPr>
        <w:t>4</w:t>
      </w:r>
      <w:r>
        <w:rPr>
          <w:rFonts w:hint="eastAsia" w:ascii="宋体" w:hAnsi="宋体" w:eastAsia="宋体" w:cs="Times New Roman"/>
          <w:b/>
          <w:bCs/>
          <w:szCs w:val="21"/>
        </w:rPr>
        <w:t>：</w:t>
      </w:r>
      <w:r>
        <w:rPr>
          <w:rFonts w:ascii="宋体" w:hAnsi="宋体" w:eastAsia="宋体" w:cs="Times New Roman"/>
          <w:b/>
          <w:bCs/>
          <w:szCs w:val="21"/>
        </w:rPr>
        <w:t>00-15</w:t>
      </w:r>
      <w:r>
        <w:rPr>
          <w:rFonts w:hint="eastAsia" w:ascii="宋体" w:hAnsi="宋体" w:eastAsia="宋体" w:cs="Times New Roman"/>
          <w:b/>
          <w:bCs/>
          <w:szCs w:val="21"/>
        </w:rPr>
        <w:t>：</w:t>
      </w:r>
      <w:r>
        <w:rPr>
          <w:rFonts w:ascii="宋体" w:hAnsi="宋体" w:eastAsia="宋体" w:cs="Times New Roman"/>
          <w:b/>
          <w:bCs/>
          <w:szCs w:val="21"/>
        </w:rPr>
        <w:t>30</w:t>
      </w:r>
    </w:p>
    <w:p>
      <w:pPr>
        <w:adjustRightInd w:val="0"/>
        <w:snapToGrid w:val="0"/>
        <w:spacing w:line="288" w:lineRule="auto"/>
        <w:rPr>
          <w:rFonts w:ascii="宋体" w:hAnsi="宋体" w:eastAsia="宋体" w:cs="Times New Roman"/>
          <w:b/>
          <w:bCs/>
          <w:szCs w:val="21"/>
        </w:rPr>
      </w:pPr>
      <w:r>
        <w:rPr>
          <w:rFonts w:hint="eastAsia" w:ascii="宋体" w:hAnsi="宋体" w:eastAsia="宋体" w:cs="Times New Roman"/>
          <w:b/>
          <w:bCs/>
          <w:szCs w:val="21"/>
        </w:rPr>
        <w:t>联系人：李老师，</w:t>
      </w:r>
      <w:r>
        <w:rPr>
          <w:rFonts w:ascii="宋体" w:hAnsi="宋体" w:eastAsia="宋体" w:cs="Times New Roman"/>
          <w:b/>
          <w:bCs/>
          <w:szCs w:val="21"/>
        </w:rPr>
        <w:t>0571-56608986</w:t>
      </w:r>
    </w:p>
    <w:p>
      <w:pPr>
        <w:shd w:val="clear" w:color="auto" w:fill="FFFFFF"/>
        <w:adjustRightInd w:val="0"/>
        <w:snapToGrid w:val="0"/>
        <w:spacing w:line="24" w:lineRule="atLeast"/>
        <w:ind w:firstLine="422" w:firstLineChars="200"/>
        <w:jc w:val="left"/>
        <w:rPr>
          <w:rFonts w:ascii="宋体" w:hAnsi="宋体" w:eastAsia="宋体" w:cs="宋体"/>
          <w:szCs w:val="21"/>
        </w:rPr>
      </w:pPr>
      <w:r>
        <w:rPr>
          <w:rFonts w:hint="eastAsia" w:ascii="宋体" w:hAnsi="宋体" w:eastAsia="宋体" w:cs="宋体"/>
          <w:b/>
          <w:bCs/>
          <w:szCs w:val="21"/>
        </w:rPr>
        <w:t>注：本项目需</w:t>
      </w:r>
      <w:r>
        <w:rPr>
          <w:rFonts w:ascii="宋体" w:hAnsi="宋体" w:eastAsia="宋体" w:cs="宋体"/>
          <w:b/>
          <w:bCs/>
          <w:szCs w:val="21"/>
        </w:rPr>
        <w:t>提供以下样品</w:t>
      </w:r>
      <w:r>
        <w:rPr>
          <w:rFonts w:hint="eastAsia" w:ascii="宋体" w:hAnsi="宋体" w:eastAsia="宋体" w:cs="宋体"/>
          <w:b/>
          <w:bCs/>
          <w:szCs w:val="21"/>
        </w:rPr>
        <w:t>：</w:t>
      </w:r>
    </w:p>
    <w:tbl>
      <w:tblPr>
        <w:tblStyle w:val="27"/>
        <w:tblW w:w="39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023"/>
        <w:gridCol w:w="1009"/>
        <w:gridCol w:w="903"/>
        <w:gridCol w:w="1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4" w:type="pct"/>
            <w:vAlign w:val="center"/>
          </w:tcPr>
          <w:p>
            <w:pPr>
              <w:adjustRightInd w:val="0"/>
              <w:snapToGrid w:val="0"/>
              <w:spacing w:line="288" w:lineRule="auto"/>
              <w:jc w:val="center"/>
              <w:rPr>
                <w:rFonts w:ascii="宋体" w:hAnsi="宋体" w:eastAsia="宋体"/>
                <w:bCs/>
                <w:szCs w:val="21"/>
              </w:rPr>
            </w:pPr>
            <w:bookmarkStart w:id="39" w:name="_Hlk104887340"/>
            <w:r>
              <w:rPr>
                <w:rFonts w:hint="eastAsia" w:ascii="宋体" w:hAnsi="宋体" w:eastAsia="宋体"/>
                <w:bCs/>
                <w:szCs w:val="21"/>
              </w:rPr>
              <w:t>序号</w:t>
            </w:r>
          </w:p>
        </w:tc>
        <w:tc>
          <w:tcPr>
            <w:tcW w:w="1992" w:type="pct"/>
            <w:vAlign w:val="center"/>
          </w:tcPr>
          <w:p>
            <w:pPr>
              <w:adjustRightInd w:val="0"/>
              <w:snapToGrid w:val="0"/>
              <w:spacing w:line="288" w:lineRule="auto"/>
              <w:jc w:val="center"/>
              <w:rPr>
                <w:rFonts w:ascii="宋体" w:hAnsi="宋体" w:eastAsia="宋体"/>
                <w:bCs/>
                <w:szCs w:val="21"/>
              </w:rPr>
            </w:pPr>
            <w:r>
              <w:rPr>
                <w:rFonts w:hint="eastAsia" w:ascii="宋体" w:hAnsi="宋体" w:eastAsia="宋体"/>
                <w:bCs/>
                <w:szCs w:val="21"/>
              </w:rPr>
              <w:t>品名</w:t>
            </w:r>
          </w:p>
        </w:tc>
        <w:tc>
          <w:tcPr>
            <w:tcW w:w="665" w:type="pct"/>
            <w:vAlign w:val="center"/>
          </w:tcPr>
          <w:p>
            <w:pPr>
              <w:adjustRightInd w:val="0"/>
              <w:snapToGrid w:val="0"/>
              <w:spacing w:line="288" w:lineRule="auto"/>
              <w:jc w:val="center"/>
              <w:rPr>
                <w:rFonts w:ascii="宋体" w:hAnsi="宋体" w:eastAsia="宋体"/>
                <w:bCs/>
                <w:szCs w:val="21"/>
              </w:rPr>
            </w:pPr>
            <w:r>
              <w:rPr>
                <w:rFonts w:hint="eastAsia" w:ascii="宋体" w:hAnsi="宋体" w:eastAsia="宋体"/>
                <w:bCs/>
                <w:szCs w:val="21"/>
              </w:rPr>
              <w:t>单位</w:t>
            </w:r>
          </w:p>
        </w:tc>
        <w:tc>
          <w:tcPr>
            <w:tcW w:w="595" w:type="pct"/>
            <w:vAlign w:val="center"/>
          </w:tcPr>
          <w:p>
            <w:pPr>
              <w:adjustRightInd w:val="0"/>
              <w:snapToGrid w:val="0"/>
              <w:spacing w:line="288" w:lineRule="auto"/>
              <w:jc w:val="center"/>
              <w:rPr>
                <w:rFonts w:ascii="宋体" w:hAnsi="宋体" w:eastAsia="宋体"/>
                <w:bCs/>
                <w:szCs w:val="21"/>
              </w:rPr>
            </w:pPr>
            <w:r>
              <w:rPr>
                <w:rFonts w:hint="eastAsia" w:ascii="宋体" w:hAnsi="宋体" w:eastAsia="宋体"/>
                <w:bCs/>
                <w:szCs w:val="21"/>
              </w:rPr>
              <w:t>数量</w:t>
            </w:r>
          </w:p>
        </w:tc>
        <w:tc>
          <w:tcPr>
            <w:tcW w:w="1282" w:type="pct"/>
            <w:vAlign w:val="center"/>
          </w:tcPr>
          <w:p>
            <w:pPr>
              <w:adjustRightInd w:val="0"/>
              <w:snapToGrid w:val="0"/>
              <w:spacing w:line="288" w:lineRule="auto"/>
              <w:jc w:val="center"/>
              <w:rPr>
                <w:rFonts w:ascii="宋体" w:hAnsi="宋体" w:eastAsia="宋体"/>
                <w:bCs/>
                <w:szCs w:val="21"/>
              </w:rPr>
            </w:pPr>
            <w:r>
              <w:rPr>
                <w:rFonts w:hint="eastAsia" w:ascii="宋体" w:hAnsi="宋体" w:eastAsia="宋体"/>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4" w:type="pct"/>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1</w:t>
            </w:r>
          </w:p>
        </w:tc>
        <w:tc>
          <w:tcPr>
            <w:tcW w:w="1992" w:type="pct"/>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kern w:val="0"/>
                <w:szCs w:val="21"/>
              </w:rPr>
              <w:t>20框热风消毒柜（含车）</w:t>
            </w:r>
          </w:p>
        </w:tc>
        <w:tc>
          <w:tcPr>
            <w:tcW w:w="665" w:type="pct"/>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台</w:t>
            </w:r>
          </w:p>
        </w:tc>
        <w:tc>
          <w:tcPr>
            <w:tcW w:w="595" w:type="pct"/>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1</w:t>
            </w:r>
          </w:p>
        </w:tc>
        <w:tc>
          <w:tcPr>
            <w:tcW w:w="1282" w:type="pct"/>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具体详见参数</w:t>
            </w:r>
          </w:p>
        </w:tc>
      </w:tr>
      <w:bookmarkEnd w:id="39"/>
    </w:tbl>
    <w:p>
      <w:pPr>
        <w:shd w:val="clear" w:color="auto" w:fill="FFFFFF"/>
        <w:adjustRightInd w:val="0"/>
        <w:snapToGrid w:val="0"/>
        <w:spacing w:line="24" w:lineRule="atLeast"/>
        <w:ind w:firstLine="422" w:firstLineChars="200"/>
        <w:jc w:val="left"/>
        <w:rPr>
          <w:rFonts w:ascii="宋体" w:hAnsi="宋体" w:eastAsia="宋体" w:cs="宋体"/>
          <w:b/>
          <w:szCs w:val="21"/>
        </w:rPr>
      </w:pPr>
      <w:r>
        <w:rPr>
          <w:rFonts w:hint="eastAsia" w:ascii="宋体" w:hAnsi="宋体" w:eastAsia="宋体" w:cs="宋体"/>
          <w:b/>
          <w:szCs w:val="21"/>
        </w:rPr>
        <w:t>未提供样品的，样品分为0分。</w:t>
      </w:r>
    </w:p>
    <w:p>
      <w:pPr>
        <w:shd w:val="clear" w:color="auto" w:fill="FFFFFF"/>
        <w:adjustRightInd w:val="0"/>
        <w:snapToGrid w:val="0"/>
        <w:spacing w:line="24" w:lineRule="atLeast"/>
        <w:ind w:firstLine="420" w:firstLineChars="200"/>
        <w:jc w:val="left"/>
        <w:rPr>
          <w:rFonts w:ascii="宋体" w:hAnsi="宋体" w:eastAsia="宋体" w:cs="宋体"/>
          <w:szCs w:val="21"/>
        </w:rPr>
      </w:pPr>
      <w:r>
        <w:rPr>
          <w:rFonts w:hint="eastAsia" w:ascii="宋体" w:hAnsi="宋体" w:eastAsia="宋体" w:cs="宋体"/>
          <w:szCs w:val="21"/>
        </w:rPr>
        <w:t>1.本次招标要求携带样品参加投标，样品评审时可能对样品进行破坏性试验，如样品遭到破坏导致的损失由投标人自行承担，投标时请充分考虑当中风险，一旦中标则该投标人的样品将封存于采购单位，作为验收的依据。验收时如果中标人提供的产品质量低于样品质量，采购人将不予接受，其造成的一切损失和后果由中标人承担。样品中不准有与投标人相关的商标、图案和文字等标识（如有此标识，请遮挡或剔除该标识），否则样品分为零分。需求中图片是提供给投标人的参考图片，投标人可根据技术要求进行优化。</w:t>
      </w:r>
    </w:p>
    <w:p>
      <w:pPr>
        <w:spacing w:line="288" w:lineRule="auto"/>
        <w:ind w:firstLine="420" w:firstLineChars="200"/>
        <w:rPr>
          <w:rFonts w:ascii="宋体" w:hAnsi="宋体" w:eastAsia="宋体" w:cs="宋体"/>
          <w:szCs w:val="21"/>
        </w:rPr>
      </w:pPr>
      <w:r>
        <w:rPr>
          <w:rFonts w:hint="eastAsia" w:ascii="宋体" w:hAnsi="宋体" w:eastAsia="宋体" w:cs="宋体"/>
          <w:szCs w:val="21"/>
        </w:rPr>
        <w:t>2</w:t>
      </w:r>
      <w:r>
        <w:rPr>
          <w:rFonts w:ascii="宋体" w:hAnsi="宋体" w:eastAsia="宋体" w:cs="宋体"/>
          <w:szCs w:val="21"/>
        </w:rPr>
        <w:t>.</w:t>
      </w:r>
      <w:r>
        <w:rPr>
          <w:rFonts w:hint="eastAsia" w:ascii="宋体" w:hAnsi="宋体" w:eastAsia="宋体" w:cs="宋体"/>
          <w:b/>
          <w:bCs/>
          <w:szCs w:val="21"/>
        </w:rPr>
        <w:t>样品递交时间及地点：</w:t>
      </w:r>
      <w:r>
        <w:rPr>
          <w:rFonts w:ascii="宋体" w:hAnsi="宋体" w:eastAsia="宋体" w:cs="宋体"/>
          <w:szCs w:val="21"/>
        </w:rPr>
        <w:t>2022年07月30日上午09</w:t>
      </w:r>
      <w:r>
        <w:rPr>
          <w:rFonts w:hint="eastAsia" w:ascii="宋体" w:hAnsi="宋体" w:eastAsia="宋体" w:cs="宋体"/>
          <w:szCs w:val="21"/>
        </w:rPr>
        <w:t>：</w:t>
      </w:r>
      <w:r>
        <w:rPr>
          <w:rFonts w:ascii="宋体" w:hAnsi="宋体" w:eastAsia="宋体" w:cs="宋体"/>
          <w:szCs w:val="21"/>
        </w:rPr>
        <w:t>30至</w:t>
      </w:r>
      <w:r>
        <w:rPr>
          <w:rFonts w:hint="eastAsia" w:ascii="宋体" w:hAnsi="宋体" w:eastAsia="宋体" w:cs="宋体"/>
          <w:szCs w:val="21"/>
        </w:rPr>
        <w:t>1</w:t>
      </w:r>
      <w:r>
        <w:rPr>
          <w:rFonts w:ascii="宋体" w:hAnsi="宋体" w:eastAsia="宋体" w:cs="宋体"/>
          <w:szCs w:val="21"/>
        </w:rPr>
        <w:t>3：</w:t>
      </w:r>
      <w:r>
        <w:rPr>
          <w:rFonts w:hint="eastAsia" w:ascii="宋体" w:hAnsi="宋体" w:eastAsia="宋体" w:cs="宋体"/>
          <w:szCs w:val="21"/>
        </w:rPr>
        <w:t>0</w:t>
      </w:r>
      <w:r>
        <w:rPr>
          <w:rFonts w:ascii="宋体" w:hAnsi="宋体" w:eastAsia="宋体" w:cs="宋体"/>
          <w:szCs w:val="21"/>
        </w:rPr>
        <w:t>0，</w:t>
      </w:r>
      <w:r>
        <w:rPr>
          <w:rFonts w:hint="eastAsia" w:ascii="宋体" w:hAnsi="宋体" w:eastAsia="宋体" w:cs="宋体"/>
          <w:szCs w:val="21"/>
        </w:rPr>
        <w:t>1</w:t>
      </w:r>
      <w:r>
        <w:rPr>
          <w:rFonts w:ascii="宋体" w:hAnsi="宋体" w:eastAsia="宋体" w:cs="宋体"/>
          <w:szCs w:val="21"/>
        </w:rPr>
        <w:t>3:</w:t>
      </w:r>
      <w:r>
        <w:rPr>
          <w:rFonts w:hint="eastAsia" w:ascii="宋体" w:hAnsi="宋体" w:eastAsia="宋体" w:cs="宋体"/>
          <w:szCs w:val="21"/>
        </w:rPr>
        <w:t>0</w:t>
      </w:r>
      <w:r>
        <w:rPr>
          <w:rFonts w:ascii="宋体" w:hAnsi="宋体" w:eastAsia="宋体" w:cs="宋体"/>
          <w:szCs w:val="21"/>
        </w:rPr>
        <w:t>0之前须安装完毕并离场（未安装完毕供应商也须一并离场），逾期送达的将予以拒收；地点：</w:t>
      </w:r>
      <w:r>
        <w:rPr>
          <w:rFonts w:hint="eastAsia" w:ascii="宋体" w:hAnsi="宋体" w:eastAsia="宋体" w:cs="宋体"/>
          <w:szCs w:val="21"/>
        </w:rPr>
        <w:t>杭州市钱塘区学源街</w:t>
      </w:r>
      <w:r>
        <w:rPr>
          <w:rFonts w:ascii="宋体" w:hAnsi="宋体" w:eastAsia="宋体" w:cs="宋体"/>
          <w:szCs w:val="21"/>
        </w:rPr>
        <w:t>18号浙江财经大学行政楼</w:t>
      </w:r>
      <w:r>
        <w:rPr>
          <w:rFonts w:hint="eastAsia" w:ascii="宋体" w:hAnsi="宋体" w:eastAsia="宋体" w:cs="宋体"/>
          <w:szCs w:val="21"/>
        </w:rPr>
        <w:t>一楼</w:t>
      </w:r>
      <w:r>
        <w:rPr>
          <w:rFonts w:ascii="宋体" w:hAnsi="宋体" w:eastAsia="宋体" w:cs="宋体"/>
          <w:szCs w:val="21"/>
        </w:rPr>
        <w:t>。（递交请提前联系0571-87666117）</w:t>
      </w:r>
    </w:p>
    <w:p>
      <w:pPr>
        <w:shd w:val="clear" w:color="auto" w:fill="FFFFFF"/>
        <w:adjustRightInd w:val="0"/>
        <w:snapToGrid w:val="0"/>
        <w:spacing w:line="24" w:lineRule="atLeast"/>
        <w:ind w:firstLine="420" w:firstLineChars="200"/>
        <w:jc w:val="left"/>
        <w:rPr>
          <w:rFonts w:ascii="宋体" w:hAnsi="宋体" w:eastAsia="宋体" w:cs="宋体"/>
          <w:szCs w:val="21"/>
        </w:rPr>
      </w:pPr>
      <w:r>
        <w:rPr>
          <w:rFonts w:hint="eastAsia" w:ascii="宋体" w:hAnsi="宋体" w:eastAsia="宋体" w:cs="宋体"/>
          <w:szCs w:val="21"/>
        </w:rPr>
        <w:t>3</w:t>
      </w:r>
      <w:r>
        <w:rPr>
          <w:rFonts w:ascii="宋体" w:hAnsi="宋体" w:eastAsia="宋体" w:cs="宋体"/>
          <w:szCs w:val="21"/>
        </w:rPr>
        <w:t>.</w:t>
      </w:r>
      <w:r>
        <w:rPr>
          <w:rFonts w:hint="eastAsia"/>
        </w:rPr>
        <w:t>中标</w:t>
      </w:r>
      <w:r>
        <w:rPr>
          <w:rFonts w:hint="eastAsia" w:ascii="宋体" w:hAnsi="宋体" w:eastAsia="宋体" w:cs="宋体"/>
          <w:szCs w:val="21"/>
        </w:rPr>
        <w:t>供应商的样品将被封存作为履约验收的参考，未中标供应商的样品在采购活动结束后</w:t>
      </w:r>
      <w:r>
        <w:rPr>
          <w:rFonts w:ascii="宋体" w:hAnsi="宋体" w:eastAsia="宋体" w:cs="宋体"/>
          <w:szCs w:val="21"/>
        </w:rPr>
        <w:t>3个工作日内自行撤回，逾期将作废弃处理。</w:t>
      </w:r>
    </w:p>
    <w:p>
      <w:pPr>
        <w:shd w:val="clear" w:color="auto" w:fill="FFFFFF"/>
        <w:adjustRightInd w:val="0"/>
        <w:snapToGrid w:val="0"/>
        <w:spacing w:line="24" w:lineRule="atLeast"/>
        <w:ind w:firstLine="420" w:firstLineChars="200"/>
        <w:jc w:val="left"/>
        <w:rPr>
          <w:rFonts w:ascii="宋体" w:hAnsi="宋体" w:eastAsia="宋体" w:cs="宋体"/>
          <w:szCs w:val="21"/>
        </w:rPr>
      </w:pPr>
      <w:r>
        <w:rPr>
          <w:rFonts w:ascii="宋体" w:hAnsi="宋体" w:eastAsia="宋体" w:cs="宋体"/>
          <w:szCs w:val="21"/>
        </w:rPr>
        <w:t>4.样品制作标准和要求：详见采购需求；样品设计、制作、运输和安装等费用由</w:t>
      </w:r>
      <w:r>
        <w:rPr>
          <w:rFonts w:hint="eastAsia" w:ascii="宋体" w:hAnsi="宋体" w:eastAsia="宋体" w:cs="宋体"/>
          <w:szCs w:val="21"/>
        </w:rPr>
        <w:t>投标人</w:t>
      </w:r>
      <w:r>
        <w:rPr>
          <w:rFonts w:ascii="宋体" w:hAnsi="宋体" w:eastAsia="宋体" w:cs="宋体"/>
          <w:szCs w:val="21"/>
        </w:rPr>
        <w:t>自行承担。</w:t>
      </w:r>
    </w:p>
    <w:p>
      <w:pPr>
        <w:shd w:val="clear" w:color="auto" w:fill="FFFFFF"/>
        <w:adjustRightInd w:val="0"/>
        <w:snapToGrid w:val="0"/>
        <w:spacing w:line="24" w:lineRule="atLeast"/>
        <w:ind w:firstLine="420" w:firstLineChars="200"/>
        <w:jc w:val="left"/>
        <w:rPr>
          <w:rFonts w:ascii="宋体" w:hAnsi="宋体" w:eastAsia="宋体" w:cs="宋体"/>
          <w:szCs w:val="21"/>
        </w:rPr>
      </w:pPr>
      <w:r>
        <w:rPr>
          <w:rFonts w:ascii="宋体" w:hAnsi="宋体" w:eastAsia="宋体" w:cs="宋体"/>
          <w:szCs w:val="21"/>
        </w:rPr>
        <w:t>5.是否需要随样品提交相关检测报告：否；</w:t>
      </w:r>
    </w:p>
    <w:p>
      <w:pPr>
        <w:shd w:val="clear" w:color="auto" w:fill="FFFFFF"/>
        <w:adjustRightInd w:val="0"/>
        <w:snapToGrid w:val="0"/>
        <w:spacing w:line="24" w:lineRule="atLeast"/>
        <w:ind w:firstLine="420" w:firstLineChars="200"/>
        <w:jc w:val="left"/>
        <w:rPr>
          <w:rFonts w:ascii="宋体" w:hAnsi="宋体" w:eastAsia="宋体" w:cs="宋体"/>
          <w:szCs w:val="21"/>
        </w:rPr>
      </w:pPr>
      <w:r>
        <w:rPr>
          <w:rFonts w:ascii="宋体" w:hAnsi="宋体" w:eastAsia="宋体" w:cs="宋体"/>
          <w:szCs w:val="21"/>
        </w:rPr>
        <w:t>6.样品的评审方法以及评审标准：样品随机排序，评标委员会针对样品的序号进行样品分打分，评审标准详见第四章  评标办法及评分标准；</w:t>
      </w:r>
    </w:p>
    <w:p>
      <w:pPr>
        <w:shd w:val="clear" w:color="auto" w:fill="FFFFFF"/>
        <w:adjustRightInd w:val="0"/>
        <w:snapToGrid w:val="0"/>
        <w:spacing w:line="24" w:lineRule="atLeast"/>
        <w:ind w:firstLine="420" w:firstLineChars="200"/>
        <w:jc w:val="left"/>
        <w:rPr>
          <w:rFonts w:ascii="宋体" w:hAnsi="宋体" w:eastAsia="宋体" w:cs="宋体"/>
          <w:szCs w:val="21"/>
        </w:rPr>
      </w:pPr>
      <w:r>
        <w:rPr>
          <w:rFonts w:ascii="宋体" w:hAnsi="宋体" w:eastAsia="宋体" w:cs="宋体"/>
          <w:szCs w:val="21"/>
        </w:rPr>
        <w:t>7</w:t>
      </w:r>
      <w:r>
        <w:rPr>
          <w:rFonts w:hint="eastAsia" w:ascii="宋体" w:hAnsi="宋体" w:eastAsia="宋体" w:cs="宋体"/>
          <w:szCs w:val="21"/>
        </w:rPr>
        <w:t>.投标人中标并与采购人签订合同后，其样品的质量将作为验收标准。</w:t>
      </w:r>
    </w:p>
    <w:p>
      <w:pPr>
        <w:adjustRightInd w:val="0"/>
        <w:snapToGrid w:val="0"/>
        <w:spacing w:line="288" w:lineRule="auto"/>
        <w:rPr>
          <w:rFonts w:ascii="宋体" w:hAnsi="宋体" w:eastAsia="宋体" w:cs="Times New Roman"/>
          <w:b/>
          <w:bCs/>
          <w:szCs w:val="21"/>
        </w:rPr>
      </w:pPr>
    </w:p>
    <w:p>
      <w:pPr>
        <w:widowControl/>
        <w:jc w:val="left"/>
        <w:rPr>
          <w:rFonts w:ascii="宋体" w:hAnsi="宋体" w:eastAsia="宋体" w:cs="Times New Roman"/>
          <w:b/>
          <w:sz w:val="32"/>
          <w:szCs w:val="32"/>
        </w:rPr>
      </w:pPr>
      <w:r>
        <w:rPr>
          <w:rFonts w:ascii="宋体" w:hAnsi="宋体" w:eastAsia="宋体" w:cs="Times New Roman"/>
          <w:b/>
          <w:sz w:val="32"/>
          <w:szCs w:val="32"/>
        </w:rPr>
        <w:br w:type="page"/>
      </w:r>
    </w:p>
    <w:p>
      <w:pPr>
        <w:adjustRightInd w:val="0"/>
        <w:snapToGrid w:val="0"/>
        <w:spacing w:line="288" w:lineRule="auto"/>
        <w:jc w:val="center"/>
        <w:outlineLvl w:val="0"/>
        <w:rPr>
          <w:rFonts w:ascii="宋体" w:hAnsi="宋体" w:eastAsia="宋体" w:cs="Times New Roman"/>
          <w:sz w:val="32"/>
          <w:szCs w:val="32"/>
        </w:rPr>
      </w:pPr>
      <w:r>
        <w:rPr>
          <w:rFonts w:hint="eastAsia" w:ascii="宋体" w:hAnsi="宋体" w:eastAsia="宋体" w:cs="Times New Roman"/>
          <w:b/>
          <w:sz w:val="32"/>
          <w:szCs w:val="32"/>
        </w:rPr>
        <w:t>第三章  投标人须知</w:t>
      </w:r>
    </w:p>
    <w:p>
      <w:pPr>
        <w:adjustRightInd w:val="0"/>
        <w:snapToGrid w:val="0"/>
        <w:spacing w:line="288" w:lineRule="auto"/>
        <w:ind w:left="238"/>
        <w:jc w:val="center"/>
        <w:outlineLvl w:val="1"/>
        <w:rPr>
          <w:rFonts w:ascii="宋体" w:hAnsi="宋体" w:eastAsia="宋体" w:cs="Times New Roman"/>
          <w:b/>
          <w:szCs w:val="21"/>
        </w:rPr>
      </w:pPr>
      <w:r>
        <w:rPr>
          <w:rFonts w:hint="eastAsia" w:ascii="宋体" w:hAnsi="宋体" w:eastAsia="宋体" w:cs="Times New Roman"/>
          <w:b/>
          <w:szCs w:val="21"/>
        </w:rPr>
        <w:t>投标人</w:t>
      </w:r>
      <w:r>
        <w:rPr>
          <w:rFonts w:ascii="宋体" w:hAnsi="宋体" w:eastAsia="宋体" w:cs="Times New Roman"/>
          <w:b/>
          <w:szCs w:val="21"/>
        </w:rPr>
        <w:t>须知</w:t>
      </w:r>
      <w:r>
        <w:rPr>
          <w:rFonts w:hint="eastAsia" w:ascii="宋体" w:hAnsi="宋体" w:eastAsia="宋体" w:cs="Times New Roman"/>
          <w:b/>
          <w:szCs w:val="21"/>
        </w:rPr>
        <w:t>前附表</w:t>
      </w:r>
    </w:p>
    <w:tbl>
      <w:tblPr>
        <w:tblStyle w:val="27"/>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701"/>
        <w:gridCol w:w="6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b/>
                <w:bCs/>
                <w:szCs w:val="21"/>
              </w:rPr>
            </w:pPr>
            <w:r>
              <w:rPr>
                <w:rFonts w:hint="eastAsia" w:ascii="宋体" w:hAnsi="宋体" w:eastAsia="宋体"/>
                <w:b/>
                <w:bCs/>
                <w:szCs w:val="21"/>
              </w:rPr>
              <w:t>条款号</w:t>
            </w:r>
          </w:p>
        </w:tc>
        <w:tc>
          <w:tcPr>
            <w:tcW w:w="1701" w:type="dxa"/>
            <w:vAlign w:val="center"/>
          </w:tcPr>
          <w:p>
            <w:pPr>
              <w:adjustRightInd w:val="0"/>
              <w:snapToGrid w:val="0"/>
              <w:spacing w:line="288" w:lineRule="auto"/>
              <w:jc w:val="center"/>
              <w:rPr>
                <w:rFonts w:ascii="宋体" w:hAnsi="宋体" w:eastAsia="宋体"/>
                <w:b/>
                <w:bCs/>
                <w:szCs w:val="21"/>
              </w:rPr>
            </w:pPr>
            <w:r>
              <w:rPr>
                <w:rFonts w:hint="eastAsia" w:ascii="宋体" w:hAnsi="宋体" w:eastAsia="宋体"/>
                <w:b/>
                <w:bCs/>
                <w:szCs w:val="21"/>
              </w:rPr>
              <w:t>内容</w:t>
            </w:r>
          </w:p>
        </w:tc>
        <w:tc>
          <w:tcPr>
            <w:tcW w:w="6663" w:type="dxa"/>
            <w:vAlign w:val="center"/>
          </w:tcPr>
          <w:p>
            <w:pPr>
              <w:adjustRightInd w:val="0"/>
              <w:snapToGrid w:val="0"/>
              <w:spacing w:line="288" w:lineRule="auto"/>
              <w:jc w:val="center"/>
              <w:rPr>
                <w:rFonts w:ascii="宋体" w:hAnsi="宋体" w:eastAsia="宋体"/>
                <w:b/>
                <w:bCs/>
                <w:szCs w:val="21"/>
              </w:rPr>
            </w:pPr>
            <w:r>
              <w:rPr>
                <w:rFonts w:hint="eastAsia" w:ascii="宋体" w:hAnsi="宋体" w:eastAsia="宋体"/>
                <w:b/>
                <w:bCs/>
                <w:szCs w:val="21"/>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（一）</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适用范围</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szCs w:val="21"/>
              </w:rPr>
              <w:t>本招标文件适用于浙江财经大学学生生活区组团厨房设备的招标、评标、定标、验收、合同履约、付款等（法律、法规另有规定的，从其规定）。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（二）</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招标方式</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szCs w:val="21"/>
              </w:rPr>
              <w:t>本次招标采用公开招标（线上电子招投标）方式进行。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（三）</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投标委托</w:t>
            </w:r>
          </w:p>
        </w:tc>
        <w:tc>
          <w:tcPr>
            <w:tcW w:w="6663" w:type="dxa"/>
            <w:vAlign w:val="center"/>
          </w:tcPr>
          <w:p>
            <w:pPr>
              <w:adjustRightInd w:val="0"/>
              <w:snapToGrid w:val="0"/>
              <w:spacing w:line="288" w:lineRule="auto"/>
              <w:rPr>
                <w:rFonts w:ascii="宋体" w:hAnsi="宋体" w:eastAsia="宋体"/>
                <w:szCs w:val="21"/>
              </w:rPr>
            </w:pPr>
            <w:r>
              <w:rPr>
                <w:rFonts w:ascii="宋体" w:hAnsi="宋体" w:eastAsia="宋体"/>
                <w:szCs w:val="21"/>
              </w:rPr>
              <w:t>1</w:t>
            </w:r>
            <w:r>
              <w:rPr>
                <w:rFonts w:hint="eastAsia" w:ascii="宋体" w:hAnsi="宋体" w:eastAsia="宋体"/>
                <w:szCs w:val="21"/>
              </w:rPr>
              <w:t>.▲投标人授权代表必须为投标人本单位在职职工，并提供2021年12月（含）以后任意一月社保缴纳证明（授权代表为法定代表人可不提供）。</w:t>
            </w:r>
          </w:p>
          <w:p>
            <w:pPr>
              <w:adjustRightInd w:val="0"/>
              <w:snapToGrid w:val="0"/>
              <w:spacing w:line="288" w:lineRule="auto"/>
              <w:rPr>
                <w:rFonts w:ascii="宋体" w:hAnsi="宋体" w:eastAsia="宋体"/>
                <w:szCs w:val="21"/>
              </w:rPr>
            </w:pPr>
            <w:r>
              <w:rPr>
                <w:rFonts w:ascii="宋体" w:hAnsi="宋体" w:eastAsia="宋体"/>
                <w:szCs w:val="21"/>
              </w:rPr>
              <w:t>2</w:t>
            </w:r>
            <w:r>
              <w:rPr>
                <w:rFonts w:hint="eastAsia" w:ascii="宋体" w:hAnsi="宋体" w:eastAsia="宋体"/>
                <w:szCs w:val="21"/>
              </w:rPr>
              <w:t>.</w:t>
            </w:r>
            <w:r>
              <w:rPr>
                <w:rFonts w:ascii="宋体" w:hAnsi="宋体" w:eastAsia="宋体"/>
                <w:szCs w:val="21"/>
              </w:rPr>
              <w:t>如投标人代表不是法定代表人，须提供</w:t>
            </w:r>
            <w:r>
              <w:rPr>
                <w:rFonts w:ascii="宋体" w:hAnsi="宋体" w:eastAsia="宋体"/>
                <w:bCs/>
                <w:szCs w:val="21"/>
              </w:rPr>
              <w:t>法定代表人授权</w:t>
            </w:r>
            <w:r>
              <w:rPr>
                <w:rFonts w:hint="eastAsia" w:ascii="宋体" w:hAnsi="宋体" w:eastAsia="宋体"/>
                <w:bCs/>
                <w:szCs w:val="21"/>
              </w:rPr>
              <w:t>委托</w:t>
            </w:r>
            <w:r>
              <w:rPr>
                <w:rFonts w:ascii="宋体" w:hAnsi="宋体" w:eastAsia="宋体"/>
                <w:bCs/>
                <w:szCs w:val="21"/>
              </w:rPr>
              <w:t>书</w:t>
            </w:r>
            <w:r>
              <w:rPr>
                <w:rFonts w:hint="eastAsia" w:ascii="宋体" w:hAnsi="宋体" w:eastAsia="宋体"/>
                <w:szCs w:val="21"/>
              </w:rPr>
              <w:t>（格式详见招标文件第六章）。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（四）</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投标费用</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szCs w:val="21"/>
              </w:rPr>
              <w:t>1.不论投标结果如何，投标人均应自行承担所有与投标有关的全部费用；</w:t>
            </w:r>
          </w:p>
          <w:p>
            <w:pPr>
              <w:adjustRightInd w:val="0"/>
              <w:snapToGrid w:val="0"/>
              <w:spacing w:line="288" w:lineRule="auto"/>
              <w:rPr>
                <w:rFonts w:ascii="宋体" w:hAnsi="宋体" w:eastAsia="宋体"/>
                <w:szCs w:val="21"/>
              </w:rPr>
            </w:pPr>
            <w:r>
              <w:rPr>
                <w:rFonts w:hint="eastAsia" w:ascii="宋体" w:hAnsi="宋体" w:eastAsia="宋体"/>
                <w:szCs w:val="21"/>
              </w:rPr>
              <w:t>2.中标人在中标通知书发出之日起七个工作日内，向采购代理机构交纳代理服务费；</w:t>
            </w:r>
          </w:p>
          <w:p>
            <w:pPr>
              <w:adjustRightInd w:val="0"/>
              <w:snapToGrid w:val="0"/>
              <w:spacing w:line="288" w:lineRule="auto"/>
              <w:rPr>
                <w:rFonts w:ascii="宋体" w:hAnsi="宋体" w:eastAsia="宋体"/>
                <w:szCs w:val="21"/>
              </w:rPr>
            </w:pPr>
            <w:r>
              <w:rPr>
                <w:rFonts w:hint="eastAsia" w:ascii="宋体" w:hAnsi="宋体" w:eastAsia="宋体"/>
                <w:szCs w:val="21"/>
              </w:rPr>
              <w:t>3.中标人逾期支付代理服务费，须承担代理服务费每日百分之三的违约金，逾期十日未支付的，采购代理机构有权向杭州仲裁委员会对中标人提起仲裁，仲裁费用（包括仲裁受理费和仲裁处理费）均由中标人承担。</w:t>
            </w:r>
          </w:p>
          <w:p>
            <w:pPr>
              <w:adjustRightInd w:val="0"/>
              <w:snapToGrid w:val="0"/>
              <w:spacing w:line="288" w:lineRule="auto"/>
              <w:rPr>
                <w:rFonts w:ascii="宋体" w:hAnsi="宋体" w:eastAsia="宋体"/>
                <w:szCs w:val="21"/>
              </w:rPr>
            </w:pPr>
            <w:r>
              <w:rPr>
                <w:rFonts w:hint="eastAsia" w:ascii="宋体" w:hAnsi="宋体" w:eastAsia="宋体"/>
                <w:szCs w:val="21"/>
              </w:rPr>
              <w:t>4</w:t>
            </w:r>
            <w:r>
              <w:rPr>
                <w:rFonts w:ascii="宋体" w:hAnsi="宋体" w:eastAsia="宋体"/>
                <w:szCs w:val="21"/>
              </w:rPr>
              <w:t>.</w:t>
            </w:r>
            <w:r>
              <w:rPr>
                <w:rFonts w:hint="eastAsia" w:ascii="宋体" w:hAnsi="宋体" w:eastAsia="宋体"/>
                <w:szCs w:val="21"/>
              </w:rPr>
              <w:t>收费标准（差额累进）：</w:t>
            </w:r>
          </w:p>
          <w:tbl>
            <w:tblPr>
              <w:tblStyle w:val="27"/>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551"/>
              <w:gridCol w:w="307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中标金额（万元）</w:t>
                  </w:r>
                </w:p>
              </w:tc>
              <w:tc>
                <w:tcPr>
                  <w:tcW w:w="3070"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收费标准（费率，%）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100以下</w:t>
                  </w:r>
                </w:p>
              </w:tc>
              <w:tc>
                <w:tcPr>
                  <w:tcW w:w="3070"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1.</w:t>
                  </w:r>
                  <w:r>
                    <w:rPr>
                      <w:rFonts w:ascii="宋体" w:hAnsi="宋体" w:eastAsia="宋体"/>
                      <w:szCs w:val="21"/>
                    </w:rPr>
                    <w:t>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100-500</w:t>
                  </w:r>
                </w:p>
              </w:tc>
              <w:tc>
                <w:tcPr>
                  <w:tcW w:w="3070"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ascii="宋体" w:hAnsi="宋体" w:eastAsia="宋体"/>
                      <w:szCs w:val="21"/>
                    </w:rPr>
                    <w:t>0.77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5621" w:type="dxa"/>
                  <w:gridSpan w:val="2"/>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不足2</w:t>
                  </w:r>
                  <w:r>
                    <w:rPr>
                      <w:rFonts w:ascii="宋体" w:hAnsi="宋体" w:eastAsia="宋体"/>
                      <w:szCs w:val="21"/>
                    </w:rPr>
                    <w:t>000</w:t>
                  </w:r>
                  <w:r>
                    <w:rPr>
                      <w:rFonts w:hint="eastAsia" w:ascii="宋体" w:hAnsi="宋体" w:eastAsia="宋体"/>
                      <w:szCs w:val="21"/>
                    </w:rPr>
                    <w:t>元按2</w:t>
                  </w:r>
                  <w:r>
                    <w:rPr>
                      <w:rFonts w:ascii="宋体" w:hAnsi="宋体" w:eastAsia="宋体"/>
                      <w:szCs w:val="21"/>
                    </w:rPr>
                    <w:t>000</w:t>
                  </w:r>
                  <w:r>
                    <w:rPr>
                      <w:rFonts w:hint="eastAsia" w:ascii="宋体" w:hAnsi="宋体" w:eastAsia="宋体"/>
                      <w:szCs w:val="21"/>
                    </w:rPr>
                    <w:t>元收取</w:t>
                  </w:r>
                </w:p>
              </w:tc>
            </w:tr>
          </w:tbl>
          <w:p>
            <w:pPr>
              <w:adjustRightInd w:val="0"/>
              <w:snapToGrid w:val="0"/>
              <w:spacing w:line="288" w:lineRule="auto"/>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（五）</w:t>
            </w:r>
          </w:p>
        </w:tc>
        <w:tc>
          <w:tcPr>
            <w:tcW w:w="1701" w:type="dxa"/>
            <w:vAlign w:val="center"/>
          </w:tcPr>
          <w:p>
            <w:pPr>
              <w:adjustRightInd w:val="0"/>
              <w:snapToGrid w:val="0"/>
              <w:spacing w:line="288" w:lineRule="auto"/>
              <w:ind w:right="-105" w:rightChars="-50"/>
              <w:jc w:val="center"/>
              <w:rPr>
                <w:rFonts w:ascii="宋体" w:hAnsi="宋体" w:eastAsia="宋体"/>
                <w:szCs w:val="21"/>
              </w:rPr>
            </w:pPr>
            <w:r>
              <w:rPr>
                <w:rFonts w:hint="eastAsia" w:ascii="宋体" w:hAnsi="宋体" w:eastAsia="宋体" w:cs="Times New Roman"/>
                <w:spacing w:val="-6"/>
                <w:szCs w:val="21"/>
              </w:rPr>
              <w:t>投标保证金（元）</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cs="Times New Roman"/>
                <w:spacing w:val="-6"/>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（六）</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联合体投标</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szCs w:val="21"/>
              </w:rPr>
              <w:t>本项目（是）接受联合体投标。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（七）</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转包与分包</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szCs w:val="21"/>
              </w:rPr>
              <w:t>1</w:t>
            </w:r>
            <w:r>
              <w:rPr>
                <w:rFonts w:ascii="宋体" w:hAnsi="宋体" w:eastAsia="宋体"/>
                <w:szCs w:val="21"/>
              </w:rPr>
              <w:t>.</w:t>
            </w:r>
            <w:r>
              <w:rPr>
                <w:rFonts w:hint="eastAsia" w:ascii="宋体" w:hAnsi="宋体" w:eastAsia="宋体"/>
                <w:szCs w:val="21"/>
              </w:rPr>
              <w:t>本项目不允许转包；</w:t>
            </w:r>
          </w:p>
          <w:p>
            <w:pPr>
              <w:adjustRightInd w:val="0"/>
              <w:snapToGrid w:val="0"/>
              <w:spacing w:line="288" w:lineRule="auto"/>
              <w:rPr>
                <w:rFonts w:ascii="宋体" w:hAnsi="宋体" w:eastAsia="宋体"/>
                <w:szCs w:val="21"/>
              </w:rPr>
            </w:pPr>
            <w:r>
              <w:rPr>
                <w:rFonts w:hint="eastAsia" w:ascii="宋体" w:hAnsi="宋体" w:eastAsia="宋体"/>
                <w:szCs w:val="21"/>
              </w:rPr>
              <w:t>2</w:t>
            </w:r>
            <w:r>
              <w:rPr>
                <w:rFonts w:ascii="宋体" w:hAnsi="宋体" w:eastAsia="宋体"/>
                <w:szCs w:val="21"/>
              </w:rPr>
              <w:t>.</w:t>
            </w:r>
            <w:r>
              <w:rPr>
                <w:rFonts w:hint="eastAsia" w:ascii="宋体" w:hAnsi="宋体" w:eastAsia="宋体"/>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（八）</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b/>
                <w:bCs/>
                <w:szCs w:val="21"/>
              </w:rPr>
              <w:t>信用记录</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bCs/>
                <w:szCs w:val="21"/>
              </w:rPr>
              <w:t>根据财库[2016]125号《关于在政府采购活动中查询及使用信用记录有关问题的通知》要求，采购代理机构会对投标人信用记录进行查询并甄别。信用</w:t>
            </w:r>
            <w:r>
              <w:rPr>
                <w:rFonts w:hint="eastAsia" w:ascii="宋体" w:hAnsi="宋体" w:eastAsia="宋体"/>
                <w:szCs w:val="21"/>
              </w:rPr>
              <w:t>信息查询的截止时点：投标截止时间；</w:t>
            </w:r>
          </w:p>
          <w:p>
            <w:pPr>
              <w:adjustRightInd w:val="0"/>
              <w:snapToGrid w:val="0"/>
              <w:spacing w:line="288" w:lineRule="auto"/>
              <w:rPr>
                <w:rFonts w:ascii="宋体" w:hAnsi="宋体" w:eastAsia="宋体"/>
                <w:szCs w:val="21"/>
              </w:rPr>
            </w:pPr>
            <w:r>
              <w:rPr>
                <w:rFonts w:hint="eastAsia" w:ascii="宋体" w:hAnsi="宋体" w:eastAsia="宋体"/>
                <w:szCs w:val="21"/>
              </w:rPr>
              <w:t>（</w:t>
            </w:r>
            <w:r>
              <w:rPr>
                <w:rFonts w:ascii="宋体" w:hAnsi="宋体" w:eastAsia="宋体"/>
                <w:szCs w:val="21"/>
              </w:rPr>
              <w:t>1</w:t>
            </w:r>
            <w:r>
              <w:rPr>
                <w:rFonts w:hint="eastAsia" w:ascii="宋体" w:hAnsi="宋体" w:eastAsia="宋体"/>
                <w:szCs w:val="21"/>
              </w:rPr>
              <w:t>）查询渠道：“信用中国”（www.creditchina.gov.cn）、“中国政府采购网”（www.ccgp.gov.cn）；</w:t>
            </w:r>
          </w:p>
          <w:p>
            <w:pPr>
              <w:adjustRightInd w:val="0"/>
              <w:snapToGrid w:val="0"/>
              <w:spacing w:line="288" w:lineRule="auto"/>
              <w:rPr>
                <w:rFonts w:ascii="宋体" w:hAnsi="宋体" w:eastAsia="宋体"/>
                <w:szCs w:val="21"/>
              </w:rPr>
            </w:pPr>
            <w:r>
              <w:rPr>
                <w:rFonts w:hint="eastAsia" w:ascii="宋体" w:hAnsi="宋体" w:eastAsia="宋体"/>
                <w:szCs w:val="21"/>
              </w:rPr>
              <w:t>（</w:t>
            </w:r>
            <w:r>
              <w:rPr>
                <w:rFonts w:ascii="宋体" w:hAnsi="宋体" w:eastAsia="宋体"/>
                <w:szCs w:val="21"/>
              </w:rPr>
              <w:t>2</w:t>
            </w:r>
            <w:r>
              <w:rPr>
                <w:rFonts w:hint="eastAsia" w:ascii="宋体" w:hAnsi="宋体" w:eastAsia="宋体"/>
                <w:szCs w:val="21"/>
              </w:rPr>
              <w:t>）信用信息查询记录和证据留存具体方式：采购代理机构经办人和监督人员将查询网页打印、签名与其他采购文件一并保存；</w:t>
            </w:r>
          </w:p>
          <w:p>
            <w:pPr>
              <w:adjustRightInd w:val="0"/>
              <w:snapToGrid w:val="0"/>
              <w:spacing w:line="288" w:lineRule="auto"/>
              <w:rPr>
                <w:rFonts w:ascii="宋体" w:hAnsi="宋体" w:eastAsia="宋体"/>
                <w:szCs w:val="21"/>
              </w:rPr>
            </w:pPr>
            <w:r>
              <w:rPr>
                <w:rFonts w:hint="eastAsia" w:ascii="宋体" w:hAnsi="宋体" w:eastAsia="宋体"/>
                <w:szCs w:val="21"/>
              </w:rPr>
              <w:t>（</w:t>
            </w:r>
            <w:r>
              <w:rPr>
                <w:rFonts w:ascii="宋体" w:hAnsi="宋体" w:eastAsia="宋体"/>
                <w:szCs w:val="21"/>
              </w:rPr>
              <w:t>3</w:t>
            </w:r>
            <w:r>
              <w:rPr>
                <w:rFonts w:hint="eastAsia" w:ascii="宋体" w:hAnsi="宋体" w:eastAsia="宋体"/>
                <w:bCs/>
                <w:szCs w:val="21"/>
              </w:rPr>
              <w:t>）信用信息的使用规则：投标人被列入失信被执行人、重大税收违法案件当事人名单、政府采购严重违法失信行为记录名单的，拒绝其参与政府采购活动。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（九）</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资格审查要求的资格证明材料</w:t>
            </w:r>
          </w:p>
        </w:tc>
        <w:tc>
          <w:tcPr>
            <w:tcW w:w="6663" w:type="dxa"/>
            <w:vAlign w:val="center"/>
          </w:tcPr>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资格审查要求的资格证明材料（均需加盖公章）</w:t>
            </w:r>
          </w:p>
          <w:p>
            <w:pPr>
              <w:adjustRightInd w:val="0"/>
              <w:snapToGrid w:val="0"/>
              <w:spacing w:line="288" w:lineRule="auto"/>
              <w:rPr>
                <w:rFonts w:ascii="宋体" w:hAnsi="宋体" w:eastAsia="宋体"/>
                <w:bCs/>
                <w:szCs w:val="21"/>
              </w:rPr>
            </w:pPr>
            <w:r>
              <w:rPr>
                <w:rFonts w:hint="eastAsia" w:ascii="宋体" w:hAnsi="宋体" w:eastAsia="宋体"/>
                <w:szCs w:val="21"/>
              </w:rPr>
              <w:t>（</w:t>
            </w:r>
            <w:r>
              <w:rPr>
                <w:rFonts w:hint="eastAsia" w:ascii="宋体" w:hAnsi="宋体" w:eastAsia="宋体"/>
                <w:bCs/>
                <w:szCs w:val="21"/>
              </w:rPr>
              <w:t>1）有效的法人或者其他组织的营业执照等证明文件，自然人的身份证明</w:t>
            </w:r>
          </w:p>
          <w:p>
            <w:pPr>
              <w:adjustRightInd w:val="0"/>
              <w:snapToGrid w:val="0"/>
              <w:spacing w:line="288" w:lineRule="auto"/>
              <w:rPr>
                <w:rFonts w:ascii="宋体" w:hAnsi="宋体" w:eastAsia="宋体"/>
                <w:bCs/>
                <w:szCs w:val="21"/>
              </w:rPr>
            </w:pPr>
            <w:r>
              <w:rPr>
                <w:rFonts w:hint="eastAsia" w:ascii="宋体" w:hAnsi="宋体" w:eastAsia="宋体"/>
                <w:szCs w:val="21"/>
              </w:rPr>
              <w:t>（</w:t>
            </w:r>
            <w:r>
              <w:rPr>
                <w:rFonts w:hint="eastAsia" w:ascii="宋体" w:hAnsi="宋体" w:eastAsia="宋体"/>
                <w:bCs/>
                <w:szCs w:val="21"/>
              </w:rPr>
              <w:t>2）符合参加政府采购活动应当具备的一般条件的承诺函</w:t>
            </w:r>
          </w:p>
          <w:p>
            <w:pPr>
              <w:adjustRightInd w:val="0"/>
              <w:snapToGrid w:val="0"/>
              <w:spacing w:line="288" w:lineRule="auto"/>
              <w:rPr>
                <w:rFonts w:ascii="宋体" w:hAnsi="宋体" w:eastAsia="宋体"/>
                <w:bCs/>
                <w:szCs w:val="21"/>
              </w:rPr>
            </w:pPr>
            <w:r>
              <w:rPr>
                <w:rFonts w:hint="eastAsia" w:ascii="宋体" w:hAnsi="宋体" w:eastAsia="宋体"/>
                <w:bCs/>
                <w:szCs w:val="21"/>
              </w:rPr>
              <w:t>（</w:t>
            </w:r>
            <w:r>
              <w:rPr>
                <w:rFonts w:ascii="宋体" w:hAnsi="宋体" w:eastAsia="宋体"/>
                <w:bCs/>
                <w:szCs w:val="21"/>
              </w:rPr>
              <w:t>3</w:t>
            </w:r>
            <w:r>
              <w:rPr>
                <w:rFonts w:hint="eastAsia" w:ascii="宋体" w:hAnsi="宋体" w:eastAsia="宋体"/>
                <w:bCs/>
                <w:szCs w:val="21"/>
              </w:rPr>
              <w:t>）</w:t>
            </w:r>
            <w:r>
              <w:rPr>
                <w:rFonts w:ascii="宋体" w:hAnsi="宋体" w:eastAsia="宋体"/>
                <w:bCs/>
                <w:szCs w:val="21"/>
              </w:rPr>
              <w:t>落实政府采购政策需满足的资格要求：</w:t>
            </w:r>
            <w:r>
              <w:rPr>
                <w:rFonts w:hint="eastAsia" w:ascii="宋体" w:hAnsi="宋体" w:eastAsia="宋体"/>
                <w:bCs/>
                <w:szCs w:val="21"/>
              </w:rPr>
              <w:t>无</w:t>
            </w:r>
          </w:p>
          <w:p>
            <w:pPr>
              <w:adjustRightInd w:val="0"/>
              <w:snapToGrid w:val="0"/>
              <w:spacing w:line="288" w:lineRule="auto"/>
              <w:rPr>
                <w:rFonts w:ascii="宋体" w:hAnsi="宋体" w:eastAsia="宋体"/>
                <w:bCs/>
                <w:szCs w:val="21"/>
              </w:rPr>
            </w:pPr>
            <w:r>
              <w:rPr>
                <w:rFonts w:hint="eastAsia" w:ascii="宋体" w:hAnsi="宋体" w:eastAsia="宋体"/>
                <w:szCs w:val="21"/>
              </w:rPr>
              <w:t>（</w:t>
            </w:r>
            <w:r>
              <w:rPr>
                <w:rFonts w:ascii="宋体" w:hAnsi="宋体" w:eastAsia="宋体"/>
                <w:szCs w:val="21"/>
              </w:rPr>
              <w:t>4）</w:t>
            </w:r>
            <w:r>
              <w:rPr>
                <w:rFonts w:hint="eastAsia" w:ascii="宋体" w:hAnsi="宋体" w:eastAsia="宋体"/>
                <w:szCs w:val="21"/>
              </w:rPr>
              <w:t>本项目的特定资格要求</w:t>
            </w:r>
            <w:r>
              <w:rPr>
                <w:rFonts w:ascii="宋体" w:hAnsi="宋体" w:eastAsia="宋体"/>
                <w:szCs w:val="21"/>
              </w:rPr>
              <w:t>证明材料</w:t>
            </w:r>
            <w:r>
              <w:rPr>
                <w:rFonts w:ascii="宋体" w:hAnsi="宋体" w:eastAsia="宋体"/>
                <w:bCs/>
                <w:szCs w:val="21"/>
              </w:rPr>
              <w:t>：</w:t>
            </w:r>
            <w:r>
              <w:rPr>
                <w:rFonts w:hint="eastAsia" w:ascii="宋体" w:hAnsi="宋体" w:eastAsia="宋体"/>
                <w:bCs/>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（十）</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投标文件份数</w:t>
            </w:r>
          </w:p>
        </w:tc>
        <w:tc>
          <w:tcPr>
            <w:tcW w:w="6663" w:type="dxa"/>
            <w:vAlign w:val="center"/>
          </w:tcPr>
          <w:p>
            <w:pPr>
              <w:adjustRightInd w:val="0"/>
              <w:snapToGrid w:val="0"/>
              <w:spacing w:line="288" w:lineRule="auto"/>
              <w:ind w:firstLine="396" w:firstLineChars="200"/>
              <w:jc w:val="left"/>
              <w:rPr>
                <w:rFonts w:ascii="宋体" w:hAnsi="宋体" w:eastAsia="宋体"/>
                <w:bCs/>
                <w:spacing w:val="-6"/>
                <w:szCs w:val="21"/>
              </w:rPr>
            </w:pPr>
            <w:r>
              <w:rPr>
                <w:rFonts w:hint="eastAsia" w:ascii="宋体" w:hAnsi="宋体" w:eastAsia="宋体"/>
                <w:bCs/>
                <w:spacing w:val="-6"/>
                <w:szCs w:val="21"/>
              </w:rPr>
              <w:t>电子加密投标文件：政府采购云平台在线上传一份；</w:t>
            </w:r>
          </w:p>
          <w:p>
            <w:pPr>
              <w:adjustRightInd w:val="0"/>
              <w:snapToGrid w:val="0"/>
              <w:spacing w:line="288" w:lineRule="auto"/>
              <w:ind w:firstLine="396" w:firstLineChars="200"/>
              <w:jc w:val="left"/>
              <w:rPr>
                <w:rFonts w:ascii="宋体" w:hAnsi="宋体" w:eastAsia="宋体" w:cs="宋体"/>
                <w:bCs/>
                <w:szCs w:val="21"/>
              </w:rPr>
            </w:pPr>
            <w:r>
              <w:rPr>
                <w:rFonts w:hint="eastAsia" w:ascii="宋体" w:hAnsi="宋体" w:eastAsia="宋体"/>
                <w:bCs/>
                <w:spacing w:val="-6"/>
                <w:szCs w:val="21"/>
              </w:rPr>
              <w:t>备份投标文件：密封包装后EMS或顺丰邮寄形式递交一份（邮寄地址：</w:t>
            </w:r>
            <w:r>
              <w:rPr>
                <w:rFonts w:hint="eastAsia" w:ascii="宋体" w:hAnsi="宋体" w:eastAsia="宋体" w:cs="宋体"/>
                <w:bCs/>
                <w:szCs w:val="21"/>
              </w:rPr>
              <w:t>杭州市西湖区玉古路173号中田大厦21楼H室，浙江求是招标代理有限公司（刘冰冰）收，电话：0571-87666117，寄出后将（快递单号、项目名称、公司名称、联系方式等相关信息）发至：zb05@qszb.net，以便查收）。</w:t>
            </w:r>
          </w:p>
          <w:p>
            <w:pPr>
              <w:adjustRightInd w:val="0"/>
              <w:snapToGrid w:val="0"/>
              <w:spacing w:line="288" w:lineRule="auto"/>
              <w:ind w:firstLine="422" w:firstLineChars="200"/>
              <w:jc w:val="left"/>
              <w:rPr>
                <w:rFonts w:ascii="宋体" w:hAnsi="宋体" w:eastAsia="宋体"/>
                <w:bCs/>
                <w:spacing w:val="-6"/>
                <w:szCs w:val="21"/>
              </w:rPr>
            </w:pPr>
            <w:r>
              <w:rPr>
                <w:rFonts w:hint="eastAsia" w:ascii="宋体" w:hAnsi="宋体" w:eastAsia="宋体" w:cs="宋体"/>
                <w:b/>
                <w:szCs w:val="21"/>
              </w:rPr>
              <w:t>特别说明：双休日和法定节假日不收件，投标人自行承担邮寄风险。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（十一）</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投标报价</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szCs w:val="21"/>
              </w:rPr>
              <w:t>1.报价应按招标文件要求的格式编制、填写报价内容（可自行增行），未按招标文件要求编制、填写的投标文件可能被拒绝；</w:t>
            </w:r>
          </w:p>
          <w:p>
            <w:pPr>
              <w:adjustRightInd w:val="0"/>
              <w:snapToGrid w:val="0"/>
              <w:spacing w:line="288" w:lineRule="auto"/>
              <w:rPr>
                <w:rFonts w:ascii="宋体" w:hAnsi="宋体" w:eastAsia="宋体"/>
                <w:szCs w:val="21"/>
              </w:rPr>
            </w:pPr>
            <w:r>
              <w:rPr>
                <w:rFonts w:hint="eastAsia" w:ascii="宋体" w:hAnsi="宋体" w:eastAsia="宋体"/>
                <w:szCs w:val="21"/>
              </w:rPr>
              <w:t>2.以人民币报价；</w:t>
            </w:r>
          </w:p>
          <w:p>
            <w:pPr>
              <w:adjustRightInd w:val="0"/>
              <w:snapToGrid w:val="0"/>
              <w:spacing w:line="288" w:lineRule="auto"/>
              <w:rPr>
                <w:rFonts w:ascii="宋体" w:hAnsi="宋体" w:eastAsia="宋体"/>
                <w:szCs w:val="21"/>
              </w:rPr>
            </w:pPr>
            <w:r>
              <w:rPr>
                <w:rFonts w:hint="eastAsia" w:ascii="宋体" w:hAnsi="宋体" w:eastAsia="宋体"/>
                <w:szCs w:val="21"/>
              </w:rPr>
              <w:t>3.投标报价是履行合同的最终价格，有关本项目实施所涉及的一切费用均计入报价；</w:t>
            </w:r>
          </w:p>
          <w:p>
            <w:pPr>
              <w:adjustRightInd w:val="0"/>
              <w:snapToGrid w:val="0"/>
              <w:spacing w:line="288" w:lineRule="auto"/>
              <w:rPr>
                <w:rFonts w:ascii="宋体" w:hAnsi="宋体" w:eastAsia="宋体"/>
                <w:szCs w:val="21"/>
              </w:rPr>
            </w:pPr>
            <w:r>
              <w:rPr>
                <w:rFonts w:hint="eastAsia" w:ascii="宋体" w:hAnsi="宋体" w:eastAsia="宋体"/>
                <w:szCs w:val="21"/>
              </w:rPr>
              <w:t>4.投标文件只允许有一个报价，有选择的报价将不予接受。</w:t>
            </w:r>
          </w:p>
          <w:p>
            <w:pPr>
              <w:pStyle w:val="15"/>
              <w:adjustRightInd w:val="0"/>
              <w:snapToGrid w:val="0"/>
              <w:spacing w:before="0" w:beforeLines="0" w:after="0" w:afterLines="0" w:line="288" w:lineRule="auto"/>
              <w:jc w:val="left"/>
              <w:rPr>
                <w:rFonts w:hAnsi="宋体" w:eastAsia="宋体" w:cs="宋体"/>
                <w:sz w:val="21"/>
                <w:szCs w:val="21"/>
              </w:rPr>
            </w:pPr>
            <w:r>
              <w:rPr>
                <w:rFonts w:hint="eastAsia" w:hAnsi="宋体" w:eastAsia="宋体" w:cs="宋体"/>
                <w:sz w:val="21"/>
                <w:szCs w:val="21"/>
              </w:rPr>
              <w:t>▲5</w:t>
            </w:r>
            <w:r>
              <w:rPr>
                <w:rFonts w:hAnsi="宋体" w:eastAsia="宋体" w:cs="宋体"/>
                <w:sz w:val="21"/>
                <w:szCs w:val="21"/>
              </w:rPr>
              <w:t>.</w:t>
            </w:r>
            <w:r>
              <w:rPr>
                <w:rFonts w:hint="eastAsia" w:hAnsi="宋体" w:eastAsia="宋体" w:cs="宋体"/>
                <w:sz w:val="21"/>
                <w:szCs w:val="21"/>
              </w:rPr>
              <w:t>采购人将以合同形式有偿取得货物或服务，不接受投标人给予的赠品、回扣或者与采购无关的其他商品、服务</w:t>
            </w:r>
            <w:r>
              <w:rPr>
                <w:rFonts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（十二）</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投标有效期</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szCs w:val="21"/>
              </w:rPr>
              <w:t>▲从提交投标文件的截止之日起</w:t>
            </w:r>
            <w:r>
              <w:rPr>
                <w:rFonts w:ascii="宋体" w:hAnsi="宋体" w:eastAsia="宋体"/>
                <w:szCs w:val="21"/>
              </w:rPr>
              <w:t>90天，在原投标有效期满之前，如果出现特殊情况，采购人或采购代理机构以书面形式通知投标人延长投标有效期。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（十三）</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评标方法及评标标准</w:t>
            </w:r>
          </w:p>
        </w:tc>
        <w:tc>
          <w:tcPr>
            <w:tcW w:w="6663" w:type="dxa"/>
            <w:vAlign w:val="center"/>
          </w:tcPr>
          <w:p>
            <w:pPr>
              <w:adjustRightInd w:val="0"/>
              <w:snapToGrid w:val="0"/>
              <w:spacing w:line="288" w:lineRule="auto"/>
              <w:rPr>
                <w:rFonts w:ascii="宋体" w:hAnsi="宋体" w:eastAsia="宋体"/>
                <w:szCs w:val="21"/>
              </w:rPr>
            </w:pPr>
            <w:r>
              <w:rPr>
                <w:rFonts w:ascii="宋体" w:hAnsi="宋体" w:eastAsia="宋体"/>
                <w:szCs w:val="21"/>
              </w:rPr>
              <w:t>详见“</w:t>
            </w:r>
            <w:r>
              <w:rPr>
                <w:rFonts w:hint="eastAsia" w:ascii="宋体" w:hAnsi="宋体" w:eastAsia="宋体"/>
                <w:szCs w:val="21"/>
              </w:rPr>
              <w:t>第四章  评标方法及评标标准</w:t>
            </w:r>
            <w:r>
              <w:rPr>
                <w:rFonts w:ascii="宋体" w:hAnsi="宋体" w:eastAsia="宋体"/>
                <w:szCs w:val="21"/>
              </w:rPr>
              <w:t>”</w:t>
            </w:r>
            <w:r>
              <w:rPr>
                <w:rFonts w:hint="eastAsia" w:ascii="宋体" w:hAnsi="宋体" w:eastAsia="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ascii="宋体" w:hAnsi="宋体" w:eastAsia="宋体"/>
                <w:szCs w:val="21"/>
              </w:rPr>
              <w:t>（</w:t>
            </w:r>
            <w:r>
              <w:rPr>
                <w:rFonts w:hint="eastAsia" w:ascii="宋体" w:hAnsi="宋体" w:eastAsia="宋体"/>
                <w:szCs w:val="21"/>
              </w:rPr>
              <w:t>十四</w:t>
            </w:r>
            <w:r>
              <w:rPr>
                <w:rFonts w:ascii="宋体" w:hAnsi="宋体" w:eastAsia="宋体"/>
                <w:szCs w:val="21"/>
              </w:rPr>
              <w:t>）</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评标结果公示</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szCs w:val="21"/>
              </w:rPr>
              <w:t>评标结果公示媒体：浙江政府采购网（http：//zfcg.czt.zj.gov.cn）。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（十五）</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签订合同</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szCs w:val="21"/>
              </w:rPr>
              <w:t>中标通知书发出之日起30日内。</w:t>
            </w:r>
          </w:p>
        </w:tc>
      </w:tr>
    </w:tbl>
    <w:p>
      <w:pPr>
        <w:adjustRightInd w:val="0"/>
        <w:snapToGrid w:val="0"/>
        <w:spacing w:line="288" w:lineRule="auto"/>
        <w:rPr>
          <w:rFonts w:ascii="宋体" w:hAnsi="宋体" w:eastAsia="宋体"/>
          <w:szCs w:val="21"/>
        </w:rPr>
      </w:pPr>
    </w:p>
    <w:p>
      <w:pPr>
        <w:adjustRightInd w:val="0"/>
        <w:snapToGrid w:val="0"/>
        <w:spacing w:line="288" w:lineRule="auto"/>
        <w:rPr>
          <w:rFonts w:ascii="宋体" w:hAnsi="宋体" w:eastAsia="宋体"/>
          <w:szCs w:val="21"/>
        </w:rPr>
      </w:pPr>
      <w:r>
        <w:rPr>
          <w:rFonts w:ascii="宋体" w:hAnsi="宋体" w:eastAsia="宋体"/>
          <w:szCs w:val="21"/>
        </w:rPr>
        <w:br w:type="page"/>
      </w:r>
    </w:p>
    <w:p>
      <w:pPr>
        <w:adjustRightInd w:val="0"/>
        <w:snapToGrid w:val="0"/>
        <w:spacing w:line="288" w:lineRule="auto"/>
        <w:jc w:val="center"/>
        <w:outlineLvl w:val="1"/>
        <w:rPr>
          <w:rFonts w:ascii="宋体" w:hAnsi="宋体" w:eastAsia="宋体" w:cs="Times New Roman"/>
          <w:b/>
          <w:spacing w:val="-6"/>
          <w:szCs w:val="21"/>
        </w:rPr>
      </w:pPr>
      <w:r>
        <w:rPr>
          <w:rFonts w:ascii="宋体" w:hAnsi="宋体" w:eastAsia="宋体" w:cs="Times New Roman"/>
          <w:b/>
          <w:spacing w:val="-6"/>
          <w:szCs w:val="21"/>
        </w:rPr>
        <w:t>一</w:t>
      </w:r>
      <w:r>
        <w:rPr>
          <w:rFonts w:hint="eastAsia" w:ascii="宋体" w:hAnsi="宋体" w:eastAsia="宋体" w:cs="Times New Roman"/>
          <w:b/>
          <w:spacing w:val="-6"/>
          <w:szCs w:val="21"/>
        </w:rPr>
        <w:t>、</w:t>
      </w:r>
      <w:r>
        <w:rPr>
          <w:rFonts w:ascii="宋体" w:hAnsi="宋体" w:eastAsia="宋体" w:cs="Times New Roman"/>
          <w:b/>
          <w:spacing w:val="-6"/>
          <w:szCs w:val="21"/>
        </w:rPr>
        <w:t>总</w:t>
      </w:r>
      <w:r>
        <w:rPr>
          <w:rFonts w:hint="eastAsia" w:ascii="宋体" w:hAnsi="宋体" w:eastAsia="宋体" w:cs="Times New Roman"/>
          <w:b/>
          <w:spacing w:val="-6"/>
          <w:szCs w:val="21"/>
        </w:rPr>
        <w:t xml:space="preserve">  </w:t>
      </w:r>
      <w:r>
        <w:rPr>
          <w:rFonts w:ascii="宋体" w:hAnsi="宋体" w:eastAsia="宋体" w:cs="Times New Roman"/>
          <w:b/>
          <w:spacing w:val="-6"/>
          <w:szCs w:val="21"/>
        </w:rPr>
        <w:t>则</w:t>
      </w:r>
    </w:p>
    <w:p>
      <w:pPr>
        <w:adjustRightInd w:val="0"/>
        <w:snapToGrid w:val="0"/>
        <w:spacing w:line="288" w:lineRule="auto"/>
        <w:ind w:firstLine="396" w:firstLineChars="200"/>
        <w:jc w:val="left"/>
        <w:rPr>
          <w:rFonts w:ascii="宋体" w:hAnsi="宋体" w:eastAsia="宋体" w:cs="Times New Roman"/>
          <w:spacing w:val="-6"/>
          <w:szCs w:val="21"/>
        </w:rPr>
      </w:pPr>
      <w:bookmarkStart w:id="40" w:name="_Hlk94018326"/>
      <w:r>
        <w:rPr>
          <w:rFonts w:ascii="宋体" w:hAnsi="宋体" w:eastAsia="宋体" w:cs="Times New Roman"/>
          <w:spacing w:val="-6"/>
          <w:szCs w:val="21"/>
        </w:rPr>
        <w:t>投标人应仔细阅读招标文件的所有内容，按照招标文件的要求提交投标文件，并对所提供的全部资料的真实性承担法律责任。</w:t>
      </w:r>
    </w:p>
    <w:bookmarkEnd w:id="40"/>
    <w:p>
      <w:pPr>
        <w:adjustRightInd w:val="0"/>
        <w:snapToGrid w:val="0"/>
        <w:spacing w:line="288" w:lineRule="auto"/>
        <w:jc w:val="left"/>
        <w:outlineLvl w:val="2"/>
        <w:rPr>
          <w:rFonts w:ascii="宋体" w:hAnsi="宋体" w:eastAsia="宋体" w:cs="Times New Roman"/>
          <w:b/>
          <w:spacing w:val="-6"/>
          <w:szCs w:val="21"/>
        </w:rPr>
      </w:pPr>
      <w:r>
        <w:rPr>
          <w:rFonts w:hint="eastAsia" w:ascii="宋体" w:hAnsi="宋体" w:eastAsia="宋体" w:cs="Times New Roman"/>
          <w:b/>
          <w:spacing w:val="-6"/>
          <w:szCs w:val="21"/>
        </w:rPr>
        <w:t>（一</w:t>
      </w:r>
      <w:r>
        <w:rPr>
          <w:rFonts w:ascii="宋体" w:hAnsi="宋体" w:eastAsia="宋体" w:cs="Times New Roman"/>
          <w:b/>
          <w:spacing w:val="-6"/>
          <w:szCs w:val="21"/>
        </w:rPr>
        <w:t>）</w:t>
      </w:r>
      <w:r>
        <w:rPr>
          <w:rFonts w:hint="eastAsia" w:ascii="宋体" w:hAnsi="宋体" w:eastAsia="宋体" w:cs="Times New Roman"/>
          <w:b/>
          <w:spacing w:val="-6"/>
          <w:szCs w:val="21"/>
        </w:rPr>
        <w:t>适用范围</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本招标文件适用于浙江财经大学学生生活区组团厨房设备的招标、评标、定标、验收、合同履约、付款等（法律、法规另有规定的，从其规定）。</w:t>
      </w:r>
    </w:p>
    <w:p>
      <w:pPr>
        <w:adjustRightInd w:val="0"/>
        <w:snapToGrid w:val="0"/>
        <w:spacing w:line="288" w:lineRule="auto"/>
        <w:jc w:val="left"/>
        <w:outlineLvl w:val="2"/>
        <w:rPr>
          <w:rFonts w:ascii="宋体" w:hAnsi="宋体" w:eastAsia="宋体" w:cs="Times New Roman"/>
          <w:b/>
          <w:spacing w:val="-6"/>
          <w:szCs w:val="21"/>
        </w:rPr>
      </w:pPr>
      <w:r>
        <w:rPr>
          <w:rFonts w:hint="eastAsia" w:ascii="宋体" w:hAnsi="宋体" w:eastAsia="宋体" w:cs="Times New Roman"/>
          <w:b/>
          <w:spacing w:val="-6"/>
          <w:szCs w:val="21"/>
        </w:rPr>
        <w:t>（二）定义</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1.“采购</w:t>
      </w:r>
      <w:r>
        <w:rPr>
          <w:rFonts w:ascii="宋体" w:hAnsi="宋体" w:eastAsia="宋体" w:cs="Times New Roman"/>
          <w:spacing w:val="-6"/>
          <w:szCs w:val="21"/>
        </w:rPr>
        <w:t>人</w:t>
      </w:r>
      <w:r>
        <w:rPr>
          <w:rFonts w:hint="eastAsia" w:ascii="宋体" w:hAnsi="宋体" w:eastAsia="宋体" w:cs="Times New Roman"/>
          <w:spacing w:val="-6"/>
          <w:szCs w:val="21"/>
        </w:rPr>
        <w:t>”系指浙江财经大学；</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2.“采购代理机构”系指组织本次招标的浙江求是招标代理有限公司；</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w:t>
      </w:r>
      <w:r>
        <w:rPr>
          <w:rFonts w:ascii="宋体" w:hAnsi="宋体" w:eastAsia="宋体" w:cs="Times New Roman"/>
          <w:spacing w:val="-6"/>
          <w:szCs w:val="21"/>
        </w:rPr>
        <w:t>.</w:t>
      </w:r>
      <w:r>
        <w:rPr>
          <w:rFonts w:hint="eastAsia" w:ascii="宋体" w:hAnsi="宋体" w:eastAsia="宋体" w:cs="Times New Roman"/>
          <w:spacing w:val="-6"/>
          <w:szCs w:val="21"/>
        </w:rPr>
        <w:t>“投标人”系指响应招标、参加投标竞争的法人、其他组织或者自然人；</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4.“书面形式”包括合同书、信件和数据电文(包括电报、电传、传真、电子数据交换和电子邮件)等可以有形地表现所载内容的形式。</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5.“电子加密投标文件”系指通过政采云电子交易客户端（政采云投标客户端）完成投标文件编制后生成并加密的数据电文形式的投标文件（文件扩展名为.jmbs），“备份投标文件”系指与“电子加密投标文件”同时生成的数据电文形式的电子文件（文件扩展名为.bfbs）；</w:t>
      </w:r>
    </w:p>
    <w:p>
      <w:pPr>
        <w:adjustRightInd w:val="0"/>
        <w:snapToGrid w:val="0"/>
        <w:spacing w:line="288" w:lineRule="auto"/>
        <w:ind w:firstLine="420" w:firstLineChars="200"/>
        <w:jc w:val="left"/>
        <w:rPr>
          <w:rFonts w:ascii="宋体" w:hAnsi="宋体" w:eastAsia="宋体"/>
          <w:szCs w:val="21"/>
        </w:rPr>
      </w:pPr>
      <w:bookmarkStart w:id="41" w:name="_Hlk96327615"/>
      <w:r>
        <w:rPr>
          <w:rFonts w:ascii="宋体" w:hAnsi="宋体" w:eastAsia="宋体"/>
          <w:szCs w:val="21"/>
        </w:rPr>
        <w:t>“电子签名”系指数据电文中以电子形式所含、所附用于识别签名人身份并表明签名人认可其中内容的数据；</w:t>
      </w:r>
      <w:r>
        <w:rPr>
          <w:rFonts w:hint="eastAsia" w:ascii="宋体" w:hAnsi="宋体" w:eastAsia="宋体"/>
          <w:szCs w:val="21"/>
        </w:rPr>
        <w:t>“公章”系指单位法定名称章。因特殊原因需要使用冠以法定名称的业务专用章的，投标时须提供《业务专用章使用说明函》（附件1）。</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招标文件对投标文件签署、盖章的要求适用于电子签名。</w:t>
      </w:r>
    </w:p>
    <w:bookmarkEnd w:id="41"/>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6</w:t>
      </w:r>
      <w:r>
        <w:rPr>
          <w:rFonts w:hint="eastAsia" w:ascii="宋体" w:hAnsi="宋体" w:eastAsia="宋体" w:cs="Times New Roman"/>
          <w:spacing w:val="-6"/>
          <w:szCs w:val="21"/>
        </w:rPr>
        <w:t>.“▲”系指实质性要求条款，投标人应当做出实质性响应。</w:t>
      </w:r>
    </w:p>
    <w:p>
      <w:pPr>
        <w:adjustRightInd w:val="0"/>
        <w:snapToGrid w:val="0"/>
        <w:spacing w:line="288" w:lineRule="auto"/>
        <w:jc w:val="left"/>
        <w:outlineLvl w:val="2"/>
        <w:rPr>
          <w:rFonts w:ascii="宋体" w:hAnsi="宋体" w:eastAsia="宋体" w:cs="Times New Roman"/>
          <w:b/>
          <w:spacing w:val="-6"/>
          <w:szCs w:val="21"/>
        </w:rPr>
      </w:pPr>
      <w:r>
        <w:rPr>
          <w:rFonts w:hint="eastAsia" w:ascii="宋体" w:hAnsi="宋体" w:eastAsia="宋体" w:cs="Times New Roman"/>
          <w:b/>
          <w:spacing w:val="-6"/>
          <w:szCs w:val="21"/>
        </w:rPr>
        <w:t>（三）招标方式</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本次招标采用公开招标（线上电子招投标）方式进行。</w:t>
      </w:r>
    </w:p>
    <w:p>
      <w:pPr>
        <w:adjustRightInd w:val="0"/>
        <w:snapToGrid w:val="0"/>
        <w:spacing w:line="288" w:lineRule="auto"/>
        <w:jc w:val="left"/>
        <w:outlineLvl w:val="2"/>
        <w:rPr>
          <w:rFonts w:ascii="宋体" w:hAnsi="宋体" w:eastAsia="宋体" w:cs="Times New Roman"/>
          <w:b/>
          <w:spacing w:val="-6"/>
          <w:szCs w:val="21"/>
        </w:rPr>
      </w:pPr>
      <w:r>
        <w:rPr>
          <w:rFonts w:hint="eastAsia" w:ascii="宋体" w:hAnsi="宋体" w:eastAsia="宋体" w:cs="Times New Roman"/>
          <w:b/>
          <w:spacing w:val="-6"/>
          <w:szCs w:val="21"/>
        </w:rPr>
        <w:t>（四）投标费用</w:t>
      </w:r>
    </w:p>
    <w:p>
      <w:pPr>
        <w:adjustRightInd w:val="0"/>
        <w:snapToGrid w:val="0"/>
        <w:spacing w:line="288" w:lineRule="auto"/>
        <w:ind w:firstLine="424" w:firstLineChars="202"/>
        <w:rPr>
          <w:rFonts w:ascii="宋体" w:hAnsi="宋体" w:eastAsia="宋体" w:cs="宋体"/>
          <w:szCs w:val="21"/>
        </w:rPr>
      </w:pPr>
      <w:r>
        <w:rPr>
          <w:rFonts w:hint="eastAsia" w:ascii="宋体" w:hAnsi="宋体" w:eastAsia="宋体" w:cs="宋体"/>
          <w:szCs w:val="21"/>
        </w:rPr>
        <w:t>1.不论投标结果如何，投标人均应自行承担所有与投标有关的全部费用；</w:t>
      </w:r>
    </w:p>
    <w:p>
      <w:pPr>
        <w:adjustRightInd w:val="0"/>
        <w:snapToGrid w:val="0"/>
        <w:spacing w:line="288" w:lineRule="auto"/>
        <w:ind w:firstLine="424" w:firstLineChars="202"/>
        <w:rPr>
          <w:rFonts w:ascii="宋体" w:hAnsi="宋体" w:eastAsia="宋体" w:cs="宋体"/>
          <w:szCs w:val="21"/>
        </w:rPr>
      </w:pPr>
      <w:r>
        <w:rPr>
          <w:rFonts w:hint="eastAsia" w:ascii="宋体" w:hAnsi="宋体" w:eastAsia="宋体" w:cs="宋体"/>
          <w:szCs w:val="21"/>
        </w:rPr>
        <w:t>2.中标人在中标通知书发出之日起七个工作日内，向采购代理机构交纳代理服务费；</w:t>
      </w:r>
    </w:p>
    <w:p>
      <w:pPr>
        <w:adjustRightInd w:val="0"/>
        <w:snapToGrid w:val="0"/>
        <w:spacing w:line="288" w:lineRule="auto"/>
        <w:ind w:firstLine="424" w:firstLineChars="202"/>
        <w:rPr>
          <w:rFonts w:ascii="宋体" w:hAnsi="宋体" w:eastAsia="宋体" w:cs="宋体"/>
          <w:szCs w:val="21"/>
        </w:rPr>
      </w:pPr>
      <w:r>
        <w:rPr>
          <w:rFonts w:hint="eastAsia" w:ascii="宋体" w:hAnsi="宋体" w:eastAsia="宋体" w:cs="宋体"/>
          <w:szCs w:val="21"/>
        </w:rPr>
        <w:t>3.中标人逾期支付代理服务费，须承担代理服务费每日百分之三的违约金，逾期十日未支付的，采购代理机构有权向杭州仲裁委员会对中标人提起仲裁，仲裁费用（包括仲裁受理费和仲裁处理费）均由中标人承担。</w:t>
      </w:r>
    </w:p>
    <w:p>
      <w:pPr>
        <w:adjustRightInd w:val="0"/>
        <w:snapToGrid w:val="0"/>
        <w:spacing w:line="288" w:lineRule="auto"/>
        <w:ind w:firstLine="424" w:firstLineChars="202"/>
        <w:jc w:val="left"/>
        <w:rPr>
          <w:rFonts w:ascii="宋体" w:hAnsi="宋体" w:eastAsia="宋体" w:cs="Times New Roman"/>
          <w:spacing w:val="-6"/>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pacing w:val="-6"/>
          <w:szCs w:val="21"/>
        </w:rPr>
        <w:t>收费标准（差额累进）：</w:t>
      </w:r>
    </w:p>
    <w:tbl>
      <w:tblPr>
        <w:tblStyle w:val="27"/>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551"/>
        <w:gridCol w:w="307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中标金额（万元）</w:t>
            </w:r>
          </w:p>
        </w:tc>
        <w:tc>
          <w:tcPr>
            <w:tcW w:w="3070"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收费标准（费率，%）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100以下</w:t>
            </w:r>
          </w:p>
        </w:tc>
        <w:tc>
          <w:tcPr>
            <w:tcW w:w="3070"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1.</w:t>
            </w:r>
            <w:r>
              <w:rPr>
                <w:rFonts w:ascii="宋体" w:hAnsi="宋体" w:eastAsia="宋体"/>
                <w:szCs w:val="21"/>
              </w:rPr>
              <w:t>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100-500</w:t>
            </w:r>
          </w:p>
        </w:tc>
        <w:tc>
          <w:tcPr>
            <w:tcW w:w="3070"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ascii="宋体" w:hAnsi="宋体" w:eastAsia="宋体"/>
                <w:szCs w:val="21"/>
              </w:rPr>
              <w:t>0.77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5621" w:type="dxa"/>
            <w:gridSpan w:val="2"/>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不足2</w:t>
            </w:r>
            <w:r>
              <w:rPr>
                <w:rFonts w:ascii="宋体" w:hAnsi="宋体" w:eastAsia="宋体"/>
                <w:szCs w:val="21"/>
              </w:rPr>
              <w:t>000</w:t>
            </w:r>
            <w:r>
              <w:rPr>
                <w:rFonts w:hint="eastAsia" w:ascii="宋体" w:hAnsi="宋体" w:eastAsia="宋体"/>
                <w:szCs w:val="21"/>
              </w:rPr>
              <w:t>元按2</w:t>
            </w:r>
            <w:r>
              <w:rPr>
                <w:rFonts w:ascii="宋体" w:hAnsi="宋体" w:eastAsia="宋体"/>
                <w:szCs w:val="21"/>
              </w:rPr>
              <w:t>000</w:t>
            </w:r>
            <w:r>
              <w:rPr>
                <w:rFonts w:hint="eastAsia" w:ascii="宋体" w:hAnsi="宋体" w:eastAsia="宋体"/>
                <w:szCs w:val="21"/>
              </w:rPr>
              <w:t>元收取</w:t>
            </w:r>
          </w:p>
        </w:tc>
      </w:tr>
    </w:tbl>
    <w:p>
      <w:pPr>
        <w:adjustRightInd w:val="0"/>
        <w:snapToGrid w:val="0"/>
        <w:spacing w:line="288" w:lineRule="auto"/>
        <w:ind w:firstLine="399" w:firstLineChars="202"/>
        <w:jc w:val="left"/>
        <w:rPr>
          <w:rFonts w:ascii="宋体" w:hAnsi="宋体" w:eastAsia="宋体" w:cs="Times New Roman"/>
          <w:spacing w:val="-6"/>
          <w:szCs w:val="21"/>
        </w:rPr>
      </w:pPr>
      <w:r>
        <w:rPr>
          <w:rFonts w:hint="eastAsia" w:ascii="宋体" w:hAnsi="宋体" w:eastAsia="宋体" w:cs="Times New Roman"/>
          <w:spacing w:val="-6"/>
          <w:szCs w:val="21"/>
        </w:rPr>
        <w:t>5</w:t>
      </w:r>
      <w:r>
        <w:rPr>
          <w:rFonts w:ascii="宋体" w:hAnsi="宋体" w:eastAsia="宋体" w:cs="Times New Roman"/>
          <w:spacing w:val="-6"/>
          <w:szCs w:val="21"/>
        </w:rPr>
        <w:t>.</w:t>
      </w:r>
      <w:r>
        <w:rPr>
          <w:rFonts w:hint="eastAsia" w:ascii="宋体" w:hAnsi="宋体" w:eastAsia="宋体" w:cs="Times New Roman"/>
          <w:spacing w:val="-6"/>
          <w:szCs w:val="21"/>
        </w:rPr>
        <w:t>投标保证金（元）：无。</w:t>
      </w:r>
    </w:p>
    <w:p>
      <w:pPr>
        <w:adjustRightInd w:val="0"/>
        <w:snapToGrid w:val="0"/>
        <w:spacing w:line="288" w:lineRule="auto"/>
        <w:jc w:val="left"/>
        <w:outlineLvl w:val="2"/>
        <w:rPr>
          <w:rFonts w:ascii="宋体" w:hAnsi="宋体" w:eastAsia="宋体" w:cs="Times New Roman"/>
          <w:b/>
          <w:spacing w:val="-6"/>
          <w:szCs w:val="21"/>
        </w:rPr>
      </w:pPr>
      <w:r>
        <w:rPr>
          <w:rFonts w:hint="eastAsia" w:ascii="宋体" w:hAnsi="宋体" w:eastAsia="宋体" w:cs="Times New Roman"/>
          <w:b/>
          <w:spacing w:val="-6"/>
          <w:szCs w:val="21"/>
        </w:rPr>
        <w:t>（五）投标委托</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1</w:t>
      </w:r>
      <w:r>
        <w:rPr>
          <w:rFonts w:hint="eastAsia" w:ascii="宋体" w:hAnsi="宋体" w:eastAsia="宋体" w:cs="Times New Roman"/>
          <w:spacing w:val="-6"/>
          <w:szCs w:val="21"/>
        </w:rPr>
        <w:t>.投标人授权代表必须为投标人本单位在职职工，并提供2021年12月（含）以后任意一月社保缴纳证明（授权代表为法定代表人可不提供）。</w:t>
      </w:r>
    </w:p>
    <w:p>
      <w:pPr>
        <w:adjustRightInd w:val="0"/>
        <w:snapToGrid w:val="0"/>
        <w:spacing w:line="288" w:lineRule="auto"/>
        <w:ind w:firstLine="396" w:firstLineChars="200"/>
        <w:rPr>
          <w:rFonts w:ascii="宋体" w:hAnsi="宋体" w:eastAsia="宋体" w:cs="Times New Roman"/>
          <w:spacing w:val="-6"/>
          <w:szCs w:val="21"/>
        </w:rPr>
      </w:pPr>
      <w:r>
        <w:rPr>
          <w:rFonts w:ascii="宋体" w:hAnsi="宋体" w:eastAsia="宋体" w:cs="Times New Roman"/>
          <w:spacing w:val="-6"/>
          <w:szCs w:val="21"/>
        </w:rPr>
        <w:t>2</w:t>
      </w:r>
      <w:r>
        <w:rPr>
          <w:rFonts w:hint="eastAsia" w:ascii="宋体" w:hAnsi="宋体" w:eastAsia="宋体" w:cs="Times New Roman"/>
          <w:spacing w:val="-6"/>
          <w:szCs w:val="21"/>
        </w:rPr>
        <w:t>.</w:t>
      </w:r>
      <w:r>
        <w:rPr>
          <w:rFonts w:ascii="宋体" w:hAnsi="宋体" w:eastAsia="宋体" w:cs="Times New Roman"/>
          <w:spacing w:val="-6"/>
          <w:szCs w:val="21"/>
        </w:rPr>
        <w:t>如投标人代表不是法定代表人，须提供</w:t>
      </w:r>
      <w:r>
        <w:rPr>
          <w:rFonts w:ascii="宋体" w:hAnsi="宋体" w:eastAsia="宋体" w:cs="Times New Roman"/>
          <w:bCs/>
          <w:spacing w:val="-6"/>
          <w:szCs w:val="21"/>
        </w:rPr>
        <w:t>法定代表人授权</w:t>
      </w:r>
      <w:r>
        <w:rPr>
          <w:rFonts w:hint="eastAsia" w:ascii="宋体" w:hAnsi="宋体" w:eastAsia="宋体" w:cs="Times New Roman"/>
          <w:bCs/>
          <w:spacing w:val="-6"/>
          <w:szCs w:val="21"/>
        </w:rPr>
        <w:t>委托</w:t>
      </w:r>
      <w:r>
        <w:rPr>
          <w:rFonts w:ascii="宋体" w:hAnsi="宋体" w:eastAsia="宋体" w:cs="Times New Roman"/>
          <w:bCs/>
          <w:spacing w:val="-6"/>
          <w:szCs w:val="21"/>
        </w:rPr>
        <w:t>书</w:t>
      </w:r>
      <w:r>
        <w:rPr>
          <w:rFonts w:hint="eastAsia" w:ascii="宋体" w:hAnsi="宋体" w:eastAsia="宋体" w:cs="Times New Roman"/>
          <w:spacing w:val="-6"/>
          <w:szCs w:val="21"/>
        </w:rPr>
        <w:t>（格式详见招标文件第六章）。</w:t>
      </w:r>
    </w:p>
    <w:p>
      <w:pPr>
        <w:adjustRightInd w:val="0"/>
        <w:snapToGrid w:val="0"/>
        <w:spacing w:line="288" w:lineRule="auto"/>
        <w:outlineLvl w:val="2"/>
        <w:rPr>
          <w:rFonts w:ascii="宋体" w:hAnsi="宋体" w:eastAsia="宋体" w:cs="宋体"/>
          <w:b/>
          <w:bCs/>
          <w:szCs w:val="21"/>
        </w:rPr>
      </w:pPr>
      <w:r>
        <w:rPr>
          <w:rFonts w:hint="eastAsia" w:ascii="宋体" w:hAnsi="宋体" w:eastAsia="宋体" w:cs="宋体"/>
          <w:b/>
          <w:bCs/>
          <w:szCs w:val="21"/>
        </w:rPr>
        <w:t>（六）联合体投标</w:t>
      </w:r>
    </w:p>
    <w:p>
      <w:pPr>
        <w:adjustRightInd w:val="0"/>
        <w:snapToGrid w:val="0"/>
        <w:spacing w:line="288" w:lineRule="auto"/>
        <w:ind w:firstLine="420" w:firstLineChars="200"/>
        <w:rPr>
          <w:rFonts w:ascii="宋体" w:hAnsi="宋体" w:eastAsia="宋体" w:cs="宋体"/>
          <w:szCs w:val="21"/>
        </w:rPr>
      </w:pPr>
      <w:r>
        <w:rPr>
          <w:rFonts w:hint="eastAsia" w:ascii="宋体" w:hAnsi="宋体" w:eastAsia="宋体" w:cs="宋体"/>
          <w:szCs w:val="21"/>
        </w:rPr>
        <w:t>本项目</w:t>
      </w:r>
      <w:r>
        <w:rPr>
          <w:rFonts w:hint="eastAsia" w:ascii="宋体" w:hAnsi="宋体" w:eastAsia="宋体"/>
          <w:szCs w:val="21"/>
        </w:rPr>
        <w:t>（是）</w:t>
      </w:r>
      <w:r>
        <w:rPr>
          <w:rFonts w:hint="eastAsia" w:ascii="宋体" w:hAnsi="宋体" w:eastAsia="宋体" w:cs="宋体"/>
          <w:szCs w:val="21"/>
        </w:rPr>
        <w:t>接受联合体投标。</w:t>
      </w:r>
    </w:p>
    <w:p>
      <w:pPr>
        <w:spacing w:line="288" w:lineRule="auto"/>
        <w:ind w:firstLine="420" w:firstLineChars="200"/>
        <w:rPr>
          <w:rFonts w:ascii="宋体" w:hAnsi="宋体" w:eastAsia="宋体" w:cs="Times New Roman"/>
        </w:rPr>
      </w:pPr>
      <w:r>
        <w:rPr>
          <w:rFonts w:hint="eastAsia" w:ascii="宋体" w:hAnsi="宋体" w:eastAsia="宋体" w:cs="Times New Roman"/>
        </w:rPr>
        <w:t>两个以上的自然人、法人或者其他组织可以组成一个联合体，以一个供应商的身份共同参加政府采购。</w:t>
      </w:r>
    </w:p>
    <w:p>
      <w:pPr>
        <w:adjustRightInd w:val="0"/>
        <w:snapToGrid w:val="0"/>
        <w:spacing w:line="288" w:lineRule="auto"/>
        <w:ind w:firstLine="420" w:firstLineChars="200"/>
        <w:rPr>
          <w:rFonts w:ascii="宋体" w:hAnsi="宋体" w:eastAsia="宋体" w:cs="宋体"/>
          <w:szCs w:val="21"/>
        </w:rPr>
      </w:pPr>
      <w:r>
        <w:rPr>
          <w:rFonts w:hint="eastAsia" w:ascii="宋体" w:hAnsi="宋体" w:eastAsia="宋体" w:cs="Times New Roman"/>
        </w:rPr>
        <w:t>以联合体形式进行政府采购的，参加联合体的供应商均应当具备《中华人民共和国政府采购法》第二十二条规定的条件，并应当向采购人提交联合协议，载明联合体各方承担的工作和义务。联合体各方应当共同与采购人签订采购合同，就采购合同约定的事项对采购人承担连带责任。</w:t>
      </w:r>
    </w:p>
    <w:p>
      <w:pPr>
        <w:adjustRightInd w:val="0"/>
        <w:snapToGrid w:val="0"/>
        <w:spacing w:line="288" w:lineRule="auto"/>
        <w:jc w:val="left"/>
        <w:outlineLvl w:val="2"/>
        <w:rPr>
          <w:rFonts w:ascii="宋体" w:hAnsi="宋体" w:eastAsia="宋体" w:cs="Times New Roman"/>
          <w:b/>
          <w:spacing w:val="-6"/>
          <w:szCs w:val="21"/>
        </w:rPr>
      </w:pPr>
      <w:r>
        <w:rPr>
          <w:rFonts w:hint="eastAsia" w:ascii="宋体" w:hAnsi="宋体" w:eastAsia="宋体" w:cs="Times New Roman"/>
          <w:b/>
          <w:spacing w:val="-6"/>
          <w:szCs w:val="21"/>
        </w:rPr>
        <w:t>（七）转包与分包</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w:t>
      </w:r>
      <w:r>
        <w:rPr>
          <w:rFonts w:ascii="宋体" w:hAnsi="宋体" w:eastAsia="宋体" w:cs="Times New Roman"/>
          <w:spacing w:val="-6"/>
          <w:szCs w:val="21"/>
        </w:rPr>
        <w:t>.</w:t>
      </w:r>
      <w:r>
        <w:rPr>
          <w:rFonts w:hint="eastAsia" w:ascii="宋体" w:hAnsi="宋体" w:eastAsia="宋体" w:cs="Times New Roman"/>
          <w:spacing w:val="-6"/>
          <w:szCs w:val="21"/>
        </w:rPr>
        <w:t>本项目不允许转包；</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w:t>
      </w:r>
      <w:r>
        <w:rPr>
          <w:rFonts w:ascii="宋体" w:hAnsi="宋体" w:eastAsia="宋体" w:cs="Times New Roman"/>
          <w:spacing w:val="-6"/>
          <w:szCs w:val="21"/>
        </w:rPr>
        <w:t>.</w:t>
      </w:r>
      <w:r>
        <w:rPr>
          <w:rFonts w:hint="eastAsia" w:ascii="宋体" w:hAnsi="宋体" w:eastAsia="宋体" w:cs="Times New Roman"/>
          <w:spacing w:val="-6"/>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adjustRightInd w:val="0"/>
        <w:snapToGrid w:val="0"/>
        <w:spacing w:line="288" w:lineRule="auto"/>
        <w:jc w:val="left"/>
        <w:outlineLvl w:val="2"/>
        <w:rPr>
          <w:rFonts w:ascii="宋体" w:hAnsi="宋体" w:eastAsia="宋体" w:cs="Times New Roman"/>
          <w:b/>
          <w:spacing w:val="-6"/>
          <w:szCs w:val="21"/>
        </w:rPr>
      </w:pPr>
      <w:r>
        <w:rPr>
          <w:rFonts w:hint="eastAsia" w:ascii="宋体" w:hAnsi="宋体" w:eastAsia="宋体" w:cs="Times New Roman"/>
          <w:b/>
          <w:spacing w:val="-6"/>
          <w:szCs w:val="21"/>
        </w:rPr>
        <w:t>（八）质疑和投诉</w:t>
      </w:r>
    </w:p>
    <w:p>
      <w:pPr>
        <w:adjustRightInd w:val="0"/>
        <w:snapToGrid w:val="0"/>
        <w:spacing w:line="288" w:lineRule="auto"/>
        <w:ind w:firstLine="396" w:firstLineChars="200"/>
        <w:jc w:val="left"/>
        <w:rPr>
          <w:rFonts w:ascii="宋体" w:hAnsi="宋体" w:eastAsia="宋体" w:cs="Times New Roman"/>
          <w:spacing w:val="-6"/>
          <w:szCs w:val="21"/>
        </w:rPr>
      </w:pPr>
      <w:bookmarkStart w:id="42" w:name="_Hlk92273406"/>
      <w:r>
        <w:rPr>
          <w:rFonts w:hint="eastAsia" w:ascii="宋体" w:hAnsi="宋体" w:eastAsia="宋体" w:cs="Times New Roman"/>
          <w:spacing w:val="-6"/>
          <w:szCs w:val="21"/>
        </w:rPr>
        <w:t>1</w:t>
      </w:r>
      <w:r>
        <w:rPr>
          <w:rFonts w:ascii="宋体" w:hAnsi="宋体" w:eastAsia="宋体" w:cs="Times New Roman"/>
          <w:spacing w:val="-6"/>
          <w:szCs w:val="21"/>
        </w:rPr>
        <w:t>.</w:t>
      </w:r>
      <w:r>
        <w:rPr>
          <w:rFonts w:hint="eastAsia" w:ascii="宋体" w:hAnsi="宋体" w:eastAsia="宋体" w:cs="Times New Roman"/>
          <w:spacing w:val="-6"/>
          <w:szCs w:val="21"/>
        </w:rPr>
        <w:t>供应商认为采购文件、采购过程、中标或者成交结果使自己的权益受到损害的，可以在知道或者应知其权益受到损害之日起</w:t>
      </w:r>
      <w:r>
        <w:rPr>
          <w:rFonts w:ascii="宋体" w:hAnsi="宋体" w:eastAsia="宋体" w:cs="Times New Roman"/>
          <w:spacing w:val="-6"/>
          <w:szCs w:val="21"/>
        </w:rPr>
        <w:t>7个工作日内，以书面形式向采购人、采购代理机构提出质疑。</w:t>
      </w:r>
      <w:r>
        <w:rPr>
          <w:rFonts w:hint="eastAsia" w:ascii="宋体" w:hAnsi="宋体" w:eastAsia="宋体" w:cs="Times New Roman"/>
          <w:spacing w:val="-6"/>
          <w:szCs w:val="21"/>
        </w:rPr>
        <w:t>质疑供应商对采购人、采购代理机构的答复不满意，或者采购人、采购代理机构未在规定时间内作出答复的，可以在答复期满后</w:t>
      </w:r>
      <w:r>
        <w:rPr>
          <w:rFonts w:ascii="宋体" w:hAnsi="宋体" w:eastAsia="宋体" w:cs="Times New Roman"/>
          <w:spacing w:val="-6"/>
          <w:szCs w:val="21"/>
        </w:rPr>
        <w:t>15个工作日内向</w:t>
      </w:r>
      <w:r>
        <w:rPr>
          <w:rFonts w:hint="eastAsia" w:ascii="宋体" w:hAnsi="宋体" w:eastAsia="宋体" w:cs="Times New Roman"/>
          <w:spacing w:val="-6"/>
          <w:szCs w:val="21"/>
        </w:rPr>
        <w:t>本级财政部门</w:t>
      </w:r>
      <w:r>
        <w:rPr>
          <w:rFonts w:ascii="宋体" w:hAnsi="宋体" w:eastAsia="宋体" w:cs="Times New Roman"/>
          <w:spacing w:val="-6"/>
          <w:szCs w:val="21"/>
        </w:rPr>
        <w:t>提起投诉。</w:t>
      </w:r>
    </w:p>
    <w:bookmarkEnd w:id="42"/>
    <w:p>
      <w:pPr>
        <w:adjustRightInd w:val="0"/>
        <w:snapToGrid w:val="0"/>
        <w:spacing w:line="288" w:lineRule="auto"/>
        <w:ind w:firstLine="398" w:firstLineChars="200"/>
        <w:jc w:val="left"/>
        <w:rPr>
          <w:rFonts w:ascii="宋体" w:hAnsi="宋体" w:eastAsia="宋体" w:cs="Times New Roman"/>
          <w:b/>
          <w:bCs/>
          <w:spacing w:val="-6"/>
          <w:szCs w:val="21"/>
        </w:rPr>
      </w:pPr>
      <w:r>
        <w:rPr>
          <w:rFonts w:hint="eastAsia" w:ascii="宋体" w:hAnsi="宋体" w:eastAsia="宋体" w:cs="Times New Roman"/>
          <w:b/>
          <w:bCs/>
          <w:spacing w:val="-6"/>
          <w:szCs w:val="21"/>
        </w:rPr>
        <w:t>2.投标人提出质疑应当提交质疑函和必要的证明材料，质疑函范本、投诉书范本请到浙江政府采购网下载专区下载。质疑函应当包括下列内容：</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（1）供应商的姓名或者名称、地址、邮编、联系人及联系电话；</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（2）质疑项目的名称、编号；</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（3）具体、明确的质疑事项和与质疑事项相关的请求；</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（4）事实依据；</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（5）必要的法律依据；</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（6）提出质疑的日期。</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投标人为自然人的，应当由本人签名；投标人为法人或者其他组织的，应当由法定代表人、主要负责人，或者其授权代表签名或者盖章，并加盖公章。</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3.提出质疑的供应商应当是参与本项目招标活动的投标人。</w:t>
      </w:r>
      <w:r>
        <w:rPr>
          <w:rFonts w:hint="eastAsia" w:ascii="宋体" w:hAnsi="宋体" w:eastAsia="宋体" w:cs="Times New Roman"/>
          <w:b/>
          <w:spacing w:val="-6"/>
          <w:szCs w:val="21"/>
        </w:rPr>
        <w:t>投标人在法定质疑期内应一次性提出针对同一采购程序环节的质疑。</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4.根据《政府采购质疑和投诉办法》第三十七条的规定，投诉人在全国范围</w:t>
      </w:r>
      <w:r>
        <w:rPr>
          <w:rFonts w:ascii="宋体" w:hAnsi="宋体" w:eastAsia="宋体" w:cs="Times New Roman"/>
          <w:spacing w:val="-6"/>
          <w:szCs w:val="21"/>
        </w:rPr>
        <w:t>12</w:t>
      </w:r>
      <w:r>
        <w:rPr>
          <w:rFonts w:hint="eastAsia" w:ascii="宋体" w:hAnsi="宋体" w:eastAsia="宋体" w:cs="Times New Roman"/>
          <w:spacing w:val="-6"/>
          <w:szCs w:val="21"/>
        </w:rPr>
        <w:t>个月内三次以上投诉查无实据的，由财政部门列入不良行为记录名单。</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投诉人有下列行为之一的，属于虚假、恶意投诉，由财政部门列入不良行为记录名单，禁止其</w:t>
      </w:r>
      <w:r>
        <w:rPr>
          <w:rFonts w:ascii="宋体" w:hAnsi="宋体" w:eastAsia="宋体" w:cs="Times New Roman"/>
          <w:spacing w:val="-6"/>
          <w:szCs w:val="21"/>
        </w:rPr>
        <w:t>1</w:t>
      </w:r>
      <w:r>
        <w:rPr>
          <w:rFonts w:hint="eastAsia" w:ascii="宋体" w:hAnsi="宋体" w:eastAsia="宋体" w:cs="Times New Roman"/>
          <w:spacing w:val="-6"/>
          <w:szCs w:val="21"/>
        </w:rPr>
        <w:t>至</w:t>
      </w:r>
      <w:r>
        <w:rPr>
          <w:rFonts w:ascii="宋体" w:hAnsi="宋体" w:eastAsia="宋体" w:cs="Times New Roman"/>
          <w:spacing w:val="-6"/>
          <w:szCs w:val="21"/>
        </w:rPr>
        <w:t>3</w:t>
      </w:r>
      <w:r>
        <w:rPr>
          <w:rFonts w:hint="eastAsia" w:ascii="宋体" w:hAnsi="宋体" w:eastAsia="宋体" w:cs="Times New Roman"/>
          <w:spacing w:val="-6"/>
          <w:szCs w:val="21"/>
        </w:rPr>
        <w:t>年内参加政府采购活动：</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（1）捏造事实；</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（2）提供虚假材料；</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（3）以非法手段取得证明材料。证据来源的合法性存在明显疑问，投诉人无法证明其取得方式合法的，视为以非法手段取得证明材料。</w:t>
      </w:r>
    </w:p>
    <w:p>
      <w:pPr>
        <w:adjustRightInd w:val="0"/>
        <w:snapToGrid w:val="0"/>
        <w:spacing w:line="288" w:lineRule="auto"/>
        <w:outlineLvl w:val="2"/>
        <w:rPr>
          <w:rFonts w:ascii="宋体" w:hAnsi="宋体" w:eastAsia="宋体" w:cs="宋体"/>
          <w:b/>
          <w:spacing w:val="-6"/>
          <w:kern w:val="0"/>
          <w:szCs w:val="21"/>
        </w:rPr>
      </w:pPr>
      <w:bookmarkStart w:id="43" w:name="_Hlk92273111"/>
      <w:bookmarkStart w:id="44" w:name="_Hlk94018492"/>
      <w:r>
        <w:rPr>
          <w:rFonts w:ascii="宋体" w:hAnsi="宋体" w:eastAsia="宋体" w:cs="宋体"/>
          <w:b/>
          <w:spacing w:val="-6"/>
          <w:kern w:val="0"/>
          <w:szCs w:val="21"/>
        </w:rPr>
        <w:t>（</w:t>
      </w:r>
      <w:r>
        <w:rPr>
          <w:rFonts w:hint="eastAsia" w:ascii="宋体" w:hAnsi="宋体" w:eastAsia="宋体" w:cs="宋体"/>
          <w:b/>
          <w:spacing w:val="-6"/>
          <w:kern w:val="0"/>
          <w:szCs w:val="21"/>
        </w:rPr>
        <w:t>九</w:t>
      </w:r>
      <w:r>
        <w:rPr>
          <w:rFonts w:ascii="宋体" w:hAnsi="宋体" w:eastAsia="宋体" w:cs="宋体"/>
          <w:b/>
          <w:spacing w:val="-6"/>
          <w:kern w:val="0"/>
          <w:szCs w:val="21"/>
        </w:rPr>
        <w:t>）</w:t>
      </w:r>
      <w:r>
        <w:rPr>
          <w:rFonts w:hint="eastAsia" w:ascii="宋体" w:hAnsi="宋体" w:eastAsia="宋体" w:cs="宋体"/>
          <w:b/>
          <w:spacing w:val="-6"/>
          <w:kern w:val="0"/>
          <w:szCs w:val="21"/>
        </w:rPr>
        <w:t>采购项目需要落实的政府采购政策</w:t>
      </w:r>
    </w:p>
    <w:p>
      <w:pPr>
        <w:adjustRightInd w:val="0"/>
        <w:snapToGrid w:val="0"/>
        <w:spacing w:line="288" w:lineRule="auto"/>
        <w:ind w:firstLine="398" w:firstLineChars="200"/>
        <w:jc w:val="left"/>
        <w:rPr>
          <w:rFonts w:ascii="宋体" w:hAnsi="宋体" w:eastAsia="宋体" w:cs="Times New Roman"/>
          <w:spacing w:val="-6"/>
          <w:szCs w:val="21"/>
        </w:rPr>
      </w:pPr>
      <w:r>
        <w:rPr>
          <w:rFonts w:hint="eastAsia" w:ascii="宋体" w:hAnsi="宋体" w:eastAsia="宋体" w:cs="Times New Roman"/>
          <w:b/>
          <w:bCs/>
          <w:spacing w:val="-6"/>
          <w:szCs w:val="21"/>
        </w:rPr>
        <w:t>1</w:t>
      </w:r>
      <w:r>
        <w:rPr>
          <w:rFonts w:ascii="宋体" w:hAnsi="宋体" w:eastAsia="宋体" w:cs="Times New Roman"/>
          <w:b/>
          <w:bCs/>
          <w:spacing w:val="-6"/>
          <w:szCs w:val="21"/>
        </w:rPr>
        <w:t>.</w:t>
      </w:r>
      <w:r>
        <w:rPr>
          <w:rFonts w:ascii="宋体" w:hAnsi="宋体" w:eastAsia="宋体" w:cs="Times New Roman"/>
          <w:spacing w:val="-6"/>
          <w:szCs w:val="21"/>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adjustRightInd w:val="0"/>
        <w:snapToGrid w:val="0"/>
        <w:spacing w:line="288" w:lineRule="auto"/>
        <w:ind w:firstLine="398" w:firstLineChars="200"/>
        <w:jc w:val="left"/>
        <w:rPr>
          <w:rFonts w:ascii="宋体" w:hAnsi="宋体" w:eastAsia="宋体" w:cs="Times New Roman"/>
          <w:b/>
          <w:bCs/>
          <w:spacing w:val="-6"/>
          <w:szCs w:val="21"/>
        </w:rPr>
      </w:pPr>
      <w:r>
        <w:rPr>
          <w:rFonts w:ascii="宋体" w:hAnsi="宋体" w:eastAsia="宋体" w:cs="Times New Roman"/>
          <w:b/>
          <w:bCs/>
          <w:spacing w:val="-6"/>
          <w:szCs w:val="21"/>
        </w:rPr>
        <w:t>2.支持绿色发展</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采购人拟采购的产品属于品目清单范围的，采购人及其委托的采购代理机构将依据国家确定的认证机构出具的、有效的节能产品、环境标志产品认证证书，对获得证书的产品实施政府优先采购或强制采购。投标人须按招标文件要求提供相关产品认证证书。</w:t>
      </w:r>
    </w:p>
    <w:p>
      <w:pPr>
        <w:adjustRightInd w:val="0"/>
        <w:snapToGrid w:val="0"/>
        <w:spacing w:line="288" w:lineRule="auto"/>
        <w:ind w:firstLine="396" w:firstLineChars="200"/>
        <w:jc w:val="left"/>
        <w:rPr>
          <w:rFonts w:ascii="宋体" w:hAnsi="宋体" w:eastAsia="宋体" w:cs="Times New Roman"/>
          <w:spacing w:val="-6"/>
          <w:szCs w:val="21"/>
          <w:u w:val="single"/>
        </w:rPr>
      </w:pPr>
      <w:r>
        <w:rPr>
          <w:rFonts w:ascii="宋体" w:hAnsi="宋体" w:eastAsia="宋体" w:cs="Times New Roman"/>
          <w:spacing w:val="-6"/>
          <w:szCs w:val="21"/>
          <w:u w:val="single"/>
        </w:rPr>
        <w:t>▲采购人拟采购的产品属于政府强制采购的节能产品品目清单范围的，投标人未按招标文件要求提供国家确定的认证机构出具的、有效的节能产品认证证书的，投标无效。</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修缮、装修类项目采购建材的，采购人应将绿色建筑和绿色建材性能、指标等作为实质性条件纳入招标文件和合同。</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adjustRightInd w:val="0"/>
        <w:snapToGrid w:val="0"/>
        <w:spacing w:line="288" w:lineRule="auto"/>
        <w:ind w:firstLine="398" w:firstLineChars="200"/>
        <w:jc w:val="left"/>
        <w:rPr>
          <w:rFonts w:ascii="宋体" w:hAnsi="宋体" w:eastAsia="宋体" w:cs="Times New Roman"/>
          <w:b/>
          <w:bCs/>
          <w:spacing w:val="-6"/>
          <w:szCs w:val="21"/>
        </w:rPr>
      </w:pPr>
      <w:r>
        <w:rPr>
          <w:rFonts w:ascii="宋体" w:hAnsi="宋体" w:eastAsia="宋体" w:cs="Times New Roman"/>
          <w:b/>
          <w:bCs/>
          <w:spacing w:val="-6"/>
          <w:szCs w:val="21"/>
        </w:rPr>
        <w:t>3.支持中小企业发展</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中小企业，是指在中华人民共和国境内依法设立，依据国务院批准的中小企业划分标准确定的中型企业、小型企业和微型企业，但与大企业的负责人为同一人，或者与大企业存在直接控股、管理关系的除外。</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符合中小企业划分标准的个体工商户，在政府采购活动中视同中小企业。</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在政府采购活动中，投标人提供的货物、工程或者服务符合下列情形的，享受中小企业扶持政策：</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在货物采购项目中，投标人提供的货物既有中小企业制造货物，也有大型企业制造货物的，不享受中小企业扶持政策。</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以联合体形式参加政府采购活动，联合体各方均为中小企业的，联合体视同中小企业。其中，联合体各方均为小微企业的，联合体视同小微企业。</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对于未预留份额专门面向中小企业的政府采购货物或服务项目，以及预留份额政府采购货物或服务项目中的非预留部分标项，对小型和微型企业的投标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w:t>
      </w:r>
      <w:r>
        <w:rPr>
          <w:rFonts w:hint="eastAsia" w:ascii="宋体" w:hAnsi="宋体" w:eastAsia="宋体" w:cs="Times New Roman"/>
          <w:spacing w:val="-6"/>
          <w:szCs w:val="21"/>
        </w:rPr>
        <w:t>股、管理关系的，不享受价格扣除优惠政策。</w:t>
      </w:r>
    </w:p>
    <w:p>
      <w:pPr>
        <w:adjustRightInd w:val="0"/>
        <w:snapToGrid w:val="0"/>
        <w:spacing w:line="288" w:lineRule="auto"/>
        <w:ind w:firstLine="396" w:firstLineChars="200"/>
        <w:jc w:val="left"/>
        <w:rPr>
          <w:rFonts w:ascii="宋体" w:hAnsi="宋体" w:eastAsia="宋体" w:cs="Times New Roman"/>
          <w:spacing w:val="-6"/>
          <w:szCs w:val="21"/>
          <w:u w:val="single"/>
        </w:rPr>
      </w:pPr>
      <w:r>
        <w:rPr>
          <w:rFonts w:ascii="宋体" w:hAnsi="宋体" w:eastAsia="宋体" w:cs="Times New Roman"/>
          <w:spacing w:val="-6"/>
          <w:szCs w:val="21"/>
          <w:u w:val="single"/>
        </w:rPr>
        <w:t>符合《关于促进残疾人就业政府采购政策的通知》（财库〔2017〕141号）规定的条件并提供《残疾人福利性单位声明函》的残疾人福利性单位视同小型、微型企业；</w:t>
      </w:r>
    </w:p>
    <w:p>
      <w:pPr>
        <w:adjustRightInd w:val="0"/>
        <w:snapToGrid w:val="0"/>
        <w:spacing w:line="288" w:lineRule="auto"/>
        <w:ind w:firstLine="396" w:firstLineChars="200"/>
        <w:jc w:val="left"/>
        <w:rPr>
          <w:rFonts w:ascii="宋体" w:hAnsi="宋体" w:eastAsia="宋体" w:cs="Times New Roman"/>
          <w:spacing w:val="-6"/>
          <w:szCs w:val="21"/>
          <w:u w:val="single"/>
        </w:rPr>
      </w:pPr>
      <w:r>
        <w:rPr>
          <w:rFonts w:ascii="宋体" w:hAnsi="宋体" w:eastAsia="宋体" w:cs="Times New Roman"/>
          <w:spacing w:val="-6"/>
          <w:szCs w:val="21"/>
          <w:u w:val="single"/>
        </w:rPr>
        <w:t>符合《关于政府采购支持监狱企业发展有关问题的通知》（财库[2014]68号）规定的监狱企业并提供由省级以上监狱管理局、戒毒管理局（含新疆生产建设兵团）出具的属于监狱企业证明文件的，视同为小型、微型企业。</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中小企业享受扶持政策获得政府采购合同的，小微企业不得将合同分包给大中型企业，中型企业不得将合同分包给大型企业。</w:t>
      </w:r>
      <w:bookmarkEnd w:id="43"/>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除财库</w:t>
      </w:r>
      <w:r>
        <w:rPr>
          <w:rFonts w:ascii="宋体" w:hAnsi="宋体" w:eastAsia="宋体" w:cs="Times New Roman"/>
          <w:spacing w:val="-6"/>
          <w:szCs w:val="21"/>
        </w:rPr>
        <w:t>《政府采购促进中小企业发展管理办法》</w:t>
      </w:r>
      <w:r>
        <w:rPr>
          <w:rFonts w:hint="eastAsia" w:ascii="宋体" w:hAnsi="宋体" w:eastAsia="宋体" w:cs="Times New Roman"/>
          <w:spacing w:val="-6"/>
          <w:szCs w:val="21"/>
        </w:rPr>
        <w:t>（财库〔</w:t>
      </w:r>
      <w:r>
        <w:rPr>
          <w:rFonts w:ascii="宋体" w:hAnsi="宋体" w:eastAsia="宋体" w:cs="Times New Roman"/>
          <w:spacing w:val="-6"/>
          <w:szCs w:val="21"/>
        </w:rPr>
        <w:t>2020〕46号</w:t>
      </w:r>
      <w:r>
        <w:rPr>
          <w:rFonts w:hint="eastAsia" w:ascii="宋体" w:hAnsi="宋体" w:eastAsia="宋体" w:cs="Times New Roman"/>
          <w:spacing w:val="-6"/>
          <w:szCs w:val="21"/>
        </w:rPr>
        <w:t>）、</w:t>
      </w:r>
      <w:r>
        <w:rPr>
          <w:rFonts w:ascii="宋体" w:hAnsi="宋体" w:eastAsia="宋体" w:cs="Times New Roman"/>
          <w:spacing w:val="-6"/>
          <w:szCs w:val="21"/>
        </w:rPr>
        <w:t>《关于促进残疾人就业政府采购政策的通知》（财库〔2017〕141号）</w:t>
      </w:r>
      <w:r>
        <w:rPr>
          <w:rFonts w:hint="eastAsia" w:ascii="宋体" w:hAnsi="宋体" w:eastAsia="宋体" w:cs="Times New Roman"/>
          <w:spacing w:val="-6"/>
          <w:szCs w:val="21"/>
        </w:rPr>
        <w:t>、</w:t>
      </w:r>
      <w:r>
        <w:rPr>
          <w:rFonts w:ascii="宋体" w:hAnsi="宋体" w:eastAsia="宋体" w:cs="Times New Roman"/>
          <w:spacing w:val="-6"/>
          <w:szCs w:val="21"/>
        </w:rPr>
        <w:t>《关于政府采购支持监狱企业发展有关问题的通知》（财库[2014]68号）规定企业类型以外的供应商不享受中小企业扶持政策</w:t>
      </w:r>
      <w:r>
        <w:rPr>
          <w:rFonts w:hint="eastAsia" w:ascii="宋体" w:hAnsi="宋体" w:eastAsia="宋体" w:cs="Times New Roman"/>
          <w:spacing w:val="-6"/>
          <w:szCs w:val="21"/>
        </w:rPr>
        <w:t>。</w:t>
      </w:r>
    </w:p>
    <w:bookmarkEnd w:id="44"/>
    <w:p>
      <w:pPr>
        <w:adjustRightInd w:val="0"/>
        <w:snapToGrid w:val="0"/>
        <w:spacing w:line="288" w:lineRule="auto"/>
        <w:ind w:firstLine="398" w:firstLineChars="200"/>
        <w:jc w:val="left"/>
        <w:rPr>
          <w:rFonts w:ascii="宋体" w:hAnsi="宋体" w:eastAsia="宋体" w:cs="Times New Roman"/>
          <w:b/>
          <w:spacing w:val="-6"/>
          <w:szCs w:val="21"/>
        </w:rPr>
      </w:pPr>
      <w:r>
        <w:rPr>
          <w:rFonts w:ascii="宋体" w:hAnsi="宋体" w:eastAsia="宋体" w:cs="Times New Roman"/>
          <w:b/>
          <w:spacing w:val="-6"/>
          <w:szCs w:val="21"/>
        </w:rPr>
        <w:br w:type="page"/>
      </w:r>
    </w:p>
    <w:p>
      <w:pPr>
        <w:adjustRightInd w:val="0"/>
        <w:snapToGrid w:val="0"/>
        <w:spacing w:line="288" w:lineRule="auto"/>
        <w:jc w:val="center"/>
        <w:outlineLvl w:val="1"/>
        <w:rPr>
          <w:rFonts w:ascii="宋体" w:hAnsi="宋体" w:eastAsia="宋体" w:cs="Times New Roman"/>
          <w:b/>
          <w:spacing w:val="-6"/>
          <w:szCs w:val="21"/>
        </w:rPr>
      </w:pPr>
      <w:r>
        <w:rPr>
          <w:rFonts w:ascii="宋体" w:hAnsi="宋体" w:eastAsia="宋体" w:cs="Times New Roman"/>
          <w:b/>
          <w:spacing w:val="-6"/>
          <w:szCs w:val="21"/>
        </w:rPr>
        <w:t>二</w:t>
      </w:r>
      <w:r>
        <w:rPr>
          <w:rFonts w:hint="eastAsia" w:ascii="宋体" w:hAnsi="宋体" w:eastAsia="宋体" w:cs="Times New Roman"/>
          <w:b/>
          <w:spacing w:val="-6"/>
          <w:szCs w:val="21"/>
        </w:rPr>
        <w:t>、招标文件</w:t>
      </w:r>
    </w:p>
    <w:p>
      <w:pPr>
        <w:adjustRightInd w:val="0"/>
        <w:snapToGrid w:val="0"/>
        <w:spacing w:line="288" w:lineRule="auto"/>
        <w:jc w:val="left"/>
        <w:rPr>
          <w:rFonts w:ascii="宋体" w:hAnsi="宋体" w:eastAsia="宋体" w:cs="Times New Roman"/>
          <w:b/>
          <w:spacing w:val="-6"/>
          <w:szCs w:val="21"/>
        </w:rPr>
      </w:pPr>
      <w:r>
        <w:rPr>
          <w:rFonts w:hint="eastAsia" w:ascii="宋体" w:hAnsi="宋体" w:eastAsia="宋体" w:cs="Times New Roman"/>
          <w:b/>
          <w:spacing w:val="-6"/>
          <w:szCs w:val="21"/>
        </w:rPr>
        <w:t>（一）招标文件的构成</w:t>
      </w:r>
    </w:p>
    <w:p>
      <w:pPr>
        <w:adjustRightInd w:val="0"/>
        <w:snapToGrid w:val="0"/>
        <w:spacing w:line="288" w:lineRule="auto"/>
        <w:ind w:firstLine="398" w:firstLineChars="200"/>
        <w:jc w:val="left"/>
        <w:rPr>
          <w:rFonts w:ascii="宋体" w:hAnsi="宋体" w:eastAsia="宋体" w:cs="Times New Roman"/>
          <w:b/>
          <w:spacing w:val="-6"/>
          <w:szCs w:val="21"/>
        </w:rPr>
      </w:pPr>
      <w:r>
        <w:rPr>
          <w:rFonts w:hint="eastAsia" w:ascii="宋体" w:hAnsi="宋体" w:eastAsia="宋体" w:cs="Times New Roman"/>
          <w:b/>
          <w:spacing w:val="-6"/>
          <w:szCs w:val="21"/>
        </w:rPr>
        <w:t>本招标文件由以下部分组成：</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1.投标邀请</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2.采购需求</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3.投标人须知</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4.评标方法及评标标准</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5.拟签订的合同文本</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6.投标文件格式</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7.本项目招标文件的澄清、答复、修改、补充的内容</w:t>
      </w:r>
    </w:p>
    <w:p>
      <w:pPr>
        <w:adjustRightInd w:val="0"/>
        <w:snapToGrid w:val="0"/>
        <w:spacing w:line="288" w:lineRule="auto"/>
        <w:jc w:val="left"/>
        <w:rPr>
          <w:rFonts w:ascii="宋体" w:hAnsi="宋体" w:eastAsia="宋体" w:cs="Times New Roman"/>
          <w:b/>
          <w:spacing w:val="-6"/>
          <w:szCs w:val="21"/>
        </w:rPr>
      </w:pPr>
      <w:r>
        <w:rPr>
          <w:rFonts w:hint="eastAsia" w:ascii="宋体" w:hAnsi="宋体" w:eastAsia="宋体" w:cs="Times New Roman"/>
          <w:b/>
          <w:spacing w:val="-6"/>
          <w:szCs w:val="21"/>
        </w:rPr>
        <w:t>（二）招标文件的澄清与修改</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w:t>
      </w:r>
      <w:r>
        <w:rPr>
          <w:rFonts w:ascii="宋体" w:hAnsi="宋体" w:eastAsia="宋体" w:cs="Times New Roman"/>
          <w:spacing w:val="-6"/>
          <w:szCs w:val="21"/>
        </w:rPr>
        <w:t>.采购人或者采购代理机构可以对已发出的招标文件进行必要的澄清或者修改</w:t>
      </w:r>
      <w:r>
        <w:rPr>
          <w:rFonts w:hint="eastAsia" w:ascii="宋体" w:hAnsi="宋体" w:eastAsia="宋体" w:cs="Times New Roman"/>
          <w:spacing w:val="-6"/>
          <w:szCs w:val="21"/>
        </w:rPr>
        <w:t>，</w:t>
      </w:r>
      <w:r>
        <w:rPr>
          <w:rFonts w:ascii="宋体" w:hAnsi="宋体" w:eastAsia="宋体" w:cs="Times New Roman"/>
          <w:spacing w:val="-6"/>
          <w:szCs w:val="21"/>
        </w:rPr>
        <w:t>澄清或者修改</w:t>
      </w:r>
      <w:r>
        <w:rPr>
          <w:rFonts w:hint="eastAsia" w:ascii="宋体" w:hAnsi="宋体" w:eastAsia="宋体" w:cs="Times New Roman"/>
          <w:spacing w:val="-6"/>
          <w:szCs w:val="21"/>
        </w:rPr>
        <w:t>会</w:t>
      </w:r>
      <w:r>
        <w:rPr>
          <w:rFonts w:ascii="宋体" w:hAnsi="宋体" w:eastAsia="宋体" w:cs="Times New Roman"/>
          <w:spacing w:val="-6"/>
          <w:szCs w:val="21"/>
        </w:rPr>
        <w:t>在原公告发布媒体上发布澄清公告</w:t>
      </w:r>
      <w:r>
        <w:rPr>
          <w:rFonts w:hint="eastAsia" w:ascii="宋体" w:hAnsi="宋体" w:eastAsia="宋体" w:cs="Times New Roman"/>
          <w:spacing w:val="-6"/>
          <w:szCs w:val="21"/>
        </w:rPr>
        <w:t>，</w:t>
      </w:r>
      <w:r>
        <w:rPr>
          <w:rFonts w:ascii="宋体" w:hAnsi="宋体" w:eastAsia="宋体" w:cs="Times New Roman"/>
          <w:spacing w:val="-6"/>
          <w:szCs w:val="21"/>
        </w:rPr>
        <w:t>澄清或者修改的内容为招标文件的组成部分。</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澄清或者修改的内容可能影响投标文件编制的，采购人或者采购代理机构会在投标截止时间至少15日前，以书面形式通知所有获取招标文件的潜在投标人；不足15日的，采购人或者采购代理机构会顺延提交投标文件的截止时间。</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2.招标文件的修改将以书面形式通知所有获取招标文件的投标人，并对其具有约束力。投标人在收到上述通知后，应立即向采购</w:t>
      </w:r>
      <w:r>
        <w:rPr>
          <w:rFonts w:ascii="宋体" w:hAnsi="宋体" w:eastAsia="宋体" w:cs="Times New Roman"/>
          <w:spacing w:val="-6"/>
          <w:szCs w:val="21"/>
        </w:rPr>
        <w:t>代理机构</w:t>
      </w:r>
      <w:r>
        <w:rPr>
          <w:rFonts w:hint="eastAsia" w:ascii="宋体" w:hAnsi="宋体" w:eastAsia="宋体" w:cs="Times New Roman"/>
          <w:spacing w:val="-6"/>
          <w:szCs w:val="21"/>
        </w:rPr>
        <w:t>回函确认。若无书面回函确认，视同投标人已收到招标文件修改的通知，并受其约束。</w:t>
      </w:r>
    </w:p>
    <w:p>
      <w:pPr>
        <w:adjustRightInd w:val="0"/>
        <w:snapToGrid w:val="0"/>
        <w:spacing w:line="288" w:lineRule="auto"/>
        <w:jc w:val="center"/>
        <w:outlineLvl w:val="1"/>
        <w:rPr>
          <w:rFonts w:ascii="宋体" w:hAnsi="宋体" w:eastAsia="宋体" w:cs="Times New Roman"/>
          <w:spacing w:val="-6"/>
          <w:szCs w:val="21"/>
        </w:rPr>
      </w:pPr>
      <w:r>
        <w:rPr>
          <w:rFonts w:ascii="宋体" w:hAnsi="宋体" w:eastAsia="宋体" w:cs="Times New Roman"/>
          <w:spacing w:val="-6"/>
          <w:szCs w:val="21"/>
        </w:rPr>
        <w:br w:type="page"/>
      </w:r>
      <w:r>
        <w:rPr>
          <w:rFonts w:ascii="宋体" w:hAnsi="宋体" w:eastAsia="宋体" w:cs="Times New Roman"/>
          <w:b/>
          <w:spacing w:val="-6"/>
          <w:szCs w:val="21"/>
        </w:rPr>
        <w:t>三</w:t>
      </w:r>
      <w:r>
        <w:rPr>
          <w:rFonts w:hint="eastAsia" w:ascii="宋体" w:hAnsi="宋体" w:eastAsia="宋体" w:cs="Times New Roman"/>
          <w:b/>
          <w:spacing w:val="-6"/>
          <w:szCs w:val="21"/>
        </w:rPr>
        <w:t>、</w:t>
      </w:r>
      <w:r>
        <w:rPr>
          <w:rFonts w:ascii="宋体" w:hAnsi="宋体" w:eastAsia="宋体" w:cs="Times New Roman"/>
          <w:b/>
          <w:spacing w:val="-6"/>
          <w:szCs w:val="21"/>
        </w:rPr>
        <w:t>投标文件编制要求</w:t>
      </w:r>
    </w:p>
    <w:p>
      <w:pPr>
        <w:adjustRightInd w:val="0"/>
        <w:snapToGrid w:val="0"/>
        <w:spacing w:line="288" w:lineRule="auto"/>
        <w:jc w:val="left"/>
        <w:rPr>
          <w:rFonts w:ascii="宋体" w:hAnsi="宋体" w:eastAsia="宋体" w:cs="Times New Roman"/>
          <w:b/>
          <w:spacing w:val="-6"/>
          <w:szCs w:val="21"/>
        </w:rPr>
      </w:pPr>
      <w:r>
        <w:rPr>
          <w:rFonts w:hint="eastAsia" w:ascii="宋体" w:hAnsi="宋体" w:eastAsia="宋体" w:cs="Times New Roman"/>
          <w:b/>
          <w:spacing w:val="-6"/>
          <w:szCs w:val="21"/>
        </w:rPr>
        <w:t>（一）投标文件的组成</w:t>
      </w:r>
    </w:p>
    <w:p>
      <w:pPr>
        <w:adjustRightInd w:val="0"/>
        <w:snapToGrid w:val="0"/>
        <w:spacing w:line="288" w:lineRule="auto"/>
        <w:ind w:firstLine="396" w:firstLineChars="200"/>
        <w:jc w:val="left"/>
        <w:rPr>
          <w:rFonts w:ascii="宋体" w:hAnsi="宋体" w:eastAsia="宋体" w:cs="Times New Roman"/>
          <w:spacing w:val="-6"/>
          <w:szCs w:val="21"/>
        </w:rPr>
      </w:pPr>
      <w:bookmarkStart w:id="45" w:name="_Hlk94018532"/>
      <w:r>
        <w:rPr>
          <w:rFonts w:hint="eastAsia" w:ascii="宋体" w:hAnsi="宋体" w:eastAsia="宋体" w:cs="Times New Roman"/>
          <w:spacing w:val="-6"/>
          <w:szCs w:val="21"/>
        </w:rPr>
        <w:t>投标文件（电子加密投标文件）由</w:t>
      </w:r>
      <w:r>
        <w:rPr>
          <w:rFonts w:hint="eastAsia" w:ascii="宋体" w:hAnsi="宋体" w:eastAsia="宋体" w:cs="Times New Roman"/>
          <w:b/>
          <w:spacing w:val="-6"/>
          <w:szCs w:val="21"/>
        </w:rPr>
        <w:t>资格文件、商务和技术文件、报价文件三部分</w:t>
      </w:r>
      <w:r>
        <w:rPr>
          <w:rFonts w:hint="eastAsia" w:ascii="宋体" w:hAnsi="宋体" w:eastAsia="宋体" w:cs="Times New Roman"/>
          <w:bCs/>
          <w:spacing w:val="-6"/>
          <w:szCs w:val="21"/>
        </w:rPr>
        <w:t>组成（格式详见招标文件第六章）。投标人应将投标文件各部分</w:t>
      </w:r>
      <w:r>
        <w:rPr>
          <w:rFonts w:hint="eastAsia" w:ascii="宋体" w:hAnsi="宋体" w:eastAsia="宋体" w:cs="Times New Roman"/>
          <w:b/>
          <w:spacing w:val="-6"/>
          <w:szCs w:val="21"/>
        </w:rPr>
        <w:t>分别上传</w:t>
      </w:r>
      <w:r>
        <w:rPr>
          <w:rFonts w:hint="eastAsia" w:ascii="宋体" w:hAnsi="宋体" w:eastAsia="宋体" w:cs="Times New Roman"/>
          <w:bCs/>
          <w:spacing w:val="-6"/>
          <w:szCs w:val="21"/>
        </w:rPr>
        <w:t>至政府采购云平台指定位置。</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投标文件组成：详见“第六章</w:t>
      </w:r>
      <w:r>
        <w:rPr>
          <w:rFonts w:ascii="宋体" w:hAnsi="宋体" w:eastAsia="宋体" w:cs="Times New Roman"/>
          <w:spacing w:val="-6"/>
          <w:szCs w:val="21"/>
        </w:rPr>
        <w:t xml:space="preserve">  投标文件格式</w:t>
      </w:r>
      <w:r>
        <w:rPr>
          <w:rFonts w:hint="eastAsia" w:ascii="宋体" w:hAnsi="宋体" w:eastAsia="宋体" w:cs="Times New Roman"/>
          <w:spacing w:val="-6"/>
          <w:szCs w:val="21"/>
        </w:rPr>
        <w:t>”目录</w:t>
      </w:r>
    </w:p>
    <w:bookmarkEnd w:id="45"/>
    <w:p>
      <w:pPr>
        <w:adjustRightInd w:val="0"/>
        <w:snapToGrid w:val="0"/>
        <w:spacing w:line="288" w:lineRule="auto"/>
        <w:jc w:val="left"/>
        <w:rPr>
          <w:rFonts w:ascii="宋体" w:hAnsi="宋体" w:eastAsia="宋体"/>
          <w:b/>
          <w:spacing w:val="-6"/>
          <w:szCs w:val="21"/>
        </w:rPr>
      </w:pPr>
      <w:r>
        <w:rPr>
          <w:rFonts w:hint="eastAsia" w:ascii="宋体" w:hAnsi="宋体" w:eastAsia="宋体"/>
          <w:b/>
          <w:spacing w:val="-6"/>
          <w:szCs w:val="21"/>
        </w:rPr>
        <w:t>（二）投标文件的签署和份数</w:t>
      </w:r>
    </w:p>
    <w:p>
      <w:pPr>
        <w:adjustRightInd w:val="0"/>
        <w:snapToGrid w:val="0"/>
        <w:spacing w:line="288" w:lineRule="auto"/>
        <w:ind w:firstLine="396" w:firstLineChars="200"/>
        <w:jc w:val="left"/>
        <w:rPr>
          <w:rFonts w:ascii="宋体" w:hAnsi="宋体" w:eastAsia="宋体"/>
          <w:b/>
          <w:bCs/>
          <w:spacing w:val="-6"/>
          <w:szCs w:val="21"/>
        </w:rPr>
      </w:pPr>
      <w:r>
        <w:rPr>
          <w:rFonts w:hint="eastAsia" w:ascii="宋体" w:hAnsi="宋体" w:eastAsia="宋体"/>
          <w:spacing w:val="-6"/>
          <w:szCs w:val="21"/>
        </w:rPr>
        <w:t>1.投标人应按照招标文件和政府采购云平台的要求，根据投标文件的组成规定的内容及顺序通过政采云电子交易客户端（政采云投标客户端）编制加密投标文件，投标文件内容不完整、编排混乱导致投标文件被误读、漏读或者查找不到相关内容的，是投标人的责任。</w:t>
      </w:r>
      <w:r>
        <w:rPr>
          <w:rFonts w:hint="eastAsia" w:ascii="宋体" w:hAnsi="宋体" w:eastAsia="宋体"/>
          <w:b/>
          <w:bCs/>
          <w:spacing w:val="-6"/>
          <w:szCs w:val="21"/>
        </w:rPr>
        <w:t>其中资格文件、商务技术文件中不得出现投标报价，如因投标人原因提前泄露投标报价，是投标人的责任。</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2.投标文件须由投标人在规定位置</w:t>
      </w:r>
      <w:bookmarkStart w:id="46" w:name="_Hlk96329183"/>
      <w:r>
        <w:rPr>
          <w:rFonts w:hint="eastAsia" w:ascii="宋体" w:hAnsi="宋体" w:eastAsia="宋体"/>
          <w:spacing w:val="-6"/>
          <w:szCs w:val="21"/>
        </w:rPr>
        <w:t>加盖公章</w:t>
      </w:r>
      <w:bookmarkEnd w:id="46"/>
      <w:r>
        <w:rPr>
          <w:rFonts w:hint="eastAsia" w:ascii="宋体" w:hAnsi="宋体" w:eastAsia="宋体"/>
          <w:spacing w:val="-6"/>
          <w:szCs w:val="21"/>
        </w:rPr>
        <w:t>，投标人应写全称。</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3.投标文件不得涂改，若有修改错漏处，须由投标人加盖公章，或者由法定代表人或其授权的代表签名。投标文件因字迹潦草或表达不清所引起的后果由投标人负责。</w:t>
      </w:r>
    </w:p>
    <w:p>
      <w:pPr>
        <w:adjustRightInd w:val="0"/>
        <w:snapToGrid w:val="0"/>
        <w:spacing w:line="288" w:lineRule="auto"/>
        <w:ind w:firstLine="398" w:firstLineChars="200"/>
        <w:jc w:val="left"/>
        <w:rPr>
          <w:rFonts w:ascii="宋体" w:hAnsi="宋体" w:eastAsia="宋体"/>
          <w:b/>
          <w:bCs/>
          <w:spacing w:val="-6"/>
          <w:szCs w:val="21"/>
        </w:rPr>
      </w:pPr>
      <w:r>
        <w:rPr>
          <w:rFonts w:hint="eastAsia" w:ascii="宋体" w:hAnsi="宋体" w:eastAsia="宋体"/>
          <w:b/>
          <w:bCs/>
          <w:spacing w:val="-6"/>
          <w:szCs w:val="21"/>
        </w:rPr>
        <w:t>4.投标文件份数：</w:t>
      </w:r>
    </w:p>
    <w:p>
      <w:pPr>
        <w:adjustRightInd w:val="0"/>
        <w:snapToGrid w:val="0"/>
        <w:spacing w:line="288" w:lineRule="auto"/>
        <w:ind w:firstLine="398" w:firstLineChars="200"/>
        <w:jc w:val="left"/>
        <w:rPr>
          <w:rFonts w:ascii="宋体" w:hAnsi="宋体" w:eastAsia="宋体"/>
          <w:b/>
          <w:bCs/>
          <w:spacing w:val="-6"/>
          <w:szCs w:val="21"/>
        </w:rPr>
      </w:pPr>
      <w:r>
        <w:rPr>
          <w:rFonts w:hint="eastAsia" w:ascii="宋体" w:hAnsi="宋体" w:eastAsia="宋体"/>
          <w:b/>
          <w:bCs/>
          <w:spacing w:val="-6"/>
          <w:szCs w:val="21"/>
        </w:rPr>
        <w:t>电子加密投标文件：政府采购云平台在线上传一份；</w:t>
      </w:r>
    </w:p>
    <w:p>
      <w:pPr>
        <w:adjustRightInd w:val="0"/>
        <w:snapToGrid w:val="0"/>
        <w:spacing w:line="288" w:lineRule="auto"/>
        <w:ind w:firstLine="398" w:firstLineChars="200"/>
        <w:jc w:val="left"/>
        <w:rPr>
          <w:rFonts w:ascii="宋体" w:hAnsi="宋体" w:eastAsia="宋体" w:cs="Times New Roman"/>
          <w:b/>
          <w:bCs/>
          <w:spacing w:val="-6"/>
          <w:szCs w:val="21"/>
        </w:rPr>
      </w:pPr>
      <w:r>
        <w:rPr>
          <w:rFonts w:hint="eastAsia" w:ascii="宋体" w:hAnsi="宋体" w:eastAsia="宋体"/>
          <w:b/>
          <w:bCs/>
          <w:spacing w:val="-6"/>
          <w:szCs w:val="21"/>
        </w:rPr>
        <w:t>备份投标文件：密封包装后EMS或顺丰邮寄形式递交一份（邮寄地址：</w:t>
      </w:r>
      <w:r>
        <w:rPr>
          <w:rFonts w:hint="eastAsia" w:ascii="宋体" w:hAnsi="宋体" w:eastAsia="宋体" w:cs="宋体"/>
          <w:b/>
          <w:bCs/>
          <w:szCs w:val="21"/>
        </w:rPr>
        <w:t>杭州市西湖区玉古路173号中田大厦21楼H室，浙江求是招标代理有限公司（刘冰冰）收，电话：0571-87666117，寄出后将（快递单号、项目名称、公司名称、联系方式等相关信息）发至：zb05@qszb.net，以便查收）。</w:t>
      </w:r>
    </w:p>
    <w:p>
      <w:pPr>
        <w:adjustRightInd w:val="0"/>
        <w:snapToGrid w:val="0"/>
        <w:spacing w:line="288" w:lineRule="auto"/>
        <w:ind w:firstLine="422" w:firstLineChars="200"/>
        <w:jc w:val="left"/>
        <w:rPr>
          <w:rFonts w:ascii="宋体" w:hAnsi="宋体" w:eastAsia="宋体" w:cs="Times New Roman"/>
          <w:b/>
          <w:bCs/>
          <w:spacing w:val="-6"/>
          <w:szCs w:val="21"/>
        </w:rPr>
      </w:pPr>
      <w:r>
        <w:rPr>
          <w:rFonts w:hint="eastAsia" w:ascii="宋体" w:hAnsi="宋体" w:eastAsia="宋体" w:cs="宋体"/>
          <w:b/>
          <w:szCs w:val="21"/>
        </w:rPr>
        <w:t>特别说明：双休日和法定节假日不收件，投标人自行承担邮寄风险。</w:t>
      </w:r>
    </w:p>
    <w:p>
      <w:pPr>
        <w:adjustRightInd w:val="0"/>
        <w:snapToGrid w:val="0"/>
        <w:spacing w:line="288" w:lineRule="auto"/>
        <w:jc w:val="left"/>
        <w:rPr>
          <w:rFonts w:ascii="宋体" w:hAnsi="宋体" w:eastAsia="宋体"/>
          <w:b/>
          <w:spacing w:val="-6"/>
          <w:szCs w:val="21"/>
        </w:rPr>
      </w:pPr>
      <w:r>
        <w:rPr>
          <w:rFonts w:hint="eastAsia" w:ascii="宋体" w:hAnsi="宋体" w:eastAsia="宋体"/>
          <w:b/>
          <w:spacing w:val="-6"/>
          <w:szCs w:val="21"/>
        </w:rPr>
        <w:t>（三）投标文件的上传、递交、修改和撤回</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1.投标文件的上传、递交：</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（1）电子加密投标文件的上传：</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▲a.投标人应在投标截止时间前将电子加密投标文件成功上传至政府采购云平台，否则投标无效；</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b.电子加密投标文件成功上传后，投标人可自行打印投标文件接收回执。</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（2）备份投标文件的密封包装、递交：</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a.投标人在政府采购云平台完成电子加密投标文件的上传后，可以EMS或顺丰邮寄形式在投标截止时间前递交以介质（U盘）存储的数据电文形式的备份投标文件；</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b.备份投标文件应当密封包装并在包装上标注投标</w:t>
      </w:r>
      <w:r>
        <w:rPr>
          <w:rFonts w:hint="eastAsia" w:ascii="宋体" w:hAnsi="宋体" w:eastAsia="宋体"/>
          <w:spacing w:val="-6"/>
          <w:szCs w:val="21"/>
          <w:u w:val="single"/>
        </w:rPr>
        <w:t>项目名称、标项、投标人名称</w:t>
      </w:r>
      <w:r>
        <w:rPr>
          <w:rFonts w:hint="eastAsia" w:ascii="宋体" w:hAnsi="宋体" w:eastAsia="宋体"/>
          <w:spacing w:val="-6"/>
          <w:szCs w:val="21"/>
        </w:rPr>
        <w:t>并加盖公章（非电子签章），投标人逾期送达或者未密封包装的备份投标文件采购代理机构将予以拒收；</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▲c.通过政府采购云平台成功上传的电子加密投标文件已按时解密的，备份投标文件自动失效。</w:t>
      </w:r>
    </w:p>
    <w:p>
      <w:pPr>
        <w:adjustRightInd w:val="0"/>
        <w:snapToGrid w:val="0"/>
        <w:spacing w:line="288" w:lineRule="auto"/>
        <w:ind w:firstLine="396" w:firstLineChars="200"/>
        <w:jc w:val="left"/>
        <w:rPr>
          <w:rFonts w:ascii="宋体" w:hAnsi="宋体" w:eastAsia="宋体"/>
          <w:spacing w:val="-6"/>
          <w:szCs w:val="21"/>
        </w:rPr>
      </w:pPr>
      <w:bookmarkStart w:id="47" w:name="_Hlk94018616"/>
      <w:r>
        <w:rPr>
          <w:rFonts w:hint="eastAsia" w:ascii="宋体" w:hAnsi="宋体" w:eastAsia="宋体"/>
          <w:spacing w:val="-6"/>
          <w:szCs w:val="21"/>
        </w:rPr>
        <w:t>▲d.投标截止时间前，投标人仅递交备份投标文件而未将电子加密投标文件成功上传至政府采购云平台的，投标无效。</w:t>
      </w:r>
    </w:p>
    <w:bookmarkEnd w:id="47"/>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3）投标人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上传、递交的投标文件，政府采购云平台及采购代理机构将予以拒收。</w:t>
      </w:r>
    </w:p>
    <w:p>
      <w:pPr>
        <w:adjustRightInd w:val="0"/>
        <w:snapToGrid w:val="0"/>
        <w:spacing w:line="288" w:lineRule="auto"/>
        <w:ind w:firstLine="396" w:firstLineChars="200"/>
        <w:jc w:val="left"/>
        <w:rPr>
          <w:rFonts w:ascii="宋体" w:hAnsi="宋体" w:eastAsia="宋体"/>
          <w:spacing w:val="-6"/>
          <w:szCs w:val="21"/>
        </w:rPr>
      </w:pPr>
      <w:r>
        <w:rPr>
          <w:rFonts w:ascii="宋体" w:hAnsi="宋体" w:eastAsia="宋体"/>
          <w:spacing w:val="-6"/>
          <w:szCs w:val="21"/>
        </w:rPr>
        <w:t>2</w:t>
      </w:r>
      <w:r>
        <w:rPr>
          <w:rFonts w:hint="eastAsia" w:ascii="宋体" w:hAnsi="宋体" w:eastAsia="宋体"/>
          <w:spacing w:val="-6"/>
          <w:szCs w:val="21"/>
        </w:rPr>
        <w:t>.投标人因未在线参加开标而导致电子加密投标文件无法按时解密等一切后果由投标人自行承担。</w:t>
      </w:r>
    </w:p>
    <w:p>
      <w:pPr>
        <w:adjustRightInd w:val="0"/>
        <w:snapToGrid w:val="0"/>
        <w:spacing w:line="288" w:lineRule="auto"/>
        <w:ind w:firstLine="396" w:firstLineChars="200"/>
        <w:jc w:val="left"/>
        <w:rPr>
          <w:rFonts w:ascii="宋体" w:hAnsi="宋体" w:eastAsia="宋体"/>
          <w:spacing w:val="-6"/>
          <w:szCs w:val="21"/>
        </w:rPr>
      </w:pPr>
      <w:r>
        <w:rPr>
          <w:rFonts w:ascii="宋体" w:hAnsi="宋体" w:eastAsia="宋体"/>
          <w:spacing w:val="-6"/>
          <w:szCs w:val="21"/>
        </w:rPr>
        <w:t>3</w:t>
      </w:r>
      <w:r>
        <w:rPr>
          <w:rFonts w:hint="eastAsia" w:ascii="宋体" w:hAnsi="宋体" w:eastAsia="宋体"/>
          <w:spacing w:val="-6"/>
          <w:szCs w:val="21"/>
        </w:rPr>
        <w:t>.投标人应按照招标文件和政府采购云平台的要求，根据投标文件的组成规定的内容及顺序通过政采云电子交易客户端（政采云投标客户端）编制加密投标文件。</w:t>
      </w:r>
    </w:p>
    <w:p>
      <w:pPr>
        <w:adjustRightInd w:val="0"/>
        <w:snapToGrid w:val="0"/>
        <w:spacing w:line="288" w:lineRule="auto"/>
        <w:ind w:firstLine="422" w:firstLineChars="200"/>
        <w:jc w:val="left"/>
        <w:rPr>
          <w:rFonts w:ascii="宋体" w:hAnsi="宋体" w:eastAsia="宋体"/>
          <w:b/>
          <w:bCs/>
          <w:szCs w:val="21"/>
        </w:rPr>
      </w:pPr>
      <w:r>
        <w:rPr>
          <w:rFonts w:hint="eastAsia" w:ascii="宋体" w:hAnsi="宋体" w:eastAsia="宋体"/>
          <w:b/>
          <w:bCs/>
          <w:szCs w:val="21"/>
        </w:rPr>
        <w:t>备注：投标人可通过浙江省“电子交易/不见面开评标”学习专题提前进行专题学习，熟悉操作，避免影响采购活动（</w:t>
      </w:r>
      <w:r>
        <w:fldChar w:fldCharType="begin"/>
      </w:r>
      <w:r>
        <w:instrText xml:space="preserve"> HYPERLINK "https://edu.zcygov.cn/luban/e-biding" </w:instrText>
      </w:r>
      <w:r>
        <w:fldChar w:fldCharType="separate"/>
      </w:r>
      <w:r>
        <w:rPr>
          <w:rStyle w:val="34"/>
          <w:rFonts w:hint="eastAsia" w:ascii="宋体" w:hAnsi="宋体" w:eastAsia="宋体"/>
          <w:b/>
          <w:bCs/>
          <w:szCs w:val="21"/>
        </w:rPr>
        <w:t>https：//edu.zcygov.cn/luban/e-biding</w:t>
      </w:r>
      <w:r>
        <w:rPr>
          <w:rStyle w:val="34"/>
          <w:rFonts w:hint="eastAsia" w:ascii="宋体" w:hAnsi="宋体" w:eastAsia="宋体"/>
          <w:b/>
          <w:bCs/>
          <w:szCs w:val="21"/>
        </w:rPr>
        <w:fldChar w:fldCharType="end"/>
      </w:r>
      <w:r>
        <w:rPr>
          <w:rFonts w:hint="eastAsia" w:ascii="宋体" w:hAnsi="宋体" w:eastAsia="宋体"/>
          <w:b/>
          <w:bCs/>
          <w:szCs w:val="21"/>
        </w:rPr>
        <w:t>）。</w:t>
      </w:r>
    </w:p>
    <w:p>
      <w:pPr>
        <w:adjustRightInd w:val="0"/>
        <w:snapToGrid w:val="0"/>
        <w:spacing w:line="288" w:lineRule="auto"/>
        <w:jc w:val="left"/>
        <w:rPr>
          <w:rFonts w:ascii="宋体" w:hAnsi="宋体" w:eastAsia="宋体"/>
          <w:b/>
          <w:spacing w:val="-6"/>
          <w:szCs w:val="21"/>
        </w:rPr>
      </w:pPr>
      <w:r>
        <w:rPr>
          <w:rFonts w:hint="eastAsia" w:ascii="宋体" w:hAnsi="宋体" w:eastAsia="宋体"/>
          <w:b/>
          <w:spacing w:val="-6"/>
          <w:szCs w:val="21"/>
        </w:rPr>
        <w:t>（四）投标文件的语言及计量</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投标文件以及投标人与采购人或采购代理机构就有关投标事宜的所有来往函电，均应以中文汉语书写。除签名、盖章、专用名称等特殊情形外，以中文汉语以外的文字表述的投标文件视同未提供（有中文汉语说明的除外）。</w:t>
      </w:r>
    </w:p>
    <w:p>
      <w:pPr>
        <w:adjustRightInd w:val="0"/>
        <w:snapToGrid w:val="0"/>
        <w:spacing w:line="288" w:lineRule="auto"/>
        <w:jc w:val="left"/>
        <w:rPr>
          <w:rFonts w:ascii="宋体" w:hAnsi="宋体" w:eastAsia="宋体"/>
          <w:b/>
          <w:spacing w:val="-6"/>
          <w:szCs w:val="21"/>
        </w:rPr>
      </w:pPr>
      <w:r>
        <w:rPr>
          <w:rFonts w:hint="eastAsia" w:ascii="宋体" w:hAnsi="宋体" w:eastAsia="宋体"/>
          <w:b/>
          <w:spacing w:val="-6"/>
          <w:szCs w:val="21"/>
        </w:rPr>
        <w:t>（五）投标报价</w:t>
      </w:r>
    </w:p>
    <w:p>
      <w:pPr>
        <w:adjustRightInd w:val="0"/>
        <w:snapToGrid w:val="0"/>
        <w:spacing w:line="288" w:lineRule="auto"/>
        <w:ind w:firstLine="420" w:firstLineChars="200"/>
        <w:rPr>
          <w:rFonts w:ascii="宋体" w:hAnsi="宋体" w:eastAsia="宋体" w:cs="宋体"/>
          <w:szCs w:val="21"/>
        </w:rPr>
      </w:pPr>
      <w:r>
        <w:rPr>
          <w:rFonts w:hint="eastAsia" w:ascii="宋体" w:hAnsi="宋体" w:eastAsia="宋体" w:cs="宋体"/>
          <w:szCs w:val="21"/>
        </w:rPr>
        <w:t>1.报价应按招标文件要求的格式编制、填写报价内容（可自行增行），未按招标文件要求编制、填写的投标文件可能被拒绝；</w:t>
      </w:r>
    </w:p>
    <w:p>
      <w:pPr>
        <w:adjustRightInd w:val="0"/>
        <w:snapToGrid w:val="0"/>
        <w:spacing w:line="288" w:lineRule="auto"/>
        <w:ind w:firstLine="420" w:firstLineChars="200"/>
        <w:rPr>
          <w:rFonts w:ascii="宋体" w:hAnsi="宋体" w:eastAsia="宋体" w:cs="宋体"/>
          <w:szCs w:val="21"/>
        </w:rPr>
      </w:pPr>
      <w:r>
        <w:rPr>
          <w:rFonts w:hint="eastAsia" w:ascii="宋体" w:hAnsi="宋体" w:eastAsia="宋体" w:cs="宋体"/>
          <w:szCs w:val="21"/>
        </w:rPr>
        <w:t>2.以人民币报价；</w:t>
      </w:r>
    </w:p>
    <w:p>
      <w:pPr>
        <w:adjustRightInd w:val="0"/>
        <w:snapToGrid w:val="0"/>
        <w:spacing w:line="288" w:lineRule="auto"/>
        <w:ind w:firstLine="420" w:firstLineChars="200"/>
        <w:rPr>
          <w:rFonts w:ascii="宋体" w:hAnsi="宋体" w:eastAsia="宋体" w:cs="宋体"/>
          <w:szCs w:val="21"/>
        </w:rPr>
      </w:pPr>
      <w:r>
        <w:rPr>
          <w:rFonts w:hint="eastAsia" w:ascii="宋体" w:hAnsi="宋体" w:eastAsia="宋体" w:cs="宋体"/>
          <w:szCs w:val="21"/>
        </w:rPr>
        <w:t>3.投标报价是履行合同的最终价格，有关本项目实施所涉及的一切费用均计入报价；</w:t>
      </w:r>
    </w:p>
    <w:p>
      <w:pPr>
        <w:pStyle w:val="15"/>
        <w:adjustRightInd w:val="0"/>
        <w:snapToGrid w:val="0"/>
        <w:spacing w:before="0" w:beforeLines="0" w:after="0" w:afterLines="0" w:line="288" w:lineRule="auto"/>
        <w:ind w:firstLine="420" w:firstLineChars="200"/>
        <w:jc w:val="left"/>
        <w:rPr>
          <w:rFonts w:hAnsi="宋体" w:eastAsia="宋体" w:cs="宋体"/>
          <w:sz w:val="21"/>
          <w:szCs w:val="21"/>
        </w:rPr>
      </w:pPr>
      <w:r>
        <w:rPr>
          <w:rFonts w:hint="eastAsia" w:hAnsi="宋体" w:eastAsia="宋体" w:cs="宋体"/>
          <w:sz w:val="21"/>
          <w:szCs w:val="21"/>
        </w:rPr>
        <w:t>4.投标文件只允许有一个报价，有选择的报价将不予接受。</w:t>
      </w:r>
    </w:p>
    <w:p>
      <w:pPr>
        <w:pStyle w:val="15"/>
        <w:adjustRightInd w:val="0"/>
        <w:snapToGrid w:val="0"/>
        <w:spacing w:before="0" w:beforeLines="0" w:after="0" w:afterLines="0" w:line="288" w:lineRule="auto"/>
        <w:ind w:firstLine="420" w:firstLineChars="200"/>
        <w:jc w:val="left"/>
        <w:rPr>
          <w:rFonts w:hAnsi="宋体" w:eastAsia="宋体" w:cs="宋体"/>
          <w:sz w:val="21"/>
          <w:szCs w:val="21"/>
        </w:rPr>
      </w:pPr>
      <w:bookmarkStart w:id="48" w:name="_Hlk94018664"/>
      <w:r>
        <w:rPr>
          <w:rFonts w:hint="eastAsia" w:hAnsi="宋体" w:eastAsia="宋体" w:cs="宋体"/>
          <w:sz w:val="21"/>
          <w:szCs w:val="21"/>
        </w:rPr>
        <w:t>▲5</w:t>
      </w:r>
      <w:r>
        <w:rPr>
          <w:rFonts w:hAnsi="宋体" w:eastAsia="宋体" w:cs="宋体"/>
          <w:sz w:val="21"/>
          <w:szCs w:val="21"/>
        </w:rPr>
        <w:t>.</w:t>
      </w:r>
      <w:r>
        <w:rPr>
          <w:rFonts w:hint="eastAsia" w:hAnsi="宋体" w:eastAsia="宋体" w:cs="宋体"/>
          <w:sz w:val="21"/>
          <w:szCs w:val="21"/>
        </w:rPr>
        <w:t>采购人将以合同形式有偿取得货物或服务，不接受投标人给予的赠品、回扣或者与采购无关的其他商品、服务</w:t>
      </w:r>
      <w:r>
        <w:rPr>
          <w:rFonts w:hAnsi="宋体" w:eastAsia="宋体" w:cs="宋体"/>
          <w:sz w:val="21"/>
          <w:szCs w:val="21"/>
        </w:rPr>
        <w:t>。</w:t>
      </w:r>
    </w:p>
    <w:bookmarkEnd w:id="48"/>
    <w:p>
      <w:pPr>
        <w:adjustRightInd w:val="0"/>
        <w:snapToGrid w:val="0"/>
        <w:spacing w:line="288" w:lineRule="auto"/>
        <w:jc w:val="left"/>
        <w:rPr>
          <w:rFonts w:ascii="宋体" w:hAnsi="宋体" w:eastAsia="宋体"/>
          <w:b/>
          <w:spacing w:val="-6"/>
          <w:szCs w:val="21"/>
        </w:rPr>
      </w:pPr>
      <w:r>
        <w:rPr>
          <w:rFonts w:hint="eastAsia" w:ascii="宋体" w:hAnsi="宋体" w:eastAsia="宋体"/>
          <w:b/>
          <w:spacing w:val="-6"/>
          <w:szCs w:val="21"/>
        </w:rPr>
        <w:t>（六）投标有效期</w:t>
      </w:r>
    </w:p>
    <w:p>
      <w:pPr>
        <w:pStyle w:val="15"/>
        <w:adjustRightInd w:val="0"/>
        <w:snapToGrid w:val="0"/>
        <w:spacing w:before="0" w:beforeLines="0" w:after="0" w:afterLines="0" w:line="288" w:lineRule="auto"/>
        <w:ind w:firstLine="396" w:firstLineChars="200"/>
        <w:jc w:val="left"/>
        <w:rPr>
          <w:rFonts w:hAnsi="宋体" w:eastAsia="宋体"/>
          <w:sz w:val="21"/>
          <w:szCs w:val="21"/>
        </w:rPr>
      </w:pPr>
      <w:r>
        <w:rPr>
          <w:rFonts w:hint="eastAsia" w:hAnsi="宋体" w:eastAsia="宋体"/>
          <w:spacing w:val="-6"/>
          <w:sz w:val="21"/>
          <w:szCs w:val="21"/>
        </w:rPr>
        <w:t>▲从提交投标文件的截止之日起</w:t>
      </w:r>
      <w:r>
        <w:rPr>
          <w:rFonts w:hAnsi="宋体" w:eastAsia="宋体"/>
          <w:spacing w:val="-6"/>
          <w:sz w:val="21"/>
          <w:szCs w:val="21"/>
        </w:rPr>
        <w:t>90天，在原投标有效期满之前，如果出现特殊情况，采购人或采购代理机构以书面形式通知投标人延长投标有效期。</w:t>
      </w:r>
    </w:p>
    <w:p>
      <w:pPr>
        <w:widowControl/>
        <w:jc w:val="left"/>
        <w:rPr>
          <w:rFonts w:ascii="宋体" w:hAnsi="宋体" w:eastAsia="宋体" w:cs="Times New Roman"/>
          <w:b/>
          <w:spacing w:val="-6"/>
          <w:szCs w:val="21"/>
        </w:rPr>
      </w:pPr>
      <w:r>
        <w:rPr>
          <w:rFonts w:ascii="宋体" w:hAnsi="宋体" w:eastAsia="宋体" w:cs="Times New Roman"/>
          <w:b/>
          <w:spacing w:val="-6"/>
          <w:szCs w:val="21"/>
        </w:rPr>
        <w:br w:type="page"/>
      </w:r>
    </w:p>
    <w:p>
      <w:pPr>
        <w:adjustRightInd w:val="0"/>
        <w:snapToGrid w:val="0"/>
        <w:spacing w:line="288" w:lineRule="auto"/>
        <w:jc w:val="center"/>
        <w:outlineLvl w:val="1"/>
        <w:rPr>
          <w:rFonts w:ascii="宋体" w:hAnsi="宋体" w:eastAsia="宋体" w:cs="Times New Roman"/>
          <w:b/>
          <w:spacing w:val="-6"/>
          <w:szCs w:val="21"/>
        </w:rPr>
      </w:pPr>
      <w:r>
        <w:rPr>
          <w:rFonts w:hint="eastAsia" w:ascii="宋体" w:hAnsi="宋体" w:eastAsia="宋体" w:cs="Times New Roman"/>
          <w:b/>
          <w:spacing w:val="-6"/>
          <w:szCs w:val="21"/>
        </w:rPr>
        <w:t>四、资格审查不通过、投标无效的情形</w:t>
      </w:r>
    </w:p>
    <w:p>
      <w:pPr>
        <w:adjustRightInd w:val="0"/>
        <w:snapToGrid w:val="0"/>
        <w:spacing w:line="288" w:lineRule="auto"/>
        <w:ind w:firstLine="420" w:firstLineChars="200"/>
        <w:rPr>
          <w:rFonts w:ascii="宋体" w:hAnsi="宋体" w:eastAsia="宋体" w:cs="宋体"/>
          <w:szCs w:val="21"/>
        </w:rPr>
      </w:pPr>
      <w:bookmarkStart w:id="49" w:name="_Hlk94018682"/>
      <w:r>
        <w:rPr>
          <w:rFonts w:hint="eastAsia" w:ascii="宋体" w:hAnsi="宋体" w:eastAsia="宋体" w:cs="宋体"/>
          <w:szCs w:val="21"/>
        </w:rPr>
        <w:t>未响应招标文件“▲”标记条款要求的，投标无效。</w:t>
      </w:r>
    </w:p>
    <w:bookmarkEnd w:id="49"/>
    <w:p>
      <w:pPr>
        <w:widowControl/>
        <w:adjustRightInd w:val="0"/>
        <w:snapToGrid w:val="0"/>
        <w:spacing w:line="288" w:lineRule="auto"/>
        <w:ind w:firstLine="398" w:firstLineChars="200"/>
        <w:jc w:val="left"/>
        <w:rPr>
          <w:rFonts w:ascii="宋体" w:hAnsi="宋体" w:eastAsia="宋体" w:cs="Times New Roman"/>
          <w:b/>
          <w:spacing w:val="-6"/>
          <w:szCs w:val="21"/>
        </w:rPr>
      </w:pPr>
      <w:r>
        <w:rPr>
          <w:rFonts w:hint="eastAsia" w:ascii="宋体" w:hAnsi="宋体" w:eastAsia="宋体" w:cs="Times New Roman"/>
          <w:b/>
          <w:spacing w:val="-6"/>
          <w:szCs w:val="21"/>
        </w:rPr>
        <w:t>1</w:t>
      </w:r>
      <w:r>
        <w:rPr>
          <w:rFonts w:ascii="宋体" w:hAnsi="宋体" w:eastAsia="宋体" w:cs="Times New Roman"/>
          <w:b/>
          <w:spacing w:val="-6"/>
          <w:szCs w:val="21"/>
        </w:rPr>
        <w:t>.</w:t>
      </w:r>
      <w:r>
        <w:rPr>
          <w:rFonts w:hint="eastAsia" w:ascii="宋体" w:hAnsi="宋体" w:eastAsia="宋体" w:cs="Times New Roman"/>
          <w:b/>
          <w:spacing w:val="-6"/>
          <w:szCs w:val="21"/>
        </w:rPr>
        <w:t>在资格审查时，如发现下列情形之一的，投标人将被视为资格审查不通过：</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w:t>
      </w:r>
      <w:r>
        <w:rPr>
          <w:rFonts w:ascii="宋体" w:hAnsi="宋体" w:eastAsia="宋体" w:cs="Times New Roman"/>
          <w:spacing w:val="-6"/>
          <w:szCs w:val="21"/>
        </w:rPr>
        <w:t>资格证明</w:t>
      </w:r>
      <w:r>
        <w:rPr>
          <w:rFonts w:hint="eastAsia" w:ascii="宋体" w:hAnsi="宋体" w:eastAsia="宋体" w:cs="Times New Roman"/>
          <w:spacing w:val="-6"/>
          <w:szCs w:val="21"/>
        </w:rPr>
        <w:t>材料</w:t>
      </w:r>
      <w:r>
        <w:rPr>
          <w:rFonts w:ascii="宋体" w:hAnsi="宋体" w:eastAsia="宋体" w:cs="Times New Roman"/>
          <w:spacing w:val="-6"/>
          <w:szCs w:val="21"/>
        </w:rPr>
        <w:t>不全的，或者不符合</w:t>
      </w:r>
      <w:r>
        <w:rPr>
          <w:rFonts w:hint="eastAsia" w:ascii="宋体" w:hAnsi="宋体" w:eastAsia="宋体" w:cs="Times New Roman"/>
          <w:spacing w:val="-6"/>
          <w:szCs w:val="21"/>
        </w:rPr>
        <w:t>招标</w:t>
      </w:r>
      <w:r>
        <w:rPr>
          <w:rFonts w:ascii="宋体" w:hAnsi="宋体" w:eastAsia="宋体" w:cs="Times New Roman"/>
          <w:spacing w:val="-6"/>
          <w:szCs w:val="21"/>
        </w:rPr>
        <w:t>文件要求的</w:t>
      </w:r>
      <w:r>
        <w:rPr>
          <w:rFonts w:hint="eastAsia" w:ascii="宋体" w:hAnsi="宋体" w:eastAsia="宋体" w:cs="Times New Roman"/>
          <w:spacing w:val="-6"/>
          <w:szCs w:val="21"/>
        </w:rPr>
        <w:t>；</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2</w:t>
      </w:r>
      <w:r>
        <w:rPr>
          <w:rFonts w:hint="eastAsia" w:ascii="宋体" w:hAnsi="宋体" w:eastAsia="宋体" w:cs="Times New Roman"/>
          <w:spacing w:val="-6"/>
          <w:szCs w:val="21"/>
        </w:rPr>
        <w:t>）投标人不具备招标文件中规定的资格要求的；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3</w:t>
      </w:r>
      <w:r>
        <w:rPr>
          <w:rFonts w:hint="eastAsia" w:ascii="宋体" w:hAnsi="宋体" w:eastAsia="宋体" w:cs="Times New Roman"/>
          <w:spacing w:val="-6"/>
          <w:szCs w:val="21"/>
        </w:rPr>
        <w:t>）资格</w:t>
      </w:r>
      <w:r>
        <w:rPr>
          <w:rFonts w:ascii="宋体" w:hAnsi="宋体" w:eastAsia="宋体" w:cs="Times New Roman"/>
          <w:spacing w:val="-6"/>
          <w:szCs w:val="21"/>
        </w:rPr>
        <w:t>文件</w:t>
      </w:r>
      <w:r>
        <w:rPr>
          <w:rFonts w:hint="eastAsia" w:ascii="宋体" w:hAnsi="宋体" w:eastAsia="宋体" w:cs="Times New Roman"/>
          <w:spacing w:val="-6"/>
          <w:szCs w:val="21"/>
        </w:rPr>
        <w:t>未按要求签署、盖章的。</w:t>
      </w:r>
    </w:p>
    <w:p>
      <w:pPr>
        <w:adjustRightInd w:val="0"/>
        <w:snapToGrid w:val="0"/>
        <w:spacing w:line="288" w:lineRule="auto"/>
        <w:ind w:firstLine="398" w:firstLineChars="200"/>
        <w:rPr>
          <w:rFonts w:ascii="宋体" w:hAnsi="宋体" w:eastAsia="宋体" w:cs="Times New Roman"/>
          <w:b/>
          <w:spacing w:val="-6"/>
          <w:szCs w:val="21"/>
        </w:rPr>
      </w:pPr>
      <w:r>
        <w:rPr>
          <w:rFonts w:hint="eastAsia" w:ascii="宋体" w:hAnsi="宋体" w:eastAsia="宋体" w:cs="Times New Roman"/>
          <w:b/>
          <w:spacing w:val="-6"/>
          <w:szCs w:val="21"/>
        </w:rPr>
        <w:t>2</w:t>
      </w:r>
      <w:r>
        <w:rPr>
          <w:rFonts w:ascii="宋体" w:hAnsi="宋体" w:eastAsia="宋体" w:cs="Times New Roman"/>
          <w:b/>
          <w:spacing w:val="-6"/>
          <w:szCs w:val="21"/>
        </w:rPr>
        <w:t>.</w:t>
      </w:r>
      <w:r>
        <w:rPr>
          <w:rFonts w:hint="eastAsia" w:ascii="宋体" w:hAnsi="宋体" w:eastAsia="宋体" w:cs="Times New Roman"/>
          <w:b/>
          <w:spacing w:val="-6"/>
          <w:szCs w:val="21"/>
        </w:rPr>
        <w:t>在符合</w:t>
      </w:r>
      <w:r>
        <w:rPr>
          <w:rFonts w:ascii="宋体" w:hAnsi="宋体" w:eastAsia="宋体" w:cs="Times New Roman"/>
          <w:b/>
          <w:spacing w:val="-6"/>
          <w:szCs w:val="21"/>
        </w:rPr>
        <w:t>性审查、</w:t>
      </w:r>
      <w:r>
        <w:rPr>
          <w:rFonts w:hint="eastAsia" w:ascii="宋体" w:hAnsi="宋体" w:eastAsia="宋体" w:cs="Times New Roman"/>
          <w:b/>
          <w:spacing w:val="-6"/>
          <w:szCs w:val="21"/>
        </w:rPr>
        <w:t>商务</w:t>
      </w:r>
      <w:r>
        <w:rPr>
          <w:rFonts w:ascii="宋体" w:hAnsi="宋体" w:eastAsia="宋体" w:cs="Times New Roman"/>
          <w:b/>
          <w:spacing w:val="-6"/>
          <w:szCs w:val="21"/>
        </w:rPr>
        <w:t>和技术评审</w:t>
      </w:r>
      <w:r>
        <w:rPr>
          <w:rFonts w:hint="eastAsia" w:ascii="宋体" w:hAnsi="宋体" w:eastAsia="宋体" w:cs="Times New Roman"/>
          <w:b/>
          <w:spacing w:val="-6"/>
          <w:szCs w:val="21"/>
        </w:rPr>
        <w:t>时，如发现下列情形之一的，投标文件将被视为无效：</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（1）商务和技术文件未按要求签署、盖章的；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（2）未提供或未按要求提供投标函</w:t>
      </w:r>
      <w:r>
        <w:rPr>
          <w:rFonts w:ascii="宋体" w:hAnsi="宋体" w:eastAsia="宋体" w:cs="Times New Roman"/>
          <w:spacing w:val="-6"/>
          <w:szCs w:val="21"/>
        </w:rPr>
        <w:t>、法定代表人授权委托书</w:t>
      </w:r>
      <w:r>
        <w:rPr>
          <w:rFonts w:hint="eastAsia" w:ascii="宋体" w:hAnsi="宋体" w:eastAsia="宋体" w:cs="Times New Roman"/>
          <w:spacing w:val="-6"/>
          <w:szCs w:val="21"/>
        </w:rPr>
        <w:t>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w:t>
      </w:r>
      <w:r>
        <w:rPr>
          <w:rFonts w:hint="eastAsia" w:ascii="宋体" w:hAnsi="宋体" w:eastAsia="宋体" w:cs="Times New Roman"/>
          <w:bCs/>
          <w:spacing w:val="-6"/>
          <w:szCs w:val="21"/>
        </w:rPr>
        <w:t>法定代表人委托授权代表</w:t>
      </w:r>
      <w:r>
        <w:rPr>
          <w:rFonts w:ascii="宋体" w:hAnsi="宋体" w:eastAsia="宋体" w:cs="Times New Roman"/>
          <w:bCs/>
          <w:spacing w:val="-6"/>
          <w:szCs w:val="21"/>
        </w:rPr>
        <w:t>参加投</w:t>
      </w:r>
      <w:r>
        <w:rPr>
          <w:rFonts w:hint="eastAsia" w:ascii="宋体" w:hAnsi="宋体" w:eastAsia="宋体" w:cs="Times New Roman"/>
          <w:bCs/>
          <w:spacing w:val="-6"/>
          <w:szCs w:val="21"/>
        </w:rPr>
        <w:t>标但未</w:t>
      </w:r>
      <w:r>
        <w:rPr>
          <w:rFonts w:ascii="宋体" w:hAnsi="宋体" w:eastAsia="宋体" w:cs="Times New Roman"/>
          <w:bCs/>
          <w:spacing w:val="-6"/>
          <w:szCs w:val="21"/>
        </w:rPr>
        <w:t>提供</w:t>
      </w:r>
      <w:r>
        <w:rPr>
          <w:rFonts w:hint="eastAsia" w:ascii="宋体" w:hAnsi="宋体" w:eastAsia="宋体" w:cs="Times New Roman"/>
          <w:bCs/>
          <w:spacing w:val="-6"/>
          <w:szCs w:val="21"/>
        </w:rPr>
        <w:t>符合要求投标授权代表社保缴纳证明的</w:t>
      </w:r>
      <w:r>
        <w:rPr>
          <w:rFonts w:ascii="宋体" w:hAnsi="宋体" w:eastAsia="宋体" w:cs="Times New Roman"/>
          <w:bCs/>
          <w:spacing w:val="-6"/>
          <w:szCs w:val="21"/>
        </w:rPr>
        <w:t>；</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（4）未提供或未如实提供采购需求</w:t>
      </w:r>
      <w:r>
        <w:rPr>
          <w:rFonts w:ascii="宋体" w:hAnsi="宋体" w:eastAsia="宋体" w:cs="Times New Roman"/>
          <w:spacing w:val="-6"/>
          <w:szCs w:val="21"/>
        </w:rPr>
        <w:t>偏离表的；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（5）明显不符合招标文件要求，或负偏离达到规定数目的，视为采购人不能接受的附加条件；</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6</w:t>
      </w:r>
      <w:r>
        <w:rPr>
          <w:rFonts w:hint="eastAsia" w:ascii="宋体" w:hAnsi="宋体" w:eastAsia="宋体" w:cs="Times New Roman"/>
          <w:spacing w:val="-6"/>
          <w:szCs w:val="21"/>
        </w:rPr>
        <w:t>）</w:t>
      </w:r>
      <w:r>
        <w:rPr>
          <w:rFonts w:ascii="宋体" w:hAnsi="宋体" w:eastAsia="宋体" w:cs="Times New Roman"/>
          <w:spacing w:val="-6"/>
          <w:szCs w:val="21"/>
        </w:rPr>
        <w:t>投标技术方案不明确，存在一个或一个以上备选（替代）投标方案的；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7</w:t>
      </w:r>
      <w:r>
        <w:rPr>
          <w:rFonts w:hint="eastAsia" w:ascii="宋体" w:hAnsi="宋体" w:eastAsia="宋体" w:cs="Times New Roman"/>
          <w:spacing w:val="-6"/>
          <w:szCs w:val="21"/>
        </w:rPr>
        <w:t>）投标文件含有采购人不能接受的附加条件的；</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8</w:t>
      </w:r>
      <w:r>
        <w:rPr>
          <w:rFonts w:hint="eastAsia" w:ascii="宋体" w:hAnsi="宋体" w:eastAsia="宋体" w:cs="Times New Roman"/>
          <w:spacing w:val="-6"/>
          <w:szCs w:val="21"/>
        </w:rPr>
        <w:t>）法律、法规和招标文件规定的其他无效情形。</w:t>
      </w:r>
    </w:p>
    <w:p>
      <w:pPr>
        <w:widowControl/>
        <w:adjustRightInd w:val="0"/>
        <w:snapToGrid w:val="0"/>
        <w:spacing w:line="288" w:lineRule="auto"/>
        <w:ind w:firstLine="398" w:firstLineChars="200"/>
        <w:jc w:val="left"/>
        <w:rPr>
          <w:rFonts w:ascii="宋体" w:hAnsi="宋体" w:eastAsia="宋体" w:cs="Times New Roman"/>
          <w:b/>
          <w:spacing w:val="-6"/>
          <w:szCs w:val="21"/>
        </w:rPr>
      </w:pPr>
      <w:r>
        <w:rPr>
          <w:rFonts w:hint="eastAsia" w:ascii="宋体" w:hAnsi="宋体" w:eastAsia="宋体" w:cs="Times New Roman"/>
          <w:b/>
          <w:spacing w:val="-6"/>
          <w:szCs w:val="21"/>
        </w:rPr>
        <w:t>3</w:t>
      </w:r>
      <w:r>
        <w:rPr>
          <w:rFonts w:ascii="宋体" w:hAnsi="宋体" w:eastAsia="宋体" w:cs="Times New Roman"/>
          <w:b/>
          <w:spacing w:val="-6"/>
          <w:szCs w:val="21"/>
        </w:rPr>
        <w:t>.在报价评审时，如发现下列情形之一的，投标文件将被视为无效：</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（1）报价</w:t>
      </w:r>
      <w:r>
        <w:rPr>
          <w:rFonts w:ascii="宋体" w:hAnsi="宋体" w:eastAsia="宋体" w:cs="Times New Roman"/>
          <w:spacing w:val="-6"/>
          <w:szCs w:val="21"/>
        </w:rPr>
        <w:t>文件</w:t>
      </w:r>
      <w:r>
        <w:rPr>
          <w:rFonts w:hint="eastAsia" w:ascii="宋体" w:hAnsi="宋体" w:eastAsia="宋体" w:cs="Times New Roman"/>
          <w:spacing w:val="-6"/>
          <w:szCs w:val="21"/>
        </w:rPr>
        <w:t>未按要求签署、盖章的；</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w:t>
      </w:r>
      <w:r>
        <w:rPr>
          <w:rFonts w:ascii="宋体" w:hAnsi="宋体" w:eastAsia="宋体" w:cs="Times New Roman"/>
          <w:spacing w:val="-6"/>
          <w:szCs w:val="21"/>
        </w:rPr>
        <w:t>）未按照招标文件标明的币种报价的</w:t>
      </w:r>
      <w:r>
        <w:rPr>
          <w:rFonts w:hint="eastAsia" w:ascii="宋体" w:hAnsi="宋体" w:eastAsia="宋体" w:cs="Times New Roman"/>
          <w:spacing w:val="-6"/>
          <w:szCs w:val="21"/>
        </w:rPr>
        <w:t>；</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w:t>
      </w:r>
      <w:r>
        <w:rPr>
          <w:rFonts w:ascii="宋体" w:hAnsi="宋体" w:eastAsia="宋体" w:cs="Times New Roman"/>
          <w:spacing w:val="-6"/>
          <w:szCs w:val="21"/>
        </w:rPr>
        <w:t>报价</w:t>
      </w:r>
      <w:r>
        <w:rPr>
          <w:rFonts w:hint="eastAsia" w:ascii="宋体" w:hAnsi="宋体" w:eastAsia="宋体" w:cs="Times New Roman"/>
          <w:spacing w:val="-6"/>
          <w:szCs w:val="21"/>
        </w:rPr>
        <w:t>内容有</w:t>
      </w:r>
      <w:r>
        <w:rPr>
          <w:rFonts w:ascii="宋体" w:hAnsi="宋体" w:eastAsia="宋体" w:cs="Times New Roman"/>
          <w:spacing w:val="-6"/>
          <w:szCs w:val="21"/>
        </w:rPr>
        <w:t>缺漏项</w:t>
      </w:r>
      <w:r>
        <w:rPr>
          <w:rFonts w:hint="eastAsia" w:ascii="宋体" w:hAnsi="宋体" w:eastAsia="宋体" w:cs="Times New Roman"/>
          <w:spacing w:val="-6"/>
          <w:szCs w:val="21"/>
        </w:rPr>
        <w:t>，或者</w:t>
      </w:r>
      <w:r>
        <w:rPr>
          <w:rFonts w:ascii="宋体" w:hAnsi="宋体" w:eastAsia="宋体" w:cs="Times New Roman"/>
          <w:spacing w:val="-6"/>
          <w:szCs w:val="21"/>
        </w:rPr>
        <w:t>与招标文件要求不一致的</w:t>
      </w:r>
      <w:r>
        <w:rPr>
          <w:rFonts w:hint="eastAsia" w:ascii="宋体" w:hAnsi="宋体" w:eastAsia="宋体" w:cs="Times New Roman"/>
          <w:spacing w:val="-6"/>
          <w:szCs w:val="21"/>
        </w:rPr>
        <w:t>；</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（4）报价超过招标文件中规定的预算金额或者最高限价的；</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（5）报价具有选择性的；</w:t>
      </w:r>
    </w:p>
    <w:p>
      <w:pPr>
        <w:widowControl/>
        <w:adjustRightInd w:val="0"/>
        <w:snapToGrid w:val="0"/>
        <w:spacing w:line="288" w:lineRule="auto"/>
        <w:ind w:firstLine="396" w:firstLineChars="200"/>
        <w:jc w:val="left"/>
        <w:rPr>
          <w:rFonts w:ascii="宋体" w:hAnsi="宋体" w:eastAsia="宋体" w:cs="Times New Roman"/>
          <w:spacing w:val="-6"/>
          <w:szCs w:val="21"/>
        </w:rPr>
      </w:pPr>
      <w:bookmarkStart w:id="50" w:name="_Hlk94018736"/>
      <w:r>
        <w:rPr>
          <w:rFonts w:hint="eastAsia" w:ascii="宋体" w:hAnsi="宋体" w:eastAsia="宋体" w:cs="Times New Roman"/>
          <w:spacing w:val="-6"/>
          <w:szCs w:val="21"/>
        </w:rPr>
        <w:t>特别说明：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bookmarkEnd w:id="50"/>
    <w:p>
      <w:pPr>
        <w:widowControl/>
        <w:adjustRightInd w:val="0"/>
        <w:snapToGrid w:val="0"/>
        <w:spacing w:line="288" w:lineRule="auto"/>
        <w:ind w:firstLine="398" w:firstLineChars="200"/>
        <w:jc w:val="left"/>
        <w:rPr>
          <w:rFonts w:ascii="宋体" w:hAnsi="宋体" w:eastAsia="宋体" w:cs="Times New Roman"/>
          <w:b/>
          <w:spacing w:val="-6"/>
          <w:szCs w:val="21"/>
        </w:rPr>
      </w:pPr>
      <w:r>
        <w:rPr>
          <w:rFonts w:hint="eastAsia" w:ascii="宋体" w:hAnsi="宋体" w:eastAsia="宋体" w:cs="Times New Roman"/>
          <w:b/>
          <w:spacing w:val="-6"/>
          <w:szCs w:val="21"/>
        </w:rPr>
        <w:t>4</w:t>
      </w:r>
      <w:r>
        <w:rPr>
          <w:rFonts w:ascii="宋体" w:hAnsi="宋体" w:eastAsia="宋体" w:cs="Times New Roman"/>
          <w:b/>
          <w:spacing w:val="-6"/>
          <w:szCs w:val="21"/>
        </w:rPr>
        <w:t>.</w:t>
      </w:r>
      <w:r>
        <w:rPr>
          <w:rFonts w:hint="eastAsia" w:ascii="宋体" w:hAnsi="宋体" w:eastAsia="宋体" w:cs="Times New Roman"/>
          <w:b/>
          <w:spacing w:val="-6"/>
          <w:szCs w:val="21"/>
        </w:rPr>
        <w:t>有下列情形之一的，视为投标人串通投标，其投标无效：</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（1）不同投标人的投标文件由同一单位或者个人编制；</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（2）不同投标人委托同一单位或者个人办理投标事宜；</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（3）不同投标人的投标文件载明的项目管理成员或者联系人员为同一人；</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（4）不同投标人的投标文件异常一致或者投标报价呈规律性差异；</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（5）不同投标人的投标文件相互混装。</w:t>
      </w:r>
    </w:p>
    <w:p>
      <w:pPr>
        <w:adjustRightInd w:val="0"/>
        <w:snapToGrid w:val="0"/>
        <w:spacing w:line="288" w:lineRule="auto"/>
        <w:jc w:val="center"/>
        <w:outlineLvl w:val="1"/>
        <w:rPr>
          <w:rFonts w:ascii="宋体" w:hAnsi="宋体" w:eastAsia="宋体" w:cs="Times New Roman"/>
          <w:b/>
          <w:spacing w:val="-6"/>
          <w:szCs w:val="21"/>
        </w:rPr>
      </w:pPr>
      <w:r>
        <w:rPr>
          <w:rFonts w:ascii="宋体" w:hAnsi="宋体" w:eastAsia="宋体" w:cs="Times New Roman"/>
          <w:b/>
          <w:spacing w:val="-6"/>
          <w:szCs w:val="21"/>
        </w:rPr>
        <w:br w:type="page"/>
      </w:r>
      <w:r>
        <w:rPr>
          <w:rFonts w:hint="eastAsia" w:ascii="宋体" w:hAnsi="宋体" w:eastAsia="宋体" w:cs="Times New Roman"/>
          <w:b/>
          <w:spacing w:val="-6"/>
          <w:szCs w:val="21"/>
        </w:rPr>
        <w:t>五、开  标</w:t>
      </w:r>
    </w:p>
    <w:p>
      <w:pPr>
        <w:pStyle w:val="106"/>
        <w:snapToGrid w:val="0"/>
        <w:spacing w:before="0" w:line="288" w:lineRule="auto"/>
        <w:ind w:left="0" w:firstLine="424" w:firstLineChars="201"/>
        <w:rPr>
          <w:rFonts w:ascii="宋体" w:hAnsi="宋体"/>
          <w:szCs w:val="21"/>
        </w:rPr>
      </w:pPr>
      <w:bookmarkStart w:id="51" w:name="_Hlk94018775"/>
      <w:r>
        <w:rPr>
          <w:rFonts w:hint="eastAsia" w:ascii="宋体" w:hAnsi="宋体" w:cs="仿宋_GB2312"/>
          <w:b/>
          <w:szCs w:val="21"/>
        </w:rPr>
        <w:t>（一）</w:t>
      </w:r>
      <w:r>
        <w:rPr>
          <w:rFonts w:ascii="宋体" w:hAnsi="宋体" w:cs="仿宋_GB2312"/>
          <w:b/>
          <w:szCs w:val="21"/>
        </w:rPr>
        <w:t>开标</w:t>
      </w:r>
    </w:p>
    <w:p>
      <w:pPr>
        <w:pStyle w:val="106"/>
        <w:snapToGrid w:val="0"/>
        <w:spacing w:before="0" w:line="288" w:lineRule="auto"/>
        <w:ind w:left="0" w:firstLine="422" w:firstLineChars="201"/>
        <w:rPr>
          <w:rFonts w:ascii="宋体" w:hAnsi="宋体" w:cs="仿宋_GB2312"/>
          <w:szCs w:val="21"/>
        </w:rPr>
      </w:pPr>
      <w:r>
        <w:rPr>
          <w:rFonts w:ascii="宋体" w:hAnsi="宋体" w:cs="仿宋_GB2312"/>
          <w:szCs w:val="21"/>
        </w:rPr>
        <w:t>采购机构按照招标文件规定的时间通过电子交易平台组织开标，所有投标人均应当准时在线参加。投标人不足3家的，不得开标。</w:t>
      </w:r>
    </w:p>
    <w:p>
      <w:pPr>
        <w:pStyle w:val="106"/>
        <w:snapToGrid w:val="0"/>
        <w:spacing w:before="0" w:line="288" w:lineRule="auto"/>
        <w:ind w:left="0" w:firstLine="422" w:firstLineChars="201"/>
        <w:rPr>
          <w:rFonts w:ascii="宋体" w:hAnsi="宋体" w:cs="仿宋_GB2312"/>
          <w:szCs w:val="21"/>
        </w:rPr>
      </w:pPr>
      <w:r>
        <w:rPr>
          <w:rFonts w:ascii="宋体" w:hAnsi="宋体" w:cs="仿宋_GB2312"/>
          <w:szCs w:val="21"/>
        </w:rPr>
        <w:t>开标时，电子交易平台按开标时间自动提取所有投标文件。</w:t>
      </w:r>
      <w:r>
        <w:rPr>
          <w:rFonts w:hint="eastAsia" w:ascii="宋体" w:hAnsi="宋体" w:cs="仿宋_GB2312"/>
          <w:szCs w:val="21"/>
        </w:rPr>
        <w:t>采购人或代理</w:t>
      </w:r>
      <w:r>
        <w:rPr>
          <w:rFonts w:ascii="宋体" w:hAnsi="宋体" w:cs="仿宋_GB2312"/>
          <w:szCs w:val="21"/>
        </w:rPr>
        <w:t>机构依托电子交易平台发起开始解密指令，投标人按照平台提示和招标文件的规定在半小时内完成在线解密。</w:t>
      </w:r>
    </w:p>
    <w:p>
      <w:pPr>
        <w:adjustRightInd w:val="0"/>
        <w:snapToGrid w:val="0"/>
        <w:spacing w:line="288" w:lineRule="auto"/>
        <w:ind w:firstLine="422" w:firstLineChars="200"/>
        <w:rPr>
          <w:rFonts w:ascii="宋体" w:hAnsi="宋体" w:eastAsia="宋体" w:cs="仿宋_GB2312"/>
          <w:b/>
          <w:szCs w:val="21"/>
        </w:rPr>
      </w:pPr>
      <w:r>
        <w:rPr>
          <w:rFonts w:hint="eastAsia" w:ascii="宋体" w:hAnsi="宋体" w:eastAsia="宋体" w:cs="仿宋_GB2312"/>
          <w:b/>
          <w:szCs w:val="21"/>
        </w:rPr>
        <w:t>投标文件未按时解密，投标人提供了备份投标文件的，以备份投标文件作为依据，否则视为投标文件撤回。投标文件已按时解密的，备份投标文件自动失效。</w:t>
      </w:r>
    </w:p>
    <w:p>
      <w:pPr>
        <w:widowControl/>
        <w:adjustRightInd w:val="0"/>
        <w:snapToGrid w:val="0"/>
        <w:spacing w:line="288" w:lineRule="auto"/>
        <w:ind w:firstLine="424" w:firstLineChars="201"/>
        <w:jc w:val="left"/>
        <w:rPr>
          <w:rFonts w:ascii="宋体" w:hAnsi="宋体" w:eastAsia="宋体" w:cs="仿宋_GB2312"/>
          <w:b/>
          <w:szCs w:val="21"/>
        </w:rPr>
      </w:pPr>
      <w:r>
        <w:rPr>
          <w:rFonts w:hint="eastAsia" w:ascii="宋体" w:hAnsi="宋体" w:eastAsia="宋体" w:cs="仿宋_GB2312"/>
          <w:b/>
          <w:szCs w:val="21"/>
        </w:rPr>
        <w:t>（二）</w:t>
      </w:r>
      <w:r>
        <w:rPr>
          <w:rFonts w:ascii="宋体" w:hAnsi="宋体" w:eastAsia="宋体" w:cs="仿宋_GB2312"/>
          <w:b/>
          <w:szCs w:val="21"/>
        </w:rPr>
        <w:t>资格审查</w:t>
      </w:r>
    </w:p>
    <w:p>
      <w:pPr>
        <w:adjustRightInd w:val="0"/>
        <w:snapToGrid w:val="0"/>
        <w:spacing w:line="288" w:lineRule="auto"/>
        <w:ind w:firstLine="422" w:firstLineChars="201"/>
        <w:rPr>
          <w:rFonts w:ascii="宋体" w:hAnsi="宋体" w:eastAsia="宋体" w:cs="仿宋_GB2312"/>
          <w:szCs w:val="21"/>
        </w:rPr>
      </w:pPr>
      <w:r>
        <w:rPr>
          <w:rFonts w:ascii="宋体" w:hAnsi="宋体" w:eastAsia="宋体" w:cs="Arial"/>
          <w:kern w:val="0"/>
          <w:szCs w:val="21"/>
        </w:rPr>
        <w:t>开标后，</w:t>
      </w:r>
      <w:r>
        <w:rPr>
          <w:rFonts w:hint="eastAsia" w:ascii="宋体" w:hAnsi="宋体" w:eastAsia="宋体" w:cs="仿宋_GB2312"/>
          <w:szCs w:val="21"/>
        </w:rPr>
        <w:t>采购人或采购机构依据法律法规和招标文件的规定，对投标人的资格条件进行审查。</w:t>
      </w:r>
    </w:p>
    <w:p>
      <w:pPr>
        <w:pStyle w:val="104"/>
        <w:adjustRightInd w:val="0"/>
        <w:snapToGrid w:val="0"/>
        <w:spacing w:before="0" w:line="288" w:lineRule="auto"/>
        <w:ind w:firstLine="422" w:firstLineChars="201"/>
        <w:rPr>
          <w:rFonts w:ascii="宋体" w:hAnsi="宋体" w:cs="仿宋_GB2312"/>
          <w:sz w:val="21"/>
          <w:szCs w:val="21"/>
        </w:rPr>
      </w:pPr>
      <w:r>
        <w:rPr>
          <w:rFonts w:ascii="宋体" w:hAnsi="宋体" w:cs="仿宋_GB2312"/>
          <w:sz w:val="21"/>
          <w:szCs w:val="21"/>
        </w:rPr>
        <w:t>对未通过资格审查的投标人，采购人或采购机构告知其未通过的原因。</w:t>
      </w:r>
    </w:p>
    <w:p>
      <w:pPr>
        <w:pStyle w:val="104"/>
        <w:adjustRightInd w:val="0"/>
        <w:snapToGrid w:val="0"/>
        <w:spacing w:before="0" w:line="288" w:lineRule="auto"/>
        <w:ind w:firstLine="422" w:firstLineChars="201"/>
        <w:rPr>
          <w:rFonts w:ascii="宋体" w:hAnsi="宋体" w:cs="仿宋_GB2312"/>
          <w:sz w:val="21"/>
          <w:szCs w:val="21"/>
        </w:rPr>
      </w:pPr>
      <w:r>
        <w:rPr>
          <w:rFonts w:ascii="宋体" w:hAnsi="宋体" w:cs="仿宋_GB2312"/>
          <w:sz w:val="21"/>
          <w:szCs w:val="21"/>
        </w:rPr>
        <w:t>通过资格审查的投标人不足3家的，不再评标。</w:t>
      </w:r>
    </w:p>
    <w:p>
      <w:pPr>
        <w:pStyle w:val="104"/>
        <w:adjustRightInd w:val="0"/>
        <w:snapToGrid w:val="0"/>
        <w:spacing w:before="0" w:line="288" w:lineRule="auto"/>
        <w:ind w:firstLine="424" w:firstLineChars="201"/>
        <w:rPr>
          <w:rFonts w:ascii="宋体" w:hAnsi="宋体" w:cs="仿宋_GB2312"/>
          <w:b/>
          <w:sz w:val="21"/>
          <w:szCs w:val="21"/>
        </w:rPr>
      </w:pPr>
      <w:r>
        <w:rPr>
          <w:rFonts w:hint="eastAsia" w:ascii="宋体" w:hAnsi="宋体" w:cs="仿宋_GB2312"/>
          <w:b/>
          <w:sz w:val="21"/>
          <w:szCs w:val="21"/>
        </w:rPr>
        <w:t>（三）</w:t>
      </w:r>
      <w:r>
        <w:rPr>
          <w:rFonts w:ascii="宋体" w:hAnsi="宋体" w:cs="仿宋_GB2312"/>
          <w:b/>
          <w:sz w:val="21"/>
          <w:szCs w:val="21"/>
        </w:rPr>
        <w:t>信用信息查询</w:t>
      </w:r>
    </w:p>
    <w:p>
      <w:pPr>
        <w:pStyle w:val="104"/>
        <w:adjustRightInd w:val="0"/>
        <w:snapToGrid w:val="0"/>
        <w:spacing w:before="0" w:line="288" w:lineRule="auto"/>
        <w:ind w:firstLine="422" w:firstLineChars="201"/>
        <w:jc w:val="left"/>
        <w:rPr>
          <w:rFonts w:ascii="宋体" w:hAnsi="宋体" w:cs="Arial"/>
          <w:kern w:val="0"/>
          <w:sz w:val="21"/>
          <w:szCs w:val="21"/>
        </w:rPr>
      </w:pPr>
      <w:r>
        <w:rPr>
          <w:rFonts w:hint="eastAsia" w:ascii="宋体" w:hAnsi="宋体" w:cs="Arial"/>
          <w:kern w:val="0"/>
          <w:sz w:val="21"/>
          <w:szCs w:val="21"/>
        </w:rPr>
        <w:t>根据财库</w:t>
      </w:r>
      <w:r>
        <w:rPr>
          <w:rFonts w:ascii="宋体" w:hAnsi="宋体" w:cs="Arial"/>
          <w:kern w:val="0"/>
          <w:sz w:val="21"/>
          <w:szCs w:val="21"/>
        </w:rPr>
        <w:t>[2016]125号《关于在政府采购活动中查询及使用信用记录有关问题的通知》要求，采购代理机构会对投标人信用记录进行查询并甄别。信用信息查询的截止时点：投标截止时间；</w:t>
      </w:r>
    </w:p>
    <w:p>
      <w:pPr>
        <w:pStyle w:val="104"/>
        <w:adjustRightInd w:val="0"/>
        <w:snapToGrid w:val="0"/>
        <w:spacing w:before="0" w:line="288" w:lineRule="auto"/>
        <w:ind w:firstLine="422" w:firstLineChars="201"/>
        <w:jc w:val="left"/>
        <w:rPr>
          <w:rFonts w:ascii="宋体" w:hAnsi="宋体" w:cs="Arial"/>
          <w:kern w:val="0"/>
          <w:sz w:val="21"/>
          <w:szCs w:val="21"/>
        </w:rPr>
      </w:pPr>
      <w:r>
        <w:rPr>
          <w:rFonts w:hint="eastAsia" w:ascii="宋体" w:hAnsi="宋体" w:cs="Arial"/>
          <w:kern w:val="0"/>
          <w:sz w:val="21"/>
          <w:szCs w:val="21"/>
        </w:rPr>
        <w:t>（</w:t>
      </w:r>
      <w:r>
        <w:rPr>
          <w:rFonts w:ascii="宋体" w:hAnsi="宋体" w:cs="Arial"/>
          <w:kern w:val="0"/>
          <w:sz w:val="21"/>
          <w:szCs w:val="21"/>
        </w:rPr>
        <w:t>1）查询渠道：“信用中国”（www.creditchina.gov.cn）、“中国政府采购网”（www.ccgp.gov.cn）；</w:t>
      </w:r>
    </w:p>
    <w:p>
      <w:pPr>
        <w:pStyle w:val="104"/>
        <w:adjustRightInd w:val="0"/>
        <w:snapToGrid w:val="0"/>
        <w:spacing w:before="0" w:line="288" w:lineRule="auto"/>
        <w:ind w:firstLine="422" w:firstLineChars="201"/>
        <w:jc w:val="left"/>
        <w:rPr>
          <w:rFonts w:ascii="宋体" w:hAnsi="宋体" w:cs="Arial"/>
          <w:kern w:val="0"/>
          <w:sz w:val="21"/>
          <w:szCs w:val="21"/>
        </w:rPr>
      </w:pPr>
      <w:r>
        <w:rPr>
          <w:rFonts w:hint="eastAsia" w:ascii="宋体" w:hAnsi="宋体" w:cs="Arial"/>
          <w:kern w:val="0"/>
          <w:sz w:val="21"/>
          <w:szCs w:val="21"/>
        </w:rPr>
        <w:t>（</w:t>
      </w:r>
      <w:r>
        <w:rPr>
          <w:rFonts w:ascii="宋体" w:hAnsi="宋体" w:cs="Arial"/>
          <w:kern w:val="0"/>
          <w:sz w:val="21"/>
          <w:szCs w:val="21"/>
        </w:rPr>
        <w:t>2）信用信息查询记录和证据留存具体方式：采购代理机构经办人和监督人员将查询网页打印、签名与其他采购文件一并保存；</w:t>
      </w:r>
    </w:p>
    <w:p>
      <w:pPr>
        <w:pStyle w:val="104"/>
        <w:adjustRightInd w:val="0"/>
        <w:snapToGrid w:val="0"/>
        <w:spacing w:before="0" w:line="288" w:lineRule="auto"/>
        <w:ind w:firstLine="422" w:firstLineChars="201"/>
        <w:jc w:val="left"/>
        <w:rPr>
          <w:rFonts w:ascii="宋体" w:hAnsi="宋体" w:cs="Arial"/>
          <w:kern w:val="0"/>
          <w:sz w:val="21"/>
          <w:szCs w:val="21"/>
        </w:rPr>
      </w:pPr>
      <w:r>
        <w:rPr>
          <w:rFonts w:hint="eastAsia" w:ascii="宋体" w:hAnsi="宋体" w:cs="Arial"/>
          <w:kern w:val="0"/>
          <w:sz w:val="21"/>
          <w:szCs w:val="21"/>
        </w:rPr>
        <w:t>（</w:t>
      </w:r>
      <w:r>
        <w:rPr>
          <w:rFonts w:ascii="宋体" w:hAnsi="宋体" w:cs="Arial"/>
          <w:kern w:val="0"/>
          <w:sz w:val="21"/>
          <w:szCs w:val="21"/>
        </w:rPr>
        <w:t>3）信用信息的使用规则：投标人被列入失信被执行人、重大税收违法案件当事人名单、政府采购严重违法失信行为记录名单的，拒绝其参与政府采购活动。</w:t>
      </w:r>
    </w:p>
    <w:p>
      <w:pPr>
        <w:pStyle w:val="104"/>
        <w:adjustRightInd w:val="0"/>
        <w:snapToGrid w:val="0"/>
        <w:spacing w:before="0" w:line="288" w:lineRule="auto"/>
        <w:ind w:firstLine="422" w:firstLineChars="201"/>
        <w:rPr>
          <w:rFonts w:ascii="宋体" w:hAnsi="宋体" w:cs="仿宋_GB2312"/>
          <w:sz w:val="21"/>
          <w:szCs w:val="21"/>
        </w:rPr>
      </w:pPr>
      <w:r>
        <w:rPr>
          <w:rFonts w:ascii="宋体" w:hAnsi="宋体" w:cs="Arial"/>
          <w:kern w:val="0"/>
          <w:sz w:val="21"/>
          <w:szCs w:val="21"/>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仿宋_GB2312"/>
          <w:sz w:val="21"/>
          <w:szCs w:val="21"/>
        </w:rPr>
        <w:t>。</w:t>
      </w:r>
    </w:p>
    <w:p>
      <w:pPr>
        <w:adjustRightInd w:val="0"/>
        <w:snapToGrid w:val="0"/>
        <w:spacing w:line="288" w:lineRule="auto"/>
        <w:ind w:firstLine="398" w:firstLineChars="200"/>
        <w:rPr>
          <w:rFonts w:ascii="宋体" w:hAnsi="宋体" w:eastAsia="宋体" w:cs="Times New Roman"/>
          <w:b/>
          <w:bCs/>
          <w:color w:val="FF0000"/>
          <w:spacing w:val="-6"/>
          <w:szCs w:val="21"/>
        </w:rPr>
      </w:pPr>
    </w:p>
    <w:p>
      <w:pPr>
        <w:adjustRightInd w:val="0"/>
        <w:snapToGrid w:val="0"/>
        <w:spacing w:line="288" w:lineRule="auto"/>
        <w:ind w:firstLine="398" w:firstLineChars="200"/>
        <w:rPr>
          <w:rFonts w:ascii="宋体" w:hAnsi="宋体" w:eastAsia="宋体" w:cs="Times New Roman"/>
          <w:b/>
          <w:bCs/>
          <w:spacing w:val="-6"/>
          <w:szCs w:val="21"/>
        </w:rPr>
      </w:pPr>
      <w:r>
        <w:rPr>
          <w:rFonts w:hint="eastAsia" w:ascii="宋体" w:hAnsi="宋体" w:eastAsia="宋体" w:cs="Times New Roman"/>
          <w:b/>
          <w:bCs/>
          <w:spacing w:val="-6"/>
          <w:szCs w:val="21"/>
        </w:rPr>
        <w:t>特别说明：如遇政府采购云平台电子化开标或评审程序调整的，按调整后程序执行。</w:t>
      </w:r>
    </w:p>
    <w:bookmarkEnd w:id="51"/>
    <w:p>
      <w:pPr>
        <w:adjustRightInd w:val="0"/>
        <w:snapToGrid w:val="0"/>
        <w:spacing w:line="288" w:lineRule="auto"/>
        <w:jc w:val="center"/>
        <w:outlineLvl w:val="1"/>
        <w:rPr>
          <w:rFonts w:ascii="宋体" w:hAnsi="宋体" w:eastAsia="宋体" w:cs="Times New Roman"/>
          <w:b/>
          <w:spacing w:val="-6"/>
          <w:szCs w:val="21"/>
        </w:rPr>
      </w:pPr>
      <w:r>
        <w:rPr>
          <w:rFonts w:ascii="宋体" w:hAnsi="宋体" w:eastAsia="宋体" w:cs="Times New Roman"/>
          <w:b/>
          <w:spacing w:val="-6"/>
          <w:szCs w:val="21"/>
        </w:rPr>
        <w:br w:type="page"/>
      </w:r>
      <w:r>
        <w:rPr>
          <w:rFonts w:hint="eastAsia" w:ascii="宋体" w:hAnsi="宋体" w:eastAsia="宋体" w:cs="Times New Roman"/>
          <w:b/>
          <w:spacing w:val="-6"/>
          <w:szCs w:val="21"/>
        </w:rPr>
        <w:t>六、评  标</w:t>
      </w:r>
    </w:p>
    <w:p>
      <w:pPr>
        <w:adjustRightInd w:val="0"/>
        <w:snapToGrid w:val="0"/>
        <w:spacing w:line="288" w:lineRule="auto"/>
        <w:ind w:firstLine="420" w:firstLineChars="200"/>
        <w:rPr>
          <w:rFonts w:ascii="宋体" w:hAnsi="宋体" w:eastAsia="宋体" w:cs="宋体"/>
          <w:kern w:val="0"/>
          <w:szCs w:val="21"/>
        </w:rPr>
      </w:pPr>
      <w:bookmarkStart w:id="52" w:name="_Hlk94018958"/>
      <w:r>
        <w:rPr>
          <w:rFonts w:ascii="宋体" w:hAnsi="宋体" w:eastAsia="宋体" w:cs="宋体"/>
          <w:kern w:val="0"/>
          <w:szCs w:val="21"/>
        </w:rPr>
        <w:t>评标委员会成员应当按照客观、公正、审慎的原则，根据招标文件规定的评标程序、评标方法和评标标准进行独立评审。招标文件内容违反国家有关强制性规定的，评标委员会应当停止评标并向采购人或者采购代理机构说明情况。</w:t>
      </w:r>
    </w:p>
    <w:p>
      <w:pPr>
        <w:adjustRightInd w:val="0"/>
        <w:snapToGrid w:val="0"/>
        <w:spacing w:line="288" w:lineRule="auto"/>
        <w:ind w:firstLine="420" w:firstLineChars="200"/>
        <w:rPr>
          <w:rFonts w:ascii="宋体" w:hAnsi="宋体" w:eastAsia="宋体" w:cs="宋体"/>
          <w:kern w:val="0"/>
          <w:szCs w:val="21"/>
        </w:rPr>
      </w:pPr>
      <w:r>
        <w:rPr>
          <w:rFonts w:ascii="宋体" w:hAnsi="宋体" w:eastAsia="宋体" w:cs="宋体"/>
          <w:kern w:val="0"/>
          <w:szCs w:val="21"/>
        </w:rPr>
        <w:t>评标中因评标委员会成员缺席、回避或者健康等特殊原因导致评标委员会组成不符合规定的，依法补足后继续评标。被更换的评标委员会成员所作出的评标意见无效。</w:t>
      </w:r>
    </w:p>
    <w:bookmarkEnd w:id="52"/>
    <w:p>
      <w:pPr>
        <w:adjustRightInd w:val="0"/>
        <w:snapToGrid w:val="0"/>
        <w:spacing w:line="288" w:lineRule="auto"/>
        <w:ind w:firstLine="426" w:firstLineChars="202"/>
        <w:rPr>
          <w:rFonts w:ascii="宋体" w:hAnsi="宋体" w:eastAsia="宋体" w:cs="Arial"/>
          <w:b/>
          <w:kern w:val="0"/>
          <w:szCs w:val="21"/>
        </w:rPr>
      </w:pPr>
      <w:bookmarkStart w:id="53" w:name="_Hlk94019000"/>
      <w:r>
        <w:rPr>
          <w:rFonts w:hint="eastAsia" w:ascii="宋体" w:hAnsi="宋体" w:eastAsia="宋体" w:cs="Arial"/>
          <w:b/>
          <w:kern w:val="0"/>
          <w:szCs w:val="21"/>
        </w:rPr>
        <w:t>（一）</w:t>
      </w:r>
      <w:r>
        <w:rPr>
          <w:rFonts w:ascii="宋体" w:hAnsi="宋体" w:eastAsia="宋体" w:cs="Arial"/>
          <w:b/>
          <w:kern w:val="0"/>
          <w:szCs w:val="21"/>
        </w:rPr>
        <w:t>符合性审查</w:t>
      </w:r>
    </w:p>
    <w:p>
      <w:pPr>
        <w:adjustRightInd w:val="0"/>
        <w:snapToGrid w:val="0"/>
        <w:spacing w:line="288" w:lineRule="auto"/>
        <w:ind w:firstLine="424" w:firstLineChars="202"/>
        <w:rPr>
          <w:rFonts w:ascii="宋体" w:hAnsi="宋体" w:eastAsia="宋体" w:cs="Arial"/>
          <w:kern w:val="0"/>
          <w:szCs w:val="21"/>
        </w:rPr>
      </w:pPr>
      <w:r>
        <w:rPr>
          <w:rFonts w:ascii="宋体" w:hAnsi="宋体" w:eastAsia="宋体" w:cs="Arial"/>
          <w:kern w:val="0"/>
          <w:szCs w:val="21"/>
        </w:rPr>
        <w:t>评标委员会对符合资格的投标人的投标文件进行符合性审查，以确定其是否满足招标文件的实质性要求。</w:t>
      </w:r>
      <w:r>
        <w:rPr>
          <w:rFonts w:hint="eastAsia" w:ascii="宋体" w:hAnsi="宋体" w:eastAsia="宋体" w:cs="Arial"/>
          <w:kern w:val="0"/>
          <w:szCs w:val="21"/>
        </w:rPr>
        <w:t>不</w:t>
      </w:r>
      <w:r>
        <w:rPr>
          <w:rFonts w:ascii="宋体" w:hAnsi="宋体" w:eastAsia="宋体" w:cs="Arial"/>
          <w:kern w:val="0"/>
          <w:szCs w:val="21"/>
        </w:rPr>
        <w:t>满足招标文件的实质性要求</w:t>
      </w:r>
      <w:r>
        <w:rPr>
          <w:rFonts w:hint="eastAsia" w:ascii="宋体" w:hAnsi="宋体" w:eastAsia="宋体" w:cs="Arial"/>
          <w:kern w:val="0"/>
          <w:szCs w:val="21"/>
        </w:rPr>
        <w:t>的，投标无效。</w:t>
      </w:r>
    </w:p>
    <w:p>
      <w:pPr>
        <w:adjustRightInd w:val="0"/>
        <w:snapToGrid w:val="0"/>
        <w:spacing w:line="288" w:lineRule="auto"/>
        <w:ind w:firstLine="426" w:firstLineChars="202"/>
        <w:rPr>
          <w:rFonts w:ascii="宋体" w:hAnsi="宋体" w:eastAsia="宋体" w:cs="Arial"/>
          <w:b/>
          <w:kern w:val="0"/>
          <w:szCs w:val="21"/>
        </w:rPr>
      </w:pPr>
      <w:r>
        <w:rPr>
          <w:rFonts w:hint="eastAsia" w:ascii="宋体" w:hAnsi="宋体" w:eastAsia="宋体" w:cs="Arial"/>
          <w:b/>
          <w:kern w:val="0"/>
          <w:szCs w:val="21"/>
        </w:rPr>
        <w:t>（二）比较与评价</w:t>
      </w:r>
    </w:p>
    <w:p>
      <w:pPr>
        <w:adjustRightInd w:val="0"/>
        <w:snapToGrid w:val="0"/>
        <w:spacing w:line="288" w:lineRule="auto"/>
        <w:ind w:firstLine="424" w:firstLineChars="202"/>
        <w:rPr>
          <w:rFonts w:ascii="宋体" w:hAnsi="宋体" w:eastAsia="宋体" w:cs="Arial"/>
          <w:kern w:val="0"/>
          <w:szCs w:val="21"/>
        </w:rPr>
      </w:pPr>
      <w:r>
        <w:rPr>
          <w:rFonts w:ascii="宋体" w:hAnsi="宋体" w:eastAsia="宋体" w:cs="Arial"/>
          <w:kern w:val="0"/>
          <w:szCs w:val="21"/>
        </w:rPr>
        <w:t>评标委员会按照招标文件中规定的评标方法和标准，对符合性审查合格的投标文件进行商务和技术评估，综合比较与评价。</w:t>
      </w:r>
    </w:p>
    <w:p>
      <w:pPr>
        <w:adjustRightInd w:val="0"/>
        <w:snapToGrid w:val="0"/>
        <w:spacing w:line="288" w:lineRule="auto"/>
        <w:ind w:firstLine="424" w:firstLineChars="202"/>
        <w:rPr>
          <w:rFonts w:ascii="宋体" w:hAnsi="宋体" w:eastAsia="宋体" w:cs="Arial"/>
          <w:kern w:val="0"/>
          <w:szCs w:val="21"/>
        </w:rPr>
      </w:pPr>
      <w:r>
        <w:rPr>
          <w:rFonts w:hint="eastAsia" w:ascii="宋体" w:hAnsi="宋体" w:eastAsia="宋体" w:cs="Arial"/>
          <w:kern w:val="0"/>
          <w:szCs w:val="21"/>
        </w:rPr>
        <w:t>现场监督员如发现分值汇总计算错误、分项评分超出评分标准范围、客观评分不一致以及存在评分畸高、畸低情形的，应由相关人员当场改正或作出说明；拒不改正又不作说明的，由现场监督员如实记载后存入项目档案资料。</w:t>
      </w:r>
    </w:p>
    <w:p>
      <w:pPr>
        <w:adjustRightInd w:val="0"/>
        <w:snapToGrid w:val="0"/>
        <w:spacing w:line="288" w:lineRule="auto"/>
        <w:ind w:firstLine="426" w:firstLineChars="202"/>
        <w:rPr>
          <w:rFonts w:ascii="宋体" w:hAnsi="宋体" w:eastAsia="宋体" w:cs="Arial"/>
          <w:b/>
          <w:kern w:val="0"/>
          <w:szCs w:val="21"/>
        </w:rPr>
      </w:pPr>
      <w:r>
        <w:rPr>
          <w:rFonts w:hint="eastAsia" w:ascii="宋体" w:hAnsi="宋体" w:eastAsia="宋体" w:cs="Arial"/>
          <w:b/>
          <w:kern w:val="0"/>
          <w:szCs w:val="21"/>
        </w:rPr>
        <w:t>（三）</w:t>
      </w:r>
      <w:r>
        <w:rPr>
          <w:rFonts w:ascii="宋体" w:hAnsi="宋体" w:eastAsia="宋体" w:cs="Arial"/>
          <w:b/>
          <w:kern w:val="0"/>
          <w:szCs w:val="21"/>
        </w:rPr>
        <w:t>汇总商务技术得分</w:t>
      </w:r>
    </w:p>
    <w:p>
      <w:pPr>
        <w:adjustRightInd w:val="0"/>
        <w:snapToGrid w:val="0"/>
        <w:spacing w:line="288" w:lineRule="auto"/>
        <w:ind w:firstLine="424" w:firstLineChars="202"/>
        <w:rPr>
          <w:rFonts w:ascii="宋体" w:hAnsi="宋体" w:eastAsia="宋体" w:cs="Arial"/>
          <w:kern w:val="0"/>
          <w:szCs w:val="21"/>
        </w:rPr>
      </w:pPr>
      <w:r>
        <w:rPr>
          <w:rFonts w:hint="eastAsia" w:ascii="宋体" w:hAnsi="宋体" w:eastAsia="宋体" w:cs="Arial"/>
          <w:kern w:val="0"/>
          <w:szCs w:val="21"/>
        </w:rPr>
        <w:t>评标委员会各成员独立对每个投标人的商务和技术文件进行评价，并汇总商务技术得分情况。</w:t>
      </w:r>
    </w:p>
    <w:p>
      <w:pPr>
        <w:adjustRightInd w:val="0"/>
        <w:snapToGrid w:val="0"/>
        <w:spacing w:line="288" w:lineRule="auto"/>
        <w:ind w:firstLine="426" w:firstLineChars="202"/>
        <w:rPr>
          <w:rFonts w:ascii="宋体" w:hAnsi="宋体" w:eastAsia="宋体" w:cs="Arial"/>
          <w:b/>
          <w:kern w:val="0"/>
          <w:szCs w:val="21"/>
        </w:rPr>
      </w:pPr>
      <w:r>
        <w:rPr>
          <w:rFonts w:hint="eastAsia" w:ascii="宋体" w:hAnsi="宋体" w:eastAsia="宋体" w:cs="Arial"/>
          <w:b/>
          <w:kern w:val="0"/>
          <w:szCs w:val="21"/>
        </w:rPr>
        <w:t>（四）</w:t>
      </w:r>
      <w:r>
        <w:rPr>
          <w:rFonts w:ascii="宋体" w:hAnsi="宋体" w:eastAsia="宋体" w:cs="Arial"/>
          <w:b/>
          <w:kern w:val="0"/>
          <w:szCs w:val="21"/>
        </w:rPr>
        <w:t>报价评审</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政府采购云平台上传的电子投标（响应）文件报价与政府采购云平台录入报价不一致的，以上传的电子投标（响应）文件报价为准。</w:t>
      </w:r>
    </w:p>
    <w:p>
      <w:pPr>
        <w:adjustRightInd w:val="0"/>
        <w:snapToGrid w:val="0"/>
        <w:spacing w:line="288" w:lineRule="auto"/>
        <w:ind w:firstLine="426" w:firstLineChars="202"/>
        <w:rPr>
          <w:rFonts w:ascii="宋体" w:hAnsi="宋体" w:eastAsia="宋体" w:cs="Arial"/>
          <w:b/>
          <w:kern w:val="0"/>
          <w:szCs w:val="21"/>
        </w:rPr>
      </w:pPr>
      <w:r>
        <w:rPr>
          <w:rFonts w:ascii="宋体" w:hAnsi="宋体" w:eastAsia="宋体" w:cs="Arial"/>
          <w:b/>
          <w:kern w:val="0"/>
          <w:szCs w:val="21"/>
        </w:rPr>
        <w:t>投标文件报价出现前后不一致的，按照下列规定修正：</w:t>
      </w:r>
    </w:p>
    <w:p>
      <w:pPr>
        <w:pStyle w:val="104"/>
        <w:adjustRightInd w:val="0"/>
        <w:snapToGrid w:val="0"/>
        <w:spacing w:before="0" w:line="288" w:lineRule="auto"/>
        <w:ind w:firstLine="424" w:firstLineChars="202"/>
        <w:rPr>
          <w:rFonts w:ascii="宋体" w:hAnsi="宋体" w:cs="仿宋"/>
          <w:kern w:val="0"/>
          <w:sz w:val="21"/>
          <w:szCs w:val="21"/>
        </w:rPr>
      </w:pPr>
      <w:r>
        <w:rPr>
          <w:rFonts w:ascii="宋体" w:hAnsi="宋体" w:cs="仿宋"/>
          <w:kern w:val="0"/>
          <w:sz w:val="21"/>
          <w:szCs w:val="21"/>
        </w:rPr>
        <w:t>投标文件中开标一览表(报价表)内容与投标文件中相应内容不一致的，以开标一览表(报价表)为准；</w:t>
      </w:r>
    </w:p>
    <w:p>
      <w:pPr>
        <w:pStyle w:val="104"/>
        <w:adjustRightInd w:val="0"/>
        <w:snapToGrid w:val="0"/>
        <w:spacing w:before="0" w:line="288" w:lineRule="auto"/>
        <w:ind w:firstLine="424" w:firstLineChars="202"/>
        <w:rPr>
          <w:rFonts w:ascii="宋体" w:hAnsi="宋体" w:cs="仿宋"/>
          <w:kern w:val="0"/>
          <w:sz w:val="21"/>
          <w:szCs w:val="21"/>
        </w:rPr>
      </w:pPr>
      <w:r>
        <w:rPr>
          <w:rFonts w:ascii="宋体" w:hAnsi="宋体" w:cs="仿宋"/>
          <w:kern w:val="0"/>
          <w:sz w:val="21"/>
          <w:szCs w:val="21"/>
        </w:rPr>
        <w:t>大写金额和小写金额不一致的，以大写金额为准；</w:t>
      </w:r>
    </w:p>
    <w:p>
      <w:pPr>
        <w:pStyle w:val="104"/>
        <w:adjustRightInd w:val="0"/>
        <w:snapToGrid w:val="0"/>
        <w:spacing w:before="0" w:line="288" w:lineRule="auto"/>
        <w:ind w:firstLine="424" w:firstLineChars="202"/>
        <w:rPr>
          <w:rFonts w:ascii="宋体" w:hAnsi="宋体" w:cs="仿宋"/>
          <w:kern w:val="0"/>
          <w:sz w:val="21"/>
          <w:szCs w:val="21"/>
        </w:rPr>
      </w:pPr>
      <w:r>
        <w:rPr>
          <w:rFonts w:ascii="宋体" w:hAnsi="宋体" w:cs="仿宋"/>
          <w:kern w:val="0"/>
          <w:sz w:val="21"/>
          <w:szCs w:val="21"/>
        </w:rPr>
        <w:t>单价金额小数点或者百分比有明显错位的，以开标一览表的总价为准，并修改单价；</w:t>
      </w:r>
    </w:p>
    <w:p>
      <w:pPr>
        <w:pStyle w:val="104"/>
        <w:adjustRightInd w:val="0"/>
        <w:snapToGrid w:val="0"/>
        <w:spacing w:before="0" w:line="288" w:lineRule="auto"/>
        <w:ind w:firstLine="424" w:firstLineChars="202"/>
        <w:rPr>
          <w:rFonts w:ascii="宋体" w:hAnsi="宋体" w:cs="仿宋"/>
          <w:kern w:val="0"/>
          <w:sz w:val="21"/>
          <w:szCs w:val="21"/>
        </w:rPr>
      </w:pPr>
      <w:r>
        <w:rPr>
          <w:rFonts w:ascii="宋体" w:hAnsi="宋体" w:cs="仿宋"/>
          <w:kern w:val="0"/>
          <w:sz w:val="21"/>
          <w:szCs w:val="21"/>
        </w:rPr>
        <w:t>总价金额与按单价汇总金额不一致的，以单价金额计算结果为准。</w:t>
      </w:r>
    </w:p>
    <w:p>
      <w:pPr>
        <w:pStyle w:val="104"/>
        <w:adjustRightInd w:val="0"/>
        <w:snapToGrid w:val="0"/>
        <w:spacing w:before="0" w:line="288" w:lineRule="auto"/>
        <w:ind w:firstLine="424" w:firstLineChars="202"/>
        <w:rPr>
          <w:rFonts w:ascii="宋体" w:hAnsi="宋体" w:cs="仿宋"/>
          <w:kern w:val="0"/>
          <w:sz w:val="21"/>
          <w:szCs w:val="21"/>
        </w:rPr>
      </w:pPr>
      <w:r>
        <w:rPr>
          <w:rFonts w:ascii="宋体" w:hAnsi="宋体" w:cs="仿宋"/>
          <w:kern w:val="0"/>
          <w:sz w:val="21"/>
          <w:szCs w:val="21"/>
        </w:rPr>
        <w:t>同时出现两种以上不一致的，按照</w:t>
      </w:r>
      <w:r>
        <w:rPr>
          <w:rFonts w:hint="eastAsia" w:ascii="宋体" w:hAnsi="宋体" w:cs="仿宋"/>
          <w:kern w:val="0"/>
          <w:sz w:val="21"/>
          <w:szCs w:val="21"/>
        </w:rPr>
        <w:t>前款规定的顺序修正。修正后的报价按照财政部第</w:t>
      </w:r>
      <w:r>
        <w:rPr>
          <w:rFonts w:ascii="宋体" w:hAnsi="宋体" w:cs="仿宋"/>
          <w:kern w:val="0"/>
          <w:sz w:val="21"/>
          <w:szCs w:val="21"/>
        </w:rPr>
        <w:t>87号令</w:t>
      </w:r>
      <w:r>
        <w:rPr>
          <w:rFonts w:hint="eastAsia" w:ascii="宋体" w:hAnsi="宋体" w:cs="仿宋"/>
          <w:kern w:val="0"/>
          <w:sz w:val="21"/>
          <w:szCs w:val="21"/>
        </w:rPr>
        <w:t>《政府采购货物和服务招标投标管理办法》第五十一条第二款的规定“投标人的澄清、说明或者补正应当采用书面形式，并</w:t>
      </w:r>
      <w:bookmarkStart w:id="54" w:name="_Hlk96329302"/>
      <w:r>
        <w:rPr>
          <w:rFonts w:hint="eastAsia" w:ascii="宋体" w:hAnsi="宋体" w:cs="仿宋"/>
          <w:kern w:val="0"/>
          <w:sz w:val="21"/>
          <w:szCs w:val="21"/>
        </w:rPr>
        <w:t>加盖公章，或者由法定代表人或其授权的代表签名</w:t>
      </w:r>
      <w:bookmarkEnd w:id="54"/>
      <w:r>
        <w:rPr>
          <w:rFonts w:hint="eastAsia" w:ascii="宋体" w:hAnsi="宋体" w:cs="仿宋"/>
          <w:kern w:val="0"/>
          <w:sz w:val="21"/>
          <w:szCs w:val="21"/>
        </w:rPr>
        <w:t>。投标人的澄清、说明或者补正不得超出投标文件的范围或者改变投标文件的实质性内容。”经投标人确认后产生约束力。投标人不确认的，其投标无效。</w:t>
      </w:r>
    </w:p>
    <w:p>
      <w:pPr>
        <w:pStyle w:val="104"/>
        <w:adjustRightInd w:val="0"/>
        <w:snapToGrid w:val="0"/>
        <w:spacing w:before="0" w:line="288" w:lineRule="auto"/>
        <w:ind w:firstLine="424" w:firstLineChars="202"/>
        <w:rPr>
          <w:rFonts w:ascii="宋体" w:hAnsi="宋体" w:cs="仿宋"/>
          <w:kern w:val="0"/>
          <w:sz w:val="21"/>
          <w:szCs w:val="21"/>
        </w:rPr>
      </w:pPr>
      <w:r>
        <w:rPr>
          <w:rFonts w:hint="eastAsia" w:ascii="宋体" w:hAnsi="宋体" w:cs="仿宋"/>
          <w:kern w:val="0"/>
          <w:sz w:val="21"/>
          <w:szCs w:val="21"/>
        </w:rPr>
        <w:t>投标人收到修正确认文件后，在规定时间内未做出回复的，视为不确认。</w:t>
      </w:r>
    </w:p>
    <w:p>
      <w:pPr>
        <w:adjustRightInd w:val="0"/>
        <w:snapToGrid w:val="0"/>
        <w:spacing w:line="288" w:lineRule="auto"/>
        <w:ind w:firstLine="426" w:firstLineChars="202"/>
        <w:rPr>
          <w:rFonts w:ascii="宋体" w:hAnsi="宋体" w:eastAsia="宋体" w:cs="Arial"/>
          <w:b/>
          <w:kern w:val="0"/>
          <w:szCs w:val="21"/>
        </w:rPr>
      </w:pPr>
      <w:r>
        <w:rPr>
          <w:rFonts w:hint="eastAsia" w:ascii="宋体" w:hAnsi="宋体" w:eastAsia="宋体" w:cs="Arial"/>
          <w:b/>
          <w:kern w:val="0"/>
          <w:szCs w:val="21"/>
        </w:rPr>
        <w:t>（五）投标人澄清、说明或者补正</w:t>
      </w:r>
    </w:p>
    <w:p>
      <w:pPr>
        <w:pStyle w:val="104"/>
        <w:adjustRightInd w:val="0"/>
        <w:snapToGrid w:val="0"/>
        <w:spacing w:before="0" w:line="288" w:lineRule="auto"/>
        <w:ind w:firstLine="424" w:firstLineChars="202"/>
        <w:rPr>
          <w:rFonts w:ascii="宋体" w:hAnsi="宋体" w:cs="Arial"/>
          <w:kern w:val="0"/>
          <w:sz w:val="21"/>
          <w:szCs w:val="21"/>
        </w:rPr>
      </w:pPr>
      <w:r>
        <w:rPr>
          <w:rFonts w:hint="eastAsia" w:ascii="宋体" w:hAnsi="宋体" w:cs="Arial"/>
          <w:kern w:val="0"/>
          <w:sz w:val="21"/>
          <w:szCs w:val="21"/>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adjustRightInd w:val="0"/>
        <w:snapToGrid w:val="0"/>
        <w:spacing w:line="288" w:lineRule="auto"/>
        <w:ind w:firstLine="420" w:firstLineChars="200"/>
        <w:rPr>
          <w:rFonts w:ascii="宋体" w:hAnsi="宋体" w:eastAsia="宋体" w:cs="宋体"/>
          <w:kern w:val="0"/>
          <w:szCs w:val="21"/>
        </w:rPr>
      </w:pPr>
      <w:r>
        <w:rPr>
          <w:rFonts w:hint="eastAsia" w:ascii="宋体" w:hAnsi="宋体" w:eastAsia="宋体" w:cs="宋体"/>
          <w:kern w:val="0"/>
          <w:szCs w:val="21"/>
        </w:rPr>
        <w:t>投标人的书面澄清、说明或者补正无法通过政府采购云平台上传的，可在规定时间内（不少于半小时）通过指定的电子邮箱（</w:t>
      </w:r>
      <w:r>
        <w:rPr>
          <w:rFonts w:ascii="宋体" w:hAnsi="宋体" w:eastAsia="宋体" w:cs="宋体"/>
          <w:kern w:val="0"/>
          <w:szCs w:val="21"/>
        </w:rPr>
        <w:t>zb05@qszb.net）或传真号码（0571-87666116）提交。</w:t>
      </w:r>
    </w:p>
    <w:p>
      <w:pPr>
        <w:adjustRightInd w:val="0"/>
        <w:snapToGrid w:val="0"/>
        <w:spacing w:line="288" w:lineRule="auto"/>
        <w:ind w:firstLine="426" w:firstLineChars="202"/>
        <w:rPr>
          <w:rFonts w:ascii="宋体" w:hAnsi="宋体" w:eastAsia="宋体" w:cs="Arial"/>
          <w:b/>
          <w:kern w:val="0"/>
          <w:szCs w:val="21"/>
        </w:rPr>
      </w:pPr>
      <w:r>
        <w:rPr>
          <w:rFonts w:hint="eastAsia" w:ascii="宋体" w:hAnsi="宋体" w:eastAsia="宋体" w:cs="Arial"/>
          <w:b/>
          <w:kern w:val="0"/>
          <w:szCs w:val="21"/>
        </w:rPr>
        <w:t>（六）排序与推荐</w:t>
      </w:r>
    </w:p>
    <w:p>
      <w:pPr>
        <w:adjustRightInd w:val="0"/>
        <w:snapToGrid w:val="0"/>
        <w:spacing w:line="288" w:lineRule="auto"/>
        <w:ind w:firstLine="424" w:firstLineChars="202"/>
        <w:rPr>
          <w:rFonts w:ascii="宋体" w:hAnsi="宋体" w:eastAsia="宋体" w:cs="Arial"/>
          <w:kern w:val="0"/>
          <w:szCs w:val="21"/>
        </w:rPr>
      </w:pPr>
      <w:r>
        <w:rPr>
          <w:rFonts w:ascii="宋体" w:hAnsi="宋体" w:eastAsia="宋体" w:cs="Arial"/>
          <w:kern w:val="0"/>
          <w:szCs w:val="21"/>
        </w:rPr>
        <w:t>评标办法</w:t>
      </w:r>
      <w:r>
        <w:rPr>
          <w:rFonts w:hint="eastAsia" w:ascii="宋体" w:hAnsi="宋体" w:eastAsia="宋体" w:cs="Arial"/>
          <w:kern w:val="0"/>
          <w:szCs w:val="21"/>
        </w:rPr>
        <w:t>：</w:t>
      </w:r>
      <w:r>
        <w:rPr>
          <w:rFonts w:ascii="宋体" w:hAnsi="宋体" w:eastAsia="宋体" w:cs="Arial"/>
          <w:kern w:val="0"/>
          <w:szCs w:val="21"/>
        </w:rPr>
        <w:t>本项目评标办法是综合评分法，具体评标内容及评分标准等详见</w:t>
      </w:r>
      <w:r>
        <w:rPr>
          <w:rFonts w:hint="eastAsia" w:ascii="宋体" w:hAnsi="宋体" w:eastAsia="宋体" w:cs="Arial"/>
          <w:kern w:val="0"/>
          <w:szCs w:val="21"/>
        </w:rPr>
        <w:t>“</w:t>
      </w:r>
      <w:r>
        <w:rPr>
          <w:rFonts w:ascii="宋体" w:hAnsi="宋体" w:eastAsia="宋体" w:cs="Arial"/>
          <w:kern w:val="0"/>
          <w:szCs w:val="21"/>
        </w:rPr>
        <w:t>第四章：评标方法及评标标准”。</w:t>
      </w:r>
    </w:p>
    <w:p>
      <w:pPr>
        <w:adjustRightInd w:val="0"/>
        <w:snapToGrid w:val="0"/>
        <w:spacing w:line="288" w:lineRule="auto"/>
        <w:ind w:firstLine="424" w:firstLineChars="202"/>
        <w:rPr>
          <w:rFonts w:ascii="宋体" w:hAnsi="宋体" w:eastAsia="宋体" w:cs="Times New Roman"/>
          <w:bCs/>
          <w:spacing w:val="-6"/>
          <w:szCs w:val="21"/>
        </w:rPr>
      </w:pPr>
      <w:r>
        <w:rPr>
          <w:rFonts w:ascii="宋体" w:hAnsi="宋体" w:eastAsia="宋体" w:cs="Arial"/>
          <w:kern w:val="0"/>
          <w:szCs w:val="21"/>
        </w:rPr>
        <w:t>评标结果按评审后得分由高到低顺序排列。得分相同的，按投标报价由低到高顺序排列。得分且投标报价相同的并列</w:t>
      </w:r>
      <w:r>
        <w:rPr>
          <w:rFonts w:hint="eastAsia" w:ascii="宋体" w:hAnsi="宋体" w:eastAsia="宋体" w:cs="Arial"/>
          <w:kern w:val="0"/>
          <w:szCs w:val="21"/>
        </w:rPr>
        <w:t>（中标候选人并列的，采取随机抽取的方式确定）</w:t>
      </w:r>
      <w:r>
        <w:rPr>
          <w:rFonts w:ascii="宋体" w:hAnsi="宋体" w:eastAsia="宋体" w:cs="Arial"/>
          <w:kern w:val="0"/>
          <w:szCs w:val="21"/>
        </w:rPr>
        <w:t>。投标文件满足招标文件全部实质性要求，且按照评审因素的量化指标评审得分最高的投标人为排名第一的中标候选人</w:t>
      </w:r>
      <w:r>
        <w:rPr>
          <w:rFonts w:hint="eastAsia" w:ascii="宋体" w:hAnsi="宋体" w:eastAsia="宋体" w:cs="Arial"/>
          <w:kern w:val="0"/>
          <w:szCs w:val="21"/>
        </w:rPr>
        <w:t>。</w:t>
      </w:r>
    </w:p>
    <w:p>
      <w:pPr>
        <w:adjustRightInd w:val="0"/>
        <w:snapToGrid w:val="0"/>
        <w:spacing w:line="288" w:lineRule="auto"/>
        <w:ind w:firstLine="424" w:firstLineChars="202"/>
        <w:rPr>
          <w:rFonts w:ascii="宋体" w:hAnsi="宋体" w:eastAsia="宋体" w:cs="Arial"/>
          <w:kern w:val="0"/>
          <w:szCs w:val="21"/>
        </w:rPr>
      </w:pPr>
      <w:r>
        <w:rPr>
          <w:rFonts w:hint="eastAsia" w:ascii="宋体" w:hAnsi="宋体" w:eastAsia="宋体" w:cs="Arial"/>
          <w:kern w:val="0"/>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adjustRightInd w:val="0"/>
        <w:snapToGrid w:val="0"/>
        <w:spacing w:line="288" w:lineRule="auto"/>
        <w:ind w:firstLine="424" w:firstLineChars="202"/>
        <w:rPr>
          <w:rFonts w:ascii="宋体" w:hAnsi="宋体" w:eastAsia="宋体" w:cs="Arial"/>
          <w:kern w:val="0"/>
          <w:szCs w:val="21"/>
        </w:rPr>
      </w:pPr>
      <w:r>
        <w:rPr>
          <w:rFonts w:hint="eastAsia" w:ascii="宋体" w:hAnsi="宋体" w:eastAsia="宋体" w:cs="Arial"/>
          <w:kern w:val="0"/>
          <w:szCs w:val="21"/>
        </w:rPr>
        <w:t>非单一产品采购项目，采购人应当根据采购项目技术构成、产品价格比重等合理确定核心产品，并在招标文件中载明。多家投标人提供的核心产品品牌相同的，按前款规定处理。</w:t>
      </w:r>
    </w:p>
    <w:p>
      <w:pPr>
        <w:adjustRightInd w:val="0"/>
        <w:snapToGrid w:val="0"/>
        <w:spacing w:line="288" w:lineRule="auto"/>
        <w:ind w:firstLine="426" w:firstLineChars="202"/>
        <w:rPr>
          <w:rFonts w:ascii="宋体" w:hAnsi="宋体" w:eastAsia="宋体" w:cs="Arial"/>
          <w:b/>
          <w:kern w:val="0"/>
          <w:szCs w:val="21"/>
        </w:rPr>
      </w:pPr>
      <w:r>
        <w:rPr>
          <w:rFonts w:hint="eastAsia" w:ascii="宋体" w:hAnsi="宋体" w:eastAsia="宋体" w:cs="Arial"/>
          <w:b/>
          <w:kern w:val="0"/>
          <w:szCs w:val="21"/>
        </w:rPr>
        <w:t>（七）</w:t>
      </w:r>
      <w:r>
        <w:rPr>
          <w:rFonts w:ascii="宋体" w:hAnsi="宋体" w:eastAsia="宋体" w:cs="Arial"/>
          <w:b/>
          <w:kern w:val="0"/>
          <w:szCs w:val="21"/>
        </w:rPr>
        <w:t>编写评标报告</w:t>
      </w:r>
    </w:p>
    <w:p>
      <w:pPr>
        <w:adjustRightInd w:val="0"/>
        <w:snapToGrid w:val="0"/>
        <w:spacing w:line="288" w:lineRule="auto"/>
        <w:ind w:firstLine="424" w:firstLineChars="202"/>
        <w:rPr>
          <w:rFonts w:ascii="宋体" w:hAnsi="宋体" w:eastAsia="宋体" w:cs="Arial"/>
          <w:kern w:val="0"/>
          <w:szCs w:val="21"/>
        </w:rPr>
      </w:pPr>
      <w:r>
        <w:rPr>
          <w:rFonts w:ascii="宋体" w:hAnsi="宋体" w:eastAsia="宋体" w:cs="Arial"/>
          <w:kern w:val="0"/>
          <w:szCs w:val="21"/>
        </w:rPr>
        <w:t>评标委员会根据全体评标成员签名的原始评标记录和评标结果编写评标报告。</w:t>
      </w:r>
      <w:r>
        <w:rPr>
          <w:rFonts w:hint="eastAsia" w:ascii="宋体" w:hAnsi="宋体" w:eastAsia="宋体" w:cs="Arial"/>
          <w:kern w:val="0"/>
          <w:szCs w:val="21"/>
        </w:rPr>
        <w:t>评标委员会成员对需要共同认定的事项存在争议的，应当按照少数服从多数的原则作出结论。持不同意见的评标委员会成员应当在评标报告上签署不同意见及理由，否则视为同意评标报告。</w:t>
      </w:r>
    </w:p>
    <w:bookmarkEnd w:id="53"/>
    <w:p>
      <w:pPr>
        <w:widowControl/>
        <w:adjustRightInd w:val="0"/>
        <w:snapToGrid w:val="0"/>
        <w:spacing w:line="288" w:lineRule="auto"/>
        <w:jc w:val="left"/>
        <w:rPr>
          <w:rFonts w:ascii="宋体" w:hAnsi="宋体" w:eastAsia="宋体" w:cs="Times New Roman"/>
          <w:b/>
          <w:spacing w:val="-6"/>
          <w:szCs w:val="21"/>
        </w:rPr>
      </w:pPr>
      <w:r>
        <w:rPr>
          <w:rFonts w:ascii="宋体" w:hAnsi="宋体" w:eastAsia="宋体" w:cs="Times New Roman"/>
          <w:b/>
          <w:spacing w:val="-6"/>
          <w:szCs w:val="21"/>
        </w:rPr>
        <w:br w:type="page"/>
      </w:r>
    </w:p>
    <w:p>
      <w:pPr>
        <w:adjustRightInd w:val="0"/>
        <w:snapToGrid w:val="0"/>
        <w:spacing w:line="288" w:lineRule="auto"/>
        <w:jc w:val="center"/>
        <w:outlineLvl w:val="1"/>
        <w:rPr>
          <w:rFonts w:ascii="宋体" w:hAnsi="宋体" w:eastAsia="宋体" w:cs="Times New Roman"/>
          <w:b/>
          <w:spacing w:val="-6"/>
          <w:szCs w:val="21"/>
        </w:rPr>
      </w:pPr>
      <w:r>
        <w:rPr>
          <w:rFonts w:hint="eastAsia" w:ascii="宋体" w:hAnsi="宋体" w:eastAsia="宋体" w:cs="Times New Roman"/>
          <w:b/>
          <w:spacing w:val="-6"/>
          <w:szCs w:val="21"/>
        </w:rPr>
        <w:t>七、中标与合同</w:t>
      </w: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（一）中标</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1.采购代理机构自评标结束之日起2个工作日内将评标报告送交采购人。采购人收到评标报告之日起</w:t>
      </w:r>
      <w:r>
        <w:rPr>
          <w:rFonts w:ascii="宋体" w:hAnsi="宋体" w:eastAsia="宋体" w:cs="Times New Roman"/>
          <w:spacing w:val="-6"/>
          <w:szCs w:val="21"/>
        </w:rPr>
        <w:t>5</w:t>
      </w:r>
      <w:r>
        <w:rPr>
          <w:rFonts w:hint="eastAsia" w:ascii="宋体" w:hAnsi="宋体" w:eastAsia="宋体" w:cs="Times New Roman"/>
          <w:spacing w:val="-6"/>
          <w:szCs w:val="21"/>
        </w:rPr>
        <w:t>个工作日内在评标报告推荐的中标候选人中按顺序确定中标人，也可以书面授权评标委员会直接确定中标人。</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2.采购代理机构自中标人确定之日起</w:t>
      </w:r>
      <w:r>
        <w:rPr>
          <w:rFonts w:ascii="宋体" w:hAnsi="宋体" w:eastAsia="宋体" w:cs="Times New Roman"/>
          <w:spacing w:val="-6"/>
          <w:szCs w:val="21"/>
        </w:rPr>
        <w:t>2</w:t>
      </w:r>
      <w:r>
        <w:rPr>
          <w:rFonts w:hint="eastAsia" w:ascii="宋体" w:hAnsi="宋体" w:eastAsia="宋体" w:cs="Times New Roman"/>
          <w:spacing w:val="-6"/>
          <w:szCs w:val="21"/>
        </w:rPr>
        <w:t>个工作日内，公告中标结果，并发出中标通知书。</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w:t>
      </w:r>
      <w:r>
        <w:rPr>
          <w:rFonts w:ascii="宋体" w:hAnsi="宋体" w:eastAsia="宋体" w:cs="Times New Roman"/>
          <w:spacing w:val="-6"/>
          <w:szCs w:val="21"/>
        </w:rPr>
        <w:t>.</w:t>
      </w:r>
      <w:r>
        <w:rPr>
          <w:rFonts w:hint="eastAsia" w:ascii="宋体" w:hAnsi="宋体" w:eastAsia="宋体" w:cs="Times New Roman"/>
          <w:szCs w:val="21"/>
        </w:rPr>
        <w:t>评标结果公示媒体：浙江政府采购网（http：//zfcg.czt.zj.gov.cn）。</w:t>
      </w: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（二）合同</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w:t>
      </w:r>
      <w:r>
        <w:rPr>
          <w:rFonts w:ascii="宋体" w:hAnsi="宋体" w:eastAsia="宋体" w:cs="Times New Roman"/>
          <w:spacing w:val="-6"/>
          <w:szCs w:val="21"/>
        </w:rPr>
        <w:t>.</w:t>
      </w:r>
      <w:r>
        <w:rPr>
          <w:rFonts w:hint="eastAsia" w:ascii="宋体" w:hAnsi="宋体" w:eastAsia="宋体" w:cs="Times New Roman"/>
          <w:spacing w:val="-6"/>
          <w:szCs w:val="21"/>
        </w:rPr>
        <w:t>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中标后无正当理由拒不与采购人签订政府采购合同，将被取消中标资格，并处以采购金额千分之五以上千分之十以下的罚款，由政府采购监督管理部门列入不良行为记录名单，在一至三年内禁止参加政府采购活动，有违法所得的，并处没收违法所得，情节严重的，由工商行政管理机关吊销营业执照。</w:t>
      </w:r>
    </w:p>
    <w:p>
      <w:pPr>
        <w:adjustRightInd w:val="0"/>
        <w:snapToGrid w:val="0"/>
        <w:spacing w:line="288" w:lineRule="auto"/>
        <w:ind w:firstLine="396" w:firstLineChars="200"/>
        <w:rPr>
          <w:rFonts w:ascii="宋体" w:hAnsi="宋体" w:eastAsia="宋体" w:cs="Times New Roman"/>
          <w:spacing w:val="-6"/>
          <w:szCs w:val="21"/>
        </w:rPr>
      </w:pPr>
    </w:p>
    <w:p>
      <w:pPr>
        <w:adjustRightInd w:val="0"/>
        <w:snapToGrid w:val="0"/>
        <w:spacing w:line="288" w:lineRule="auto"/>
        <w:jc w:val="center"/>
        <w:outlineLvl w:val="1"/>
        <w:rPr>
          <w:rFonts w:ascii="宋体" w:hAnsi="宋体" w:eastAsia="宋体" w:cs="Times New Roman"/>
          <w:b/>
          <w:spacing w:val="-6"/>
          <w:szCs w:val="21"/>
        </w:rPr>
      </w:pPr>
      <w:r>
        <w:rPr>
          <w:rFonts w:hint="eastAsia" w:ascii="宋体" w:hAnsi="宋体" w:eastAsia="宋体" w:cs="Times New Roman"/>
          <w:b/>
          <w:spacing w:val="-6"/>
          <w:szCs w:val="21"/>
        </w:rPr>
        <w:t>八、</w:t>
      </w:r>
      <w:r>
        <w:rPr>
          <w:rFonts w:ascii="宋体" w:hAnsi="宋体" w:eastAsia="宋体" w:cs="Times New Roman"/>
          <w:b/>
          <w:spacing w:val="-6"/>
          <w:szCs w:val="21"/>
        </w:rPr>
        <w:t>验</w:t>
      </w:r>
      <w:r>
        <w:rPr>
          <w:rFonts w:hint="eastAsia" w:ascii="宋体" w:hAnsi="宋体" w:eastAsia="宋体" w:cs="Times New Roman"/>
          <w:b/>
          <w:spacing w:val="-6"/>
          <w:szCs w:val="21"/>
        </w:rPr>
        <w:t xml:space="preserve"> </w:t>
      </w:r>
      <w:r>
        <w:rPr>
          <w:rFonts w:ascii="宋体" w:hAnsi="宋体" w:eastAsia="宋体" w:cs="Times New Roman"/>
          <w:b/>
          <w:spacing w:val="-6"/>
          <w:szCs w:val="21"/>
        </w:rPr>
        <w:t xml:space="preserve"> 收</w:t>
      </w:r>
    </w:p>
    <w:p>
      <w:pPr>
        <w:tabs>
          <w:tab w:val="left" w:pos="0"/>
        </w:tabs>
        <w:adjustRightInd w:val="0"/>
        <w:snapToGrid w:val="0"/>
        <w:spacing w:line="288" w:lineRule="auto"/>
        <w:ind w:firstLine="422" w:firstLineChars="201"/>
        <w:rPr>
          <w:rFonts w:ascii="宋体" w:hAnsi="宋体" w:eastAsia="宋体" w:cs="Helvetica"/>
          <w:kern w:val="0"/>
          <w:szCs w:val="21"/>
        </w:rPr>
      </w:pPr>
      <w:r>
        <w:rPr>
          <w:rFonts w:ascii="宋体" w:hAnsi="宋体" w:eastAsia="宋体" w:cs="Helvetica"/>
          <w:kern w:val="0"/>
          <w:szCs w:val="21"/>
        </w:rPr>
        <w:t>采购人组织对供应商履约的验收。大型或者复杂的政府采购项目，应当邀请国家认可的质量检测机构参加验收工作。验收方成员应当在验收书上签名，并承担相应的法律责任。如果发现与合同中要求不符，供应商须承担由此发生的一切损失和费用，并接受相应的处理。</w:t>
      </w:r>
    </w:p>
    <w:p>
      <w:pPr>
        <w:tabs>
          <w:tab w:val="left" w:pos="0"/>
        </w:tabs>
        <w:adjustRightInd w:val="0"/>
        <w:snapToGrid w:val="0"/>
        <w:spacing w:line="288" w:lineRule="auto"/>
        <w:ind w:firstLine="422" w:firstLineChars="201"/>
        <w:rPr>
          <w:rFonts w:ascii="宋体" w:hAnsi="宋体" w:eastAsia="宋体" w:cs="Helvetica"/>
          <w:kern w:val="0"/>
          <w:szCs w:val="21"/>
        </w:rPr>
      </w:pPr>
      <w:r>
        <w:rPr>
          <w:rFonts w:ascii="宋体" w:hAnsi="宋体" w:eastAsia="宋体" w:cs="Helvetica"/>
          <w:kern w:val="0"/>
          <w:szCs w:val="21"/>
        </w:rPr>
        <w:t>采购人可以邀请参加本项目的其他投标人或者第三方机构参与验收。参与验收的投标人或者第三方机构的意见作为</w:t>
      </w:r>
      <w:r>
        <w:rPr>
          <w:rFonts w:hint="eastAsia" w:ascii="宋体" w:hAnsi="宋体" w:eastAsia="宋体" w:cs="Helvetica"/>
          <w:kern w:val="0"/>
          <w:szCs w:val="21"/>
        </w:rPr>
        <w:t>验收书的参考资料一并存档。</w:t>
      </w:r>
    </w:p>
    <w:p>
      <w:pPr>
        <w:tabs>
          <w:tab w:val="left" w:pos="0"/>
        </w:tabs>
        <w:adjustRightInd w:val="0"/>
        <w:snapToGrid w:val="0"/>
        <w:spacing w:line="288" w:lineRule="auto"/>
        <w:ind w:firstLine="422" w:firstLineChars="201"/>
        <w:rPr>
          <w:rFonts w:ascii="宋体" w:hAnsi="宋体" w:eastAsia="宋体" w:cs="Helvetica"/>
          <w:kern w:val="0"/>
          <w:szCs w:val="21"/>
        </w:rPr>
      </w:pPr>
      <w:r>
        <w:rPr>
          <w:rFonts w:ascii="宋体" w:hAnsi="宋体" w:eastAsia="宋体" w:cs="Helvetica"/>
          <w:kern w:val="0"/>
          <w:szCs w:val="21"/>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adjustRightInd w:val="0"/>
        <w:snapToGrid w:val="0"/>
        <w:spacing w:line="288" w:lineRule="auto"/>
        <w:ind w:firstLine="422" w:firstLineChars="201"/>
        <w:rPr>
          <w:rFonts w:ascii="宋体" w:hAnsi="宋体" w:eastAsia="宋体" w:cs="Helvetica"/>
          <w:kern w:val="0"/>
          <w:szCs w:val="21"/>
        </w:rPr>
      </w:pPr>
      <w:r>
        <w:rPr>
          <w:rFonts w:ascii="宋体" w:hAnsi="宋体" w:eastAsia="宋体" w:cs="Helvetica"/>
          <w:kern w:val="0"/>
          <w:szCs w:val="21"/>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tabs>
          <w:tab w:val="left" w:pos="0"/>
        </w:tabs>
        <w:adjustRightInd w:val="0"/>
        <w:snapToGrid w:val="0"/>
        <w:spacing w:line="288" w:lineRule="auto"/>
        <w:ind w:firstLine="400" w:firstLineChars="201"/>
        <w:rPr>
          <w:rFonts w:ascii="宋体" w:hAnsi="宋体" w:eastAsia="宋体" w:cs="Times New Roman"/>
          <w:b/>
          <w:spacing w:val="-6"/>
          <w:szCs w:val="21"/>
        </w:rPr>
      </w:pPr>
    </w:p>
    <w:p>
      <w:pPr>
        <w:adjustRightInd w:val="0"/>
        <w:snapToGrid w:val="0"/>
        <w:spacing w:line="288" w:lineRule="auto"/>
        <w:ind w:firstLine="398" w:firstLineChars="200"/>
        <w:jc w:val="center"/>
        <w:outlineLvl w:val="1"/>
        <w:rPr>
          <w:rFonts w:ascii="宋体" w:hAnsi="宋体" w:eastAsia="宋体" w:cs="Times New Roman"/>
          <w:szCs w:val="21"/>
        </w:rPr>
      </w:pPr>
      <w:r>
        <w:rPr>
          <w:rFonts w:hint="eastAsia" w:ascii="宋体" w:hAnsi="宋体" w:eastAsia="宋体" w:cs="Times New Roman"/>
          <w:b/>
          <w:spacing w:val="-6"/>
          <w:szCs w:val="21"/>
        </w:rPr>
        <w:t>九、可中止电子交易活动的情形</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采购过程中出现以下情形，导致电子交易平台无法正常运行，或者无法保证电子交易的公平、公正和安全时，采购代理机构可中止电子交易活动：</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1.电子交易平台发生故障而无法登录访问的；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2.电子交易平台应用或数据库出现错误，不能进行正常操作的；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3.电子交易平台发现严重安全漏洞，有潜在泄密危险的；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4.病毒发作导致不能进行正常操作的；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5.其他无法保证电子交易的公平、公正和安全的情况。</w:t>
      </w:r>
    </w:p>
    <w:p>
      <w:pPr>
        <w:adjustRightInd w:val="0"/>
        <w:snapToGrid w:val="0"/>
        <w:spacing w:line="288" w:lineRule="auto"/>
        <w:ind w:firstLine="396" w:firstLineChars="200"/>
        <w:rPr>
          <w:rFonts w:ascii="宋体" w:hAnsi="宋体" w:eastAsia="宋体"/>
          <w:szCs w:val="21"/>
        </w:rPr>
      </w:pPr>
      <w:r>
        <w:rPr>
          <w:rFonts w:hint="eastAsia" w:ascii="宋体" w:hAnsi="宋体" w:eastAsia="宋体" w:cs="Times New Roman"/>
          <w:spacing w:val="-6"/>
          <w:szCs w:val="21"/>
        </w:rPr>
        <w:t>出现前款规定情形，不影响采购公平、公正性的，采购代理机构可以待上述情形消除后继续组织电子交易活动；影响或可能影响采购公平、公正性的，应当重新采购。</w:t>
      </w:r>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br w:type="page"/>
      </w:r>
    </w:p>
    <w:p>
      <w:pPr>
        <w:adjustRightInd w:val="0"/>
        <w:snapToGrid w:val="0"/>
        <w:spacing w:line="288" w:lineRule="auto"/>
        <w:jc w:val="center"/>
        <w:outlineLvl w:val="0"/>
        <w:rPr>
          <w:rFonts w:ascii="宋体" w:hAnsi="宋体" w:eastAsia="宋体" w:cs="Times New Roman"/>
          <w:b/>
          <w:spacing w:val="-6"/>
          <w:sz w:val="32"/>
          <w:szCs w:val="32"/>
        </w:rPr>
      </w:pPr>
      <w:r>
        <w:rPr>
          <w:rFonts w:hint="eastAsia" w:ascii="宋体" w:hAnsi="宋体" w:eastAsia="宋体" w:cs="Times New Roman"/>
          <w:b/>
          <w:sz w:val="32"/>
          <w:szCs w:val="32"/>
        </w:rPr>
        <w:t>第四章  评标方法及评标标准</w:t>
      </w:r>
    </w:p>
    <w:p>
      <w:pPr>
        <w:adjustRightInd w:val="0"/>
        <w:snapToGrid w:val="0"/>
        <w:spacing w:line="288" w:lineRule="auto"/>
        <w:outlineLvl w:val="1"/>
        <w:rPr>
          <w:rFonts w:ascii="宋体" w:hAnsi="宋体" w:eastAsia="宋体" w:cs="Times New Roman"/>
          <w:b/>
          <w:spacing w:val="-6"/>
          <w:szCs w:val="21"/>
        </w:rPr>
      </w:pPr>
      <w:r>
        <w:rPr>
          <w:rFonts w:hint="eastAsia" w:ascii="宋体" w:hAnsi="宋体" w:eastAsia="宋体" w:cs="Times New Roman"/>
          <w:b/>
          <w:spacing w:val="-6"/>
          <w:szCs w:val="21"/>
        </w:rPr>
        <w:t>一、评标方法</w:t>
      </w:r>
    </w:p>
    <w:p>
      <w:pPr>
        <w:adjustRightInd w:val="0"/>
        <w:snapToGrid w:val="0"/>
        <w:spacing w:line="288" w:lineRule="auto"/>
        <w:ind w:firstLine="396" w:firstLineChars="200"/>
        <w:rPr>
          <w:rFonts w:ascii="宋体" w:hAnsi="宋体" w:eastAsia="宋体" w:cs="Times New Roman"/>
          <w:bCs/>
          <w:spacing w:val="-6"/>
          <w:szCs w:val="21"/>
        </w:rPr>
      </w:pPr>
      <w:r>
        <w:rPr>
          <w:rFonts w:hint="eastAsia" w:ascii="宋体" w:hAnsi="宋体" w:eastAsia="宋体" w:cs="Times New Roman"/>
          <w:bCs/>
          <w:spacing w:val="-6"/>
          <w:szCs w:val="21"/>
        </w:rPr>
        <w:t>本次评标采用综合评分法，总分为100分。评分过程中采用四舍五入法，并保留小数2位。</w:t>
      </w:r>
    </w:p>
    <w:p>
      <w:pPr>
        <w:adjustRightInd w:val="0"/>
        <w:snapToGrid w:val="0"/>
        <w:spacing w:line="288" w:lineRule="auto"/>
        <w:ind w:firstLine="396" w:firstLineChars="200"/>
        <w:rPr>
          <w:rFonts w:ascii="宋体" w:hAnsi="宋体" w:eastAsia="宋体" w:cs="Times New Roman"/>
          <w:bCs/>
          <w:spacing w:val="-6"/>
          <w:szCs w:val="21"/>
        </w:rPr>
      </w:pPr>
      <w:r>
        <w:rPr>
          <w:rFonts w:hint="eastAsia" w:ascii="宋体" w:hAnsi="宋体" w:eastAsia="宋体" w:cs="Times New Roman"/>
          <w:spacing w:val="-6"/>
          <w:szCs w:val="21"/>
        </w:rPr>
        <w:t>投标人评标</w:t>
      </w:r>
      <w:r>
        <w:rPr>
          <w:rFonts w:hint="eastAsia" w:ascii="宋体" w:hAnsi="宋体" w:eastAsia="宋体" w:cs="Times New Roman"/>
          <w:bCs/>
          <w:spacing w:val="-6"/>
          <w:szCs w:val="21"/>
        </w:rPr>
        <w:t>综合得分=商务分+技术分+价格分</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bCs/>
          <w:spacing w:val="-6"/>
          <w:szCs w:val="21"/>
        </w:rPr>
        <w:t>商务和技术分按照评标委员会成员的独立评分结果的算术平均分计算，计算公式为：商务分</w:t>
      </w:r>
      <w:r>
        <w:rPr>
          <w:rFonts w:ascii="宋体" w:hAnsi="宋体" w:eastAsia="宋体" w:cs="Times New Roman"/>
          <w:bCs/>
          <w:spacing w:val="-6"/>
          <w:szCs w:val="21"/>
        </w:rPr>
        <w:t>、</w:t>
      </w:r>
      <w:r>
        <w:rPr>
          <w:rFonts w:hint="eastAsia" w:ascii="宋体" w:hAnsi="宋体" w:eastAsia="宋体" w:cs="Times New Roman"/>
          <w:bCs/>
          <w:spacing w:val="-6"/>
          <w:szCs w:val="21"/>
        </w:rPr>
        <w:t>技术分=评标委员会所有成员评分合计数</w:t>
      </w:r>
      <w:r>
        <w:rPr>
          <w:rFonts w:ascii="宋体" w:hAnsi="宋体" w:eastAsia="宋体" w:cs="Times New Roman"/>
          <w:bCs/>
          <w:spacing w:val="-6"/>
          <w:szCs w:val="21"/>
        </w:rPr>
        <w:t>/</w:t>
      </w:r>
      <w:r>
        <w:rPr>
          <w:rFonts w:hint="eastAsia" w:ascii="宋体" w:hAnsi="宋体" w:eastAsia="宋体" w:cs="Times New Roman"/>
          <w:bCs/>
          <w:spacing w:val="-6"/>
          <w:szCs w:val="21"/>
        </w:rPr>
        <w:t>评标委员会组成人员数</w:t>
      </w:r>
    </w:p>
    <w:p>
      <w:pPr>
        <w:adjustRightInd w:val="0"/>
        <w:snapToGrid w:val="0"/>
        <w:spacing w:line="288" w:lineRule="auto"/>
        <w:outlineLvl w:val="1"/>
        <w:rPr>
          <w:rFonts w:ascii="宋体" w:hAnsi="宋体" w:eastAsia="宋体" w:cs="Times New Roman"/>
          <w:b/>
          <w:spacing w:val="-6"/>
          <w:szCs w:val="21"/>
        </w:rPr>
      </w:pPr>
      <w:r>
        <w:rPr>
          <w:rFonts w:hint="eastAsia" w:ascii="宋体" w:hAnsi="宋体" w:eastAsia="宋体" w:cs="Times New Roman"/>
          <w:b/>
          <w:spacing w:val="-6"/>
          <w:szCs w:val="21"/>
        </w:rPr>
        <w:t>二、评标标准</w:t>
      </w:r>
    </w:p>
    <w:tbl>
      <w:tblPr>
        <w:tblStyle w:val="27"/>
        <w:tblW w:w="9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7"/>
        <w:gridCol w:w="654"/>
        <w:gridCol w:w="6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67" w:type="dxa"/>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评审因素</w:t>
            </w:r>
          </w:p>
        </w:tc>
        <w:tc>
          <w:tcPr>
            <w:tcW w:w="654" w:type="dxa"/>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分值</w:t>
            </w:r>
          </w:p>
        </w:tc>
        <w:tc>
          <w:tcPr>
            <w:tcW w:w="6888" w:type="dxa"/>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09" w:type="dxa"/>
            <w:gridSpan w:val="3"/>
            <w:vAlign w:val="center"/>
          </w:tcPr>
          <w:p>
            <w:pPr>
              <w:adjustRightInd w:val="0"/>
              <w:snapToGrid w:val="0"/>
              <w:jc w:val="left"/>
              <w:rPr>
                <w:rFonts w:ascii="宋体" w:hAnsi="宋体" w:eastAsia="宋体" w:cs="宋体"/>
                <w:b/>
                <w:bCs/>
                <w:szCs w:val="21"/>
              </w:rPr>
            </w:pPr>
            <w:r>
              <w:rPr>
                <w:rFonts w:hint="eastAsia" w:ascii="宋体" w:hAnsi="宋体" w:eastAsia="宋体" w:cs="宋体"/>
                <w:b/>
                <w:bCs/>
                <w:szCs w:val="21"/>
              </w:rPr>
              <w:t>价格分（30）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176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投标报价</w:t>
            </w: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30</w:t>
            </w:r>
          </w:p>
        </w:tc>
        <w:tc>
          <w:tcPr>
            <w:tcW w:w="688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eastAsia="宋体" w:cs="宋体"/>
                <w:szCs w:val="21"/>
              </w:rPr>
            </w:pPr>
            <w:r>
              <w:rPr>
                <w:rFonts w:hint="eastAsia" w:ascii="宋体" w:hAnsi="宋体" w:eastAsia="宋体" w:cs="宋体"/>
                <w:szCs w:val="21"/>
              </w:rPr>
              <w:t>价格分采用低价优先法计算，即满足招标文件要求且投标价格最低的投标报价为评标基准价，其他投标人的价格分按照下列公式计算：</w:t>
            </w:r>
          </w:p>
          <w:p>
            <w:pPr>
              <w:adjustRightInd w:val="0"/>
              <w:snapToGrid w:val="0"/>
              <w:rPr>
                <w:rFonts w:ascii="宋体" w:hAnsi="宋体" w:eastAsia="宋体" w:cs="宋体"/>
                <w:szCs w:val="21"/>
              </w:rPr>
            </w:pPr>
            <w:r>
              <w:rPr>
                <w:rFonts w:hint="eastAsia" w:ascii="宋体" w:hAnsi="宋体" w:eastAsia="宋体" w:cs="宋体"/>
                <w:szCs w:val="21"/>
              </w:rPr>
              <w:t>价格分=（评标基准价/投标报价）×30%×100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09" w:type="dxa"/>
            <w:gridSpan w:val="3"/>
            <w:vAlign w:val="center"/>
          </w:tcPr>
          <w:p>
            <w:pPr>
              <w:adjustRightInd w:val="0"/>
              <w:snapToGrid w:val="0"/>
              <w:jc w:val="left"/>
              <w:rPr>
                <w:rFonts w:ascii="宋体" w:hAnsi="宋体" w:eastAsia="宋体" w:cs="宋体"/>
                <w:b/>
                <w:bCs/>
                <w:szCs w:val="21"/>
              </w:rPr>
            </w:pPr>
            <w:r>
              <w:rPr>
                <w:rFonts w:hint="eastAsia" w:ascii="宋体" w:hAnsi="宋体" w:eastAsia="宋体" w:cs="宋体"/>
                <w:b/>
                <w:bCs/>
                <w:szCs w:val="21"/>
              </w:rPr>
              <w:t>商务分（</w:t>
            </w:r>
            <w:r>
              <w:rPr>
                <w:rFonts w:ascii="宋体" w:hAnsi="宋体" w:eastAsia="宋体" w:cs="宋体"/>
                <w:b/>
                <w:bCs/>
                <w:szCs w:val="21"/>
              </w:rPr>
              <w:t>9</w:t>
            </w:r>
            <w:r>
              <w:rPr>
                <w:rFonts w:hint="eastAsia" w:ascii="宋体" w:hAnsi="宋体" w:eastAsia="宋体" w:cs="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767" w:type="dxa"/>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质保期</w:t>
            </w:r>
          </w:p>
        </w:tc>
        <w:tc>
          <w:tcPr>
            <w:tcW w:w="654" w:type="dxa"/>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2</w:t>
            </w:r>
          </w:p>
        </w:tc>
        <w:tc>
          <w:tcPr>
            <w:tcW w:w="6888" w:type="dxa"/>
            <w:vAlign w:val="center"/>
          </w:tcPr>
          <w:p>
            <w:pPr>
              <w:adjustRightInd w:val="0"/>
              <w:snapToGrid w:val="0"/>
              <w:rPr>
                <w:rFonts w:ascii="宋体" w:hAnsi="宋体" w:eastAsia="宋体" w:cs="宋体"/>
                <w:szCs w:val="21"/>
              </w:rPr>
            </w:pPr>
            <w:r>
              <w:rPr>
                <w:rFonts w:hint="eastAsia" w:ascii="宋体" w:hAnsi="宋体" w:eastAsia="宋体" w:cs="宋体"/>
                <w:szCs w:val="21"/>
              </w:rPr>
              <w:t>质保期在满足招标文件要求的基础上每延长6个月得0.5分，最高得2分，延长时间不足6个月的不计入得分，质保期不满足招标文件要求的投标无效。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1767" w:type="dxa"/>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业绩</w:t>
            </w:r>
          </w:p>
        </w:tc>
        <w:tc>
          <w:tcPr>
            <w:tcW w:w="654" w:type="dxa"/>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2</w:t>
            </w:r>
          </w:p>
        </w:tc>
        <w:tc>
          <w:tcPr>
            <w:tcW w:w="6888" w:type="dxa"/>
            <w:vAlign w:val="center"/>
          </w:tcPr>
          <w:p>
            <w:pPr>
              <w:adjustRightInd w:val="0"/>
              <w:snapToGrid w:val="0"/>
              <w:rPr>
                <w:rFonts w:ascii="宋体" w:hAnsi="宋体" w:eastAsia="宋体" w:cs="宋体"/>
                <w:szCs w:val="21"/>
              </w:rPr>
            </w:pPr>
            <w:r>
              <w:rPr>
                <w:rFonts w:hint="eastAsia" w:ascii="宋体" w:hAnsi="宋体" w:eastAsia="宋体" w:cs="宋体"/>
                <w:szCs w:val="21"/>
              </w:rPr>
              <w:t>投标人截止开标时间两年（含）以来（以合同签订时间为准）厨房设备合同业绩：</w:t>
            </w:r>
          </w:p>
          <w:p>
            <w:pPr>
              <w:adjustRightInd w:val="0"/>
              <w:snapToGrid w:val="0"/>
              <w:rPr>
                <w:rFonts w:ascii="宋体" w:hAnsi="宋体" w:eastAsia="宋体" w:cs="宋体"/>
                <w:szCs w:val="21"/>
              </w:rPr>
            </w:pPr>
            <w:r>
              <w:rPr>
                <w:rFonts w:hint="eastAsia" w:ascii="宋体" w:hAnsi="宋体" w:eastAsia="宋体" w:cs="宋体"/>
                <w:szCs w:val="21"/>
              </w:rPr>
              <w:t>每提供1份合同业绩证明得1分，最高得2分。</w:t>
            </w:r>
          </w:p>
          <w:p>
            <w:pPr>
              <w:adjustRightInd w:val="0"/>
              <w:snapToGrid w:val="0"/>
              <w:rPr>
                <w:rFonts w:ascii="宋体" w:hAnsi="宋体" w:eastAsia="宋体" w:cs="宋体"/>
                <w:szCs w:val="21"/>
              </w:rPr>
            </w:pPr>
            <w:r>
              <w:rPr>
                <w:rFonts w:hint="eastAsia" w:ascii="宋体" w:hAnsi="宋体" w:eastAsia="宋体" w:cs="宋体"/>
                <w:b/>
                <w:bCs/>
                <w:szCs w:val="21"/>
              </w:rPr>
              <w:t>（证明材料：同时提供项目合同、中标通知书和发票扫描件，提供不全的不得分。）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767" w:type="dxa"/>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认证证书</w:t>
            </w:r>
          </w:p>
        </w:tc>
        <w:tc>
          <w:tcPr>
            <w:tcW w:w="654" w:type="dxa"/>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2</w:t>
            </w:r>
          </w:p>
        </w:tc>
        <w:tc>
          <w:tcPr>
            <w:tcW w:w="6888" w:type="dxa"/>
            <w:vAlign w:val="center"/>
          </w:tcPr>
          <w:p>
            <w:pPr>
              <w:snapToGrid w:val="0"/>
              <w:jc w:val="left"/>
              <w:rPr>
                <w:rFonts w:ascii="宋体" w:hAnsi="宋体" w:eastAsia="宋体" w:cs="宋体"/>
                <w:kern w:val="0"/>
                <w:szCs w:val="21"/>
              </w:rPr>
            </w:pPr>
            <w:r>
              <w:rPr>
                <w:rFonts w:hint="eastAsia" w:ascii="宋体" w:hAnsi="宋体" w:eastAsia="宋体" w:cs="宋体"/>
                <w:kern w:val="0"/>
                <w:szCs w:val="21"/>
              </w:rPr>
              <w:t>投标人拟投不锈钢产品取得《食品接触安全产品认证证书》，涵盖采购产品系列的，每提供一个不同系列证书得1分，最高得2分。</w:t>
            </w:r>
          </w:p>
          <w:p>
            <w:pPr>
              <w:snapToGrid w:val="0"/>
              <w:jc w:val="left"/>
              <w:rPr>
                <w:rFonts w:ascii="宋体" w:hAnsi="宋体" w:eastAsia="宋体" w:cs="宋体"/>
                <w:kern w:val="0"/>
                <w:szCs w:val="21"/>
              </w:rPr>
            </w:pPr>
            <w:r>
              <w:rPr>
                <w:rFonts w:hint="eastAsia" w:ascii="宋体" w:hAnsi="宋体" w:eastAsia="宋体" w:cs="宋体"/>
                <w:b/>
                <w:bCs/>
                <w:kern w:val="0"/>
                <w:szCs w:val="21"/>
              </w:rPr>
              <w:t>（提供证书扫描件及全国认证认可信息公共服务平台网站截图，</w:t>
            </w:r>
            <w:r>
              <w:rPr>
                <w:rFonts w:hint="eastAsia" w:ascii="宋体" w:hAnsi="宋体" w:eastAsia="宋体" w:cs="宋体"/>
                <w:b/>
                <w:bCs/>
                <w:szCs w:val="21"/>
              </w:rPr>
              <w:t>提供不全的不得分。</w:t>
            </w:r>
            <w:r>
              <w:rPr>
                <w:rFonts w:hint="eastAsia" w:ascii="宋体" w:hAnsi="宋体" w:eastAsia="宋体" w:cs="宋体"/>
                <w:b/>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767" w:type="dxa"/>
            <w:vAlign w:val="center"/>
          </w:tcPr>
          <w:p>
            <w:pPr>
              <w:snapToGrid w:val="0"/>
              <w:jc w:val="center"/>
              <w:rPr>
                <w:rFonts w:ascii="宋体" w:hAnsi="宋体" w:eastAsia="宋体" w:cs="宋体"/>
                <w:b/>
                <w:bCs/>
                <w:szCs w:val="21"/>
              </w:rPr>
            </w:pPr>
            <w:r>
              <w:rPr>
                <w:rFonts w:hint="eastAsia" w:ascii="宋体" w:hAnsi="宋体" w:eastAsia="宋体" w:cs="宋体"/>
                <w:b/>
                <w:bCs/>
                <w:szCs w:val="21"/>
              </w:rPr>
              <w:t>体系认证</w:t>
            </w:r>
          </w:p>
        </w:tc>
        <w:tc>
          <w:tcPr>
            <w:tcW w:w="654" w:type="dxa"/>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2</w:t>
            </w:r>
          </w:p>
        </w:tc>
        <w:tc>
          <w:tcPr>
            <w:tcW w:w="6888" w:type="dxa"/>
            <w:vAlign w:val="center"/>
          </w:tcPr>
          <w:p>
            <w:pPr>
              <w:snapToGrid w:val="0"/>
              <w:rPr>
                <w:rFonts w:ascii="宋体" w:hAnsi="宋体" w:eastAsia="宋体" w:cs="宋体"/>
                <w:kern w:val="0"/>
                <w:szCs w:val="21"/>
              </w:rPr>
            </w:pPr>
            <w:r>
              <w:rPr>
                <w:rFonts w:hint="eastAsia" w:ascii="宋体" w:hAnsi="宋体" w:eastAsia="宋体" w:cs="宋体"/>
                <w:kern w:val="0"/>
                <w:szCs w:val="21"/>
              </w:rPr>
              <w:t>投标人具有有效的质量管理体系认证、环境管理体系认证、职业健康安全管理体系认证，五星及以上售后服务认证证书，每提供一项得0.5分，最高得2分。</w:t>
            </w:r>
          </w:p>
          <w:p>
            <w:pPr>
              <w:snapToGrid w:val="0"/>
              <w:rPr>
                <w:rFonts w:ascii="宋体" w:hAnsi="宋体" w:eastAsia="宋体" w:cs="宋体"/>
                <w:kern w:val="0"/>
                <w:szCs w:val="21"/>
              </w:rPr>
            </w:pPr>
            <w:r>
              <w:rPr>
                <w:rFonts w:hint="eastAsia" w:ascii="宋体" w:hAnsi="宋体" w:eastAsia="宋体" w:cs="宋体"/>
                <w:b/>
                <w:bCs/>
                <w:kern w:val="0"/>
                <w:szCs w:val="21"/>
              </w:rPr>
              <w:t>（</w:t>
            </w:r>
            <w:r>
              <w:rPr>
                <w:rFonts w:hint="eastAsia" w:ascii="宋体" w:hAnsi="宋体" w:eastAsia="宋体" w:cs="宋体"/>
                <w:b/>
                <w:kern w:val="0"/>
                <w:szCs w:val="21"/>
              </w:rPr>
              <w:t>提供证书扫描及</w:t>
            </w:r>
            <w:r>
              <w:fldChar w:fldCharType="begin"/>
            </w:r>
            <w:r>
              <w:instrText xml:space="preserve"> HYPERLINK "https://www.so.com/link?m=bgeKa5pUJ7jqGvX1HhllAJLNiphU7TZFNQwb4+7ZUZpVLH3/mqlCJ7rNGXZ5/YNpLh7l1an07AVpzdd+DNfDz03MHubLsbYxQOzT8llEFb57FaGuLm6gSmMhBy2lLDBrTFSNNDZqVzwQMcexMhSdw5Kuw+3MXS7HQcV4Anm9Fs1KmUyptcyDigHMKmFQMXtO7xSEBzzl+542xjBTD4X4Ft///zWSTHNTKcszTMLGSmT541nhMntevTSaKintmdBbT4YHZJEfW00MedhN8WiQ3A1LHjOM=" \t "https://www.so.com/_blank" </w:instrText>
            </w:r>
            <w:r>
              <w:fldChar w:fldCharType="separate"/>
            </w:r>
            <w:r>
              <w:rPr>
                <w:rFonts w:hint="eastAsia" w:ascii="宋体" w:hAnsi="宋体" w:eastAsia="宋体" w:cs="宋体"/>
                <w:b/>
                <w:kern w:val="0"/>
                <w:szCs w:val="21"/>
              </w:rPr>
              <w:t>全国认证认可信息公共服务平台</w:t>
            </w:r>
            <w:r>
              <w:rPr>
                <w:rFonts w:hint="eastAsia" w:ascii="宋体" w:hAnsi="宋体" w:eastAsia="宋体" w:cs="宋体"/>
                <w:b/>
                <w:kern w:val="0"/>
                <w:szCs w:val="21"/>
              </w:rPr>
              <w:fldChar w:fldCharType="end"/>
            </w:r>
            <w:r>
              <w:rPr>
                <w:rFonts w:hint="eastAsia" w:ascii="宋体" w:hAnsi="宋体" w:eastAsia="宋体" w:cs="宋体"/>
                <w:b/>
                <w:kern w:val="0"/>
                <w:szCs w:val="21"/>
              </w:rPr>
              <w:t>网站截图，</w:t>
            </w:r>
            <w:r>
              <w:rPr>
                <w:rFonts w:hint="eastAsia" w:ascii="宋体" w:hAnsi="宋体" w:eastAsia="宋体" w:cs="宋体"/>
                <w:b/>
                <w:bCs/>
                <w:szCs w:val="21"/>
              </w:rPr>
              <w:t>提供不全的不得分。</w:t>
            </w:r>
            <w:r>
              <w:rPr>
                <w:rFonts w:hint="eastAsia" w:ascii="宋体" w:hAnsi="宋体" w:eastAsia="宋体" w:cs="宋体"/>
                <w:b/>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767"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政策功能</w:t>
            </w:r>
          </w:p>
        </w:tc>
        <w:tc>
          <w:tcPr>
            <w:tcW w:w="654" w:type="dxa"/>
            <w:vAlign w:val="center"/>
          </w:tcPr>
          <w:p>
            <w:pPr>
              <w:adjustRightInd w:val="0"/>
              <w:snapToGrid w:val="0"/>
              <w:spacing w:line="288" w:lineRule="auto"/>
              <w:jc w:val="center"/>
              <w:rPr>
                <w:rFonts w:ascii="宋体" w:hAnsi="宋体" w:eastAsia="宋体" w:cs="宋体"/>
                <w:b/>
                <w:bCs/>
                <w:szCs w:val="21"/>
              </w:rPr>
            </w:pPr>
            <w:r>
              <w:rPr>
                <w:rFonts w:ascii="宋体" w:hAnsi="宋体" w:eastAsia="宋体" w:cs="宋体"/>
                <w:b/>
                <w:bCs/>
                <w:szCs w:val="21"/>
              </w:rPr>
              <w:t>1</w:t>
            </w:r>
          </w:p>
        </w:tc>
        <w:tc>
          <w:tcPr>
            <w:tcW w:w="6888" w:type="dxa"/>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投标产品属于品目清单范围且提供国家确定的认证机构出具的有效的节能产品认证证书（扫描件）的得</w:t>
            </w:r>
            <w:r>
              <w:rPr>
                <w:rFonts w:ascii="宋体" w:hAnsi="宋体" w:eastAsia="宋体" w:cs="宋体"/>
                <w:szCs w:val="21"/>
              </w:rPr>
              <w:t>1</w:t>
            </w:r>
            <w:r>
              <w:rPr>
                <w:rFonts w:hint="eastAsia" w:ascii="宋体" w:hAnsi="宋体" w:eastAsia="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09" w:type="dxa"/>
            <w:gridSpan w:val="3"/>
            <w:vAlign w:val="center"/>
          </w:tcPr>
          <w:p>
            <w:pPr>
              <w:adjustRightInd w:val="0"/>
              <w:snapToGrid w:val="0"/>
              <w:jc w:val="left"/>
              <w:rPr>
                <w:rFonts w:ascii="宋体" w:hAnsi="宋体" w:eastAsia="宋体" w:cs="宋体"/>
                <w:b/>
                <w:bCs/>
                <w:szCs w:val="21"/>
              </w:rPr>
            </w:pPr>
            <w:r>
              <w:rPr>
                <w:rFonts w:hint="eastAsia" w:ascii="宋体" w:hAnsi="宋体" w:eastAsia="宋体" w:cs="宋体"/>
                <w:b/>
                <w:bCs/>
                <w:szCs w:val="21"/>
              </w:rPr>
              <w:t>技术分（6</w:t>
            </w:r>
            <w:r>
              <w:rPr>
                <w:rFonts w:ascii="宋体" w:hAnsi="宋体" w:eastAsia="宋体" w:cs="宋体"/>
                <w:b/>
                <w:bCs/>
                <w:szCs w:val="21"/>
              </w:rPr>
              <w:t>1</w:t>
            </w:r>
            <w:r>
              <w:rPr>
                <w:rFonts w:hint="eastAsia" w:ascii="宋体" w:hAnsi="宋体" w:eastAsia="宋体" w:cs="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1767" w:type="dxa"/>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技术响应程度</w:t>
            </w:r>
          </w:p>
        </w:tc>
        <w:tc>
          <w:tcPr>
            <w:tcW w:w="654" w:type="dxa"/>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16</w:t>
            </w:r>
          </w:p>
        </w:tc>
        <w:tc>
          <w:tcPr>
            <w:tcW w:w="6888" w:type="dxa"/>
            <w:vAlign w:val="center"/>
          </w:tcPr>
          <w:p>
            <w:pPr>
              <w:adjustRightInd w:val="0"/>
              <w:snapToGrid w:val="0"/>
              <w:rPr>
                <w:rFonts w:ascii="宋体" w:hAnsi="宋体" w:eastAsia="宋体" w:cs="宋体"/>
                <w:szCs w:val="21"/>
              </w:rPr>
            </w:pPr>
            <w:r>
              <w:rPr>
                <w:rFonts w:hint="eastAsia" w:ascii="宋体" w:hAnsi="宋体" w:eastAsia="宋体" w:cs="宋体"/>
                <w:szCs w:val="21"/>
              </w:rPr>
              <w:t>不符合（负偏离）技术要求中标注“▲”条款（不可偏离）的投标无效；</w:t>
            </w:r>
          </w:p>
          <w:p>
            <w:pPr>
              <w:adjustRightInd w:val="0"/>
              <w:snapToGrid w:val="0"/>
              <w:rPr>
                <w:rFonts w:ascii="宋体" w:hAnsi="宋体" w:eastAsia="宋体" w:cs="宋体"/>
                <w:szCs w:val="21"/>
              </w:rPr>
            </w:pPr>
            <w:r>
              <w:rPr>
                <w:rFonts w:hint="eastAsia" w:ascii="宋体" w:hAnsi="宋体" w:eastAsia="宋体" w:cs="宋体"/>
                <w:szCs w:val="21"/>
              </w:rPr>
              <w:t>满足招标文件明确的全部技术条款要求的该项得满分；</w:t>
            </w:r>
          </w:p>
          <w:p>
            <w:pPr>
              <w:adjustRightInd w:val="0"/>
              <w:snapToGrid w:val="0"/>
              <w:rPr>
                <w:rFonts w:ascii="宋体" w:hAnsi="宋体" w:eastAsia="宋体" w:cs="宋体"/>
                <w:szCs w:val="21"/>
              </w:rPr>
            </w:pPr>
            <w:r>
              <w:rPr>
                <w:rFonts w:hint="eastAsia" w:ascii="宋体" w:hAnsi="宋体" w:eastAsia="宋体" w:cs="宋体"/>
                <w:szCs w:val="21"/>
              </w:rPr>
              <w:t>技术条款低于技术要求（负偏离）的每项扣</w:t>
            </w:r>
            <w:r>
              <w:rPr>
                <w:rFonts w:hint="eastAsia" w:ascii="宋体" w:hAnsi="宋体" w:eastAsia="宋体" w:cs="宋体"/>
                <w:szCs w:val="21"/>
                <w:lang w:val="en-US" w:eastAsia="zh-CN"/>
              </w:rPr>
              <w:t>1</w:t>
            </w:r>
            <w:bookmarkStart w:id="63" w:name="_GoBack"/>
            <w:bookmarkEnd w:id="63"/>
            <w:r>
              <w:rPr>
                <w:rFonts w:hint="eastAsia" w:ascii="宋体" w:hAnsi="宋体" w:eastAsia="宋体" w:cs="宋体"/>
                <w:szCs w:val="21"/>
              </w:rPr>
              <w:t>分；</w:t>
            </w:r>
          </w:p>
          <w:p>
            <w:pPr>
              <w:adjustRightInd w:val="0"/>
              <w:snapToGrid w:val="0"/>
              <w:rPr>
                <w:rFonts w:ascii="宋体" w:hAnsi="宋体" w:eastAsia="宋体" w:cs="宋体"/>
                <w:szCs w:val="21"/>
              </w:rPr>
            </w:pPr>
            <w:r>
              <w:rPr>
                <w:rFonts w:hint="eastAsia" w:ascii="宋体" w:hAnsi="宋体" w:eastAsia="宋体" w:cs="宋体"/>
                <w:szCs w:val="21"/>
              </w:rPr>
              <w:t>负偏离16项及以上的投标无效。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1767" w:type="dxa"/>
            <w:vAlign w:val="center"/>
          </w:tcPr>
          <w:p>
            <w:pPr>
              <w:adjustRightInd w:val="0"/>
              <w:snapToGrid w:val="0"/>
              <w:jc w:val="center"/>
              <w:rPr>
                <w:rFonts w:ascii="宋体" w:hAnsi="宋体" w:eastAsia="宋体" w:cs="宋体"/>
                <w:b/>
                <w:bCs/>
                <w:szCs w:val="21"/>
              </w:rPr>
            </w:pPr>
            <w:bookmarkStart w:id="55" w:name="_Hlk104474018"/>
            <w:r>
              <w:rPr>
                <w:rFonts w:hint="eastAsia" w:ascii="宋体" w:hAnsi="宋体" w:eastAsia="宋体" w:cs="宋体"/>
                <w:b/>
                <w:bCs/>
                <w:szCs w:val="21"/>
              </w:rPr>
              <w:t>检测报告</w:t>
            </w:r>
          </w:p>
        </w:tc>
        <w:tc>
          <w:tcPr>
            <w:tcW w:w="654" w:type="dxa"/>
            <w:vAlign w:val="center"/>
          </w:tcPr>
          <w:p>
            <w:pPr>
              <w:adjustRightInd w:val="0"/>
              <w:snapToGrid w:val="0"/>
              <w:jc w:val="center"/>
              <w:rPr>
                <w:rFonts w:ascii="宋体" w:hAnsi="宋体" w:eastAsia="宋体" w:cs="宋体"/>
                <w:b/>
                <w:bCs/>
                <w:szCs w:val="21"/>
              </w:rPr>
            </w:pPr>
            <w:r>
              <w:rPr>
                <w:rFonts w:ascii="宋体" w:hAnsi="宋体" w:eastAsia="宋体" w:cs="宋体"/>
                <w:b/>
                <w:bCs/>
                <w:szCs w:val="21"/>
              </w:rPr>
              <w:t>3</w:t>
            </w:r>
          </w:p>
        </w:tc>
        <w:tc>
          <w:tcPr>
            <w:tcW w:w="6888" w:type="dxa"/>
            <w:vAlign w:val="center"/>
          </w:tcPr>
          <w:p>
            <w:pPr>
              <w:adjustRightInd w:val="0"/>
              <w:snapToGrid w:val="0"/>
              <w:rPr>
                <w:rFonts w:ascii="宋体" w:hAnsi="宋体" w:eastAsia="宋体" w:cs="宋体"/>
                <w:szCs w:val="21"/>
              </w:rPr>
            </w:pPr>
            <w:r>
              <w:rPr>
                <w:rFonts w:hint="eastAsia" w:ascii="宋体" w:hAnsi="宋体" w:eastAsia="宋体" w:cs="宋体"/>
                <w:szCs w:val="21"/>
              </w:rPr>
              <w:t>每提供1款带电设备整机检测合格报告的，得0.</w:t>
            </w:r>
            <w:r>
              <w:rPr>
                <w:rFonts w:ascii="宋体" w:hAnsi="宋体" w:eastAsia="宋体" w:cs="宋体"/>
                <w:szCs w:val="21"/>
              </w:rPr>
              <w:t>5</w:t>
            </w:r>
            <w:r>
              <w:rPr>
                <w:rFonts w:hint="eastAsia" w:ascii="宋体" w:hAnsi="宋体" w:eastAsia="宋体" w:cs="宋体"/>
                <w:szCs w:val="21"/>
              </w:rPr>
              <w:t>分，最高得</w:t>
            </w:r>
            <w:r>
              <w:rPr>
                <w:rFonts w:ascii="宋体" w:hAnsi="宋体" w:eastAsia="宋体" w:cs="宋体"/>
                <w:szCs w:val="21"/>
              </w:rPr>
              <w:t>3</w:t>
            </w:r>
            <w:r>
              <w:rPr>
                <w:rFonts w:hint="eastAsia" w:ascii="宋体" w:hAnsi="宋体" w:eastAsia="宋体" w:cs="宋体"/>
                <w:szCs w:val="21"/>
              </w:rPr>
              <w:t>分。</w:t>
            </w:r>
          </w:p>
          <w:p>
            <w:pPr>
              <w:adjustRightInd w:val="0"/>
              <w:snapToGrid w:val="0"/>
              <w:rPr>
                <w:rFonts w:ascii="宋体" w:hAnsi="宋体" w:eastAsia="宋体" w:cs="宋体"/>
                <w:szCs w:val="21"/>
              </w:rPr>
            </w:pPr>
            <w:r>
              <w:rPr>
                <w:rFonts w:hint="eastAsia" w:ascii="宋体" w:hAnsi="宋体" w:eastAsia="宋体" w:cs="宋体"/>
                <w:szCs w:val="21"/>
              </w:rPr>
              <w:t>（以CMA或CANS标识第三方出具的检测报告为准）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767" w:type="dxa"/>
            <w:vMerge w:val="restart"/>
            <w:tcBorders>
              <w:left w:val="single" w:color="auto" w:sz="4" w:space="0"/>
              <w:right w:val="single" w:color="auto" w:sz="4" w:space="0"/>
            </w:tcBorders>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整体实施方案</w:t>
            </w: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3</w:t>
            </w:r>
          </w:p>
        </w:tc>
        <w:tc>
          <w:tcPr>
            <w:tcW w:w="6888" w:type="dxa"/>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eastAsia="宋体" w:cs="宋体"/>
                <w:szCs w:val="21"/>
              </w:rPr>
            </w:pPr>
            <w:r>
              <w:rPr>
                <w:rFonts w:hint="eastAsia" w:ascii="宋体" w:hAnsi="宋体" w:eastAsia="宋体" w:cs="宋体"/>
                <w:szCs w:val="21"/>
              </w:rPr>
              <w:t>项目实施方案，包括但不限于生产计划、安装计划、调试计划等。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767" w:type="dxa"/>
            <w:vMerge w:val="continue"/>
            <w:tcBorders>
              <w:left w:val="single" w:color="auto" w:sz="4" w:space="0"/>
              <w:right w:val="single" w:color="auto" w:sz="4" w:space="0"/>
            </w:tcBorders>
            <w:vAlign w:val="center"/>
          </w:tcPr>
          <w:p>
            <w:pPr>
              <w:adjustRightInd w:val="0"/>
              <w:snapToGrid w:val="0"/>
              <w:jc w:val="center"/>
              <w:rPr>
                <w:rFonts w:ascii="宋体" w:hAnsi="宋体" w:eastAsia="宋体" w:cs="宋体"/>
                <w:b/>
                <w:szCs w:val="21"/>
              </w:rPr>
            </w:pP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3</w:t>
            </w:r>
          </w:p>
        </w:tc>
        <w:tc>
          <w:tcPr>
            <w:tcW w:w="6888" w:type="dxa"/>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eastAsia="宋体" w:cs="宋体"/>
                <w:szCs w:val="21"/>
              </w:rPr>
            </w:pPr>
            <w:r>
              <w:rPr>
                <w:rFonts w:hint="eastAsia" w:ascii="宋体" w:hAnsi="宋体" w:eastAsia="宋体" w:cs="宋体"/>
                <w:szCs w:val="21"/>
              </w:rPr>
              <w:t>定制件二次确认方案，包括但不限于尺寸确认、材料确认方案等。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767" w:type="dxa"/>
            <w:vMerge w:val="continue"/>
            <w:tcBorders>
              <w:left w:val="single" w:color="auto" w:sz="4" w:space="0"/>
              <w:right w:val="single" w:color="auto" w:sz="4" w:space="0"/>
            </w:tcBorders>
            <w:vAlign w:val="center"/>
          </w:tcPr>
          <w:p>
            <w:pPr>
              <w:adjustRightInd w:val="0"/>
              <w:snapToGrid w:val="0"/>
              <w:jc w:val="center"/>
              <w:rPr>
                <w:rFonts w:ascii="宋体" w:hAnsi="宋体" w:eastAsia="宋体" w:cs="宋体"/>
                <w:b/>
                <w:szCs w:val="21"/>
              </w:rPr>
            </w:pP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2</w:t>
            </w:r>
          </w:p>
        </w:tc>
        <w:tc>
          <w:tcPr>
            <w:tcW w:w="6888" w:type="dxa"/>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eastAsia="宋体" w:cs="宋体"/>
                <w:szCs w:val="21"/>
              </w:rPr>
            </w:pPr>
            <w:r>
              <w:rPr>
                <w:rFonts w:hint="eastAsia" w:ascii="宋体" w:hAnsi="宋体" w:eastAsia="宋体" w:cs="宋体"/>
                <w:szCs w:val="21"/>
              </w:rPr>
              <w:t>交付时间承诺，在招标文件要求基础上，每提前2天，加0.5分，满分2分。</w:t>
            </w:r>
          </w:p>
        </w:tc>
      </w:tr>
      <w:bookmarkEnd w:id="5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67"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质量保障方案</w:t>
            </w: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2</w:t>
            </w:r>
          </w:p>
        </w:tc>
        <w:tc>
          <w:tcPr>
            <w:tcW w:w="688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eastAsia="宋体" w:cs="宋体"/>
                <w:szCs w:val="21"/>
              </w:rPr>
            </w:pPr>
            <w:r>
              <w:rPr>
                <w:rFonts w:hint="eastAsia" w:ascii="宋体" w:hAnsi="宋体" w:eastAsia="宋体" w:cs="宋体"/>
                <w:szCs w:val="21"/>
              </w:rPr>
              <w:t>投标人的生产设备情况，包括但不限于设备数量，设备先进性等。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jc w:val="center"/>
        </w:trPr>
        <w:tc>
          <w:tcPr>
            <w:tcW w:w="1767" w:type="dxa"/>
            <w:vMerge w:val="continue"/>
            <w:tcBorders>
              <w:left w:val="single" w:color="auto" w:sz="4" w:space="0"/>
              <w:right w:val="single" w:color="auto" w:sz="4" w:space="0"/>
            </w:tcBorders>
            <w:vAlign w:val="center"/>
          </w:tcPr>
          <w:p>
            <w:pPr>
              <w:adjustRightInd w:val="0"/>
              <w:snapToGrid w:val="0"/>
              <w:jc w:val="center"/>
              <w:rPr>
                <w:rFonts w:ascii="宋体" w:hAnsi="宋体" w:eastAsia="宋体" w:cs="宋体"/>
                <w:b/>
                <w:bCs/>
                <w:szCs w:val="21"/>
              </w:rPr>
            </w:pP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3</w:t>
            </w:r>
          </w:p>
        </w:tc>
        <w:tc>
          <w:tcPr>
            <w:tcW w:w="688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eastAsia="宋体" w:cs="宋体"/>
                <w:szCs w:val="21"/>
              </w:rPr>
            </w:pPr>
            <w:r>
              <w:rPr>
                <w:rFonts w:hint="eastAsia" w:ascii="宋体" w:hAnsi="宋体" w:eastAsia="宋体" w:cs="宋体"/>
                <w:szCs w:val="21"/>
              </w:rPr>
              <w:t>产品质量保障方案，包括但不限于原材料质量，生产过程质量保障方案等。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767" w:type="dxa"/>
            <w:vMerge w:val="continue"/>
            <w:tcBorders>
              <w:left w:val="single" w:color="auto" w:sz="4" w:space="0"/>
              <w:right w:val="single" w:color="auto" w:sz="4" w:space="0"/>
            </w:tcBorders>
            <w:vAlign w:val="center"/>
          </w:tcPr>
          <w:p>
            <w:pPr>
              <w:adjustRightInd w:val="0"/>
              <w:snapToGrid w:val="0"/>
              <w:jc w:val="center"/>
              <w:rPr>
                <w:rFonts w:ascii="宋体" w:hAnsi="宋体" w:eastAsia="宋体" w:cs="宋体"/>
                <w:b/>
                <w:bCs/>
                <w:szCs w:val="21"/>
              </w:rPr>
            </w:pP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3</w:t>
            </w:r>
          </w:p>
        </w:tc>
        <w:tc>
          <w:tcPr>
            <w:tcW w:w="688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eastAsia="宋体" w:cs="宋体"/>
                <w:szCs w:val="21"/>
              </w:rPr>
            </w:pPr>
            <w:r>
              <w:rPr>
                <w:rFonts w:hint="eastAsia" w:ascii="宋体" w:hAnsi="宋体" w:eastAsia="宋体" w:cs="宋体"/>
                <w:szCs w:val="21"/>
              </w:rPr>
              <w:t>成品保护方案，包括但不限于成品装卸、运输过程保护，现场交付前保护方案等。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67" w:type="dxa"/>
            <w:vMerge w:val="restart"/>
            <w:tcBorders>
              <w:left w:val="single" w:color="auto" w:sz="4" w:space="0"/>
              <w:right w:val="single" w:color="auto" w:sz="4" w:space="0"/>
            </w:tcBorders>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安装调试方案</w:t>
            </w: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3</w:t>
            </w:r>
          </w:p>
        </w:tc>
        <w:tc>
          <w:tcPr>
            <w:tcW w:w="688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eastAsia="宋体" w:cs="宋体"/>
                <w:szCs w:val="21"/>
              </w:rPr>
            </w:pPr>
            <w:r>
              <w:rPr>
                <w:rFonts w:hint="eastAsia" w:ascii="宋体" w:hAnsi="宋体" w:eastAsia="宋体" w:cs="宋体"/>
                <w:szCs w:val="21"/>
              </w:rPr>
              <w:t>针对本项目的安装方案，包括但不限于安装工序，安装设备，安装人员情况等。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767" w:type="dxa"/>
            <w:vMerge w:val="continue"/>
            <w:tcBorders>
              <w:left w:val="single" w:color="auto" w:sz="4" w:space="0"/>
              <w:right w:val="single" w:color="auto" w:sz="4" w:space="0"/>
            </w:tcBorders>
            <w:vAlign w:val="center"/>
          </w:tcPr>
          <w:p>
            <w:pPr>
              <w:adjustRightInd w:val="0"/>
              <w:snapToGrid w:val="0"/>
              <w:jc w:val="center"/>
              <w:rPr>
                <w:rFonts w:ascii="宋体" w:hAnsi="宋体" w:eastAsia="宋体" w:cs="宋体"/>
                <w:b/>
                <w:bCs/>
                <w:szCs w:val="21"/>
              </w:rPr>
            </w:pP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3</w:t>
            </w:r>
          </w:p>
        </w:tc>
        <w:tc>
          <w:tcPr>
            <w:tcW w:w="688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eastAsia="宋体" w:cs="宋体"/>
                <w:szCs w:val="21"/>
              </w:rPr>
            </w:pPr>
            <w:r>
              <w:rPr>
                <w:rFonts w:hint="eastAsia" w:ascii="宋体" w:hAnsi="宋体" w:eastAsia="宋体" w:cs="宋体"/>
                <w:szCs w:val="21"/>
              </w:rPr>
              <w:t>针对本项目的设备调试方案，包括但不限于调试时间，调试内容等。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767" w:type="dxa"/>
            <w:vMerge w:val="continue"/>
            <w:tcBorders>
              <w:left w:val="single" w:color="auto" w:sz="4" w:space="0"/>
              <w:right w:val="single" w:color="auto" w:sz="4" w:space="0"/>
            </w:tcBorders>
            <w:vAlign w:val="center"/>
          </w:tcPr>
          <w:p>
            <w:pPr>
              <w:adjustRightInd w:val="0"/>
              <w:snapToGrid w:val="0"/>
              <w:jc w:val="center"/>
              <w:rPr>
                <w:rFonts w:ascii="宋体" w:hAnsi="宋体" w:eastAsia="宋体" w:cs="宋体"/>
                <w:b/>
                <w:bCs/>
                <w:szCs w:val="21"/>
              </w:rPr>
            </w:pP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2</w:t>
            </w:r>
          </w:p>
        </w:tc>
        <w:tc>
          <w:tcPr>
            <w:tcW w:w="688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eastAsia="宋体" w:cs="宋体"/>
                <w:szCs w:val="21"/>
              </w:rPr>
            </w:pPr>
            <w:r>
              <w:rPr>
                <w:rFonts w:hint="eastAsia" w:ascii="宋体" w:hAnsi="宋体" w:eastAsia="宋体" w:cs="宋体"/>
                <w:szCs w:val="21"/>
              </w:rPr>
              <w:t>针对本项目的培训方案情况，包括但不限于培训频次，培训方式，培训内容等。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767"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负责团队</w:t>
            </w: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2</w:t>
            </w:r>
          </w:p>
        </w:tc>
        <w:tc>
          <w:tcPr>
            <w:tcW w:w="688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eastAsia="宋体" w:cs="宋体"/>
                <w:szCs w:val="21"/>
              </w:rPr>
            </w:pPr>
            <w:r>
              <w:rPr>
                <w:rFonts w:hint="eastAsia" w:ascii="宋体" w:hAnsi="宋体" w:eastAsia="宋体" w:cs="宋体"/>
                <w:szCs w:val="21"/>
              </w:rPr>
              <w:t>针对本项目的协调、安装团队力量，包括但不限于项目负责人经验，团队各专业人员数量等。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67" w:type="dxa"/>
            <w:vMerge w:val="continue"/>
            <w:tcBorders>
              <w:left w:val="single" w:color="auto" w:sz="4" w:space="0"/>
              <w:right w:val="single" w:color="auto" w:sz="4" w:space="0"/>
            </w:tcBorders>
            <w:vAlign w:val="center"/>
          </w:tcPr>
          <w:p>
            <w:pPr>
              <w:adjustRightInd w:val="0"/>
              <w:snapToGrid w:val="0"/>
              <w:jc w:val="center"/>
              <w:rPr>
                <w:rFonts w:ascii="宋体" w:hAnsi="宋体" w:eastAsia="宋体" w:cs="宋体"/>
                <w:b/>
                <w:bCs/>
                <w:szCs w:val="21"/>
              </w:rPr>
            </w:pP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cs="宋体"/>
                <w:b/>
                <w:bCs/>
                <w:szCs w:val="21"/>
              </w:rPr>
            </w:pPr>
            <w:r>
              <w:rPr>
                <w:rFonts w:hint="eastAsia" w:ascii="宋体" w:hAnsi="宋体" w:eastAsia="宋体" w:cs="宋体"/>
                <w:b/>
                <w:szCs w:val="21"/>
              </w:rPr>
              <w:t>2</w:t>
            </w:r>
          </w:p>
        </w:tc>
        <w:tc>
          <w:tcPr>
            <w:tcW w:w="688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eastAsia="宋体" w:cs="宋体"/>
                <w:szCs w:val="21"/>
              </w:rPr>
            </w:pPr>
            <w:r>
              <w:rPr>
                <w:rFonts w:hint="eastAsia" w:ascii="宋体" w:hAnsi="宋体" w:eastAsia="宋体" w:cs="宋体"/>
                <w:szCs w:val="21"/>
              </w:rPr>
              <w:t>针对本项目的售后维护人员配置情况，包括但不限于人员数量、经验等。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67"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售后服务方案</w:t>
            </w: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2</w:t>
            </w:r>
          </w:p>
        </w:tc>
        <w:tc>
          <w:tcPr>
            <w:tcW w:w="688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eastAsia="宋体" w:cs="宋体"/>
                <w:szCs w:val="21"/>
              </w:rPr>
            </w:pPr>
            <w:r>
              <w:rPr>
                <w:rFonts w:hint="eastAsia" w:ascii="宋体" w:hAnsi="宋体" w:eastAsia="宋体" w:cs="宋体"/>
                <w:szCs w:val="21"/>
              </w:rPr>
              <w:t>质保期内售后服务方案，包括但不限于故障响应时间，定期巡检方案等。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767" w:type="dxa"/>
            <w:vMerge w:val="continue"/>
            <w:tcBorders>
              <w:left w:val="single" w:color="auto" w:sz="4" w:space="0"/>
              <w:right w:val="single" w:color="auto" w:sz="4" w:space="0"/>
            </w:tcBorders>
            <w:vAlign w:val="center"/>
          </w:tcPr>
          <w:p>
            <w:pPr>
              <w:adjustRightInd w:val="0"/>
              <w:snapToGrid w:val="0"/>
              <w:jc w:val="center"/>
              <w:rPr>
                <w:rFonts w:ascii="宋体" w:hAnsi="宋体" w:eastAsia="宋体" w:cs="宋体"/>
                <w:b/>
                <w:bCs/>
                <w:szCs w:val="21"/>
              </w:rPr>
            </w:pP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2</w:t>
            </w:r>
          </w:p>
        </w:tc>
        <w:tc>
          <w:tcPr>
            <w:tcW w:w="688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eastAsia="宋体" w:cs="宋体"/>
                <w:szCs w:val="21"/>
              </w:rPr>
            </w:pPr>
            <w:r>
              <w:rPr>
                <w:rFonts w:hint="eastAsia" w:ascii="宋体" w:hAnsi="宋体" w:eastAsia="宋体" w:cs="宋体"/>
                <w:szCs w:val="21"/>
              </w:rPr>
              <w:t>质保期后售后服务方案，包括但不限于收费标准等。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767" w:type="dxa"/>
            <w:tcBorders>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疫情防控方案</w:t>
            </w:r>
          </w:p>
        </w:tc>
        <w:tc>
          <w:tcPr>
            <w:tcW w:w="6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3</w:t>
            </w:r>
          </w:p>
        </w:tc>
        <w:tc>
          <w:tcPr>
            <w:tcW w:w="688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eastAsia="宋体" w:cs="宋体"/>
                <w:szCs w:val="21"/>
              </w:rPr>
            </w:pPr>
            <w:r>
              <w:rPr>
                <w:rFonts w:hint="eastAsia" w:ascii="宋体" w:hAnsi="宋体" w:eastAsia="宋体" w:cs="宋体"/>
                <w:szCs w:val="21"/>
              </w:rPr>
              <w:t>针对本项目的疫情防控方案，包括但不限于人员管控，车辆管理等。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1767" w:type="dxa"/>
            <w:tcBorders>
              <w:left w:val="single" w:color="auto" w:sz="4" w:space="0"/>
              <w:right w:val="single" w:color="auto" w:sz="4" w:space="0"/>
            </w:tcBorders>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样品</w:t>
            </w:r>
          </w:p>
        </w:tc>
        <w:tc>
          <w:tcPr>
            <w:tcW w:w="654" w:type="dxa"/>
            <w:tcBorders>
              <w:top w:val="single" w:color="auto" w:sz="4" w:space="0"/>
              <w:left w:val="single" w:color="auto" w:sz="4" w:space="0"/>
              <w:right w:val="single" w:color="auto" w:sz="4" w:space="0"/>
            </w:tcBorders>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7</w:t>
            </w:r>
          </w:p>
        </w:tc>
        <w:tc>
          <w:tcPr>
            <w:tcW w:w="6888"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宋体" w:hAnsi="宋体" w:eastAsia="宋体" w:cs="宋体"/>
                <w:szCs w:val="21"/>
              </w:rPr>
            </w:pPr>
            <w:r>
              <w:rPr>
                <w:rFonts w:hint="eastAsia" w:ascii="宋体" w:hAnsi="宋体" w:eastAsia="宋体" w:cs="宋体"/>
                <w:szCs w:val="21"/>
              </w:rPr>
              <w:t>1、功能性要求情况（0</w:t>
            </w:r>
            <w:r>
              <w:rPr>
                <w:rFonts w:ascii="宋体" w:hAnsi="宋体" w:eastAsia="宋体" w:cs="宋体"/>
                <w:szCs w:val="21"/>
              </w:rPr>
              <w:t>-2</w:t>
            </w:r>
            <w:r>
              <w:rPr>
                <w:rFonts w:hint="eastAsia" w:ascii="宋体" w:hAnsi="宋体" w:eastAsia="宋体" w:cs="宋体"/>
                <w:szCs w:val="21"/>
              </w:rPr>
              <w:t>分）：</w:t>
            </w:r>
            <w:r>
              <w:rPr>
                <w:rFonts w:ascii="宋体" w:hAnsi="宋体" w:eastAsia="宋体" w:cs="宋体"/>
                <w:szCs w:val="21"/>
              </w:rPr>
              <w:t>设计美观、实用</w:t>
            </w:r>
            <w:r>
              <w:rPr>
                <w:rFonts w:hint="eastAsia" w:ascii="宋体" w:hAnsi="宋体" w:eastAsia="宋体" w:cs="宋体"/>
                <w:szCs w:val="21"/>
              </w:rPr>
              <w:t>程度</w:t>
            </w:r>
            <w:r>
              <w:rPr>
                <w:rFonts w:ascii="宋体" w:hAnsi="宋体" w:eastAsia="宋体" w:cs="宋体"/>
                <w:szCs w:val="21"/>
              </w:rPr>
              <w:t>，产品整体使用功能</w:t>
            </w:r>
            <w:r>
              <w:rPr>
                <w:rFonts w:hint="eastAsia" w:ascii="宋体" w:hAnsi="宋体" w:eastAsia="宋体" w:cs="宋体"/>
                <w:szCs w:val="21"/>
              </w:rPr>
              <w:t>实现情况</w:t>
            </w:r>
            <w:r>
              <w:rPr>
                <w:rFonts w:ascii="宋体" w:hAnsi="宋体" w:eastAsia="宋体" w:cs="宋体"/>
                <w:szCs w:val="21"/>
              </w:rPr>
              <w:t>。</w:t>
            </w:r>
          </w:p>
          <w:p>
            <w:pPr>
              <w:snapToGrid w:val="0"/>
              <w:jc w:val="left"/>
              <w:rPr>
                <w:rFonts w:ascii="宋体" w:hAnsi="宋体" w:eastAsia="宋体" w:cs="宋体"/>
                <w:szCs w:val="21"/>
              </w:rPr>
            </w:pPr>
            <w:r>
              <w:rPr>
                <w:rFonts w:hint="eastAsia" w:ascii="宋体" w:hAnsi="宋体" w:eastAsia="宋体" w:cs="宋体"/>
                <w:szCs w:val="21"/>
              </w:rPr>
              <w:t>2、结构及安全程度（0</w:t>
            </w:r>
            <w:r>
              <w:rPr>
                <w:rFonts w:ascii="宋体" w:hAnsi="宋体" w:eastAsia="宋体" w:cs="宋体"/>
                <w:szCs w:val="21"/>
              </w:rPr>
              <w:t>-2</w:t>
            </w:r>
            <w:r>
              <w:rPr>
                <w:rFonts w:hint="eastAsia" w:ascii="宋体" w:hAnsi="宋体" w:eastAsia="宋体" w:cs="宋体"/>
                <w:szCs w:val="21"/>
              </w:rPr>
              <w:t>分）：包括但不限于在接触人体或存放物品部位无刃口或棱角等情况</w:t>
            </w:r>
          </w:p>
          <w:p>
            <w:pPr>
              <w:snapToGrid w:val="0"/>
              <w:jc w:val="left"/>
              <w:rPr>
                <w:rFonts w:ascii="宋体" w:hAnsi="宋体" w:eastAsia="宋体" w:cs="宋体"/>
                <w:szCs w:val="21"/>
              </w:rPr>
            </w:pPr>
            <w:r>
              <w:rPr>
                <w:rFonts w:hint="eastAsia" w:ascii="宋体" w:hAnsi="宋体" w:eastAsia="宋体" w:cs="宋体"/>
                <w:szCs w:val="21"/>
              </w:rPr>
              <w:t>3、材料（1分）：</w:t>
            </w:r>
            <w:r>
              <w:rPr>
                <w:rFonts w:ascii="宋体" w:hAnsi="宋体" w:eastAsia="宋体" w:cs="宋体"/>
                <w:szCs w:val="21"/>
              </w:rPr>
              <w:t>样品所选用钢板规格尺寸与采购需求一致。</w:t>
            </w:r>
          </w:p>
          <w:p>
            <w:pPr>
              <w:snapToGrid w:val="0"/>
              <w:jc w:val="left"/>
              <w:rPr>
                <w:rFonts w:ascii="宋体" w:hAnsi="宋体" w:eastAsia="宋体" w:cs="宋体"/>
                <w:szCs w:val="21"/>
              </w:rPr>
            </w:pPr>
            <w:r>
              <w:rPr>
                <w:rFonts w:ascii="宋体" w:hAnsi="宋体" w:eastAsia="宋体" w:cs="宋体"/>
                <w:szCs w:val="21"/>
              </w:rPr>
              <w:t>4</w:t>
            </w:r>
            <w:r>
              <w:rPr>
                <w:rFonts w:hint="eastAsia" w:ascii="宋体" w:hAnsi="宋体" w:eastAsia="宋体" w:cs="宋体"/>
                <w:szCs w:val="21"/>
              </w:rPr>
              <w:t>、制作工艺情况（0</w:t>
            </w:r>
            <w:r>
              <w:rPr>
                <w:rFonts w:ascii="宋体" w:hAnsi="宋体" w:eastAsia="宋体" w:cs="宋体"/>
                <w:szCs w:val="21"/>
              </w:rPr>
              <w:t>-2</w:t>
            </w:r>
            <w:r>
              <w:rPr>
                <w:rFonts w:hint="eastAsia" w:ascii="宋体" w:hAnsi="宋体" w:eastAsia="宋体" w:cs="宋体"/>
                <w:szCs w:val="21"/>
              </w:rPr>
              <w:t>分）：包括但不限于外表光滑，</w:t>
            </w:r>
            <w:r>
              <w:rPr>
                <w:rFonts w:ascii="宋体" w:hAnsi="宋体" w:eastAsia="宋体" w:cs="宋体"/>
                <w:szCs w:val="21"/>
              </w:rPr>
              <w:t>各种配件安装严密、平整、端正、牢固，结合处无松动</w:t>
            </w:r>
            <w:r>
              <w:rPr>
                <w:rFonts w:hint="eastAsia" w:ascii="宋体" w:hAnsi="宋体" w:eastAsia="宋体" w:cs="宋体"/>
                <w:szCs w:val="21"/>
              </w:rPr>
              <w:t>等情况</w:t>
            </w:r>
            <w:r>
              <w:rPr>
                <w:rFonts w:ascii="宋体" w:hAnsi="宋体" w:eastAsia="宋体" w:cs="宋体"/>
                <w:szCs w:val="21"/>
              </w:rPr>
              <w:t>；</w:t>
            </w:r>
          </w:p>
        </w:tc>
      </w:tr>
    </w:tbl>
    <w:p>
      <w:pPr>
        <w:adjustRightInd w:val="0"/>
        <w:snapToGrid w:val="0"/>
        <w:spacing w:line="288" w:lineRule="auto"/>
        <w:jc w:val="left"/>
        <w:rPr>
          <w:rFonts w:ascii="宋体" w:hAnsi="宋体" w:eastAsia="宋体" w:cs="Times New Roman"/>
          <w:b/>
          <w:szCs w:val="21"/>
        </w:rPr>
      </w:pPr>
      <w:r>
        <w:rPr>
          <w:rFonts w:hint="eastAsia" w:ascii="宋体" w:hAnsi="宋体" w:eastAsia="宋体" w:cs="Times New Roman"/>
          <w:b/>
          <w:szCs w:val="21"/>
        </w:rPr>
        <w:t>说明</w:t>
      </w:r>
      <w:r>
        <w:rPr>
          <w:rFonts w:ascii="宋体" w:hAnsi="宋体" w:eastAsia="宋体" w:cs="Times New Roman"/>
          <w:b/>
          <w:szCs w:val="21"/>
        </w:rPr>
        <w:t>：</w:t>
      </w:r>
    </w:p>
    <w:p>
      <w:pPr>
        <w:adjustRightInd w:val="0"/>
        <w:snapToGrid w:val="0"/>
        <w:spacing w:line="288" w:lineRule="auto"/>
        <w:jc w:val="left"/>
        <w:rPr>
          <w:rFonts w:ascii="宋体" w:hAnsi="宋体" w:eastAsia="宋体" w:cs="Times New Roman"/>
          <w:b/>
          <w:szCs w:val="21"/>
        </w:rPr>
      </w:pPr>
      <w:r>
        <w:rPr>
          <w:rFonts w:ascii="宋体" w:hAnsi="宋体" w:eastAsia="宋体" w:cs="Times New Roman"/>
          <w:b/>
          <w:szCs w:val="21"/>
        </w:rPr>
        <w:t>1.</w:t>
      </w:r>
      <w:r>
        <w:rPr>
          <w:rFonts w:hint="eastAsia" w:ascii="宋体" w:hAnsi="宋体" w:eastAsia="宋体" w:cs="Times New Roman"/>
          <w:b/>
          <w:szCs w:val="21"/>
        </w:rPr>
        <w:t>根据《政府采购促进中小企业发展管理办法》（财库〔2020〕46号）、《关于进一步加大政府采购支持中小企业力度的通知》（财库〔</w:t>
      </w:r>
      <w:r>
        <w:rPr>
          <w:rFonts w:ascii="宋体" w:hAnsi="宋体" w:eastAsia="宋体" w:cs="Times New Roman"/>
          <w:b/>
          <w:szCs w:val="21"/>
        </w:rPr>
        <w:t>2022〕19号）</w:t>
      </w:r>
      <w:r>
        <w:rPr>
          <w:rFonts w:hint="eastAsia" w:ascii="宋体" w:hAnsi="宋体" w:eastAsia="宋体" w:cs="Times New Roman"/>
          <w:b/>
          <w:szCs w:val="21"/>
        </w:rPr>
        <w:t>、《浙江省财政厅关于进一步加大政府采购支持中小企业力度</w:t>
      </w:r>
      <w:r>
        <w:rPr>
          <w:rFonts w:ascii="宋体" w:hAnsi="宋体" w:eastAsia="宋体" w:cs="Times New Roman"/>
          <w:b/>
          <w:szCs w:val="21"/>
        </w:rPr>
        <w:t xml:space="preserve"> 助力扎实稳住经济的通知》（浙财采监〔2022〕8号）</w:t>
      </w:r>
      <w:r>
        <w:rPr>
          <w:rFonts w:hint="eastAsia" w:ascii="宋体" w:hAnsi="宋体" w:eastAsia="宋体" w:cs="Times New Roman"/>
          <w:b/>
          <w:szCs w:val="21"/>
        </w:rPr>
        <w:t>的规定：</w:t>
      </w:r>
    </w:p>
    <w:p>
      <w:pPr>
        <w:adjustRightInd w:val="0"/>
        <w:snapToGrid w:val="0"/>
        <w:spacing w:line="288" w:lineRule="auto"/>
        <w:jc w:val="left"/>
        <w:rPr>
          <w:rFonts w:ascii="宋体" w:hAnsi="宋体" w:eastAsia="宋体" w:cs="Times New Roman"/>
          <w:b/>
          <w:szCs w:val="21"/>
        </w:rPr>
      </w:pPr>
      <w:r>
        <w:rPr>
          <w:rFonts w:hint="eastAsia" w:ascii="宋体" w:hAnsi="宋体" w:eastAsia="宋体" w:cs="Times New Roman"/>
          <w:b/>
          <w:szCs w:val="21"/>
        </w:rPr>
        <w:t>对符合规定的小微企业报价给予</w:t>
      </w:r>
      <w:r>
        <w:rPr>
          <w:rFonts w:ascii="宋体" w:hAnsi="宋体" w:eastAsia="宋体" w:cs="Times New Roman"/>
          <w:b/>
          <w:szCs w:val="21"/>
        </w:rPr>
        <w:t>20</w:t>
      </w:r>
      <w:r>
        <w:rPr>
          <w:rFonts w:hint="eastAsia" w:ascii="宋体" w:hAnsi="宋体" w:eastAsia="宋体" w:cs="Times New Roman"/>
          <w:b/>
          <w:szCs w:val="21"/>
        </w:rPr>
        <w:t>%的扣除后计算价格得分。</w:t>
      </w:r>
    </w:p>
    <w:p>
      <w:pPr>
        <w:adjustRightInd w:val="0"/>
        <w:snapToGrid w:val="0"/>
        <w:spacing w:line="288" w:lineRule="auto"/>
        <w:ind w:firstLine="396" w:firstLineChars="200"/>
        <w:jc w:val="left"/>
        <w:rPr>
          <w:rFonts w:ascii="宋体" w:hAnsi="宋体" w:eastAsia="宋体" w:cs="Times New Roman"/>
          <w:spacing w:val="-6"/>
          <w:szCs w:val="21"/>
          <w:u w:val="single"/>
        </w:rPr>
      </w:pPr>
      <w:r>
        <w:rPr>
          <w:rFonts w:hint="eastAsia" w:ascii="宋体" w:hAnsi="宋体" w:eastAsia="宋体" w:cs="Times New Roman"/>
          <w:spacing w:val="-6"/>
          <w:szCs w:val="21"/>
          <w:u w:val="single"/>
        </w:rPr>
        <w:t>注：对于联合协议或者分包意向协议约定小微企业的合同份额占到合同总金额30%以上的，对联合体或者大中型企业的报价给予</w:t>
      </w:r>
      <w:r>
        <w:rPr>
          <w:rFonts w:ascii="宋体" w:hAnsi="宋体" w:eastAsia="宋体" w:cs="Times New Roman"/>
          <w:spacing w:val="-6"/>
          <w:szCs w:val="21"/>
          <w:u w:val="single"/>
        </w:rPr>
        <w:t>6</w:t>
      </w:r>
      <w:r>
        <w:rPr>
          <w:rFonts w:hint="eastAsia" w:ascii="宋体" w:hAnsi="宋体" w:eastAsia="宋体" w:cs="Times New Roman"/>
          <w:spacing w:val="-6"/>
          <w:szCs w:val="21"/>
          <w:u w:val="single"/>
        </w:rPr>
        <w:t>%的扣除，用扣除后的价格参加评审。组成联合体或者接受分包的小微企业与联合体内其他企业、分包企业之间存在直接控股、管理关系的，不享受价格扣除优惠政策。</w:t>
      </w:r>
    </w:p>
    <w:p>
      <w:pPr>
        <w:adjustRightInd w:val="0"/>
        <w:snapToGrid w:val="0"/>
        <w:spacing w:line="288" w:lineRule="auto"/>
        <w:rPr>
          <w:rFonts w:ascii="宋体" w:hAnsi="宋体" w:eastAsia="宋体" w:cs="Times New Roman"/>
          <w:b/>
          <w:bCs/>
          <w:spacing w:val="-6"/>
          <w:szCs w:val="21"/>
        </w:rPr>
      </w:pPr>
      <w:bookmarkStart w:id="56" w:name="_Hlk81817373"/>
      <w:bookmarkStart w:id="57" w:name="_Hlk81817387"/>
      <w:r>
        <w:rPr>
          <w:rFonts w:hint="eastAsia" w:ascii="宋体" w:hAnsi="宋体" w:eastAsia="宋体" w:cs="Times New Roman"/>
          <w:b/>
          <w:bCs/>
          <w:spacing w:val="-6"/>
          <w:szCs w:val="21"/>
        </w:rPr>
        <w:t>2</w:t>
      </w:r>
      <w:r>
        <w:rPr>
          <w:rFonts w:ascii="宋体" w:hAnsi="宋体" w:eastAsia="宋体" w:cs="Times New Roman"/>
          <w:b/>
          <w:bCs/>
          <w:spacing w:val="-6"/>
          <w:szCs w:val="21"/>
        </w:rPr>
        <w:t>.</w:t>
      </w:r>
      <w:r>
        <w:rPr>
          <w:rFonts w:hint="eastAsia" w:ascii="宋体" w:hAnsi="宋体" w:eastAsia="宋体" w:cs="Times New Roman"/>
          <w:b/>
          <w:bCs/>
          <w:spacing w:val="-6"/>
          <w:szCs w:val="21"/>
        </w:rPr>
        <w:t>根据《</w:t>
      </w:r>
      <w:r>
        <w:rPr>
          <w:rFonts w:ascii="宋体" w:hAnsi="宋体" w:eastAsia="宋体" w:cs="Times New Roman"/>
          <w:b/>
          <w:bCs/>
          <w:spacing w:val="-6"/>
          <w:szCs w:val="21"/>
        </w:rPr>
        <w:t>关于政府采购支持监狱企业发展有关问题的通知</w:t>
      </w:r>
      <w:r>
        <w:rPr>
          <w:rFonts w:hint="eastAsia" w:ascii="宋体" w:hAnsi="宋体" w:eastAsia="宋体" w:cs="Times New Roman"/>
          <w:b/>
          <w:bCs/>
          <w:spacing w:val="-6"/>
          <w:szCs w:val="21"/>
        </w:rPr>
        <w:t>》（</w:t>
      </w:r>
      <w:r>
        <w:rPr>
          <w:rFonts w:ascii="宋体" w:hAnsi="宋体" w:eastAsia="宋体" w:cs="Times New Roman"/>
          <w:b/>
          <w:bCs/>
          <w:spacing w:val="-6"/>
          <w:szCs w:val="21"/>
        </w:rPr>
        <w:t>财库[2014]68号</w:t>
      </w:r>
      <w:r>
        <w:rPr>
          <w:rFonts w:hint="eastAsia" w:ascii="宋体" w:hAnsi="宋体" w:eastAsia="宋体" w:cs="Times New Roman"/>
          <w:b/>
          <w:bCs/>
          <w:spacing w:val="-6"/>
          <w:szCs w:val="21"/>
        </w:rPr>
        <w:t>）的规定，</w:t>
      </w:r>
      <w:r>
        <w:rPr>
          <w:rFonts w:hint="eastAsia" w:ascii="宋体" w:hAnsi="宋体" w:eastAsia="宋体" w:cs="宋体"/>
          <w:color w:val="000000"/>
          <w:kern w:val="0"/>
          <w:szCs w:val="21"/>
        </w:rPr>
        <w:t>监狱企业参加政府采购活动时，提供由省级以上监狱管理局</w:t>
      </w:r>
      <w:r>
        <w:rPr>
          <w:rFonts w:hint="eastAsia" w:ascii="宋体" w:hAnsi="宋体" w:eastAsia="宋体" w:cs="宋体"/>
          <w:kern w:val="0"/>
          <w:szCs w:val="21"/>
        </w:rPr>
        <w:t>、戒毒管理局（含新疆生产建设兵团）出具的属于监狱企业的证明文件的，在政府采购活动中，监狱企业视</w:t>
      </w:r>
      <w:r>
        <w:rPr>
          <w:rFonts w:hint="eastAsia" w:ascii="宋体" w:hAnsi="宋体" w:eastAsia="宋体" w:cs="宋体"/>
          <w:color w:val="000000"/>
          <w:kern w:val="0"/>
          <w:szCs w:val="21"/>
        </w:rPr>
        <w:t>同小型、微型企业，享受预留份额、评审中价格扣除等政府采购促进中小企业发展的政府采购政策。</w:t>
      </w:r>
    </w:p>
    <w:bookmarkEnd w:id="56"/>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3</w:t>
      </w:r>
      <w:r>
        <w:rPr>
          <w:rFonts w:ascii="宋体" w:hAnsi="宋体" w:eastAsia="宋体" w:cs="Times New Roman"/>
          <w:b/>
          <w:bCs/>
          <w:spacing w:val="-6"/>
          <w:szCs w:val="21"/>
        </w:rPr>
        <w:t>.</w:t>
      </w:r>
      <w:r>
        <w:rPr>
          <w:rFonts w:hint="eastAsia" w:ascii="宋体" w:hAnsi="宋体" w:eastAsia="宋体" w:cs="Times New Roman"/>
          <w:b/>
          <w:bCs/>
          <w:spacing w:val="-6"/>
          <w:szCs w:val="21"/>
        </w:rPr>
        <w:t>根据《关于促进残疾人就业政府采购政策的通知》（财库[2017]141号）的规定，</w:t>
      </w:r>
      <w:r>
        <w:rPr>
          <w:rFonts w:hint="eastAsia" w:ascii="宋体" w:hAnsi="宋体" w:eastAsia="宋体"/>
          <w:color w:val="000000"/>
          <w:szCs w:val="21"/>
        </w:rPr>
        <w:t>符合条件的残疾人福利性单位在参加政府采购活动时，</w:t>
      </w:r>
      <w:r>
        <w:rPr>
          <w:rFonts w:hint="eastAsia" w:ascii="宋体" w:hAnsi="宋体" w:eastAsia="宋体"/>
          <w:szCs w:val="21"/>
        </w:rPr>
        <w:t>提供财库</w:t>
      </w:r>
      <w:r>
        <w:rPr>
          <w:rFonts w:ascii="宋体" w:hAnsi="宋体" w:eastAsia="宋体"/>
          <w:szCs w:val="21"/>
        </w:rPr>
        <w:t>[2017]141号</w:t>
      </w:r>
      <w:r>
        <w:rPr>
          <w:rFonts w:hint="eastAsia" w:ascii="宋体" w:hAnsi="宋体" w:eastAsia="宋体"/>
          <w:szCs w:val="21"/>
        </w:rPr>
        <w:t>文件</w:t>
      </w:r>
      <w:r>
        <w:rPr>
          <w:rFonts w:hint="eastAsia" w:ascii="宋体" w:hAnsi="宋体" w:eastAsia="宋体"/>
          <w:color w:val="000000"/>
          <w:szCs w:val="21"/>
        </w:rPr>
        <w:t>规定的《残疾人福利性单位声明函》的，在政府采购活</w:t>
      </w:r>
      <w:r>
        <w:rPr>
          <w:rFonts w:hint="eastAsia" w:ascii="宋体" w:hAnsi="宋体" w:eastAsia="宋体"/>
          <w:szCs w:val="21"/>
        </w:rPr>
        <w:t>动中，残疾人福利性单位视同小型、微型企业，享受预留份额、评审中价格扣除等促进中小企业发展的政府采购政策。</w:t>
      </w:r>
      <w:r>
        <w:rPr>
          <w:rFonts w:ascii="宋体" w:hAnsi="宋体" w:eastAsia="宋体" w:cs="Times New Roman"/>
          <w:spacing w:val="-6"/>
          <w:szCs w:val="21"/>
        </w:rPr>
        <w:t>残疾人福利性单位属于小型、微型企业的，不重复享受政策。</w:t>
      </w:r>
    </w:p>
    <w:bookmarkEnd w:id="57"/>
    <w:p>
      <w:pPr>
        <w:widowControl/>
        <w:jc w:val="left"/>
        <w:rPr>
          <w:rFonts w:ascii="宋体" w:hAnsi="宋体" w:eastAsia="宋体" w:cs="宋体"/>
          <w:b/>
          <w:sz w:val="32"/>
          <w:szCs w:val="32"/>
        </w:rPr>
      </w:pPr>
      <w:r>
        <w:rPr>
          <w:rFonts w:ascii="宋体" w:hAnsi="宋体" w:eastAsia="宋体" w:cs="宋体"/>
          <w:b/>
          <w:sz w:val="32"/>
          <w:szCs w:val="32"/>
        </w:rPr>
        <w:br w:type="page"/>
      </w:r>
    </w:p>
    <w:p>
      <w:pPr>
        <w:adjustRightInd w:val="0"/>
        <w:snapToGrid w:val="0"/>
        <w:spacing w:line="288" w:lineRule="auto"/>
        <w:jc w:val="center"/>
        <w:outlineLvl w:val="0"/>
        <w:rPr>
          <w:rFonts w:ascii="宋体" w:hAnsi="宋体" w:eastAsia="宋体" w:cs="宋体"/>
          <w:b/>
          <w:bCs/>
          <w:spacing w:val="-6"/>
          <w:sz w:val="32"/>
          <w:szCs w:val="32"/>
        </w:rPr>
      </w:pPr>
      <w:r>
        <w:rPr>
          <w:rFonts w:hint="eastAsia" w:ascii="宋体" w:hAnsi="宋体" w:eastAsia="宋体" w:cs="宋体"/>
          <w:b/>
          <w:sz w:val="32"/>
          <w:szCs w:val="32"/>
        </w:rPr>
        <w:t>第五章  拟签订的合同文本</w:t>
      </w:r>
    </w:p>
    <w:p>
      <w:pPr>
        <w:adjustRightInd w:val="0"/>
        <w:snapToGrid w:val="0"/>
        <w:spacing w:line="288" w:lineRule="auto"/>
        <w:rPr>
          <w:rFonts w:ascii="宋体" w:hAnsi="宋体" w:eastAsia="宋体" w:cs="宋体"/>
          <w:b/>
          <w:spacing w:val="-6"/>
          <w:szCs w:val="21"/>
        </w:rPr>
      </w:pPr>
    </w:p>
    <w:p>
      <w:pPr>
        <w:adjustRightInd w:val="0"/>
        <w:snapToGrid w:val="0"/>
        <w:spacing w:line="288" w:lineRule="auto"/>
        <w:ind w:firstLine="398" w:firstLineChars="200"/>
        <w:jc w:val="center"/>
        <w:outlineLvl w:val="1"/>
        <w:rPr>
          <w:rFonts w:ascii="宋体" w:hAnsi="宋体" w:eastAsia="宋体" w:cs="宋体"/>
          <w:b/>
          <w:spacing w:val="-6"/>
          <w:szCs w:val="21"/>
        </w:rPr>
      </w:pPr>
      <w:r>
        <w:rPr>
          <w:rFonts w:hint="eastAsia" w:ascii="宋体" w:hAnsi="宋体" w:eastAsia="宋体" w:cs="宋体"/>
          <w:b/>
          <w:spacing w:val="-6"/>
          <w:szCs w:val="21"/>
        </w:rPr>
        <w:t>浙江财经大学 政府采购合同</w:t>
      </w:r>
    </w:p>
    <w:p>
      <w:pPr>
        <w:adjustRightInd w:val="0"/>
        <w:snapToGrid w:val="0"/>
        <w:spacing w:line="288" w:lineRule="auto"/>
        <w:ind w:firstLine="398" w:firstLineChars="200"/>
        <w:jc w:val="center"/>
        <w:rPr>
          <w:rFonts w:ascii="宋体" w:hAnsi="宋体" w:eastAsia="宋体" w:cs="宋体"/>
          <w:spacing w:val="-6"/>
          <w:szCs w:val="21"/>
        </w:rPr>
      </w:pPr>
      <w:r>
        <w:rPr>
          <w:rFonts w:hint="eastAsia" w:ascii="宋体" w:hAnsi="宋体" w:eastAsia="宋体" w:cs="宋体"/>
          <w:b/>
          <w:spacing w:val="-6"/>
          <w:szCs w:val="21"/>
        </w:rPr>
        <w:t>（国产设备）</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项目名称：</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项目编号：</w:t>
      </w:r>
      <w:r>
        <w:rPr>
          <w:rFonts w:ascii="宋体" w:hAnsi="宋体" w:eastAsia="宋体" w:cs="Times New Roman"/>
          <w:b/>
          <w:bCs/>
          <w:spacing w:val="-6"/>
          <w:szCs w:val="21"/>
        </w:rPr>
        <w:t xml:space="preserve">QSZB-Z(H)-E22190(GK) </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采购计划书：</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甲方（需方）：浙江财经大学</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乙方（供方）：</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采购代理机构：浙江求是招标代理有限公司</w:t>
      </w:r>
    </w:p>
    <w:p>
      <w:pPr>
        <w:adjustRightInd w:val="0"/>
        <w:snapToGrid w:val="0"/>
        <w:spacing w:line="288" w:lineRule="auto"/>
        <w:rPr>
          <w:rFonts w:ascii="宋体" w:hAnsi="宋体" w:eastAsia="宋体" w:cs="Times New Roman"/>
          <w:spacing w:val="-6"/>
          <w:szCs w:val="21"/>
        </w:rPr>
      </w:pPr>
    </w:p>
    <w:p>
      <w:pPr>
        <w:adjustRightInd w:val="0"/>
        <w:snapToGrid w:val="0"/>
        <w:spacing w:line="288" w:lineRule="auto"/>
        <w:ind w:firstLine="396" w:firstLineChars="200"/>
        <w:rPr>
          <w:rFonts w:ascii="宋体" w:hAnsi="宋体" w:eastAsia="宋体" w:cs="宋体"/>
          <w:spacing w:val="-6"/>
          <w:szCs w:val="21"/>
        </w:rPr>
      </w:pPr>
      <w:r>
        <w:rPr>
          <w:rFonts w:hint="eastAsia" w:ascii="宋体" w:hAnsi="宋体" w:eastAsia="宋体" w:cs="宋体"/>
          <w:spacing w:val="-6"/>
          <w:szCs w:val="21"/>
        </w:rPr>
        <w:t>根据《中华人民共和国政府采购法》等法律法规规定，浙江求是招标代理有限公司受</w:t>
      </w:r>
      <w:r>
        <w:rPr>
          <w:rFonts w:hint="eastAsia" w:ascii="宋体" w:hAnsi="宋体" w:eastAsia="宋体" w:cs="宋体"/>
          <w:spacing w:val="-6"/>
          <w:szCs w:val="21"/>
          <w:u w:val="single"/>
        </w:rPr>
        <w:t xml:space="preserve"> 浙江财经大学 </w:t>
      </w:r>
      <w:r>
        <w:rPr>
          <w:rFonts w:hint="eastAsia" w:ascii="宋体" w:hAnsi="宋体" w:eastAsia="宋体" w:cs="宋体"/>
          <w:spacing w:val="-6"/>
          <w:szCs w:val="21"/>
        </w:rPr>
        <w:t>委托，经</w:t>
      </w:r>
      <w:r>
        <w:rPr>
          <w:rFonts w:hint="eastAsia" w:ascii="宋体" w:hAnsi="宋体" w:eastAsia="宋体" w:cs="宋体"/>
          <w:spacing w:val="-6"/>
          <w:szCs w:val="21"/>
          <w:u w:val="single"/>
        </w:rPr>
        <w:t xml:space="preserve"> 公开招标 </w:t>
      </w:r>
      <w:r>
        <w:rPr>
          <w:rFonts w:hint="eastAsia" w:ascii="宋体" w:hAnsi="宋体" w:eastAsia="宋体" w:cs="宋体"/>
          <w:spacing w:val="-6"/>
          <w:szCs w:val="21"/>
        </w:rPr>
        <w:t>，确定</w:t>
      </w:r>
      <w:r>
        <w:rPr>
          <w:rFonts w:hint="eastAsia" w:ascii="宋体" w:hAnsi="宋体" w:eastAsia="宋体" w:cs="宋体"/>
          <w:spacing w:val="-6"/>
          <w:szCs w:val="21"/>
          <w:u w:val="single"/>
        </w:rPr>
        <w:t xml:space="preserve">              </w:t>
      </w:r>
      <w:r>
        <w:rPr>
          <w:rFonts w:hint="eastAsia" w:ascii="宋体" w:hAnsi="宋体" w:eastAsia="宋体" w:cs="宋体"/>
          <w:spacing w:val="-6"/>
          <w:szCs w:val="21"/>
        </w:rPr>
        <w:t>为</w:t>
      </w:r>
      <w:r>
        <w:rPr>
          <w:rFonts w:hint="eastAsia" w:ascii="宋体" w:hAnsi="宋体" w:eastAsia="宋体" w:cs="宋体"/>
          <w:spacing w:val="-6"/>
          <w:szCs w:val="21"/>
          <w:u w:val="single"/>
        </w:rPr>
        <w:t xml:space="preserve"> </w:t>
      </w:r>
      <w:r>
        <w:rPr>
          <w:rFonts w:ascii="宋体" w:hAnsi="宋体" w:eastAsia="宋体" w:cs="宋体"/>
          <w:spacing w:val="-6"/>
          <w:szCs w:val="21"/>
          <w:u w:val="single"/>
        </w:rPr>
        <w:t>学生生活区组团厨房设备</w:t>
      </w:r>
      <w:r>
        <w:rPr>
          <w:rFonts w:hint="eastAsia" w:ascii="宋体" w:hAnsi="宋体" w:eastAsia="宋体" w:cs="宋体"/>
          <w:spacing w:val="-6"/>
          <w:szCs w:val="21"/>
          <w:u w:val="single"/>
        </w:rPr>
        <w:t xml:space="preserve"> </w:t>
      </w:r>
      <w:r>
        <w:rPr>
          <w:rFonts w:hint="eastAsia" w:ascii="宋体" w:hAnsi="宋体" w:eastAsia="宋体" w:cs="宋体"/>
          <w:spacing w:val="-6"/>
          <w:szCs w:val="21"/>
        </w:rPr>
        <w:t>项目编号</w:t>
      </w:r>
      <w:r>
        <w:rPr>
          <w:rFonts w:hint="eastAsia" w:ascii="宋体" w:hAnsi="宋体" w:eastAsia="宋体" w:cs="宋体"/>
          <w:spacing w:val="-6"/>
          <w:szCs w:val="21"/>
          <w:u w:val="single"/>
        </w:rPr>
        <w:t>（</w:t>
      </w:r>
      <w:r>
        <w:rPr>
          <w:rFonts w:ascii="宋体" w:hAnsi="宋体" w:eastAsia="宋体" w:cs="宋体"/>
          <w:spacing w:val="-6"/>
          <w:szCs w:val="21"/>
          <w:u w:val="single"/>
        </w:rPr>
        <w:t xml:space="preserve">QSZB-Z(H)-E22190(GK) </w:t>
      </w:r>
      <w:r>
        <w:rPr>
          <w:rFonts w:hint="eastAsia" w:ascii="宋体" w:hAnsi="宋体" w:eastAsia="宋体" w:cs="宋体"/>
          <w:spacing w:val="-6"/>
          <w:szCs w:val="21"/>
          <w:u w:val="single"/>
        </w:rPr>
        <w:t>）</w:t>
      </w:r>
      <w:r>
        <w:rPr>
          <w:rFonts w:hint="eastAsia" w:ascii="宋体" w:hAnsi="宋体" w:eastAsia="宋体" w:cs="宋体"/>
          <w:spacing w:val="-6"/>
          <w:szCs w:val="21"/>
        </w:rPr>
        <w:t>的中标人。根据《中华人民共和国民法典》规定，签署本合同。</w:t>
      </w:r>
    </w:p>
    <w:p>
      <w:pPr>
        <w:adjustRightInd w:val="0"/>
        <w:snapToGrid w:val="0"/>
        <w:spacing w:line="288" w:lineRule="auto"/>
        <w:rPr>
          <w:rFonts w:ascii="宋体" w:hAnsi="宋体" w:eastAsia="宋体" w:cs="宋体"/>
          <w:b/>
          <w:spacing w:val="-6"/>
          <w:szCs w:val="21"/>
        </w:rPr>
      </w:pPr>
    </w:p>
    <w:p>
      <w:pPr>
        <w:adjustRightInd w:val="0"/>
        <w:snapToGrid w:val="0"/>
        <w:spacing w:line="288" w:lineRule="auto"/>
        <w:rPr>
          <w:rFonts w:ascii="宋体" w:hAnsi="宋体" w:eastAsia="宋体" w:cs="宋体"/>
          <w:b/>
          <w:spacing w:val="-6"/>
          <w:szCs w:val="21"/>
        </w:rPr>
      </w:pPr>
      <w:r>
        <w:rPr>
          <w:rFonts w:hint="eastAsia" w:ascii="宋体" w:hAnsi="宋体" w:eastAsia="宋体" w:cs="宋体"/>
          <w:b/>
          <w:spacing w:val="-6"/>
          <w:szCs w:val="21"/>
        </w:rPr>
        <w:t>第一条：采购内容及合同价格</w:t>
      </w:r>
    </w:p>
    <w:tbl>
      <w:tblPr>
        <w:tblStyle w:val="27"/>
        <w:tblW w:w="951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89"/>
        <w:gridCol w:w="2163"/>
        <w:gridCol w:w="2532"/>
        <w:gridCol w:w="709"/>
        <w:gridCol w:w="708"/>
        <w:gridCol w:w="1418"/>
        <w:gridCol w:w="130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89" w:type="dxa"/>
            <w:vAlign w:val="center"/>
          </w:tcPr>
          <w:p>
            <w:pPr>
              <w:adjustRightInd w:val="0"/>
              <w:snapToGrid w:val="0"/>
              <w:spacing w:line="288" w:lineRule="auto"/>
              <w:jc w:val="center"/>
              <w:rPr>
                <w:rFonts w:ascii="宋体" w:hAnsi="宋体" w:eastAsia="宋体" w:cs="宋体"/>
                <w:spacing w:val="-6"/>
                <w:szCs w:val="21"/>
              </w:rPr>
            </w:pPr>
            <w:r>
              <w:rPr>
                <w:rFonts w:hint="eastAsia" w:ascii="宋体" w:hAnsi="宋体" w:eastAsia="宋体" w:cs="宋体"/>
                <w:spacing w:val="-6"/>
                <w:szCs w:val="21"/>
                <w:lang w:val="zh-CN"/>
              </w:rPr>
              <w:t>序号</w:t>
            </w:r>
          </w:p>
        </w:tc>
        <w:tc>
          <w:tcPr>
            <w:tcW w:w="2163" w:type="dxa"/>
            <w:vAlign w:val="center"/>
          </w:tcPr>
          <w:p>
            <w:pPr>
              <w:adjustRightInd w:val="0"/>
              <w:snapToGrid w:val="0"/>
              <w:spacing w:line="288" w:lineRule="auto"/>
              <w:jc w:val="center"/>
              <w:rPr>
                <w:rFonts w:ascii="宋体" w:hAnsi="宋体" w:eastAsia="宋体" w:cs="宋体"/>
                <w:spacing w:val="-6"/>
                <w:szCs w:val="21"/>
              </w:rPr>
            </w:pPr>
            <w:r>
              <w:rPr>
                <w:rFonts w:hint="eastAsia" w:ascii="宋体" w:hAnsi="宋体" w:eastAsia="宋体" w:cs="宋体"/>
                <w:spacing w:val="-6"/>
                <w:szCs w:val="21"/>
                <w:lang w:val="zh-CN"/>
              </w:rPr>
              <w:t>名称</w:t>
            </w:r>
          </w:p>
        </w:tc>
        <w:tc>
          <w:tcPr>
            <w:tcW w:w="2532" w:type="dxa"/>
            <w:vAlign w:val="center"/>
          </w:tcPr>
          <w:p>
            <w:pPr>
              <w:adjustRightInd w:val="0"/>
              <w:snapToGrid w:val="0"/>
              <w:spacing w:line="288" w:lineRule="auto"/>
              <w:jc w:val="center"/>
              <w:rPr>
                <w:rFonts w:ascii="宋体" w:hAnsi="宋体" w:eastAsia="宋体" w:cs="宋体"/>
                <w:spacing w:val="-6"/>
                <w:szCs w:val="21"/>
              </w:rPr>
            </w:pPr>
            <w:r>
              <w:rPr>
                <w:rFonts w:hint="eastAsia" w:ascii="宋体" w:hAnsi="宋体" w:eastAsia="宋体" w:cs="宋体"/>
                <w:spacing w:val="-6"/>
                <w:szCs w:val="21"/>
                <w:lang w:val="zh-CN"/>
              </w:rPr>
              <w:t>品牌、型号</w:t>
            </w:r>
          </w:p>
        </w:tc>
        <w:tc>
          <w:tcPr>
            <w:tcW w:w="709" w:type="dxa"/>
            <w:vAlign w:val="center"/>
          </w:tcPr>
          <w:p>
            <w:pPr>
              <w:adjustRightInd w:val="0"/>
              <w:snapToGrid w:val="0"/>
              <w:spacing w:line="288" w:lineRule="auto"/>
              <w:jc w:val="center"/>
              <w:rPr>
                <w:rFonts w:ascii="宋体" w:hAnsi="宋体" w:eastAsia="宋体" w:cs="宋体"/>
                <w:spacing w:val="-6"/>
                <w:szCs w:val="21"/>
              </w:rPr>
            </w:pPr>
            <w:r>
              <w:rPr>
                <w:rFonts w:hint="eastAsia" w:ascii="宋体" w:hAnsi="宋体" w:eastAsia="宋体" w:cs="宋体"/>
                <w:spacing w:val="-6"/>
                <w:szCs w:val="21"/>
                <w:lang w:val="zh-CN"/>
              </w:rPr>
              <w:t>数量</w:t>
            </w:r>
          </w:p>
        </w:tc>
        <w:tc>
          <w:tcPr>
            <w:tcW w:w="708" w:type="dxa"/>
            <w:vAlign w:val="center"/>
          </w:tcPr>
          <w:p>
            <w:pPr>
              <w:adjustRightInd w:val="0"/>
              <w:snapToGrid w:val="0"/>
              <w:spacing w:line="288" w:lineRule="auto"/>
              <w:jc w:val="center"/>
              <w:rPr>
                <w:rFonts w:ascii="宋体" w:hAnsi="宋体" w:eastAsia="宋体" w:cs="宋体"/>
                <w:spacing w:val="-6"/>
                <w:szCs w:val="21"/>
              </w:rPr>
            </w:pPr>
            <w:r>
              <w:rPr>
                <w:rFonts w:hint="eastAsia" w:ascii="宋体" w:hAnsi="宋体" w:eastAsia="宋体" w:cs="宋体"/>
                <w:spacing w:val="-6"/>
                <w:szCs w:val="21"/>
                <w:lang w:val="zh-CN"/>
              </w:rPr>
              <w:t>单位</w:t>
            </w:r>
          </w:p>
        </w:tc>
        <w:tc>
          <w:tcPr>
            <w:tcW w:w="1418" w:type="dxa"/>
            <w:vAlign w:val="center"/>
          </w:tcPr>
          <w:p>
            <w:pPr>
              <w:adjustRightInd w:val="0"/>
              <w:snapToGrid w:val="0"/>
              <w:spacing w:line="288" w:lineRule="auto"/>
              <w:jc w:val="center"/>
              <w:rPr>
                <w:rFonts w:ascii="宋体" w:hAnsi="宋体" w:eastAsia="宋体" w:cs="宋体"/>
                <w:spacing w:val="-6"/>
                <w:szCs w:val="21"/>
              </w:rPr>
            </w:pPr>
            <w:r>
              <w:rPr>
                <w:rFonts w:hint="eastAsia" w:ascii="宋体" w:hAnsi="宋体" w:eastAsia="宋体" w:cs="宋体"/>
                <w:spacing w:val="-6"/>
                <w:szCs w:val="21"/>
                <w:lang w:val="zh-CN"/>
              </w:rPr>
              <w:t>单价（元）</w:t>
            </w:r>
          </w:p>
        </w:tc>
        <w:tc>
          <w:tcPr>
            <w:tcW w:w="1300" w:type="dxa"/>
            <w:vAlign w:val="center"/>
          </w:tcPr>
          <w:p>
            <w:pPr>
              <w:adjustRightInd w:val="0"/>
              <w:snapToGrid w:val="0"/>
              <w:spacing w:line="288" w:lineRule="auto"/>
              <w:jc w:val="center"/>
              <w:rPr>
                <w:rFonts w:ascii="宋体" w:hAnsi="宋体" w:eastAsia="宋体" w:cs="宋体"/>
                <w:spacing w:val="-6"/>
                <w:szCs w:val="21"/>
              </w:rPr>
            </w:pPr>
            <w:r>
              <w:rPr>
                <w:rFonts w:hint="eastAsia" w:ascii="宋体" w:hAnsi="宋体" w:eastAsia="宋体" w:cs="宋体"/>
                <w:spacing w:val="-6"/>
                <w:szCs w:val="21"/>
                <w:lang w:val="zh-CN"/>
              </w:rPr>
              <w:t>合计（元）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89" w:type="dxa"/>
            <w:vAlign w:val="center"/>
          </w:tcPr>
          <w:p>
            <w:pPr>
              <w:adjustRightInd w:val="0"/>
              <w:snapToGrid w:val="0"/>
              <w:spacing w:line="288" w:lineRule="auto"/>
              <w:jc w:val="center"/>
              <w:rPr>
                <w:rFonts w:ascii="宋体" w:hAnsi="宋体" w:eastAsia="宋体" w:cs="宋体"/>
                <w:spacing w:val="-6"/>
                <w:szCs w:val="21"/>
              </w:rPr>
            </w:pPr>
            <w:r>
              <w:rPr>
                <w:rFonts w:hint="eastAsia" w:ascii="宋体" w:hAnsi="宋体" w:eastAsia="宋体" w:cs="宋体"/>
                <w:spacing w:val="-6"/>
                <w:szCs w:val="21"/>
              </w:rPr>
              <w:t>1</w:t>
            </w:r>
          </w:p>
        </w:tc>
        <w:tc>
          <w:tcPr>
            <w:tcW w:w="2163" w:type="dxa"/>
            <w:vAlign w:val="center"/>
          </w:tcPr>
          <w:p>
            <w:pPr>
              <w:adjustRightInd w:val="0"/>
              <w:snapToGrid w:val="0"/>
              <w:spacing w:line="288" w:lineRule="auto"/>
              <w:ind w:firstLine="396" w:firstLineChars="200"/>
              <w:jc w:val="center"/>
              <w:rPr>
                <w:rFonts w:ascii="宋体" w:hAnsi="宋体" w:eastAsia="宋体" w:cs="宋体"/>
                <w:spacing w:val="-6"/>
                <w:szCs w:val="21"/>
              </w:rPr>
            </w:pPr>
          </w:p>
        </w:tc>
        <w:tc>
          <w:tcPr>
            <w:tcW w:w="2532" w:type="dxa"/>
            <w:vAlign w:val="center"/>
          </w:tcPr>
          <w:p>
            <w:pPr>
              <w:adjustRightInd w:val="0"/>
              <w:snapToGrid w:val="0"/>
              <w:spacing w:line="288" w:lineRule="auto"/>
              <w:ind w:firstLine="396" w:firstLineChars="200"/>
              <w:jc w:val="center"/>
              <w:rPr>
                <w:rFonts w:ascii="宋体" w:hAnsi="宋体" w:eastAsia="宋体" w:cs="宋体"/>
                <w:spacing w:val="-6"/>
                <w:szCs w:val="21"/>
              </w:rPr>
            </w:pPr>
          </w:p>
        </w:tc>
        <w:tc>
          <w:tcPr>
            <w:tcW w:w="709" w:type="dxa"/>
            <w:vAlign w:val="center"/>
          </w:tcPr>
          <w:p>
            <w:pPr>
              <w:adjustRightInd w:val="0"/>
              <w:snapToGrid w:val="0"/>
              <w:spacing w:line="288" w:lineRule="auto"/>
              <w:ind w:firstLine="396" w:firstLineChars="200"/>
              <w:jc w:val="center"/>
              <w:rPr>
                <w:rFonts w:ascii="宋体" w:hAnsi="宋体" w:eastAsia="宋体" w:cs="宋体"/>
                <w:spacing w:val="-6"/>
                <w:szCs w:val="21"/>
              </w:rPr>
            </w:pPr>
          </w:p>
        </w:tc>
        <w:tc>
          <w:tcPr>
            <w:tcW w:w="708" w:type="dxa"/>
            <w:vAlign w:val="center"/>
          </w:tcPr>
          <w:p>
            <w:pPr>
              <w:adjustRightInd w:val="0"/>
              <w:snapToGrid w:val="0"/>
              <w:spacing w:line="288" w:lineRule="auto"/>
              <w:ind w:firstLine="396" w:firstLineChars="200"/>
              <w:jc w:val="center"/>
              <w:rPr>
                <w:rFonts w:ascii="宋体" w:hAnsi="宋体" w:eastAsia="宋体" w:cs="宋体"/>
                <w:spacing w:val="-6"/>
                <w:szCs w:val="21"/>
              </w:rPr>
            </w:pPr>
          </w:p>
        </w:tc>
        <w:tc>
          <w:tcPr>
            <w:tcW w:w="1418" w:type="dxa"/>
            <w:vAlign w:val="center"/>
          </w:tcPr>
          <w:p>
            <w:pPr>
              <w:adjustRightInd w:val="0"/>
              <w:snapToGrid w:val="0"/>
              <w:spacing w:line="288" w:lineRule="auto"/>
              <w:ind w:firstLine="396" w:firstLineChars="200"/>
              <w:jc w:val="center"/>
              <w:rPr>
                <w:rFonts w:ascii="宋体" w:hAnsi="宋体" w:eastAsia="宋体" w:cs="宋体"/>
                <w:spacing w:val="-6"/>
                <w:szCs w:val="21"/>
              </w:rPr>
            </w:pPr>
          </w:p>
        </w:tc>
        <w:tc>
          <w:tcPr>
            <w:tcW w:w="1300" w:type="dxa"/>
            <w:vAlign w:val="center"/>
          </w:tcPr>
          <w:p>
            <w:pPr>
              <w:adjustRightInd w:val="0"/>
              <w:snapToGrid w:val="0"/>
              <w:spacing w:line="288" w:lineRule="auto"/>
              <w:ind w:firstLine="396" w:firstLineChars="200"/>
              <w:jc w:val="center"/>
              <w:rPr>
                <w:rFonts w:ascii="宋体" w:hAnsi="宋体" w:eastAsia="宋体" w:cs="宋体"/>
                <w:spacing w:val="-6"/>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89" w:type="dxa"/>
            <w:vAlign w:val="center"/>
          </w:tcPr>
          <w:p>
            <w:pPr>
              <w:adjustRightInd w:val="0"/>
              <w:snapToGrid w:val="0"/>
              <w:spacing w:line="288" w:lineRule="auto"/>
              <w:jc w:val="center"/>
              <w:rPr>
                <w:rFonts w:ascii="宋体" w:hAnsi="宋体" w:eastAsia="宋体" w:cs="宋体"/>
                <w:spacing w:val="-6"/>
                <w:szCs w:val="21"/>
              </w:rPr>
            </w:pPr>
            <w:r>
              <w:rPr>
                <w:rFonts w:hint="eastAsia" w:ascii="宋体" w:hAnsi="宋体" w:eastAsia="宋体" w:cs="宋体"/>
                <w:spacing w:val="-6"/>
                <w:szCs w:val="21"/>
              </w:rPr>
              <w:t>2</w:t>
            </w:r>
          </w:p>
        </w:tc>
        <w:tc>
          <w:tcPr>
            <w:tcW w:w="2163" w:type="dxa"/>
            <w:vAlign w:val="center"/>
          </w:tcPr>
          <w:p>
            <w:pPr>
              <w:adjustRightInd w:val="0"/>
              <w:snapToGrid w:val="0"/>
              <w:spacing w:line="288" w:lineRule="auto"/>
              <w:ind w:firstLine="396" w:firstLineChars="200"/>
              <w:jc w:val="center"/>
              <w:rPr>
                <w:rFonts w:ascii="宋体" w:hAnsi="宋体" w:eastAsia="宋体" w:cs="宋体"/>
                <w:spacing w:val="-6"/>
                <w:szCs w:val="21"/>
              </w:rPr>
            </w:pPr>
          </w:p>
        </w:tc>
        <w:tc>
          <w:tcPr>
            <w:tcW w:w="2532" w:type="dxa"/>
            <w:vAlign w:val="center"/>
          </w:tcPr>
          <w:p>
            <w:pPr>
              <w:adjustRightInd w:val="0"/>
              <w:snapToGrid w:val="0"/>
              <w:spacing w:line="288" w:lineRule="auto"/>
              <w:ind w:firstLine="396" w:firstLineChars="200"/>
              <w:jc w:val="center"/>
              <w:rPr>
                <w:rFonts w:ascii="宋体" w:hAnsi="宋体" w:eastAsia="宋体" w:cs="宋体"/>
                <w:spacing w:val="-6"/>
                <w:szCs w:val="21"/>
              </w:rPr>
            </w:pPr>
          </w:p>
        </w:tc>
        <w:tc>
          <w:tcPr>
            <w:tcW w:w="709" w:type="dxa"/>
            <w:vAlign w:val="center"/>
          </w:tcPr>
          <w:p>
            <w:pPr>
              <w:adjustRightInd w:val="0"/>
              <w:snapToGrid w:val="0"/>
              <w:spacing w:line="288" w:lineRule="auto"/>
              <w:ind w:firstLine="396" w:firstLineChars="200"/>
              <w:jc w:val="center"/>
              <w:rPr>
                <w:rFonts w:ascii="宋体" w:hAnsi="宋体" w:eastAsia="宋体" w:cs="宋体"/>
                <w:spacing w:val="-6"/>
                <w:szCs w:val="21"/>
              </w:rPr>
            </w:pPr>
          </w:p>
        </w:tc>
        <w:tc>
          <w:tcPr>
            <w:tcW w:w="708" w:type="dxa"/>
            <w:vAlign w:val="center"/>
          </w:tcPr>
          <w:p>
            <w:pPr>
              <w:adjustRightInd w:val="0"/>
              <w:snapToGrid w:val="0"/>
              <w:spacing w:line="288" w:lineRule="auto"/>
              <w:ind w:firstLine="396" w:firstLineChars="200"/>
              <w:jc w:val="center"/>
              <w:rPr>
                <w:rFonts w:ascii="宋体" w:hAnsi="宋体" w:eastAsia="宋体" w:cs="宋体"/>
                <w:spacing w:val="-6"/>
                <w:szCs w:val="21"/>
              </w:rPr>
            </w:pPr>
          </w:p>
        </w:tc>
        <w:tc>
          <w:tcPr>
            <w:tcW w:w="1418" w:type="dxa"/>
            <w:vAlign w:val="center"/>
          </w:tcPr>
          <w:p>
            <w:pPr>
              <w:adjustRightInd w:val="0"/>
              <w:snapToGrid w:val="0"/>
              <w:spacing w:line="288" w:lineRule="auto"/>
              <w:ind w:firstLine="396" w:firstLineChars="200"/>
              <w:jc w:val="center"/>
              <w:rPr>
                <w:rFonts w:ascii="宋体" w:hAnsi="宋体" w:eastAsia="宋体" w:cs="宋体"/>
                <w:spacing w:val="-6"/>
                <w:szCs w:val="21"/>
              </w:rPr>
            </w:pPr>
          </w:p>
        </w:tc>
        <w:tc>
          <w:tcPr>
            <w:tcW w:w="1300" w:type="dxa"/>
            <w:vAlign w:val="center"/>
          </w:tcPr>
          <w:p>
            <w:pPr>
              <w:adjustRightInd w:val="0"/>
              <w:snapToGrid w:val="0"/>
              <w:spacing w:line="288" w:lineRule="auto"/>
              <w:ind w:firstLine="396" w:firstLineChars="200"/>
              <w:jc w:val="center"/>
              <w:rPr>
                <w:rFonts w:ascii="宋体" w:hAnsi="宋体" w:eastAsia="宋体" w:cs="宋体"/>
                <w:spacing w:val="-6"/>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9519" w:type="dxa"/>
            <w:gridSpan w:val="7"/>
            <w:vAlign w:val="center"/>
          </w:tcPr>
          <w:p>
            <w:pPr>
              <w:adjustRightInd w:val="0"/>
              <w:snapToGrid w:val="0"/>
              <w:spacing w:line="288" w:lineRule="auto"/>
              <w:jc w:val="left"/>
              <w:rPr>
                <w:rFonts w:ascii="宋体" w:hAnsi="宋体" w:eastAsia="宋体" w:cs="宋体"/>
                <w:spacing w:val="-6"/>
                <w:szCs w:val="21"/>
              </w:rPr>
            </w:pPr>
            <w:r>
              <w:rPr>
                <w:rFonts w:hint="eastAsia" w:ascii="宋体" w:hAnsi="宋体" w:eastAsia="宋体" w:cs="宋体"/>
                <w:spacing w:val="-6"/>
                <w:szCs w:val="21"/>
              </w:rPr>
              <w:t>总计（小写）：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9519" w:type="dxa"/>
            <w:gridSpan w:val="7"/>
            <w:vAlign w:val="center"/>
          </w:tcPr>
          <w:p>
            <w:pPr>
              <w:adjustRightInd w:val="0"/>
              <w:snapToGrid w:val="0"/>
              <w:spacing w:line="288" w:lineRule="auto"/>
              <w:jc w:val="left"/>
              <w:rPr>
                <w:rFonts w:ascii="宋体" w:hAnsi="宋体" w:eastAsia="宋体" w:cs="宋体"/>
                <w:spacing w:val="-6"/>
                <w:szCs w:val="21"/>
                <w:lang w:val="zh-CN"/>
              </w:rPr>
            </w:pPr>
          </w:p>
          <w:p>
            <w:pPr>
              <w:adjustRightInd w:val="0"/>
              <w:snapToGrid w:val="0"/>
              <w:spacing w:line="288" w:lineRule="auto"/>
              <w:jc w:val="left"/>
              <w:rPr>
                <w:rFonts w:ascii="宋体" w:hAnsi="宋体" w:eastAsia="宋体" w:cs="宋体"/>
                <w:spacing w:val="-6"/>
                <w:szCs w:val="21"/>
                <w:lang w:val="zh-CN"/>
              </w:rPr>
            </w:pPr>
            <w:r>
              <w:rPr>
                <w:rFonts w:hint="eastAsia" w:ascii="宋体" w:hAnsi="宋体" w:eastAsia="宋体" w:cs="宋体"/>
                <w:spacing w:val="-6"/>
                <w:szCs w:val="21"/>
                <w:lang w:val="zh-CN"/>
              </w:rPr>
              <w:t>合同总价（大写）：</w:t>
            </w:r>
            <w:r>
              <w:rPr>
                <w:rFonts w:hint="eastAsia" w:ascii="宋体" w:hAnsi="宋体" w:eastAsia="宋体" w:cs="Times New Roman"/>
                <w:spacing w:val="-6"/>
                <w:szCs w:val="21"/>
                <w:u w:val="single"/>
              </w:rPr>
              <w:t xml:space="preserve"> </w:t>
            </w:r>
            <w:r>
              <w:rPr>
                <w:rFonts w:ascii="宋体" w:hAnsi="宋体" w:eastAsia="宋体" w:cs="Times New Roman"/>
                <w:spacing w:val="-6"/>
                <w:szCs w:val="21"/>
                <w:u w:val="single"/>
              </w:rPr>
              <w:t xml:space="preserve">                        </w:t>
            </w:r>
            <w:r>
              <w:rPr>
                <w:rFonts w:hint="eastAsia" w:ascii="宋体" w:hAnsi="宋体" w:eastAsia="宋体" w:cs="Times New Roman"/>
                <w:spacing w:val="-6"/>
                <w:szCs w:val="21"/>
              </w:rPr>
              <w:t>。</w:t>
            </w:r>
          </w:p>
          <w:p>
            <w:pPr>
              <w:adjustRightInd w:val="0"/>
              <w:snapToGrid w:val="0"/>
              <w:spacing w:line="288" w:lineRule="auto"/>
              <w:jc w:val="left"/>
              <w:rPr>
                <w:rFonts w:ascii="宋体" w:hAnsi="宋体" w:eastAsia="宋体" w:cs="宋体"/>
                <w:spacing w:val="-6"/>
                <w:szCs w:val="21"/>
              </w:rPr>
            </w:pPr>
            <w:r>
              <w:rPr>
                <w:rFonts w:hint="eastAsia" w:ascii="宋体" w:hAnsi="宋体" w:eastAsia="宋体" w:cs="宋体"/>
                <w:spacing w:val="-6"/>
                <w:szCs w:val="21"/>
              </w:rPr>
              <w:t>注：以上合同总价包含货物（包括主机、标准附件、备品备件、专用工具）价、货物运杂费、保险费、利润、税金等。</w:t>
            </w:r>
          </w:p>
        </w:tc>
      </w:tr>
    </w:tbl>
    <w:p>
      <w:pPr>
        <w:adjustRightInd w:val="0"/>
        <w:snapToGrid w:val="0"/>
        <w:spacing w:line="288" w:lineRule="auto"/>
        <w:ind w:firstLine="396" w:firstLineChars="200"/>
        <w:rPr>
          <w:rFonts w:ascii="宋体" w:hAnsi="宋体" w:eastAsia="宋体" w:cs="宋体"/>
          <w:spacing w:val="-6"/>
          <w:szCs w:val="21"/>
        </w:rPr>
      </w:pP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第二条：履约保证金和付款方式</w:t>
      </w:r>
    </w:p>
    <w:p>
      <w:pPr>
        <w:adjustRightInd w:val="0"/>
        <w:snapToGrid w:val="0"/>
        <w:spacing w:line="288" w:lineRule="auto"/>
        <w:ind w:firstLine="396" w:firstLineChars="200"/>
        <w:rPr>
          <w:rFonts w:ascii="宋体" w:hAnsi="宋体" w:eastAsia="宋体" w:cs="宋体"/>
          <w:spacing w:val="-6"/>
          <w:kern w:val="0"/>
          <w:szCs w:val="21"/>
        </w:rPr>
      </w:pPr>
    </w:p>
    <w:p>
      <w:pPr>
        <w:adjustRightInd w:val="0"/>
        <w:snapToGrid w:val="0"/>
        <w:spacing w:line="288" w:lineRule="auto"/>
        <w:ind w:firstLine="396" w:firstLineChars="200"/>
        <w:rPr>
          <w:rFonts w:ascii="宋体" w:hAnsi="宋体" w:eastAsia="宋体" w:cs="宋体"/>
          <w:spacing w:val="-6"/>
          <w:kern w:val="0"/>
          <w:szCs w:val="21"/>
        </w:rPr>
      </w:pP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第三条：交付时间、地点、货物质保期</w:t>
      </w:r>
    </w:p>
    <w:p>
      <w:pPr>
        <w:adjustRightInd w:val="0"/>
        <w:snapToGrid w:val="0"/>
        <w:spacing w:line="288" w:lineRule="auto"/>
        <w:ind w:right="-514" w:rightChars="-245" w:firstLine="396" w:firstLineChars="200"/>
        <w:rPr>
          <w:rFonts w:ascii="宋体" w:hAnsi="宋体" w:eastAsia="宋体" w:cs="Times New Roman"/>
          <w:spacing w:val="-6"/>
          <w:szCs w:val="21"/>
        </w:rPr>
      </w:pPr>
      <w:r>
        <w:rPr>
          <w:rFonts w:hint="eastAsia" w:ascii="宋体" w:hAnsi="宋体" w:eastAsia="宋体" w:cs="Times New Roman"/>
          <w:spacing w:val="-6"/>
          <w:szCs w:val="21"/>
        </w:rPr>
        <w:t>交付时间：</w:t>
      </w:r>
      <w:r>
        <w:rPr>
          <w:rFonts w:hint="eastAsia" w:ascii="宋体" w:hAnsi="宋体" w:eastAsia="宋体" w:cs="Times New Roman"/>
          <w:spacing w:val="-6"/>
          <w:szCs w:val="21"/>
          <w:u w:val="single"/>
        </w:rPr>
        <w:t xml:space="preserve">    </w:t>
      </w:r>
      <w:r>
        <w:rPr>
          <w:rFonts w:hint="eastAsia" w:ascii="宋体" w:hAnsi="宋体" w:eastAsia="宋体" w:cs="Times New Roman"/>
          <w:spacing w:val="-6"/>
          <w:szCs w:val="21"/>
        </w:rPr>
        <w:t>年</w:t>
      </w:r>
      <w:r>
        <w:rPr>
          <w:rFonts w:hint="eastAsia" w:ascii="宋体" w:hAnsi="宋体" w:eastAsia="宋体" w:cs="Times New Roman"/>
          <w:spacing w:val="-6"/>
          <w:szCs w:val="21"/>
          <w:u w:val="single"/>
        </w:rPr>
        <w:t xml:space="preserve">    </w:t>
      </w:r>
      <w:r>
        <w:rPr>
          <w:rFonts w:hint="eastAsia" w:ascii="宋体" w:hAnsi="宋体" w:eastAsia="宋体" w:cs="Times New Roman"/>
          <w:spacing w:val="-6"/>
          <w:szCs w:val="21"/>
        </w:rPr>
        <w:t>月</w:t>
      </w:r>
      <w:r>
        <w:rPr>
          <w:rFonts w:hint="eastAsia" w:ascii="宋体" w:hAnsi="宋体" w:eastAsia="宋体" w:cs="Times New Roman"/>
          <w:spacing w:val="-6"/>
          <w:szCs w:val="21"/>
          <w:u w:val="single"/>
        </w:rPr>
        <w:t xml:space="preserve">    </w:t>
      </w:r>
      <w:r>
        <w:rPr>
          <w:rFonts w:hint="eastAsia" w:ascii="宋体" w:hAnsi="宋体" w:eastAsia="宋体" w:cs="Times New Roman"/>
          <w:spacing w:val="-6"/>
          <w:szCs w:val="21"/>
        </w:rPr>
        <w:t>日前；</w:t>
      </w:r>
    </w:p>
    <w:p>
      <w:pPr>
        <w:adjustRightInd w:val="0"/>
        <w:snapToGrid w:val="0"/>
        <w:spacing w:line="288" w:lineRule="auto"/>
        <w:ind w:right="-514" w:rightChars="-245" w:firstLine="396" w:firstLineChars="200"/>
        <w:rPr>
          <w:rFonts w:ascii="宋体" w:hAnsi="宋体" w:eastAsia="宋体" w:cs="Times New Roman"/>
          <w:spacing w:val="-6"/>
          <w:szCs w:val="21"/>
        </w:rPr>
      </w:pPr>
      <w:r>
        <w:rPr>
          <w:rFonts w:hint="eastAsia" w:ascii="宋体" w:hAnsi="宋体" w:eastAsia="宋体" w:cs="Times New Roman"/>
          <w:spacing w:val="-6"/>
          <w:szCs w:val="21"/>
        </w:rPr>
        <w:t>交付地点：</w:t>
      </w:r>
      <w:r>
        <w:rPr>
          <w:rFonts w:hint="eastAsia" w:ascii="宋体" w:hAnsi="宋体" w:eastAsia="宋体" w:cs="Times New Roman"/>
          <w:spacing w:val="-6"/>
          <w:szCs w:val="21"/>
          <w:u w:val="single"/>
        </w:rPr>
        <w:t xml:space="preserve"> </w:t>
      </w:r>
      <w:r>
        <w:rPr>
          <w:rFonts w:ascii="宋体" w:hAnsi="宋体" w:eastAsia="宋体" w:cs="Times New Roman"/>
          <w:spacing w:val="-6"/>
          <w:szCs w:val="21"/>
          <w:u w:val="single"/>
        </w:rPr>
        <w:t xml:space="preserve">                        </w:t>
      </w:r>
      <w:r>
        <w:rPr>
          <w:rFonts w:hint="eastAsia" w:ascii="宋体" w:hAnsi="宋体" w:eastAsia="宋体" w:cs="Times New Roman"/>
          <w:spacing w:val="-6"/>
          <w:szCs w:val="21"/>
        </w:rPr>
        <w:t>；</w:t>
      </w:r>
    </w:p>
    <w:p>
      <w:pPr>
        <w:adjustRightInd w:val="0"/>
        <w:snapToGrid w:val="0"/>
        <w:spacing w:line="288" w:lineRule="auto"/>
        <w:ind w:right="-514" w:rightChars="-245" w:firstLine="396" w:firstLineChars="200"/>
        <w:rPr>
          <w:rFonts w:ascii="宋体" w:hAnsi="宋体" w:eastAsia="宋体" w:cs="Times New Roman"/>
          <w:spacing w:val="-6"/>
          <w:szCs w:val="21"/>
          <w:u w:val="single"/>
        </w:rPr>
      </w:pPr>
      <w:r>
        <w:rPr>
          <w:rFonts w:hint="eastAsia" w:ascii="宋体" w:hAnsi="宋体" w:eastAsia="宋体" w:cs="Times New Roman"/>
          <w:spacing w:val="-6"/>
          <w:szCs w:val="21"/>
        </w:rPr>
        <w:t>货物质保期：</w:t>
      </w:r>
      <w:r>
        <w:rPr>
          <w:rFonts w:hint="eastAsia" w:ascii="宋体" w:hAnsi="宋体" w:eastAsia="宋体" w:cs="Times New Roman"/>
          <w:spacing w:val="-6"/>
          <w:szCs w:val="21"/>
          <w:u w:val="single"/>
        </w:rPr>
        <w:t xml:space="preserve"> </w:t>
      </w:r>
      <w:r>
        <w:rPr>
          <w:rFonts w:ascii="宋体" w:hAnsi="宋体" w:eastAsia="宋体" w:cs="Times New Roman"/>
          <w:spacing w:val="-6"/>
          <w:szCs w:val="21"/>
          <w:u w:val="single"/>
        </w:rPr>
        <w:t xml:space="preserve">     </w:t>
      </w:r>
      <w:r>
        <w:rPr>
          <w:rFonts w:hint="eastAsia" w:ascii="宋体" w:hAnsi="宋体" w:eastAsia="宋体" w:cs="Times New Roman"/>
          <w:spacing w:val="-6"/>
          <w:szCs w:val="21"/>
          <w:u w:val="single"/>
        </w:rPr>
        <w:t>年</w:t>
      </w:r>
      <w:r>
        <w:rPr>
          <w:rFonts w:hint="eastAsia" w:ascii="宋体" w:hAnsi="宋体" w:eastAsia="宋体" w:cs="Times New Roman"/>
          <w:spacing w:val="-6"/>
          <w:szCs w:val="21"/>
        </w:rPr>
        <w:t>，项目验收合格后开始计算；</w:t>
      </w: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第四条：服务标准、期限、效率</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1.在质保期内，乙方应对货物出现的质量及安全问题负责处理解决并承担一切费用。</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2.质保期内出现无法排除的故障，乙方需无条件更换同型号产品。</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3.质保期满后，乙方继续为甲方服务，仅收取零配件成本费。</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4.因人为因素出现的故障不在免费保修范围内。</w:t>
      </w:r>
    </w:p>
    <w:p>
      <w:pPr>
        <w:adjustRightInd w:val="0"/>
        <w:snapToGrid w:val="0"/>
        <w:spacing w:line="288" w:lineRule="auto"/>
        <w:ind w:firstLine="396" w:firstLineChars="200"/>
        <w:rPr>
          <w:rFonts w:ascii="宋体" w:hAnsi="宋体" w:eastAsia="宋体" w:cs="Times New Roman"/>
          <w:spacing w:val="-6"/>
          <w:szCs w:val="21"/>
          <w:u w:val="single"/>
        </w:rPr>
      </w:pPr>
      <w:r>
        <w:rPr>
          <w:rFonts w:hint="eastAsia" w:ascii="宋体" w:hAnsi="宋体" w:eastAsia="宋体" w:cs="Times New Roman"/>
          <w:spacing w:val="-6"/>
          <w:szCs w:val="21"/>
        </w:rPr>
        <w:t>5.</w:t>
      </w:r>
      <w:r>
        <w:rPr>
          <w:rFonts w:hint="eastAsia" w:ascii="宋体" w:hAnsi="宋体" w:eastAsia="宋体" w:cs="Times New Roman"/>
          <w:spacing w:val="-6"/>
          <w:szCs w:val="21"/>
          <w:u w:val="single"/>
        </w:rPr>
        <w:t>如在使用过程中发生质量问题，乙方维修响应时间：    小时以内；</w:t>
      </w:r>
    </w:p>
    <w:p>
      <w:pPr>
        <w:adjustRightInd w:val="0"/>
        <w:snapToGrid w:val="0"/>
        <w:spacing w:line="288" w:lineRule="auto"/>
        <w:ind w:firstLine="396" w:firstLineChars="200"/>
        <w:rPr>
          <w:rFonts w:ascii="宋体" w:hAnsi="宋体" w:eastAsia="宋体" w:cs="Times New Roman"/>
          <w:spacing w:val="-6"/>
          <w:szCs w:val="21"/>
          <w:u w:val="single"/>
        </w:rPr>
      </w:pPr>
      <w:r>
        <w:rPr>
          <w:rFonts w:hint="eastAsia" w:ascii="宋体" w:hAnsi="宋体" w:eastAsia="宋体" w:cs="Times New Roman"/>
          <w:spacing w:val="-6"/>
          <w:szCs w:val="21"/>
          <w:u w:val="single"/>
        </w:rPr>
        <w:t>电话技术支持时间：    小时以内；</w:t>
      </w:r>
    </w:p>
    <w:p>
      <w:pPr>
        <w:adjustRightInd w:val="0"/>
        <w:snapToGrid w:val="0"/>
        <w:spacing w:line="288" w:lineRule="auto"/>
        <w:ind w:firstLine="396" w:firstLineChars="200"/>
        <w:rPr>
          <w:rFonts w:ascii="宋体" w:hAnsi="宋体" w:eastAsia="宋体" w:cs="Times New Roman"/>
          <w:spacing w:val="-6"/>
          <w:szCs w:val="21"/>
          <w:u w:val="single"/>
        </w:rPr>
      </w:pPr>
      <w:r>
        <w:rPr>
          <w:rFonts w:hint="eastAsia" w:ascii="宋体" w:hAnsi="宋体" w:eastAsia="宋体" w:cs="Times New Roman"/>
          <w:spacing w:val="-6"/>
          <w:szCs w:val="21"/>
          <w:u w:val="single"/>
        </w:rPr>
        <w:t>若需上门维修，则在：    小时内到达现场并进行维修；</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6.培训：</w:t>
      </w:r>
      <w:r>
        <w:rPr>
          <w:rFonts w:hint="eastAsia" w:ascii="宋体" w:hAnsi="宋体" w:eastAsia="宋体" w:cs="Times New Roman"/>
          <w:spacing w:val="-6"/>
          <w:szCs w:val="21"/>
          <w:u w:val="single"/>
        </w:rPr>
        <w:t xml:space="preserve"> </w:t>
      </w:r>
      <w:r>
        <w:rPr>
          <w:rFonts w:ascii="宋体" w:hAnsi="宋体" w:eastAsia="宋体" w:cs="Times New Roman"/>
          <w:spacing w:val="-6"/>
          <w:szCs w:val="21"/>
          <w:u w:val="single"/>
        </w:rPr>
        <w:t xml:space="preserve">                        </w:t>
      </w:r>
      <w:r>
        <w:rPr>
          <w:rFonts w:hint="eastAsia" w:ascii="宋体" w:hAnsi="宋体" w:eastAsia="宋体" w:cs="Times New Roman"/>
          <w:spacing w:val="-6"/>
          <w:szCs w:val="21"/>
        </w:rPr>
        <w:t>；</w:t>
      </w: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第五条：其他技术、服务要求</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1.乙方应按招标文件规定的货物性能、技术要求、质量标准向甲方提供未经使用的全新产品，符合国家法律规定和技术规格、质量标准的出厂原装合格产品。</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2.技术支持：</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乙方应及时免费提供合同货物软件的升级，免费提供合同货物新功能和应用的资料。</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3.安装调试</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3.1安装地点：甲方指定地点；</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3.2安装完成时间：接到甲方通知后在规定时间内完成安装和调试，如在规定的时间内由于乙方的原因不能完成安装和调试，乙方应承担由此给甲方造成的损失；</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3.3如乙方委托国内代理（或其他机构）负责安装或配合安装应在签约时指明，但乙方仍要对合同货物及其安装质量负全部责任；</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3.4安装标准：符合我国国家有关技术规范要求和技术标准，所有的软件和硬件必须保证同时安装到位；</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3.5乙方免费提供合同货物的安装服务；</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3.6乙方在投标文件中应提供安装调试计划、对安装场地和环境的要求。</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4.乙方应提供质保期满后主要零部件报价单、质保期满后维护费、软件升级及其相关服务内容；</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5.供货时提供有关的全套技术文件。</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6</w:t>
      </w:r>
      <w:r>
        <w:rPr>
          <w:rFonts w:ascii="宋体" w:hAnsi="宋体" w:eastAsia="宋体" w:cs="Times New Roman"/>
          <w:spacing w:val="-6"/>
          <w:szCs w:val="21"/>
        </w:rPr>
        <w:t>.</w:t>
      </w:r>
      <w:r>
        <w:rPr>
          <w:rFonts w:hint="eastAsia" w:ascii="宋体" w:hAnsi="宋体" w:eastAsia="宋体" w:cs="Times New Roman"/>
          <w:spacing w:val="-6"/>
          <w:szCs w:val="21"/>
        </w:rPr>
        <w:t>乙方应保证所提供的货物或其中任何一部分均不会侵犯第三方的知识产权。</w:t>
      </w: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第六条：验收标准</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1.验收由甲方负责实施；</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2.验收依据：</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2.1合同、招标文件、投标文件；</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2.2乙方提供的技术规格、经甲方认可的合同货物的有效检验文件；</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2.3乙方投标文件中提供的经甲方认可的合同货物的验收标准（符合中国有关的国家、地方、行业标准）和检测办法及相应检测手段。</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3.乙方应派员在所供货物到甲方处时进行到货验收，有需要时能联系产品制造商到场共同验收，若发现任何损坏及质量问题，乙方负责妥善处理直至甲方满意，由此产生的费用由乙方承担。</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4.验收合格的条件：</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4.1所供货物符合产品标准和合同的要求；</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4.2在进行测试和验收过程中发现的问题已被解决并得到甲方的认可；</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4.3合同中规定的所有货物和材料均已交付；</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4.4所供货物已通过使用单位组织的验收；</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4.5所有相关的技术文件及资料均已提交并得到接受。</w:t>
      </w:r>
    </w:p>
    <w:p>
      <w:pPr>
        <w:adjustRightInd w:val="0"/>
        <w:snapToGrid w:val="0"/>
        <w:spacing w:line="288" w:lineRule="auto"/>
        <w:ind w:right="-514" w:rightChars="-245"/>
        <w:rPr>
          <w:rFonts w:ascii="宋体" w:hAnsi="宋体" w:eastAsia="宋体" w:cs="Times New Roman"/>
          <w:b/>
          <w:spacing w:val="-6"/>
          <w:szCs w:val="21"/>
        </w:rPr>
      </w:pPr>
      <w:r>
        <w:rPr>
          <w:rFonts w:hint="eastAsia" w:ascii="宋体" w:hAnsi="宋体" w:eastAsia="宋体" w:cs="Times New Roman"/>
          <w:b/>
          <w:spacing w:val="-6"/>
          <w:szCs w:val="21"/>
        </w:rPr>
        <w:t>第七条：违约责任</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1.乙方逾期履行合同的，自逾期之日起，向甲方每日偿付合同总价0</w:t>
      </w:r>
      <w:r>
        <w:rPr>
          <w:rFonts w:ascii="宋体" w:hAnsi="宋体" w:eastAsia="宋体" w:cs="Times New Roman"/>
          <w:spacing w:val="-6"/>
          <w:szCs w:val="21"/>
        </w:rPr>
        <w:t>.5</w:t>
      </w:r>
      <w:r>
        <w:rPr>
          <w:rFonts w:hint="eastAsia" w:ascii="宋体" w:hAnsi="宋体" w:eastAsia="宋体" w:cs="Times New Roman"/>
          <w:spacing w:val="-6"/>
          <w:szCs w:val="21"/>
        </w:rPr>
        <w:t>%的滞纳金。</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2.甲方逾期支付货款的，自逾期之日起，向乙方每日偿付未付价款0</w:t>
      </w:r>
      <w:r>
        <w:rPr>
          <w:rFonts w:ascii="宋体" w:hAnsi="宋体" w:eastAsia="宋体" w:cs="Times New Roman"/>
          <w:spacing w:val="-6"/>
          <w:szCs w:val="21"/>
        </w:rPr>
        <w:t>.5</w:t>
      </w:r>
      <w:r>
        <w:rPr>
          <w:rFonts w:hint="eastAsia" w:ascii="宋体" w:hAnsi="宋体" w:eastAsia="宋体" w:cs="Times New Roman"/>
          <w:spacing w:val="-6"/>
          <w:szCs w:val="21"/>
        </w:rPr>
        <w:t>%的滞纳金。</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3.如验收不能达到质量功能（性能）标准，合同商品由乙方在验收后一周内运离安装地点，所需费用由乙方承担。如乙方在一个月内不处理（搬走）合同商品，视为乙方放弃该商品，甲方有权自行处置（包括废物处理）。同时，乙方要支付给甲方总货款的20％作为违约赔偿金。</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4.乙方所交的货物品种、型号、规格、技术参数、质量不符合合同规定及招标文件规定标准的，甲方有权拒收该货物，乙方愿意更换货物但逾期交货的，按乙方逾期交货处理。乙方拒绝更换货物的，甲方可单方面解除合同。</w:t>
      </w:r>
    </w:p>
    <w:p>
      <w:pPr>
        <w:adjustRightInd w:val="0"/>
        <w:snapToGrid w:val="0"/>
        <w:spacing w:line="288" w:lineRule="auto"/>
        <w:rPr>
          <w:rFonts w:ascii="宋体" w:hAnsi="宋体" w:eastAsia="宋体" w:cs="Times New Roman"/>
          <w:b/>
          <w:spacing w:val="-6"/>
          <w:szCs w:val="21"/>
        </w:rPr>
      </w:pPr>
      <w:r>
        <w:rPr>
          <w:rFonts w:ascii="宋体" w:hAnsi="宋体" w:eastAsia="宋体" w:cs="Times New Roman"/>
          <w:b/>
          <w:spacing w:val="-6"/>
          <w:szCs w:val="21"/>
        </w:rPr>
        <w:t>第</w:t>
      </w:r>
      <w:r>
        <w:rPr>
          <w:rFonts w:hint="eastAsia" w:ascii="宋体" w:hAnsi="宋体" w:eastAsia="宋体" w:cs="Times New Roman"/>
          <w:b/>
          <w:spacing w:val="-6"/>
          <w:szCs w:val="21"/>
        </w:rPr>
        <w:t>八</w:t>
      </w:r>
      <w:r>
        <w:rPr>
          <w:rFonts w:ascii="宋体" w:hAnsi="宋体" w:eastAsia="宋体" w:cs="Times New Roman"/>
          <w:b/>
          <w:spacing w:val="-6"/>
          <w:szCs w:val="21"/>
        </w:rPr>
        <w:t>条：不可抗力事件处理</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1.在合同有效期内，任何一方因不可抗力事件导致不能履行合同，则合同履行期可延长，其延长期与不可抗力影响期相同。</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2.不可抗力事件发生后，应立即通知对方，并寄送有关权威机构出具的证明。</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3.不可抗力事件延续120天以上，双方应通过友好协商，确定是否继续履行合同。</w:t>
      </w:r>
    </w:p>
    <w:p>
      <w:pPr>
        <w:adjustRightInd w:val="0"/>
        <w:snapToGrid w:val="0"/>
        <w:spacing w:line="288" w:lineRule="auto"/>
        <w:ind w:right="-514" w:rightChars="-245"/>
        <w:rPr>
          <w:rFonts w:ascii="宋体" w:hAnsi="宋体" w:eastAsia="宋体" w:cs="Times New Roman"/>
          <w:b/>
          <w:spacing w:val="-6"/>
          <w:szCs w:val="21"/>
        </w:rPr>
      </w:pPr>
      <w:r>
        <w:rPr>
          <w:rFonts w:hint="eastAsia" w:ascii="宋体" w:hAnsi="宋体" w:eastAsia="宋体" w:cs="Times New Roman"/>
          <w:b/>
          <w:spacing w:val="-6"/>
          <w:szCs w:val="21"/>
        </w:rPr>
        <w:t>第九条：争议解决</w:t>
      </w:r>
    </w:p>
    <w:p>
      <w:pPr>
        <w:adjustRightInd w:val="0"/>
        <w:snapToGrid w:val="0"/>
        <w:spacing w:line="288" w:lineRule="auto"/>
        <w:ind w:right="23" w:rightChars="11" w:firstLine="396" w:firstLineChars="200"/>
        <w:rPr>
          <w:rFonts w:ascii="宋体" w:hAnsi="宋体" w:eastAsia="宋体" w:cs="Times New Roman"/>
          <w:spacing w:val="-6"/>
          <w:szCs w:val="21"/>
        </w:rPr>
      </w:pPr>
      <w:r>
        <w:rPr>
          <w:rFonts w:hint="eastAsia" w:ascii="宋体" w:hAnsi="宋体" w:eastAsia="宋体" w:cs="Times New Roman"/>
          <w:spacing w:val="-6"/>
          <w:szCs w:val="21"/>
        </w:rPr>
        <w:t>因本合同发生纠纷，甲乙双方应当及时协商，协商不成时，任何一方可向甲方所在地人民法院起诉。</w:t>
      </w:r>
    </w:p>
    <w:p>
      <w:pPr>
        <w:adjustRightInd w:val="0"/>
        <w:snapToGrid w:val="0"/>
        <w:spacing w:line="288" w:lineRule="auto"/>
        <w:ind w:right="-514" w:rightChars="-245"/>
        <w:rPr>
          <w:rFonts w:ascii="宋体" w:hAnsi="宋体" w:eastAsia="宋体" w:cs="Times New Roman"/>
          <w:b/>
          <w:spacing w:val="-6"/>
          <w:szCs w:val="21"/>
        </w:rPr>
      </w:pPr>
      <w:r>
        <w:rPr>
          <w:rFonts w:hint="eastAsia" w:ascii="宋体" w:hAnsi="宋体" w:eastAsia="宋体" w:cs="Times New Roman"/>
          <w:b/>
          <w:spacing w:val="-6"/>
          <w:szCs w:val="21"/>
        </w:rPr>
        <w:t>第十条：合同生效</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w:t>
      </w:r>
      <w:r>
        <w:rPr>
          <w:rFonts w:ascii="宋体" w:hAnsi="宋体" w:eastAsia="宋体" w:cs="Times New Roman"/>
          <w:spacing w:val="-6"/>
          <w:szCs w:val="21"/>
        </w:rPr>
        <w:t>.</w:t>
      </w:r>
      <w:r>
        <w:rPr>
          <w:rFonts w:hint="eastAsia" w:ascii="宋体" w:hAnsi="宋体" w:eastAsia="宋体" w:cs="Times New Roman"/>
          <w:spacing w:val="-6"/>
          <w:szCs w:val="21"/>
        </w:rPr>
        <w:t>合同经甲、乙双方法定代表人或授权代表签名并加盖单位公章后生效。</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w:t>
      </w:r>
      <w:r>
        <w:rPr>
          <w:rFonts w:ascii="宋体" w:hAnsi="宋体" w:eastAsia="宋体" w:cs="Times New Roman"/>
          <w:spacing w:val="-6"/>
          <w:szCs w:val="21"/>
        </w:rPr>
        <w:t>.</w:t>
      </w:r>
      <w:r>
        <w:rPr>
          <w:rFonts w:hint="eastAsia" w:ascii="宋体" w:hAnsi="宋体" w:eastAsia="宋体" w:cs="Times New Roman"/>
          <w:spacing w:val="-6"/>
          <w:szCs w:val="21"/>
        </w:rPr>
        <w:t>本合同附件、招标文件、投标文件、询标澄清、中标通知书均为合同的组成部分，与本合同具有同等法律效力。</w:t>
      </w: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第十一条：合同份数</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本合同一式五份，甲方执三份，乙方执一份，采购代理机构执一份。</w:t>
      </w:r>
    </w:p>
    <w:tbl>
      <w:tblPr>
        <w:tblStyle w:val="27"/>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8"/>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vAlign w:val="center"/>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甲方（需方）：（公章）</w:t>
            </w:r>
          </w:p>
        </w:tc>
        <w:tc>
          <w:tcPr>
            <w:tcW w:w="4678" w:type="dxa"/>
            <w:vAlign w:val="center"/>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乙方（供方）：（公章）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vAlign w:val="center"/>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甲方代表：</w:t>
            </w:r>
          </w:p>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（签名）</w:t>
            </w:r>
          </w:p>
        </w:tc>
        <w:tc>
          <w:tcPr>
            <w:tcW w:w="4678" w:type="dxa"/>
            <w:vAlign w:val="center"/>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乙方代表：</w:t>
            </w:r>
          </w:p>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vAlign w:val="center"/>
          </w:tcPr>
          <w:p>
            <w:pPr>
              <w:adjustRightInd w:val="0"/>
              <w:snapToGrid w:val="0"/>
              <w:spacing w:line="288" w:lineRule="auto"/>
              <w:rPr>
                <w:rFonts w:ascii="宋体" w:hAnsi="宋体" w:eastAsia="宋体" w:cs="Times New Roman"/>
                <w:szCs w:val="21"/>
              </w:rPr>
            </w:pPr>
            <w:r>
              <w:rPr>
                <w:rFonts w:hint="eastAsia" w:ascii="宋体" w:hAnsi="宋体" w:eastAsia="宋体" w:cs="Times New Roman"/>
                <w:szCs w:val="21"/>
              </w:rPr>
              <w:t>地址：</w:t>
            </w:r>
          </w:p>
        </w:tc>
        <w:tc>
          <w:tcPr>
            <w:tcW w:w="4678" w:type="dxa"/>
            <w:vAlign w:val="center"/>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vAlign w:val="center"/>
          </w:tcPr>
          <w:p>
            <w:pPr>
              <w:adjustRightInd w:val="0"/>
              <w:snapToGrid w:val="0"/>
              <w:spacing w:line="288" w:lineRule="auto"/>
              <w:rPr>
                <w:rFonts w:ascii="宋体" w:hAnsi="宋体" w:eastAsia="宋体" w:cs="Times New Roman"/>
                <w:szCs w:val="21"/>
              </w:rPr>
            </w:pPr>
            <w:r>
              <w:rPr>
                <w:rFonts w:hint="eastAsia" w:ascii="宋体" w:hAnsi="宋体" w:eastAsia="宋体" w:cs="Times New Roman"/>
                <w:szCs w:val="21"/>
              </w:rPr>
              <w:t>电话：</w:t>
            </w:r>
          </w:p>
        </w:tc>
        <w:tc>
          <w:tcPr>
            <w:tcW w:w="4678" w:type="dxa"/>
            <w:vAlign w:val="center"/>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vAlign w:val="center"/>
          </w:tcPr>
          <w:p>
            <w:pPr>
              <w:adjustRightInd w:val="0"/>
              <w:snapToGrid w:val="0"/>
              <w:spacing w:line="288" w:lineRule="auto"/>
              <w:rPr>
                <w:rFonts w:ascii="宋体" w:hAnsi="宋体" w:eastAsia="宋体" w:cs="Times New Roman"/>
                <w:szCs w:val="21"/>
              </w:rPr>
            </w:pPr>
            <w:r>
              <w:rPr>
                <w:rFonts w:hint="eastAsia" w:ascii="宋体" w:hAnsi="宋体" w:eastAsia="宋体" w:cs="Times New Roman"/>
                <w:szCs w:val="21"/>
              </w:rPr>
              <w:t>开户银行：</w:t>
            </w:r>
          </w:p>
        </w:tc>
        <w:tc>
          <w:tcPr>
            <w:tcW w:w="4678" w:type="dxa"/>
            <w:vAlign w:val="center"/>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vAlign w:val="center"/>
          </w:tcPr>
          <w:p>
            <w:pPr>
              <w:adjustRightInd w:val="0"/>
              <w:snapToGrid w:val="0"/>
              <w:spacing w:line="288" w:lineRule="auto"/>
              <w:rPr>
                <w:rFonts w:ascii="宋体" w:hAnsi="宋体" w:eastAsia="宋体" w:cs="Times New Roman"/>
                <w:szCs w:val="21"/>
              </w:rPr>
            </w:pPr>
            <w:r>
              <w:rPr>
                <w:rFonts w:hint="eastAsia" w:ascii="宋体" w:hAnsi="宋体" w:eastAsia="宋体" w:cs="Times New Roman"/>
                <w:szCs w:val="21"/>
              </w:rPr>
              <w:t>帐号：</w:t>
            </w:r>
          </w:p>
        </w:tc>
        <w:tc>
          <w:tcPr>
            <w:tcW w:w="4678" w:type="dxa"/>
            <w:vAlign w:val="center"/>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帐号：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8" w:type="dxa"/>
            <w:vAlign w:val="center"/>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签名日期：      年    月    日</w:t>
            </w:r>
          </w:p>
        </w:tc>
        <w:tc>
          <w:tcPr>
            <w:tcW w:w="4678" w:type="dxa"/>
            <w:vAlign w:val="center"/>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签名日期：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vAlign w:val="center"/>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合同鉴证方：浙江求是招标代理有限公司（公章）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vAlign w:val="center"/>
          </w:tcPr>
          <w:p>
            <w:pPr>
              <w:tabs>
                <w:tab w:val="left" w:pos="2880"/>
              </w:tabs>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采购代理机构代表：</w:t>
            </w:r>
          </w:p>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vAlign w:val="center"/>
          </w:tcPr>
          <w:p>
            <w:pPr>
              <w:tabs>
                <w:tab w:val="left" w:pos="2880"/>
              </w:tabs>
              <w:adjustRightInd w:val="0"/>
              <w:snapToGrid w:val="0"/>
              <w:spacing w:line="288" w:lineRule="auto"/>
              <w:rPr>
                <w:rFonts w:ascii="宋体" w:hAnsi="宋体" w:eastAsia="宋体" w:cs="Times New Roman"/>
                <w:spacing w:val="-6"/>
                <w:szCs w:val="21"/>
              </w:rPr>
            </w:pPr>
            <w:r>
              <w:rPr>
                <w:rFonts w:hint="eastAsia" w:ascii="宋体" w:hAnsi="宋体" w:eastAsia="宋体" w:cs="宋体"/>
                <w:szCs w:val="21"/>
              </w:rPr>
              <w:t>地址：杭州市玉古路173号中田大厦21楼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vAlign w:val="center"/>
          </w:tcPr>
          <w:p>
            <w:pPr>
              <w:tabs>
                <w:tab w:val="left" w:pos="2880"/>
              </w:tabs>
              <w:adjustRightInd w:val="0"/>
              <w:snapToGrid w:val="0"/>
              <w:spacing w:line="288" w:lineRule="auto"/>
              <w:rPr>
                <w:rFonts w:ascii="宋体" w:hAnsi="宋体" w:eastAsia="宋体" w:cs="Times New Roman"/>
                <w:spacing w:val="-6"/>
                <w:szCs w:val="21"/>
              </w:rPr>
            </w:pPr>
            <w:r>
              <w:rPr>
                <w:rFonts w:hint="eastAsia" w:ascii="宋体" w:hAnsi="宋体" w:eastAsia="宋体" w:cs="宋体"/>
                <w:szCs w:val="21"/>
              </w:rPr>
              <w:t>电话：0571-87666117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78" w:type="dxa"/>
          <w:trHeight w:val="397" w:hRule="atLeast"/>
        </w:trPr>
        <w:tc>
          <w:tcPr>
            <w:tcW w:w="4678" w:type="dxa"/>
            <w:vAlign w:val="center"/>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鉴证日期：      年    月    日</w:t>
            </w:r>
          </w:p>
        </w:tc>
      </w:tr>
    </w:tbl>
    <w:p>
      <w:pPr>
        <w:autoSpaceDE w:val="0"/>
        <w:autoSpaceDN w:val="0"/>
        <w:adjustRightInd w:val="0"/>
        <w:snapToGrid w:val="0"/>
        <w:spacing w:line="288" w:lineRule="auto"/>
        <w:jc w:val="left"/>
        <w:rPr>
          <w:rFonts w:ascii="宋体" w:hAnsi="宋体" w:eastAsia="宋体" w:cs="Arial"/>
          <w:kern w:val="0"/>
          <w:sz w:val="24"/>
          <w:szCs w:val="24"/>
        </w:rPr>
      </w:pPr>
    </w:p>
    <w:p>
      <w:pPr>
        <w:adjustRightInd w:val="0"/>
        <w:snapToGrid w:val="0"/>
        <w:spacing w:line="288" w:lineRule="auto"/>
        <w:ind w:firstLine="420" w:firstLineChars="200"/>
        <w:jc w:val="center"/>
        <w:rPr>
          <w:rFonts w:ascii="宋体" w:hAnsi="宋体" w:eastAsia="宋体" w:cs="Times New Roman"/>
          <w:b/>
          <w:sz w:val="32"/>
          <w:szCs w:val="32"/>
        </w:rPr>
      </w:pPr>
      <w:r>
        <w:rPr>
          <w:rFonts w:ascii="宋体" w:hAnsi="宋体" w:eastAsia="宋体" w:cs="宋体"/>
          <w:szCs w:val="21"/>
          <w:lang w:val="zh-CN"/>
        </w:rPr>
        <w:br w:type="page"/>
      </w:r>
    </w:p>
    <w:p>
      <w:pPr>
        <w:adjustRightInd w:val="0"/>
        <w:snapToGrid w:val="0"/>
        <w:spacing w:line="288" w:lineRule="auto"/>
        <w:jc w:val="center"/>
        <w:outlineLvl w:val="0"/>
        <w:rPr>
          <w:rFonts w:ascii="宋体" w:hAnsi="宋体" w:eastAsia="宋体" w:cs="Times New Roman"/>
          <w:sz w:val="28"/>
          <w:szCs w:val="24"/>
        </w:rPr>
      </w:pPr>
      <w:r>
        <w:rPr>
          <w:rFonts w:ascii="宋体" w:hAnsi="宋体" w:eastAsia="宋体" w:cs="Times New Roman"/>
          <w:b/>
          <w:sz w:val="32"/>
          <w:szCs w:val="32"/>
        </w:rPr>
        <w:t>第六章</w:t>
      </w:r>
      <w:r>
        <w:rPr>
          <w:rFonts w:hint="eastAsia" w:ascii="宋体" w:hAnsi="宋体" w:eastAsia="宋体" w:cs="Times New Roman"/>
          <w:b/>
          <w:sz w:val="32"/>
          <w:szCs w:val="32"/>
        </w:rPr>
        <w:t xml:space="preserve">  </w:t>
      </w:r>
      <w:r>
        <w:rPr>
          <w:rFonts w:ascii="宋体" w:hAnsi="宋体" w:eastAsia="宋体" w:cs="Times New Roman"/>
          <w:b/>
          <w:sz w:val="32"/>
          <w:szCs w:val="32"/>
        </w:rPr>
        <w:t>投标文件格式</w:t>
      </w:r>
    </w:p>
    <w:p>
      <w:pPr>
        <w:adjustRightInd w:val="0"/>
        <w:snapToGrid w:val="0"/>
        <w:spacing w:line="288" w:lineRule="auto"/>
        <w:rPr>
          <w:rFonts w:ascii="宋体" w:hAnsi="宋体" w:eastAsia="宋体" w:cs="Times New Roman"/>
          <w:b/>
          <w:bCs/>
          <w:spacing w:val="-6"/>
          <w:sz w:val="24"/>
          <w:szCs w:val="24"/>
        </w:rPr>
      </w:pPr>
    </w:p>
    <w:p>
      <w:pPr>
        <w:adjustRightInd w:val="0"/>
        <w:snapToGrid w:val="0"/>
        <w:spacing w:line="288" w:lineRule="auto"/>
        <w:jc w:val="center"/>
        <w:rPr>
          <w:rFonts w:ascii="宋体" w:hAnsi="宋体" w:eastAsia="宋体" w:cs="Times New Roman"/>
          <w:b/>
          <w:bCs/>
          <w:spacing w:val="-6"/>
          <w:sz w:val="24"/>
          <w:szCs w:val="24"/>
        </w:rPr>
      </w:pPr>
      <w:r>
        <w:rPr>
          <w:rFonts w:hint="eastAsia" w:ascii="宋体" w:hAnsi="宋体" w:eastAsia="宋体" w:cs="Times New Roman"/>
          <w:b/>
          <w:bCs/>
          <w:spacing w:val="-6"/>
          <w:sz w:val="24"/>
          <w:szCs w:val="24"/>
        </w:rPr>
        <w:t xml:space="preserve">目 </w:t>
      </w:r>
      <w:r>
        <w:rPr>
          <w:rFonts w:ascii="宋体" w:hAnsi="宋体" w:eastAsia="宋体" w:cs="Times New Roman"/>
          <w:b/>
          <w:bCs/>
          <w:spacing w:val="-6"/>
          <w:sz w:val="24"/>
          <w:szCs w:val="24"/>
        </w:rPr>
        <w:t xml:space="preserve"> </w:t>
      </w:r>
      <w:r>
        <w:rPr>
          <w:rFonts w:hint="eastAsia" w:ascii="宋体" w:hAnsi="宋体" w:eastAsia="宋体" w:cs="Times New Roman"/>
          <w:b/>
          <w:bCs/>
          <w:spacing w:val="-6"/>
          <w:sz w:val="24"/>
          <w:szCs w:val="24"/>
        </w:rPr>
        <w:t>录</w:t>
      </w:r>
    </w:p>
    <w:p>
      <w:pPr>
        <w:adjustRightInd w:val="0"/>
        <w:snapToGrid w:val="0"/>
        <w:spacing w:line="288" w:lineRule="auto"/>
        <w:rPr>
          <w:rFonts w:ascii="宋体" w:hAnsi="宋体" w:eastAsia="宋体" w:cs="Times New Roman"/>
          <w:b/>
          <w:bCs/>
          <w:spacing w:val="-6"/>
          <w:sz w:val="24"/>
          <w:szCs w:val="24"/>
        </w:rPr>
      </w:pPr>
    </w:p>
    <w:p>
      <w:pPr>
        <w:adjustRightInd w:val="0"/>
        <w:snapToGrid w:val="0"/>
        <w:spacing w:line="288" w:lineRule="auto"/>
        <w:ind w:firstLine="398" w:firstLineChars="200"/>
        <w:jc w:val="left"/>
        <w:rPr>
          <w:rFonts w:ascii="宋体" w:hAnsi="宋体" w:eastAsia="宋体" w:cs="Times New Roman"/>
          <w:b/>
          <w:bCs/>
          <w:spacing w:val="-6"/>
          <w:szCs w:val="21"/>
        </w:rPr>
      </w:pPr>
      <w:r>
        <w:rPr>
          <w:rFonts w:hint="eastAsia" w:ascii="宋体" w:hAnsi="宋体" w:eastAsia="宋体" w:cs="Times New Roman"/>
          <w:b/>
          <w:bCs/>
          <w:spacing w:val="-6"/>
          <w:szCs w:val="21"/>
        </w:rPr>
        <w:t>▲</w:t>
      </w:r>
      <w:r>
        <w:rPr>
          <w:rFonts w:ascii="宋体" w:hAnsi="宋体" w:eastAsia="宋体" w:cs="Times New Roman"/>
          <w:b/>
          <w:bCs/>
          <w:spacing w:val="-6"/>
          <w:szCs w:val="21"/>
        </w:rPr>
        <w:t>1</w:t>
      </w:r>
      <w:r>
        <w:rPr>
          <w:rFonts w:hint="eastAsia" w:ascii="宋体" w:hAnsi="宋体" w:eastAsia="宋体" w:cs="Times New Roman"/>
          <w:b/>
          <w:bCs/>
          <w:spacing w:val="-6"/>
          <w:szCs w:val="21"/>
        </w:rPr>
        <w:t>.资格文件（单独上传）</w:t>
      </w:r>
    </w:p>
    <w:p>
      <w:pPr>
        <w:adjustRightInd w:val="0"/>
        <w:snapToGrid w:val="0"/>
        <w:spacing w:line="288" w:lineRule="auto"/>
        <w:ind w:firstLine="396" w:firstLineChars="200"/>
        <w:jc w:val="left"/>
        <w:rPr>
          <w:rFonts w:ascii="宋体" w:hAnsi="宋体" w:eastAsia="宋体" w:cs="宋体"/>
          <w:bCs/>
          <w:spacing w:val="-6"/>
          <w:szCs w:val="21"/>
        </w:rPr>
      </w:pPr>
      <w:r>
        <w:rPr>
          <w:rFonts w:hint="eastAsia" w:ascii="宋体" w:hAnsi="宋体" w:eastAsia="宋体" w:cs="宋体"/>
          <w:bCs/>
          <w:spacing w:val="-6"/>
          <w:szCs w:val="21"/>
        </w:rPr>
        <w:t>（1）有效的法人或者其他组织的营业执照等证明文件，自然人的身份证明</w:t>
      </w:r>
    </w:p>
    <w:p>
      <w:pPr>
        <w:adjustRightInd w:val="0"/>
        <w:snapToGrid w:val="0"/>
        <w:spacing w:line="288" w:lineRule="auto"/>
        <w:ind w:firstLine="396" w:firstLineChars="200"/>
        <w:jc w:val="left"/>
        <w:rPr>
          <w:rFonts w:ascii="宋体" w:hAnsi="宋体" w:eastAsia="宋体" w:cs="宋体"/>
          <w:bCs/>
          <w:spacing w:val="-6"/>
          <w:szCs w:val="21"/>
        </w:rPr>
      </w:pPr>
      <w:r>
        <w:rPr>
          <w:rFonts w:hint="eastAsia" w:ascii="宋体" w:hAnsi="宋体" w:eastAsia="宋体" w:cs="宋体"/>
          <w:bCs/>
          <w:spacing w:val="-6"/>
          <w:szCs w:val="21"/>
        </w:rPr>
        <w:t>（</w:t>
      </w:r>
      <w:r>
        <w:rPr>
          <w:rFonts w:ascii="宋体" w:hAnsi="宋体" w:eastAsia="宋体" w:cs="宋体"/>
          <w:bCs/>
          <w:spacing w:val="-6"/>
          <w:szCs w:val="21"/>
        </w:rPr>
        <w:t>2）符合参加政府采购活动应当具备的一般条件的承诺函</w:t>
      </w:r>
    </w:p>
    <w:p>
      <w:pPr>
        <w:adjustRightInd w:val="0"/>
        <w:snapToGrid w:val="0"/>
        <w:spacing w:line="288" w:lineRule="auto"/>
        <w:ind w:firstLine="396" w:firstLineChars="200"/>
        <w:jc w:val="left"/>
        <w:rPr>
          <w:rFonts w:ascii="宋体" w:hAnsi="宋体" w:eastAsia="宋体" w:cs="宋体"/>
          <w:bCs/>
          <w:spacing w:val="-6"/>
          <w:szCs w:val="21"/>
        </w:rPr>
      </w:pPr>
      <w:r>
        <w:rPr>
          <w:rFonts w:hint="eastAsia" w:ascii="宋体" w:hAnsi="宋体" w:eastAsia="宋体" w:cs="宋体"/>
          <w:bCs/>
          <w:spacing w:val="-6"/>
          <w:szCs w:val="21"/>
        </w:rPr>
        <w:t>（</w:t>
      </w:r>
      <w:r>
        <w:rPr>
          <w:rFonts w:ascii="宋体" w:hAnsi="宋体" w:eastAsia="宋体" w:cs="宋体"/>
          <w:bCs/>
          <w:spacing w:val="-6"/>
          <w:szCs w:val="21"/>
        </w:rPr>
        <w:t>3）落实政府采购政策需满足的资格要求：无</w:t>
      </w:r>
    </w:p>
    <w:p>
      <w:pPr>
        <w:adjustRightInd w:val="0"/>
        <w:snapToGrid w:val="0"/>
        <w:spacing w:line="288" w:lineRule="auto"/>
        <w:ind w:firstLine="396" w:firstLineChars="200"/>
        <w:jc w:val="left"/>
        <w:rPr>
          <w:rFonts w:ascii="宋体" w:hAnsi="宋体" w:eastAsia="宋体" w:cs="宋体"/>
          <w:bCs/>
          <w:spacing w:val="-6"/>
          <w:szCs w:val="21"/>
        </w:rPr>
      </w:pPr>
      <w:r>
        <w:rPr>
          <w:rFonts w:hint="eastAsia" w:ascii="宋体" w:hAnsi="宋体" w:eastAsia="宋体" w:cs="宋体"/>
          <w:bCs/>
          <w:spacing w:val="-6"/>
          <w:szCs w:val="21"/>
        </w:rPr>
        <w:t>（</w:t>
      </w:r>
      <w:r>
        <w:rPr>
          <w:rFonts w:ascii="宋体" w:hAnsi="宋体" w:eastAsia="宋体" w:cs="宋体"/>
          <w:bCs/>
          <w:spacing w:val="-6"/>
          <w:szCs w:val="21"/>
        </w:rPr>
        <w:t>4）</w:t>
      </w:r>
      <w:r>
        <w:rPr>
          <w:rFonts w:hint="eastAsia" w:ascii="宋体" w:hAnsi="宋体" w:eastAsia="宋体" w:cs="宋体"/>
          <w:bCs/>
          <w:spacing w:val="-6"/>
          <w:szCs w:val="21"/>
        </w:rPr>
        <w:t>本项目的特定资格要求证明材料：无</w:t>
      </w:r>
    </w:p>
    <w:p>
      <w:pPr>
        <w:adjustRightInd w:val="0"/>
        <w:snapToGrid w:val="0"/>
        <w:spacing w:line="288" w:lineRule="auto"/>
        <w:ind w:firstLine="398" w:firstLineChars="200"/>
        <w:jc w:val="left"/>
        <w:rPr>
          <w:rFonts w:ascii="宋体" w:hAnsi="宋体" w:eastAsia="宋体" w:cs="宋体"/>
          <w:b/>
          <w:spacing w:val="-6"/>
          <w:szCs w:val="21"/>
        </w:rPr>
      </w:pPr>
      <w:r>
        <w:rPr>
          <w:rFonts w:hint="eastAsia" w:ascii="宋体" w:hAnsi="宋体" w:eastAsia="宋体" w:cs="宋体"/>
          <w:b/>
          <w:spacing w:val="-6"/>
          <w:szCs w:val="21"/>
        </w:rPr>
        <w:t>▲联合体投标的，联合体各方均应提供资格文件（</w:t>
      </w:r>
      <w:r>
        <w:rPr>
          <w:rFonts w:ascii="宋体" w:hAnsi="宋体" w:eastAsia="宋体" w:cs="宋体"/>
          <w:b/>
          <w:spacing w:val="-6"/>
          <w:szCs w:val="21"/>
        </w:rPr>
        <w:t>1）</w:t>
      </w:r>
      <w:r>
        <w:rPr>
          <w:rFonts w:hint="eastAsia" w:ascii="宋体" w:hAnsi="宋体" w:eastAsia="宋体" w:cs="宋体"/>
          <w:b/>
          <w:spacing w:val="-6"/>
          <w:szCs w:val="21"/>
        </w:rPr>
        <w:t>、</w:t>
      </w:r>
      <w:r>
        <w:rPr>
          <w:rFonts w:ascii="宋体" w:hAnsi="宋体" w:eastAsia="宋体" w:cs="宋体"/>
          <w:b/>
          <w:spacing w:val="-6"/>
          <w:szCs w:val="21"/>
        </w:rPr>
        <w:t>（2）</w:t>
      </w:r>
      <w:r>
        <w:rPr>
          <w:rFonts w:hint="eastAsia" w:ascii="宋体" w:hAnsi="宋体" w:eastAsia="宋体" w:cs="宋体"/>
          <w:b/>
          <w:spacing w:val="-6"/>
          <w:szCs w:val="21"/>
        </w:rPr>
        <w:t>材料</w:t>
      </w:r>
      <w:r>
        <w:rPr>
          <w:rFonts w:ascii="宋体" w:hAnsi="宋体" w:eastAsia="宋体" w:cs="宋体"/>
          <w:b/>
          <w:spacing w:val="-6"/>
          <w:szCs w:val="21"/>
        </w:rPr>
        <w:t>。</w:t>
      </w:r>
    </w:p>
    <w:p>
      <w:pPr>
        <w:adjustRightInd w:val="0"/>
        <w:snapToGrid w:val="0"/>
        <w:spacing w:line="288" w:lineRule="auto"/>
        <w:ind w:firstLine="398" w:firstLineChars="200"/>
        <w:jc w:val="left"/>
        <w:rPr>
          <w:rFonts w:ascii="宋体" w:hAnsi="宋体" w:eastAsia="宋体" w:cs="宋体"/>
          <w:b/>
          <w:spacing w:val="-6"/>
          <w:szCs w:val="21"/>
        </w:rPr>
      </w:pPr>
    </w:p>
    <w:p>
      <w:pPr>
        <w:adjustRightInd w:val="0"/>
        <w:snapToGrid w:val="0"/>
        <w:spacing w:line="288" w:lineRule="auto"/>
        <w:ind w:firstLine="398" w:firstLineChars="200"/>
        <w:jc w:val="left"/>
        <w:rPr>
          <w:rFonts w:ascii="宋体" w:hAnsi="宋体" w:eastAsia="宋体" w:cs="Times New Roman"/>
          <w:b/>
          <w:bCs/>
          <w:spacing w:val="-6"/>
          <w:szCs w:val="21"/>
        </w:rPr>
      </w:pPr>
      <w:r>
        <w:rPr>
          <w:rFonts w:ascii="宋体" w:hAnsi="宋体" w:eastAsia="宋体" w:cs="Times New Roman"/>
          <w:b/>
          <w:spacing w:val="-6"/>
          <w:szCs w:val="21"/>
        </w:rPr>
        <w:t>2</w:t>
      </w:r>
      <w:r>
        <w:rPr>
          <w:rFonts w:hint="eastAsia" w:ascii="宋体" w:hAnsi="宋体" w:eastAsia="宋体" w:cs="Times New Roman"/>
          <w:b/>
          <w:spacing w:val="-6"/>
          <w:szCs w:val="21"/>
        </w:rPr>
        <w:t>.商务和</w:t>
      </w:r>
      <w:r>
        <w:rPr>
          <w:rFonts w:hint="eastAsia" w:ascii="宋体" w:hAnsi="宋体" w:eastAsia="宋体" w:cs="Times New Roman"/>
          <w:b/>
          <w:bCs/>
          <w:spacing w:val="-6"/>
          <w:szCs w:val="21"/>
        </w:rPr>
        <w:t>技术文件（单独上传）</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（1）投标函</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2</w:t>
      </w:r>
      <w:r>
        <w:rPr>
          <w:rFonts w:hint="eastAsia" w:ascii="宋体" w:hAnsi="宋体" w:eastAsia="宋体" w:cs="Times New Roman"/>
          <w:spacing w:val="-6"/>
          <w:szCs w:val="21"/>
        </w:rPr>
        <w:t>）法定代表人授权委托书</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2</w:t>
      </w:r>
      <w:r>
        <w:rPr>
          <w:rFonts w:hint="eastAsia" w:ascii="宋体" w:hAnsi="宋体" w:eastAsia="宋体" w:cs="Times New Roman"/>
          <w:spacing w:val="-6"/>
          <w:szCs w:val="21"/>
        </w:rPr>
        <w:t>）2021年12月（含）以后任意一月投标授权代表社保缴纳证明</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3</w:t>
      </w:r>
      <w:r>
        <w:rPr>
          <w:rFonts w:hint="eastAsia" w:ascii="宋体" w:hAnsi="宋体" w:eastAsia="宋体" w:cs="Times New Roman"/>
          <w:spacing w:val="-6"/>
          <w:szCs w:val="21"/>
        </w:rPr>
        <w:t>）投标人同类合同一览表</w:t>
      </w:r>
    </w:p>
    <w:p>
      <w:pPr>
        <w:adjustRightInd w:val="0"/>
        <w:snapToGrid w:val="0"/>
        <w:spacing w:line="288" w:lineRule="auto"/>
        <w:ind w:firstLine="396" w:firstLineChars="200"/>
        <w:jc w:val="left"/>
        <w:rPr>
          <w:rFonts w:ascii="宋体" w:hAnsi="宋体" w:eastAsia="宋体" w:cs="宋体"/>
          <w:spacing w:val="-6"/>
          <w:szCs w:val="21"/>
        </w:rPr>
      </w:pPr>
      <w:r>
        <w:rPr>
          <w:rFonts w:hint="eastAsia" w:ascii="宋体" w:hAnsi="宋体" w:eastAsia="宋体" w:cs="宋体"/>
          <w:spacing w:val="-6"/>
          <w:szCs w:val="21"/>
        </w:rPr>
        <w:t>（</w:t>
      </w:r>
      <w:r>
        <w:rPr>
          <w:rFonts w:ascii="宋体" w:hAnsi="宋体" w:eastAsia="宋体" w:cs="宋体"/>
          <w:spacing w:val="-6"/>
          <w:szCs w:val="21"/>
        </w:rPr>
        <w:t>4</w:t>
      </w:r>
      <w:r>
        <w:rPr>
          <w:rFonts w:hint="eastAsia" w:ascii="宋体" w:hAnsi="宋体" w:eastAsia="宋体" w:cs="宋体"/>
          <w:spacing w:val="-6"/>
          <w:szCs w:val="21"/>
        </w:rPr>
        <w:t>）采购需求偏离表</w:t>
      </w:r>
    </w:p>
    <w:p>
      <w:pPr>
        <w:adjustRightInd w:val="0"/>
        <w:snapToGrid w:val="0"/>
        <w:spacing w:line="288" w:lineRule="auto"/>
        <w:ind w:firstLine="396" w:firstLineChars="200"/>
        <w:jc w:val="left"/>
        <w:rPr>
          <w:rFonts w:ascii="宋体" w:hAnsi="宋体" w:eastAsia="宋体" w:cs="宋体"/>
          <w:spacing w:val="-6"/>
          <w:szCs w:val="21"/>
        </w:rPr>
      </w:pPr>
      <w:r>
        <w:rPr>
          <w:rFonts w:hint="eastAsia" w:ascii="宋体" w:hAnsi="宋体" w:eastAsia="宋体" w:cs="宋体"/>
          <w:spacing w:val="-6"/>
          <w:szCs w:val="21"/>
        </w:rPr>
        <w:t>（</w:t>
      </w:r>
      <w:r>
        <w:rPr>
          <w:rFonts w:ascii="宋体" w:hAnsi="宋体" w:eastAsia="宋体" w:cs="宋体"/>
          <w:spacing w:val="-6"/>
          <w:szCs w:val="21"/>
        </w:rPr>
        <w:t>5</w:t>
      </w:r>
      <w:r>
        <w:rPr>
          <w:rFonts w:hint="eastAsia" w:ascii="宋体" w:hAnsi="宋体" w:eastAsia="宋体" w:cs="宋体"/>
          <w:spacing w:val="-6"/>
          <w:szCs w:val="21"/>
        </w:rPr>
        <w:t>）</w:t>
      </w:r>
      <w:r>
        <w:rPr>
          <w:rFonts w:hint="eastAsia" w:ascii="宋体" w:hAnsi="宋体" w:eastAsia="宋体" w:cs="宋体"/>
          <w:szCs w:val="21"/>
        </w:rPr>
        <w:t>货物配置清单</w:t>
      </w:r>
    </w:p>
    <w:p>
      <w:pPr>
        <w:adjustRightInd w:val="0"/>
        <w:snapToGrid w:val="0"/>
        <w:spacing w:line="288" w:lineRule="auto"/>
        <w:ind w:firstLine="396" w:firstLineChars="200"/>
        <w:jc w:val="left"/>
        <w:rPr>
          <w:rFonts w:ascii="宋体" w:hAnsi="宋体" w:eastAsia="宋体" w:cs="宋体"/>
          <w:spacing w:val="-6"/>
          <w:szCs w:val="21"/>
        </w:rPr>
      </w:pPr>
      <w:r>
        <w:rPr>
          <w:rFonts w:hint="eastAsia" w:ascii="宋体" w:hAnsi="宋体" w:eastAsia="宋体" w:cs="宋体"/>
          <w:spacing w:val="-6"/>
          <w:szCs w:val="21"/>
        </w:rPr>
        <w:t>（</w:t>
      </w:r>
      <w:r>
        <w:rPr>
          <w:rFonts w:ascii="宋体" w:hAnsi="宋体" w:eastAsia="宋体" w:cs="宋体"/>
          <w:spacing w:val="-6"/>
          <w:szCs w:val="21"/>
        </w:rPr>
        <w:t>6</w:t>
      </w:r>
      <w:r>
        <w:rPr>
          <w:rFonts w:hint="eastAsia" w:ascii="宋体" w:hAnsi="宋体" w:eastAsia="宋体" w:cs="宋体"/>
          <w:spacing w:val="-6"/>
          <w:szCs w:val="21"/>
        </w:rPr>
        <w:t>）技术方案：</w:t>
      </w:r>
    </w:p>
    <w:p>
      <w:pPr>
        <w:adjustRightInd w:val="0"/>
        <w:snapToGrid w:val="0"/>
        <w:spacing w:line="288" w:lineRule="auto"/>
        <w:ind w:firstLine="396" w:firstLineChars="200"/>
        <w:jc w:val="left"/>
        <w:rPr>
          <w:rFonts w:ascii="宋体" w:hAnsi="宋体" w:eastAsia="宋体" w:cs="宋体"/>
          <w:spacing w:val="-6"/>
          <w:szCs w:val="21"/>
        </w:rPr>
      </w:pPr>
      <w:r>
        <w:rPr>
          <w:rFonts w:hint="eastAsia" w:ascii="宋体" w:hAnsi="宋体" w:eastAsia="宋体" w:cs="宋体"/>
          <w:spacing w:val="-6"/>
          <w:szCs w:val="21"/>
        </w:rPr>
        <w:t>整体实施方案</w:t>
      </w:r>
    </w:p>
    <w:p>
      <w:pPr>
        <w:adjustRightInd w:val="0"/>
        <w:snapToGrid w:val="0"/>
        <w:spacing w:line="288" w:lineRule="auto"/>
        <w:ind w:firstLine="396" w:firstLineChars="200"/>
        <w:jc w:val="left"/>
        <w:rPr>
          <w:rFonts w:ascii="宋体" w:hAnsi="宋体" w:eastAsia="宋体" w:cs="宋体"/>
          <w:spacing w:val="-6"/>
          <w:szCs w:val="21"/>
        </w:rPr>
      </w:pPr>
      <w:r>
        <w:rPr>
          <w:rFonts w:hint="eastAsia" w:ascii="宋体" w:hAnsi="宋体" w:eastAsia="宋体" w:cs="宋体"/>
          <w:spacing w:val="-6"/>
          <w:szCs w:val="21"/>
        </w:rPr>
        <w:t>质量保障方案</w:t>
      </w:r>
    </w:p>
    <w:p>
      <w:pPr>
        <w:adjustRightInd w:val="0"/>
        <w:snapToGrid w:val="0"/>
        <w:spacing w:line="288" w:lineRule="auto"/>
        <w:ind w:firstLine="396" w:firstLineChars="200"/>
        <w:jc w:val="left"/>
        <w:rPr>
          <w:rFonts w:ascii="宋体" w:hAnsi="宋体" w:eastAsia="宋体" w:cs="宋体"/>
          <w:spacing w:val="-6"/>
          <w:szCs w:val="21"/>
        </w:rPr>
      </w:pPr>
      <w:r>
        <w:rPr>
          <w:rFonts w:hint="eastAsia" w:ascii="宋体" w:hAnsi="宋体" w:eastAsia="宋体" w:cs="宋体"/>
          <w:spacing w:val="-6"/>
          <w:szCs w:val="21"/>
        </w:rPr>
        <w:t>安装调试方案</w:t>
      </w:r>
    </w:p>
    <w:p>
      <w:pPr>
        <w:adjustRightInd w:val="0"/>
        <w:snapToGrid w:val="0"/>
        <w:spacing w:line="288" w:lineRule="auto"/>
        <w:ind w:firstLine="396" w:firstLineChars="200"/>
        <w:jc w:val="left"/>
        <w:rPr>
          <w:rFonts w:ascii="宋体" w:hAnsi="宋体" w:eastAsia="宋体" w:cs="宋体"/>
          <w:spacing w:val="-6"/>
          <w:szCs w:val="21"/>
        </w:rPr>
      </w:pPr>
      <w:r>
        <w:rPr>
          <w:rFonts w:hint="eastAsia" w:ascii="宋体" w:hAnsi="宋体" w:eastAsia="宋体" w:cs="宋体"/>
          <w:spacing w:val="-6"/>
          <w:szCs w:val="21"/>
        </w:rPr>
        <w:t>负责团队</w:t>
      </w:r>
    </w:p>
    <w:p>
      <w:pPr>
        <w:adjustRightInd w:val="0"/>
        <w:snapToGrid w:val="0"/>
        <w:spacing w:line="288" w:lineRule="auto"/>
        <w:ind w:firstLine="396" w:firstLineChars="200"/>
        <w:jc w:val="left"/>
        <w:rPr>
          <w:rFonts w:ascii="宋体" w:hAnsi="宋体" w:eastAsia="宋体" w:cs="宋体"/>
          <w:spacing w:val="-6"/>
          <w:szCs w:val="21"/>
        </w:rPr>
      </w:pPr>
      <w:r>
        <w:rPr>
          <w:rFonts w:hint="eastAsia" w:ascii="宋体" w:hAnsi="宋体" w:eastAsia="宋体" w:cs="宋体"/>
          <w:spacing w:val="-6"/>
          <w:szCs w:val="21"/>
        </w:rPr>
        <w:t>售后服务方案</w:t>
      </w:r>
    </w:p>
    <w:p>
      <w:pPr>
        <w:adjustRightInd w:val="0"/>
        <w:snapToGrid w:val="0"/>
        <w:spacing w:line="288" w:lineRule="auto"/>
        <w:ind w:firstLine="396" w:firstLineChars="200"/>
        <w:jc w:val="left"/>
        <w:rPr>
          <w:rFonts w:ascii="宋体" w:hAnsi="宋体" w:eastAsia="宋体" w:cs="宋体"/>
          <w:spacing w:val="-6"/>
          <w:szCs w:val="21"/>
        </w:rPr>
      </w:pPr>
      <w:r>
        <w:rPr>
          <w:rFonts w:hint="eastAsia" w:ascii="宋体" w:hAnsi="宋体" w:eastAsia="宋体" w:cs="宋体"/>
          <w:spacing w:val="-6"/>
          <w:szCs w:val="21"/>
        </w:rPr>
        <w:t>疫情防控方案</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7</w:t>
      </w:r>
      <w:r>
        <w:rPr>
          <w:rFonts w:hint="eastAsia" w:ascii="宋体" w:hAnsi="宋体" w:eastAsia="宋体" w:cs="Times New Roman"/>
          <w:spacing w:val="-6"/>
          <w:szCs w:val="21"/>
        </w:rPr>
        <w:t>）节能产品证明材料</w:t>
      </w:r>
    </w:p>
    <w:p>
      <w:pPr>
        <w:adjustRightInd w:val="0"/>
        <w:snapToGrid w:val="0"/>
        <w:spacing w:line="288" w:lineRule="auto"/>
        <w:ind w:firstLine="396" w:firstLineChars="200"/>
        <w:jc w:val="left"/>
        <w:rPr>
          <w:rFonts w:ascii="宋体" w:hAnsi="宋体" w:eastAsia="宋体" w:cs="宋体"/>
          <w:spacing w:val="-6"/>
          <w:szCs w:val="21"/>
        </w:rPr>
      </w:pPr>
      <w:r>
        <w:rPr>
          <w:rFonts w:hint="eastAsia" w:ascii="宋体" w:hAnsi="宋体" w:eastAsia="宋体" w:cs="宋体"/>
          <w:spacing w:val="-6"/>
          <w:szCs w:val="21"/>
        </w:rPr>
        <w:t>（8</w:t>
      </w:r>
      <w:r>
        <w:rPr>
          <w:rFonts w:ascii="宋体" w:hAnsi="宋体" w:eastAsia="宋体" w:cs="宋体"/>
          <w:spacing w:val="-6"/>
          <w:szCs w:val="21"/>
        </w:rPr>
        <w:t>）投标人需要说明的其他文件和材料。</w:t>
      </w:r>
    </w:p>
    <w:p>
      <w:pPr>
        <w:adjustRightInd w:val="0"/>
        <w:snapToGrid w:val="0"/>
        <w:spacing w:line="288" w:lineRule="auto"/>
        <w:ind w:firstLine="398" w:firstLineChars="200"/>
        <w:jc w:val="left"/>
        <w:rPr>
          <w:rFonts w:ascii="宋体" w:hAnsi="宋体" w:eastAsia="宋体" w:cs="Times New Roman"/>
          <w:b/>
          <w:spacing w:val="-6"/>
          <w:szCs w:val="21"/>
        </w:rPr>
      </w:pPr>
      <w:r>
        <w:rPr>
          <w:rFonts w:ascii="宋体" w:hAnsi="宋体" w:eastAsia="宋体" w:cs="Times New Roman"/>
          <w:b/>
          <w:spacing w:val="-6"/>
          <w:szCs w:val="21"/>
        </w:rPr>
        <w:t>3.</w:t>
      </w:r>
      <w:r>
        <w:rPr>
          <w:rFonts w:hint="eastAsia" w:ascii="宋体" w:hAnsi="宋体" w:eastAsia="宋体" w:cs="Times New Roman"/>
          <w:b/>
          <w:spacing w:val="-6"/>
          <w:szCs w:val="21"/>
        </w:rPr>
        <w:t>报价文件</w:t>
      </w:r>
      <w:r>
        <w:rPr>
          <w:rFonts w:hint="eastAsia" w:ascii="宋体" w:hAnsi="宋体" w:eastAsia="宋体" w:cs="Times New Roman"/>
          <w:b/>
          <w:bCs/>
          <w:spacing w:val="-6"/>
          <w:szCs w:val="21"/>
        </w:rPr>
        <w:t>（单独上传）</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（1）开标一览表</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2</w:t>
      </w:r>
      <w:r>
        <w:rPr>
          <w:rFonts w:hint="eastAsia" w:ascii="宋体" w:hAnsi="宋体" w:eastAsia="宋体" w:cs="Times New Roman"/>
          <w:spacing w:val="-6"/>
          <w:szCs w:val="21"/>
        </w:rPr>
        <w:t>）中小企业声明函</w:t>
      </w:r>
      <w:bookmarkStart w:id="58" w:name="_Hlk81815656"/>
      <w:r>
        <w:rPr>
          <w:rFonts w:hint="eastAsia" w:ascii="宋体" w:hAnsi="宋体" w:eastAsia="宋体" w:cs="Times New Roman"/>
          <w:spacing w:val="-6"/>
          <w:szCs w:val="21"/>
        </w:rPr>
        <w:t>（若属于中小企业）</w:t>
      </w:r>
      <w:bookmarkEnd w:id="58"/>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3</w:t>
      </w:r>
      <w:r>
        <w:rPr>
          <w:rFonts w:hint="eastAsia" w:ascii="宋体" w:hAnsi="宋体" w:eastAsia="宋体" w:cs="Times New Roman"/>
          <w:spacing w:val="-6"/>
          <w:szCs w:val="21"/>
        </w:rPr>
        <w:t>）属于监狱企业的证明文件</w:t>
      </w:r>
      <w:bookmarkStart w:id="59" w:name="_Hlk81815359"/>
      <w:r>
        <w:rPr>
          <w:rFonts w:hint="eastAsia" w:ascii="宋体" w:hAnsi="宋体" w:eastAsia="宋体" w:cs="Times New Roman"/>
          <w:spacing w:val="-6"/>
          <w:szCs w:val="21"/>
        </w:rPr>
        <w:t>（若属于监狱企业）</w:t>
      </w:r>
      <w:bookmarkEnd w:id="59"/>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4</w:t>
      </w:r>
      <w:r>
        <w:rPr>
          <w:rFonts w:hint="eastAsia" w:ascii="宋体" w:hAnsi="宋体" w:eastAsia="宋体" w:cs="Times New Roman"/>
          <w:spacing w:val="-6"/>
          <w:szCs w:val="21"/>
        </w:rPr>
        <w:t>）</w:t>
      </w:r>
      <w:bookmarkStart w:id="60" w:name="OLE_LINK14"/>
      <w:bookmarkStart w:id="61" w:name="OLE_LINK13"/>
      <w:r>
        <w:rPr>
          <w:rFonts w:hint="eastAsia" w:ascii="宋体" w:hAnsi="宋体" w:eastAsia="宋体" w:cs="Times New Roman"/>
          <w:spacing w:val="-6"/>
          <w:szCs w:val="21"/>
        </w:rPr>
        <w:t>残疾人福利性单位声明函</w:t>
      </w:r>
      <w:bookmarkEnd w:id="60"/>
      <w:bookmarkEnd w:id="61"/>
      <w:bookmarkStart w:id="62" w:name="_Hlk81815372"/>
      <w:r>
        <w:rPr>
          <w:rFonts w:hint="eastAsia" w:ascii="宋体" w:hAnsi="宋体" w:eastAsia="宋体" w:cs="Times New Roman"/>
          <w:spacing w:val="-6"/>
          <w:szCs w:val="21"/>
        </w:rPr>
        <w:t>（若属于残疾人福利性单位）</w:t>
      </w:r>
      <w:bookmarkEnd w:id="62"/>
    </w:p>
    <w:p>
      <w:pPr>
        <w:adjustRightInd w:val="0"/>
        <w:snapToGrid w:val="0"/>
        <w:spacing w:line="288" w:lineRule="auto"/>
        <w:rPr>
          <w:rFonts w:ascii="宋体" w:hAnsi="宋体" w:eastAsia="宋体" w:cs="Times New Roman"/>
          <w:b/>
          <w:spacing w:val="-6"/>
          <w:szCs w:val="21"/>
        </w:rPr>
      </w:pPr>
    </w:p>
    <w:p>
      <w:pPr>
        <w:widowControl/>
        <w:adjustRightInd w:val="0"/>
        <w:snapToGrid w:val="0"/>
        <w:spacing w:line="288" w:lineRule="auto"/>
        <w:jc w:val="left"/>
        <w:rPr>
          <w:rFonts w:ascii="宋体" w:hAnsi="宋体" w:eastAsia="宋体" w:cs="Times New Roman"/>
          <w:b/>
          <w:spacing w:val="-6"/>
          <w:szCs w:val="21"/>
        </w:rPr>
      </w:pPr>
      <w:r>
        <w:rPr>
          <w:rFonts w:ascii="宋体" w:hAnsi="宋体" w:eastAsia="宋体" w:cs="Times New Roman"/>
          <w:b/>
          <w:spacing w:val="-6"/>
          <w:szCs w:val="21"/>
        </w:rPr>
        <w:br w:type="page"/>
      </w:r>
    </w:p>
    <w:p>
      <w:pPr>
        <w:adjustRightInd w:val="0"/>
        <w:snapToGrid w:val="0"/>
        <w:spacing w:line="288" w:lineRule="auto"/>
        <w:jc w:val="center"/>
        <w:outlineLvl w:val="1"/>
        <w:rPr>
          <w:rFonts w:ascii="宋体" w:hAnsi="宋体" w:eastAsia="宋体" w:cs="Times New Roman"/>
          <w:b/>
          <w:spacing w:val="-6"/>
          <w:sz w:val="84"/>
          <w:szCs w:val="84"/>
        </w:rPr>
      </w:pPr>
      <w:r>
        <w:rPr>
          <w:rFonts w:hint="eastAsia" w:ascii="宋体" w:hAnsi="宋体" w:eastAsia="宋体" w:cs="Times New Roman"/>
          <w:b/>
          <w:spacing w:val="-6"/>
          <w:sz w:val="84"/>
          <w:szCs w:val="84"/>
        </w:rPr>
        <w:t>资格文件</w:t>
      </w:r>
    </w:p>
    <w:p>
      <w:pPr>
        <w:adjustRightInd w:val="0"/>
        <w:snapToGrid w:val="0"/>
        <w:spacing w:line="288" w:lineRule="auto"/>
        <w:jc w:val="center"/>
        <w:rPr>
          <w:rFonts w:ascii="宋体" w:hAnsi="宋体" w:eastAsia="宋体" w:cs="宋体"/>
          <w:b/>
          <w:bCs/>
          <w:sz w:val="24"/>
          <w:szCs w:val="24"/>
        </w:rPr>
      </w:pPr>
    </w:p>
    <w:p>
      <w:pPr>
        <w:adjustRightInd w:val="0"/>
        <w:snapToGrid w:val="0"/>
        <w:spacing w:line="288" w:lineRule="auto"/>
        <w:jc w:val="center"/>
        <w:rPr>
          <w:rFonts w:ascii="宋体" w:hAnsi="宋体" w:eastAsia="宋体" w:cs="宋体"/>
          <w:b/>
          <w:bCs/>
          <w:sz w:val="24"/>
          <w:szCs w:val="24"/>
        </w:rPr>
      </w:pPr>
    </w:p>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资格审查要求的资格证明材料(均需加盖公章)</w:t>
      </w:r>
    </w:p>
    <w:p>
      <w:pPr>
        <w:widowControl/>
        <w:adjustRightInd w:val="0"/>
        <w:snapToGrid w:val="0"/>
        <w:spacing w:line="288" w:lineRule="auto"/>
        <w:jc w:val="left"/>
        <w:rPr>
          <w:rFonts w:ascii="宋体" w:hAnsi="宋体" w:eastAsia="宋体" w:cs="宋体"/>
          <w:b/>
          <w:spacing w:val="-6"/>
          <w:szCs w:val="21"/>
        </w:rPr>
      </w:pPr>
      <w:r>
        <w:rPr>
          <w:rFonts w:ascii="宋体" w:hAnsi="宋体" w:eastAsia="宋体" w:cs="宋体"/>
          <w:b/>
          <w:spacing w:val="-6"/>
          <w:szCs w:val="21"/>
        </w:rPr>
        <w:br w:type="page"/>
      </w:r>
    </w:p>
    <w:p>
      <w:pPr>
        <w:adjustRightInd w:val="0"/>
        <w:snapToGrid w:val="0"/>
        <w:spacing w:line="288" w:lineRule="auto"/>
        <w:rPr>
          <w:rFonts w:ascii="宋体" w:hAnsi="宋体" w:eastAsia="宋体" w:cs="宋体"/>
          <w:b/>
          <w:spacing w:val="-6"/>
          <w:szCs w:val="21"/>
        </w:rPr>
      </w:pPr>
    </w:p>
    <w:p>
      <w:pPr>
        <w:adjustRightInd w:val="0"/>
        <w:snapToGrid w:val="0"/>
        <w:spacing w:line="288" w:lineRule="auto"/>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1</w:t>
      </w:r>
      <w:r>
        <w:rPr>
          <w:rFonts w:hint="eastAsia" w:ascii="宋体" w:hAnsi="宋体" w:eastAsia="宋体" w:cs="宋体"/>
          <w:b/>
          <w:spacing w:val="-6"/>
          <w:szCs w:val="21"/>
        </w:rPr>
        <w:t>）有效的法人或者其他组织的营业执照等证明文件，自然人的身份证明</w:t>
      </w:r>
      <w:r>
        <w:rPr>
          <w:rFonts w:hint="eastAsia" w:ascii="宋体" w:hAnsi="宋体" w:eastAsia="宋体" w:cs="Times New Roman"/>
          <w:b/>
          <w:spacing w:val="-6"/>
          <w:szCs w:val="21"/>
        </w:rPr>
        <w:t>（扫描件）</w:t>
      </w:r>
    </w:p>
    <w:p>
      <w:pPr>
        <w:adjustRightInd w:val="0"/>
        <w:snapToGrid w:val="0"/>
        <w:spacing w:line="288" w:lineRule="auto"/>
        <w:rPr>
          <w:rFonts w:ascii="宋体" w:hAnsi="宋体" w:eastAsia="宋体" w:cs="Times New Roman"/>
          <w:bCs/>
          <w:spacing w:val="-6"/>
          <w:szCs w:val="21"/>
        </w:rPr>
      </w:pPr>
      <w:r>
        <w:rPr>
          <w:rFonts w:hint="eastAsia" w:ascii="宋体" w:hAnsi="宋体" w:eastAsia="宋体" w:cs="Times New Roman"/>
          <w:bCs/>
          <w:spacing w:val="-6"/>
          <w:szCs w:val="21"/>
        </w:rPr>
        <w:t>说明</w:t>
      </w:r>
      <w:r>
        <w:rPr>
          <w:rFonts w:ascii="宋体" w:hAnsi="宋体" w:eastAsia="宋体" w:cs="Times New Roman"/>
          <w:bCs/>
          <w:spacing w:val="-6"/>
          <w:szCs w:val="21"/>
        </w:rPr>
        <w:t>：</w:t>
      </w:r>
    </w:p>
    <w:p>
      <w:pPr>
        <w:adjustRightInd w:val="0"/>
        <w:snapToGrid w:val="0"/>
        <w:spacing w:line="288" w:lineRule="auto"/>
        <w:ind w:left="396" w:hanging="396" w:hangingChars="200"/>
        <w:rPr>
          <w:rFonts w:ascii="宋体" w:hAnsi="宋体" w:eastAsia="宋体" w:cs="Times New Roman"/>
          <w:bCs/>
          <w:spacing w:val="-6"/>
          <w:szCs w:val="21"/>
        </w:rPr>
      </w:pPr>
      <w:r>
        <w:rPr>
          <w:rFonts w:hint="eastAsia" w:ascii="宋体" w:hAnsi="宋体" w:eastAsia="宋体" w:cs="Times New Roman"/>
          <w:bCs/>
          <w:spacing w:val="-6"/>
          <w:szCs w:val="21"/>
        </w:rPr>
        <w:t>1</w:t>
      </w:r>
      <w:r>
        <w:rPr>
          <w:rFonts w:ascii="宋体" w:hAnsi="宋体" w:eastAsia="宋体" w:cs="Times New Roman"/>
          <w:bCs/>
          <w:spacing w:val="-6"/>
          <w:szCs w:val="21"/>
        </w:rPr>
        <w:t>.</w:t>
      </w:r>
      <w:r>
        <w:rPr>
          <w:rFonts w:hint="eastAsia" w:ascii="宋体" w:hAnsi="宋体" w:eastAsia="宋体" w:cs="Times New Roman"/>
          <w:bCs/>
          <w:spacing w:val="-6"/>
          <w:szCs w:val="21"/>
        </w:rPr>
        <w:t>如投标人是企业（包括合伙企业），提供在工商部门注册的有效“企业法人营业执照”或“营业执照”；</w:t>
      </w:r>
    </w:p>
    <w:p>
      <w:pPr>
        <w:adjustRightInd w:val="0"/>
        <w:snapToGrid w:val="0"/>
        <w:spacing w:line="288" w:lineRule="auto"/>
        <w:ind w:left="396" w:hanging="396" w:hangingChars="200"/>
        <w:rPr>
          <w:rFonts w:ascii="宋体" w:hAnsi="宋体" w:eastAsia="宋体" w:cs="Times New Roman"/>
          <w:bCs/>
          <w:spacing w:val="-6"/>
          <w:szCs w:val="21"/>
        </w:rPr>
      </w:pPr>
      <w:r>
        <w:rPr>
          <w:rFonts w:hint="eastAsia" w:ascii="宋体" w:hAnsi="宋体" w:eastAsia="宋体" w:cs="Times New Roman"/>
          <w:bCs/>
          <w:spacing w:val="-6"/>
          <w:szCs w:val="21"/>
        </w:rPr>
        <w:t>2</w:t>
      </w:r>
      <w:r>
        <w:rPr>
          <w:rFonts w:ascii="宋体" w:hAnsi="宋体" w:eastAsia="宋体" w:cs="Times New Roman"/>
          <w:bCs/>
          <w:spacing w:val="-6"/>
          <w:szCs w:val="21"/>
        </w:rPr>
        <w:t>.</w:t>
      </w:r>
      <w:r>
        <w:rPr>
          <w:rFonts w:hint="eastAsia" w:ascii="宋体" w:hAnsi="宋体" w:eastAsia="宋体" w:cs="Times New Roman"/>
          <w:bCs/>
          <w:spacing w:val="-6"/>
          <w:szCs w:val="21"/>
        </w:rPr>
        <w:t>如投标人是事业单位，提供有效的“事业单位法人证书”；</w:t>
      </w:r>
    </w:p>
    <w:p>
      <w:pPr>
        <w:adjustRightInd w:val="0"/>
        <w:snapToGrid w:val="0"/>
        <w:spacing w:line="288" w:lineRule="auto"/>
        <w:ind w:left="396" w:hanging="396" w:hangingChars="200"/>
        <w:rPr>
          <w:rFonts w:ascii="宋体" w:hAnsi="宋体" w:eastAsia="宋体" w:cs="Times New Roman"/>
          <w:bCs/>
          <w:spacing w:val="-6"/>
          <w:szCs w:val="21"/>
        </w:rPr>
      </w:pPr>
      <w:r>
        <w:rPr>
          <w:rFonts w:hint="eastAsia" w:ascii="宋体" w:hAnsi="宋体" w:eastAsia="宋体" w:cs="Times New Roman"/>
          <w:bCs/>
          <w:spacing w:val="-6"/>
          <w:szCs w:val="21"/>
        </w:rPr>
        <w:t>3</w:t>
      </w:r>
      <w:r>
        <w:rPr>
          <w:rFonts w:ascii="宋体" w:hAnsi="宋体" w:eastAsia="宋体" w:cs="Times New Roman"/>
          <w:bCs/>
          <w:spacing w:val="-6"/>
          <w:szCs w:val="21"/>
        </w:rPr>
        <w:t>.</w:t>
      </w:r>
      <w:r>
        <w:rPr>
          <w:rFonts w:hint="eastAsia" w:ascii="宋体" w:hAnsi="宋体" w:eastAsia="宋体" w:cs="Times New Roman"/>
          <w:bCs/>
          <w:spacing w:val="-6"/>
          <w:szCs w:val="21"/>
        </w:rPr>
        <w:t>如投标人是非企业专业服务机构的，提供执业许可证等证明文件；</w:t>
      </w:r>
    </w:p>
    <w:p>
      <w:pPr>
        <w:adjustRightInd w:val="0"/>
        <w:snapToGrid w:val="0"/>
        <w:spacing w:line="288" w:lineRule="auto"/>
        <w:ind w:left="396" w:hanging="396" w:hangingChars="200"/>
        <w:rPr>
          <w:rFonts w:ascii="宋体" w:hAnsi="宋体" w:eastAsia="宋体" w:cs="Times New Roman"/>
          <w:bCs/>
          <w:spacing w:val="-6"/>
          <w:szCs w:val="21"/>
        </w:rPr>
      </w:pPr>
      <w:r>
        <w:rPr>
          <w:rFonts w:hint="eastAsia" w:ascii="宋体" w:hAnsi="宋体" w:eastAsia="宋体" w:cs="Times New Roman"/>
          <w:bCs/>
          <w:spacing w:val="-6"/>
          <w:szCs w:val="21"/>
        </w:rPr>
        <w:t>4</w:t>
      </w:r>
      <w:r>
        <w:rPr>
          <w:rFonts w:ascii="宋体" w:hAnsi="宋体" w:eastAsia="宋体" w:cs="Times New Roman"/>
          <w:bCs/>
          <w:spacing w:val="-6"/>
          <w:szCs w:val="21"/>
        </w:rPr>
        <w:t>.</w:t>
      </w:r>
      <w:r>
        <w:rPr>
          <w:rFonts w:hint="eastAsia" w:ascii="宋体" w:hAnsi="宋体" w:eastAsia="宋体" w:cs="Times New Roman"/>
          <w:bCs/>
          <w:spacing w:val="-6"/>
          <w:szCs w:val="21"/>
        </w:rPr>
        <w:t>如投标人是个体工商户，提供有效的“个体工商户营业执照”；</w:t>
      </w:r>
    </w:p>
    <w:p>
      <w:pPr>
        <w:adjustRightInd w:val="0"/>
        <w:snapToGrid w:val="0"/>
        <w:spacing w:line="288" w:lineRule="auto"/>
        <w:ind w:left="396" w:hanging="396" w:hangingChars="200"/>
        <w:rPr>
          <w:rFonts w:ascii="宋体" w:hAnsi="宋体" w:eastAsia="宋体" w:cs="Times New Roman"/>
          <w:bCs/>
          <w:spacing w:val="-6"/>
          <w:szCs w:val="21"/>
        </w:rPr>
      </w:pPr>
      <w:r>
        <w:rPr>
          <w:rFonts w:hint="eastAsia" w:ascii="宋体" w:hAnsi="宋体" w:eastAsia="宋体" w:cs="Times New Roman"/>
          <w:bCs/>
          <w:spacing w:val="-6"/>
          <w:szCs w:val="21"/>
        </w:rPr>
        <w:t>5</w:t>
      </w:r>
      <w:r>
        <w:rPr>
          <w:rFonts w:ascii="宋体" w:hAnsi="宋体" w:eastAsia="宋体" w:cs="Times New Roman"/>
          <w:bCs/>
          <w:spacing w:val="-6"/>
          <w:szCs w:val="21"/>
        </w:rPr>
        <w:t>.</w:t>
      </w:r>
      <w:r>
        <w:rPr>
          <w:rFonts w:hint="eastAsia" w:ascii="宋体" w:hAnsi="宋体" w:eastAsia="宋体" w:cs="Times New Roman"/>
          <w:bCs/>
          <w:spacing w:val="-6"/>
          <w:szCs w:val="21"/>
        </w:rPr>
        <w:t>如投标人是自然人，提供有效的自然人身份证明。</w:t>
      </w:r>
    </w:p>
    <w:p>
      <w:pPr>
        <w:adjustRightInd w:val="0"/>
        <w:snapToGrid w:val="0"/>
        <w:spacing w:line="288" w:lineRule="auto"/>
        <w:jc w:val="center"/>
        <w:outlineLvl w:val="2"/>
        <w:rPr>
          <w:rFonts w:ascii="宋体" w:hAnsi="宋体" w:eastAsia="宋体" w:cs="宋体"/>
          <w:b/>
          <w:spacing w:val="-6"/>
          <w:szCs w:val="21"/>
        </w:rPr>
      </w:pPr>
      <w:r>
        <w:rPr>
          <w:rFonts w:ascii="宋体" w:hAnsi="宋体" w:eastAsia="宋体" w:cs="Times New Roman"/>
          <w:bCs/>
          <w:spacing w:val="-6"/>
          <w:szCs w:val="21"/>
        </w:rPr>
        <w:br w:type="page"/>
      </w:r>
      <w:r>
        <w:rPr>
          <w:rFonts w:hint="eastAsia" w:ascii="宋体" w:hAnsi="宋体" w:eastAsia="宋体" w:cs="宋体"/>
          <w:b/>
          <w:spacing w:val="-6"/>
          <w:szCs w:val="21"/>
        </w:rPr>
        <w:t>（</w:t>
      </w:r>
      <w:r>
        <w:rPr>
          <w:rFonts w:ascii="宋体" w:hAnsi="宋体" w:eastAsia="宋体" w:cs="宋体"/>
          <w:b/>
          <w:spacing w:val="-6"/>
          <w:szCs w:val="21"/>
        </w:rPr>
        <w:t>2）符合参加政府采购活动应当具备的一般条件的承诺函</w:t>
      </w:r>
    </w:p>
    <w:p>
      <w:pPr>
        <w:adjustRightInd w:val="0"/>
        <w:snapToGrid w:val="0"/>
        <w:spacing w:line="288" w:lineRule="auto"/>
        <w:rPr>
          <w:rFonts w:ascii="宋体" w:hAnsi="宋体" w:eastAsia="宋体" w:cs="Times New Roman"/>
          <w:b/>
          <w:bCs/>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致：浙江财经大学、浙江求是招标代理有限公司</w:t>
      </w:r>
    </w:p>
    <w:p>
      <w:pPr>
        <w:adjustRightInd w:val="0"/>
        <w:snapToGrid w:val="0"/>
        <w:spacing w:line="288" w:lineRule="auto"/>
        <w:ind w:firstLine="396" w:firstLineChars="200"/>
        <w:rPr>
          <w:rFonts w:ascii="宋体" w:hAnsi="宋体" w:eastAsia="宋体" w:cs="Times New Roman"/>
          <w:spacing w:val="-6"/>
          <w:szCs w:val="21"/>
        </w:rPr>
      </w:pP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我方</w:t>
      </w:r>
      <w:r>
        <w:rPr>
          <w:rFonts w:hint="eastAsia" w:ascii="宋体" w:hAnsi="宋体" w:eastAsia="宋体" w:cs="Times New Roman"/>
          <w:spacing w:val="-6"/>
          <w:szCs w:val="21"/>
          <w:u w:val="single"/>
        </w:rPr>
        <w:t xml:space="preserve">（投标人名称） </w:t>
      </w:r>
      <w:r>
        <w:rPr>
          <w:rFonts w:ascii="宋体" w:hAnsi="宋体" w:eastAsia="宋体" w:cs="Times New Roman"/>
          <w:spacing w:val="-6"/>
          <w:szCs w:val="21"/>
          <w:u w:val="single"/>
        </w:rPr>
        <w:t xml:space="preserve">     </w:t>
      </w:r>
      <w:r>
        <w:rPr>
          <w:rFonts w:hint="eastAsia" w:ascii="宋体" w:hAnsi="宋体" w:eastAsia="宋体" w:cs="Times New Roman"/>
          <w:spacing w:val="-6"/>
          <w:szCs w:val="21"/>
          <w:u w:val="single"/>
        </w:rPr>
        <w:t xml:space="preserve"> </w:t>
      </w:r>
      <w:r>
        <w:rPr>
          <w:rFonts w:ascii="宋体" w:hAnsi="宋体" w:eastAsia="宋体" w:cs="Times New Roman"/>
          <w:spacing w:val="-6"/>
          <w:szCs w:val="21"/>
          <w:u w:val="single"/>
        </w:rPr>
        <w:t xml:space="preserve"> </w:t>
      </w:r>
      <w:r>
        <w:rPr>
          <w:rFonts w:hint="eastAsia" w:ascii="宋体" w:hAnsi="宋体" w:eastAsia="宋体" w:cs="Times New Roman"/>
          <w:spacing w:val="-6"/>
          <w:szCs w:val="21"/>
        </w:rPr>
        <w:t>参加</w:t>
      </w:r>
      <w:r>
        <w:rPr>
          <w:rFonts w:hint="eastAsia" w:ascii="宋体" w:hAnsi="宋体" w:eastAsia="宋体" w:cs="Times New Roman"/>
          <w:spacing w:val="-6"/>
          <w:szCs w:val="21"/>
          <w:u w:val="single"/>
        </w:rPr>
        <w:t xml:space="preserve">（项目名称） </w:t>
      </w:r>
      <w:r>
        <w:rPr>
          <w:rFonts w:ascii="宋体" w:hAnsi="宋体" w:eastAsia="宋体" w:cs="Times New Roman"/>
          <w:spacing w:val="-6"/>
          <w:szCs w:val="21"/>
          <w:u w:val="single"/>
        </w:rPr>
        <w:t xml:space="preserve">      </w:t>
      </w:r>
      <w:r>
        <w:rPr>
          <w:rFonts w:hint="eastAsia" w:ascii="宋体" w:hAnsi="宋体" w:eastAsia="宋体" w:cs="Times New Roman"/>
          <w:spacing w:val="-6"/>
          <w:szCs w:val="21"/>
          <w:u w:val="single"/>
        </w:rPr>
        <w:t xml:space="preserve"> </w:t>
      </w:r>
      <w:r>
        <w:rPr>
          <w:rFonts w:hint="eastAsia" w:ascii="宋体" w:hAnsi="宋体" w:eastAsia="宋体" w:cs="Times New Roman"/>
          <w:spacing w:val="-6"/>
          <w:szCs w:val="21"/>
        </w:rPr>
        <w:t>项目的采购活动并承诺如下：</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一、我方满足《中华人民共和国政府采购法》第二十二条规定：</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（一）具有独立承担民事责任的能力；</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（二）具有良好的商业信誉和健全的财务会计制度；</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（三）具有履行合同所必需的设备和专业技术能力；</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（四）有依法缴纳税收和社会保障资金的良好记录；</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（五）参加本项目政府采购活动前三年内，在经营活动中</w:t>
      </w:r>
      <w:r>
        <w:rPr>
          <w:rFonts w:hint="eastAsia" w:ascii="宋体" w:hAnsi="宋体" w:eastAsia="宋体" w:cs="Times New Roman"/>
          <w:b/>
          <w:spacing w:val="-6"/>
          <w:szCs w:val="21"/>
          <w:u w:val="single"/>
        </w:rPr>
        <w:t xml:space="preserve">  没有  </w:t>
      </w:r>
      <w:r>
        <w:rPr>
          <w:rFonts w:hint="eastAsia" w:ascii="宋体" w:hAnsi="宋体" w:eastAsia="宋体" w:cs="Times New Roman"/>
          <w:spacing w:val="-6"/>
          <w:szCs w:val="21"/>
        </w:rPr>
        <w:t>重大违法记录。（重大违法记录是指投标人因违法经营受到刑事处罚或者责令停产停业、吊销许可证或者执照、较大数额罚款等行政处罚）</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（六）法律、行政法规规定的其他条件。</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二、未被信用中国（www.creditchina.gov.cn）</w:t>
      </w:r>
      <w:r>
        <w:rPr>
          <w:rFonts w:ascii="宋体" w:hAnsi="宋体" w:eastAsia="宋体" w:cs="Times New Roman"/>
          <w:spacing w:val="-6"/>
          <w:szCs w:val="21"/>
        </w:rPr>
        <w:t>、中国政府采购网（www.ccgp.gov.cn）列入失信被执行人、重大税收违法案件当事人名单、政府采购严重违法失信行为记录名单。</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三、不存在以下情况：</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w:t>
      </w:r>
      <w:r>
        <w:rPr>
          <w:rFonts w:ascii="宋体" w:hAnsi="宋体" w:eastAsia="宋体" w:cs="Times New Roman"/>
          <w:spacing w:val="-6"/>
          <w:szCs w:val="21"/>
        </w:rPr>
        <w:t>单位负责人为同一人或者存在直接控股、管理关系的不同供应商参加同一合同项下的政府采购活动的；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w:t>
      </w:r>
      <w:r>
        <w:rPr>
          <w:rFonts w:ascii="宋体" w:hAnsi="宋体" w:eastAsia="宋体" w:cs="Times New Roman"/>
          <w:spacing w:val="-6"/>
          <w:szCs w:val="21"/>
        </w:rPr>
        <w:t>为采购项目提供整体设计、规范编制或者项目管理、监理、检测等服务后再参加该采购项目的其他采购活动的。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四、</w:t>
      </w:r>
      <w:r>
        <w:rPr>
          <w:rFonts w:ascii="宋体" w:hAnsi="宋体" w:eastAsia="宋体" w:cs="Times New Roman"/>
          <w:spacing w:val="-6"/>
          <w:szCs w:val="21"/>
        </w:rPr>
        <w:t>以上事项如有虚假或隐瞒，我方愿意承担一切后果和责任。</w:t>
      </w:r>
    </w:p>
    <w:p>
      <w:pPr>
        <w:adjustRightInd w:val="0"/>
        <w:snapToGrid w:val="0"/>
        <w:spacing w:line="288" w:lineRule="auto"/>
        <w:rPr>
          <w:rFonts w:ascii="宋体" w:hAnsi="宋体" w:eastAsia="宋体" w:cs="Times New Roman"/>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p>
      <w:pPr>
        <w:widowControl/>
        <w:adjustRightInd w:val="0"/>
        <w:snapToGrid w:val="0"/>
        <w:spacing w:line="288" w:lineRule="auto"/>
        <w:jc w:val="left"/>
        <w:rPr>
          <w:rFonts w:ascii="宋体" w:hAnsi="宋体" w:eastAsia="宋体" w:cs="宋体"/>
          <w:b/>
          <w:spacing w:val="-6"/>
          <w:szCs w:val="21"/>
        </w:rPr>
      </w:pPr>
    </w:p>
    <w:p>
      <w:pPr>
        <w:widowControl/>
        <w:adjustRightInd w:val="0"/>
        <w:snapToGrid w:val="0"/>
        <w:spacing w:line="288" w:lineRule="auto"/>
        <w:jc w:val="left"/>
        <w:rPr>
          <w:rFonts w:ascii="宋体" w:hAnsi="宋体" w:eastAsia="宋体" w:cs="宋体"/>
          <w:b/>
          <w:spacing w:val="-6"/>
          <w:szCs w:val="21"/>
        </w:rPr>
      </w:pPr>
      <w:r>
        <w:rPr>
          <w:rFonts w:ascii="宋体" w:hAnsi="宋体" w:eastAsia="宋体" w:cs="宋体"/>
          <w:b/>
          <w:spacing w:val="-6"/>
          <w:szCs w:val="21"/>
        </w:rPr>
        <w:br w:type="page"/>
      </w:r>
    </w:p>
    <w:p>
      <w:pPr>
        <w:adjustRightInd w:val="0"/>
        <w:snapToGrid w:val="0"/>
        <w:spacing w:line="288" w:lineRule="auto"/>
        <w:jc w:val="left"/>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3）落实政府采购政策需满足的资格要求：无</w:t>
      </w:r>
    </w:p>
    <w:p>
      <w:pPr>
        <w:adjustRightInd w:val="0"/>
        <w:snapToGrid w:val="0"/>
        <w:spacing w:line="288" w:lineRule="auto"/>
        <w:jc w:val="left"/>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4</w:t>
      </w:r>
      <w:r>
        <w:rPr>
          <w:rFonts w:hint="eastAsia" w:ascii="宋体" w:hAnsi="宋体" w:eastAsia="宋体" w:cs="宋体"/>
          <w:b/>
          <w:spacing w:val="-6"/>
          <w:szCs w:val="21"/>
        </w:rPr>
        <w:t>）本项目的特定资格要求证明材料：无</w:t>
      </w:r>
    </w:p>
    <w:p>
      <w:pPr>
        <w:adjustRightInd w:val="0"/>
        <w:snapToGrid w:val="0"/>
        <w:spacing w:line="288" w:lineRule="auto"/>
        <w:rPr>
          <w:rFonts w:ascii="宋体" w:hAnsi="宋体" w:eastAsia="宋体" w:cs="Times New Roman"/>
          <w:b/>
          <w:spacing w:val="-6"/>
          <w:szCs w:val="21"/>
        </w:rPr>
      </w:pPr>
      <w:r>
        <w:rPr>
          <w:rFonts w:ascii="宋体" w:hAnsi="宋体" w:eastAsia="宋体" w:cs="Times New Roman"/>
          <w:b/>
          <w:spacing w:val="-6"/>
          <w:szCs w:val="21"/>
        </w:rPr>
        <w:br w:type="page"/>
      </w:r>
    </w:p>
    <w:p>
      <w:pPr>
        <w:overflowPunct w:val="0"/>
        <w:adjustRightInd w:val="0"/>
        <w:snapToGrid w:val="0"/>
        <w:spacing w:line="288" w:lineRule="auto"/>
        <w:jc w:val="center"/>
        <w:outlineLvl w:val="1"/>
        <w:rPr>
          <w:rFonts w:ascii="宋体" w:hAnsi="宋体" w:eastAsia="宋体" w:cs="Times New Roman"/>
          <w:bCs/>
          <w:spacing w:val="-6"/>
          <w:sz w:val="84"/>
          <w:szCs w:val="84"/>
        </w:rPr>
      </w:pPr>
      <w:r>
        <w:rPr>
          <w:rFonts w:hint="eastAsia" w:ascii="宋体" w:hAnsi="宋体" w:eastAsia="宋体" w:cs="Times New Roman"/>
          <w:b/>
          <w:spacing w:val="-6"/>
          <w:sz w:val="84"/>
          <w:szCs w:val="84"/>
        </w:rPr>
        <w:t>商务和技术文件</w:t>
      </w:r>
    </w:p>
    <w:p>
      <w:pPr>
        <w:widowControl/>
        <w:adjustRightInd w:val="0"/>
        <w:snapToGrid w:val="0"/>
        <w:spacing w:line="288" w:lineRule="auto"/>
        <w:jc w:val="left"/>
        <w:rPr>
          <w:rFonts w:ascii="宋体" w:hAnsi="宋体" w:eastAsia="宋体" w:cs="宋体"/>
          <w:b/>
          <w:spacing w:val="-6"/>
          <w:szCs w:val="21"/>
        </w:rPr>
      </w:pPr>
      <w:r>
        <w:rPr>
          <w:rFonts w:ascii="宋体" w:hAnsi="宋体" w:eastAsia="宋体" w:cs="宋体"/>
          <w:b/>
          <w:spacing w:val="-6"/>
          <w:szCs w:val="21"/>
        </w:rPr>
        <w:br w:type="page"/>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t>（1）投标函</w:t>
      </w:r>
    </w:p>
    <w:p>
      <w:pPr>
        <w:adjustRightInd w:val="0"/>
        <w:snapToGrid w:val="0"/>
        <w:spacing w:line="288" w:lineRule="auto"/>
        <w:rPr>
          <w:rFonts w:ascii="宋体" w:hAnsi="宋体" w:eastAsia="宋体" w:cs="Times New Roman"/>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致：浙江财经大学、浙江求是招标代理有限公司</w:t>
      </w:r>
    </w:p>
    <w:p>
      <w:pPr>
        <w:adjustRightInd w:val="0"/>
        <w:snapToGrid w:val="0"/>
        <w:spacing w:line="288" w:lineRule="auto"/>
        <w:ind w:firstLine="396" w:firstLineChars="200"/>
        <w:rPr>
          <w:rFonts w:ascii="宋体" w:hAnsi="宋体" w:eastAsia="宋体" w:cs="Times New Roman"/>
          <w:spacing w:val="-6"/>
          <w:szCs w:val="21"/>
          <w:highlight w:val="cyan"/>
        </w:rPr>
      </w:pP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我方参加</w:t>
      </w:r>
      <w:r>
        <w:rPr>
          <w:rFonts w:hint="eastAsia" w:ascii="宋体" w:hAnsi="宋体" w:eastAsia="宋体" w:cs="Times New Roman"/>
          <w:bCs/>
          <w:spacing w:val="-6"/>
          <w:szCs w:val="21"/>
          <w:u w:val="single"/>
        </w:rPr>
        <w:t>浙江财经大学学生生活区组团厨房设备</w:t>
      </w:r>
      <w:r>
        <w:rPr>
          <w:rFonts w:hint="eastAsia" w:ascii="宋体" w:hAnsi="宋体" w:eastAsia="宋体" w:cs="Times New Roman"/>
          <w:spacing w:val="-6"/>
          <w:szCs w:val="21"/>
          <w:u w:val="single"/>
        </w:rPr>
        <w:t>（项目编号</w:t>
      </w:r>
      <w:r>
        <w:rPr>
          <w:rFonts w:hint="eastAsia" w:ascii="宋体" w:hAnsi="宋体" w:eastAsia="宋体" w:cs="Times New Roman"/>
          <w:bCs/>
          <w:spacing w:val="-6"/>
          <w:szCs w:val="21"/>
          <w:u w:val="single"/>
        </w:rPr>
        <w:t xml:space="preserve">：QSZB-Z(H)-E22190(GK) </w:t>
      </w:r>
      <w:r>
        <w:rPr>
          <w:rFonts w:hint="eastAsia" w:ascii="宋体" w:hAnsi="宋体" w:eastAsia="宋体" w:cs="Times New Roman"/>
          <w:spacing w:val="-6"/>
          <w:szCs w:val="21"/>
          <w:u w:val="single"/>
        </w:rPr>
        <w:t>）</w:t>
      </w:r>
      <w:r>
        <w:rPr>
          <w:rFonts w:hint="eastAsia" w:ascii="宋体" w:hAnsi="宋体" w:eastAsia="宋体" w:cs="Times New Roman"/>
          <w:spacing w:val="-6"/>
          <w:szCs w:val="21"/>
        </w:rPr>
        <w:t>项目，为此，我方提交电子加密投标文件一份、以介质（U盘）存储的数据电文形式的</w:t>
      </w:r>
      <w:r>
        <w:rPr>
          <w:rFonts w:hint="eastAsia" w:ascii="宋体" w:hAnsi="宋体" w:eastAsia="宋体" w:cs="Times New Roman"/>
          <w:spacing w:val="-6"/>
          <w:szCs w:val="21"/>
          <w:u w:val="single"/>
        </w:rPr>
        <w:t xml:space="preserve">备份投标文件 </w:t>
      </w:r>
      <w:r>
        <w:rPr>
          <w:rFonts w:ascii="宋体" w:hAnsi="宋体" w:eastAsia="宋体" w:cs="Times New Roman"/>
          <w:spacing w:val="-6"/>
          <w:szCs w:val="21"/>
          <w:u w:val="single"/>
        </w:rPr>
        <w:t xml:space="preserve">   </w:t>
      </w:r>
      <w:r>
        <w:rPr>
          <w:rFonts w:hint="eastAsia" w:ascii="宋体" w:hAnsi="宋体" w:eastAsia="宋体" w:cs="Times New Roman"/>
          <w:spacing w:val="-6"/>
          <w:szCs w:val="21"/>
          <w:u w:val="single"/>
        </w:rPr>
        <w:t>份</w:t>
      </w:r>
      <w:r>
        <w:rPr>
          <w:rFonts w:hint="eastAsia" w:ascii="宋体" w:hAnsi="宋体" w:eastAsia="宋体" w:cs="Times New Roman"/>
          <w:spacing w:val="-6"/>
          <w:szCs w:val="21"/>
        </w:rPr>
        <w:t>。宣布同意如下：</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w:t>
      </w:r>
      <w:r>
        <w:rPr>
          <w:rFonts w:ascii="宋体" w:hAnsi="宋体" w:eastAsia="宋体" w:cs="Times New Roman"/>
          <w:spacing w:val="-6"/>
          <w:szCs w:val="21"/>
        </w:rPr>
        <w:t>.</w:t>
      </w:r>
      <w:r>
        <w:rPr>
          <w:rFonts w:hint="eastAsia" w:ascii="宋体" w:hAnsi="宋体" w:eastAsia="宋体" w:cs="Times New Roman"/>
          <w:spacing w:val="-6"/>
          <w:szCs w:val="21"/>
        </w:rPr>
        <w:t>我方已详细审查全部“招标文件”，包括修改文件（如有）以及全部参考资料和有关附件，已经了解我方对于招标文件、招标过程、中标结果有依法进行询问、质疑、投诉的权利及相关渠道和要求。</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w:t>
      </w:r>
      <w:r>
        <w:rPr>
          <w:rFonts w:ascii="宋体" w:hAnsi="宋体" w:eastAsia="宋体" w:cs="Times New Roman"/>
          <w:spacing w:val="-6"/>
          <w:szCs w:val="21"/>
        </w:rPr>
        <w:t>.</w:t>
      </w:r>
      <w:r>
        <w:rPr>
          <w:rFonts w:hint="eastAsia" w:ascii="宋体" w:hAnsi="宋体" w:eastAsia="宋体" w:cs="Times New Roman"/>
          <w:spacing w:val="-6"/>
          <w:szCs w:val="21"/>
        </w:rPr>
        <w:t>我方在投标之前已经与贵方进行了充分的沟通，完全理解并接受招标文件的各项规定和要求，对招标文件的合理性、合法性不再有异议。</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w:t>
      </w:r>
      <w:r>
        <w:rPr>
          <w:rFonts w:ascii="宋体" w:hAnsi="宋体" w:eastAsia="宋体" w:cs="Times New Roman"/>
          <w:spacing w:val="-6"/>
          <w:szCs w:val="21"/>
        </w:rPr>
        <w:t>.</w:t>
      </w:r>
      <w:r>
        <w:rPr>
          <w:rFonts w:hint="eastAsia" w:ascii="宋体" w:hAnsi="宋体" w:eastAsia="宋体" w:cs="Times New Roman"/>
          <w:spacing w:val="-6"/>
          <w:szCs w:val="21"/>
        </w:rPr>
        <w:t>投标有效期自提交投标文件的截止之日起</w:t>
      </w:r>
      <w:r>
        <w:rPr>
          <w:rFonts w:hint="eastAsia" w:ascii="宋体" w:hAnsi="宋体" w:eastAsia="宋体" w:cs="Times New Roman"/>
          <w:bCs/>
          <w:spacing w:val="-6"/>
          <w:szCs w:val="21"/>
          <w:u w:val="single"/>
        </w:rPr>
        <w:t xml:space="preserve"> 90</w:t>
      </w:r>
      <w:r>
        <w:rPr>
          <w:rFonts w:ascii="宋体" w:hAnsi="宋体" w:eastAsia="宋体" w:cs="Times New Roman"/>
          <w:bCs/>
          <w:spacing w:val="-6"/>
          <w:szCs w:val="21"/>
          <w:u w:val="single"/>
        </w:rPr>
        <w:t xml:space="preserve"> </w:t>
      </w:r>
      <w:r>
        <w:rPr>
          <w:rFonts w:hint="eastAsia" w:ascii="宋体" w:hAnsi="宋体" w:eastAsia="宋体" w:cs="Times New Roman"/>
          <w:spacing w:val="-6"/>
          <w:szCs w:val="21"/>
        </w:rPr>
        <w:t>天。</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4</w:t>
      </w:r>
      <w:r>
        <w:rPr>
          <w:rFonts w:ascii="宋体" w:hAnsi="宋体" w:eastAsia="宋体" w:cs="Times New Roman"/>
          <w:spacing w:val="-6"/>
          <w:szCs w:val="21"/>
        </w:rPr>
        <w:t>.</w:t>
      </w:r>
      <w:r>
        <w:rPr>
          <w:rFonts w:hint="eastAsia" w:ascii="宋体" w:hAnsi="宋体" w:eastAsia="宋体" w:cs="Times New Roman"/>
          <w:spacing w:val="-6"/>
          <w:szCs w:val="21"/>
        </w:rPr>
        <w:t>如中标，本投标文件至本项目合同履行完毕止均保持有效，我方将按“招标文件”及政府采购法律、法规的规定履行合同责任和义务。关于代理服务费，我方承诺按照招标文件的规定履行并承担相应的责任。</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5</w:t>
      </w:r>
      <w:r>
        <w:rPr>
          <w:rFonts w:ascii="宋体" w:hAnsi="宋体" w:eastAsia="宋体" w:cs="Times New Roman"/>
          <w:spacing w:val="-6"/>
          <w:szCs w:val="21"/>
        </w:rPr>
        <w:t>.</w:t>
      </w:r>
      <w:r>
        <w:rPr>
          <w:rFonts w:hint="eastAsia" w:ascii="宋体" w:hAnsi="宋体" w:eastAsia="宋体" w:cs="Times New Roman"/>
          <w:spacing w:val="-6"/>
          <w:szCs w:val="21"/>
        </w:rPr>
        <w:t>我方同意按照贵方要求提供与投标有关的一切数据或资料。</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6</w:t>
      </w:r>
      <w:r>
        <w:rPr>
          <w:rFonts w:ascii="宋体" w:hAnsi="宋体" w:eastAsia="宋体" w:cs="Times New Roman"/>
          <w:spacing w:val="-6"/>
          <w:szCs w:val="21"/>
        </w:rPr>
        <w:t>.</w:t>
      </w:r>
      <w:r>
        <w:rPr>
          <w:rFonts w:hint="eastAsia" w:ascii="宋体" w:hAnsi="宋体" w:eastAsia="宋体" w:cs="Times New Roman"/>
          <w:spacing w:val="-6"/>
          <w:szCs w:val="21"/>
        </w:rPr>
        <w:t>与本投标有关的一切正式往来信函联系：</w:t>
      </w:r>
    </w:p>
    <w:tbl>
      <w:tblPr>
        <w:tblStyle w:val="27"/>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6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adjustRightInd w:val="0"/>
              <w:snapToGrid w:val="0"/>
              <w:spacing w:before="120" w:after="120" w:line="288" w:lineRule="auto"/>
              <w:rPr>
                <w:rFonts w:ascii="宋体" w:hAnsi="宋体" w:eastAsia="宋体" w:cs="Times New Roman"/>
                <w:spacing w:val="-6"/>
                <w:szCs w:val="21"/>
              </w:rPr>
            </w:pPr>
            <w:r>
              <w:rPr>
                <w:rFonts w:hint="eastAsia" w:ascii="宋体" w:hAnsi="宋体" w:eastAsia="宋体" w:cs="Times New Roman"/>
                <w:spacing w:val="-6"/>
                <w:szCs w:val="21"/>
              </w:rPr>
              <w:t>联系人：</w:t>
            </w:r>
          </w:p>
        </w:tc>
        <w:tc>
          <w:tcPr>
            <w:tcW w:w="6808" w:type="dxa"/>
          </w:tcPr>
          <w:p>
            <w:pPr>
              <w:adjustRightInd w:val="0"/>
              <w:snapToGrid w:val="0"/>
              <w:spacing w:before="120" w:after="120" w:line="288" w:lineRule="auto"/>
              <w:rPr>
                <w:rFonts w:ascii="宋体" w:hAnsi="宋体" w:eastAsia="宋体" w:cs="Times New Roman"/>
                <w:spacing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adjustRightInd w:val="0"/>
              <w:snapToGrid w:val="0"/>
              <w:spacing w:before="120" w:after="120" w:line="288" w:lineRule="auto"/>
              <w:rPr>
                <w:rFonts w:ascii="宋体" w:hAnsi="宋体" w:eastAsia="宋体" w:cs="Times New Roman"/>
                <w:spacing w:val="-6"/>
                <w:szCs w:val="21"/>
              </w:rPr>
            </w:pPr>
            <w:r>
              <w:rPr>
                <w:rFonts w:hint="eastAsia" w:ascii="宋体" w:hAnsi="宋体" w:eastAsia="宋体" w:cs="Times New Roman"/>
                <w:spacing w:val="-6"/>
                <w:szCs w:val="21"/>
              </w:rPr>
              <w:t>职务：</w:t>
            </w:r>
          </w:p>
        </w:tc>
        <w:tc>
          <w:tcPr>
            <w:tcW w:w="6808" w:type="dxa"/>
          </w:tcPr>
          <w:p>
            <w:pPr>
              <w:adjustRightInd w:val="0"/>
              <w:snapToGrid w:val="0"/>
              <w:spacing w:before="120" w:after="120" w:line="288" w:lineRule="auto"/>
              <w:rPr>
                <w:rFonts w:ascii="宋体" w:hAnsi="宋体" w:eastAsia="宋体" w:cs="Times New Roman"/>
                <w:spacing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adjustRightInd w:val="0"/>
              <w:snapToGrid w:val="0"/>
              <w:spacing w:before="120" w:after="120" w:line="288" w:lineRule="auto"/>
              <w:rPr>
                <w:rFonts w:ascii="宋体" w:hAnsi="宋体" w:eastAsia="宋体" w:cs="Times New Roman"/>
                <w:spacing w:val="-6"/>
                <w:szCs w:val="21"/>
              </w:rPr>
            </w:pPr>
            <w:r>
              <w:rPr>
                <w:rFonts w:hint="eastAsia" w:ascii="宋体" w:hAnsi="宋体" w:eastAsia="宋体" w:cs="Times New Roman"/>
                <w:spacing w:val="-6"/>
                <w:szCs w:val="21"/>
              </w:rPr>
              <w:t>手机：</w:t>
            </w:r>
          </w:p>
        </w:tc>
        <w:tc>
          <w:tcPr>
            <w:tcW w:w="6808" w:type="dxa"/>
          </w:tcPr>
          <w:p>
            <w:pPr>
              <w:adjustRightInd w:val="0"/>
              <w:snapToGrid w:val="0"/>
              <w:spacing w:before="120" w:after="120" w:line="288" w:lineRule="auto"/>
              <w:rPr>
                <w:rFonts w:ascii="宋体" w:hAnsi="宋体" w:eastAsia="宋体" w:cs="Times New Roman"/>
                <w:spacing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adjustRightInd w:val="0"/>
              <w:snapToGrid w:val="0"/>
              <w:spacing w:before="120" w:after="120" w:line="288" w:lineRule="auto"/>
              <w:rPr>
                <w:rFonts w:ascii="宋体" w:hAnsi="宋体" w:eastAsia="宋体" w:cs="Times New Roman"/>
                <w:spacing w:val="-6"/>
                <w:szCs w:val="21"/>
              </w:rPr>
            </w:pPr>
            <w:r>
              <w:rPr>
                <w:rFonts w:hint="eastAsia" w:ascii="宋体" w:hAnsi="宋体" w:eastAsia="宋体" w:cs="Times New Roman"/>
                <w:spacing w:val="-6"/>
                <w:szCs w:val="21"/>
              </w:rPr>
              <w:t>电子邮箱：</w:t>
            </w:r>
          </w:p>
        </w:tc>
        <w:tc>
          <w:tcPr>
            <w:tcW w:w="6808" w:type="dxa"/>
          </w:tcPr>
          <w:p>
            <w:pPr>
              <w:adjustRightInd w:val="0"/>
              <w:snapToGrid w:val="0"/>
              <w:spacing w:before="120" w:after="120" w:line="288" w:lineRule="auto"/>
              <w:rPr>
                <w:rFonts w:ascii="宋体" w:hAnsi="宋体" w:eastAsia="宋体" w:cs="Times New Roman"/>
                <w:spacing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adjustRightInd w:val="0"/>
              <w:snapToGrid w:val="0"/>
              <w:spacing w:before="120" w:after="120" w:line="288" w:lineRule="auto"/>
              <w:rPr>
                <w:rFonts w:ascii="宋体" w:hAnsi="宋体" w:eastAsia="宋体" w:cs="Times New Roman"/>
                <w:spacing w:val="-6"/>
                <w:szCs w:val="21"/>
              </w:rPr>
            </w:pPr>
            <w:r>
              <w:rPr>
                <w:rFonts w:hint="eastAsia" w:ascii="宋体" w:hAnsi="宋体" w:eastAsia="宋体" w:cs="Times New Roman"/>
                <w:spacing w:val="-6"/>
                <w:szCs w:val="21"/>
              </w:rPr>
              <w:t>地址：</w:t>
            </w:r>
          </w:p>
        </w:tc>
        <w:tc>
          <w:tcPr>
            <w:tcW w:w="6808" w:type="dxa"/>
          </w:tcPr>
          <w:p>
            <w:pPr>
              <w:adjustRightInd w:val="0"/>
              <w:snapToGrid w:val="0"/>
              <w:spacing w:before="120" w:after="120" w:line="288" w:lineRule="auto"/>
              <w:rPr>
                <w:rFonts w:ascii="宋体" w:hAnsi="宋体" w:eastAsia="宋体" w:cs="Times New Roman"/>
                <w:spacing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adjustRightInd w:val="0"/>
              <w:snapToGrid w:val="0"/>
              <w:spacing w:before="120" w:after="120" w:line="288" w:lineRule="auto"/>
              <w:rPr>
                <w:rFonts w:ascii="宋体" w:hAnsi="宋体" w:eastAsia="宋体" w:cs="Times New Roman"/>
                <w:spacing w:val="-6"/>
                <w:szCs w:val="21"/>
              </w:rPr>
            </w:pPr>
            <w:r>
              <w:rPr>
                <w:rFonts w:hint="eastAsia" w:ascii="宋体" w:hAnsi="宋体" w:eastAsia="宋体" w:cs="Times New Roman"/>
                <w:spacing w:val="-6"/>
                <w:szCs w:val="21"/>
              </w:rPr>
              <w:t>开户银行：</w:t>
            </w:r>
          </w:p>
        </w:tc>
        <w:tc>
          <w:tcPr>
            <w:tcW w:w="6808" w:type="dxa"/>
          </w:tcPr>
          <w:p>
            <w:pPr>
              <w:adjustRightInd w:val="0"/>
              <w:snapToGrid w:val="0"/>
              <w:spacing w:before="120" w:after="120" w:line="288" w:lineRule="auto"/>
              <w:rPr>
                <w:rFonts w:ascii="宋体" w:hAnsi="宋体" w:eastAsia="宋体" w:cs="Times New Roman"/>
                <w:spacing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adjustRightInd w:val="0"/>
              <w:snapToGrid w:val="0"/>
              <w:spacing w:before="120" w:after="120" w:line="288" w:lineRule="auto"/>
              <w:rPr>
                <w:rFonts w:ascii="宋体" w:hAnsi="宋体" w:eastAsia="宋体" w:cs="Times New Roman"/>
                <w:spacing w:val="-6"/>
                <w:szCs w:val="21"/>
              </w:rPr>
            </w:pPr>
            <w:r>
              <w:rPr>
                <w:rFonts w:hint="eastAsia" w:ascii="宋体" w:hAnsi="宋体" w:eastAsia="宋体" w:cs="Times New Roman"/>
                <w:spacing w:val="-6"/>
                <w:szCs w:val="21"/>
              </w:rPr>
              <w:t>银行账号：</w:t>
            </w:r>
          </w:p>
        </w:tc>
        <w:tc>
          <w:tcPr>
            <w:tcW w:w="6808" w:type="dxa"/>
          </w:tcPr>
          <w:p>
            <w:pPr>
              <w:adjustRightInd w:val="0"/>
              <w:snapToGrid w:val="0"/>
              <w:spacing w:before="120" w:after="120" w:line="288" w:lineRule="auto"/>
              <w:rPr>
                <w:rFonts w:ascii="宋体" w:hAnsi="宋体" w:eastAsia="宋体" w:cs="Times New Roman"/>
                <w:spacing w:val="-6"/>
                <w:szCs w:val="21"/>
              </w:rPr>
            </w:pPr>
          </w:p>
        </w:tc>
      </w:tr>
    </w:tbl>
    <w:p>
      <w:pPr>
        <w:adjustRightInd w:val="0"/>
        <w:snapToGrid w:val="0"/>
        <w:spacing w:line="288" w:lineRule="auto"/>
        <w:rPr>
          <w:rFonts w:ascii="宋体" w:hAnsi="宋体" w:eastAsia="宋体" w:cs="Times New Roman"/>
          <w:spacing w:val="-6"/>
          <w:szCs w:val="21"/>
        </w:rPr>
      </w:pPr>
    </w:p>
    <w:p>
      <w:pPr>
        <w:adjustRightInd w:val="0"/>
        <w:snapToGrid w:val="0"/>
        <w:spacing w:line="288" w:lineRule="auto"/>
        <w:rPr>
          <w:rFonts w:ascii="宋体" w:hAnsi="宋体" w:eastAsia="宋体" w:cs="Times New Roman"/>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p>
      <w:pPr>
        <w:widowControl/>
        <w:adjustRightInd w:val="0"/>
        <w:snapToGrid w:val="0"/>
        <w:spacing w:line="288" w:lineRule="auto"/>
        <w:jc w:val="left"/>
        <w:rPr>
          <w:rFonts w:ascii="宋体" w:hAnsi="宋体" w:eastAsia="宋体" w:cs="Times New Roman"/>
          <w:b/>
          <w:spacing w:val="-6"/>
          <w:szCs w:val="21"/>
        </w:rPr>
      </w:pPr>
      <w:r>
        <w:rPr>
          <w:rFonts w:ascii="宋体" w:hAnsi="宋体" w:eastAsia="宋体" w:cs="Times New Roman"/>
          <w:b/>
          <w:spacing w:val="-6"/>
          <w:szCs w:val="21"/>
        </w:rPr>
        <w:br w:type="page"/>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2</w:t>
      </w:r>
      <w:r>
        <w:rPr>
          <w:rFonts w:hint="eastAsia" w:ascii="宋体" w:hAnsi="宋体" w:eastAsia="宋体" w:cs="宋体"/>
          <w:b/>
          <w:spacing w:val="-6"/>
          <w:szCs w:val="21"/>
        </w:rPr>
        <w:t>）法定代表人授权委托书</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Cs/>
          <w:spacing w:val="-6"/>
          <w:szCs w:val="21"/>
        </w:rPr>
        <w:t>致：浙江财经大学、</w:t>
      </w:r>
      <w:r>
        <w:rPr>
          <w:rFonts w:hint="eastAsia" w:ascii="宋体" w:hAnsi="宋体" w:eastAsia="宋体" w:cs="Times New Roman"/>
          <w:spacing w:val="-6"/>
          <w:szCs w:val="21"/>
        </w:rPr>
        <w:t>浙江求是招标代理有限公司</w:t>
      </w:r>
    </w:p>
    <w:p>
      <w:pPr>
        <w:adjustRightInd w:val="0"/>
        <w:snapToGrid w:val="0"/>
        <w:spacing w:line="288" w:lineRule="auto"/>
        <w:ind w:firstLine="396" w:firstLineChars="200"/>
        <w:rPr>
          <w:rFonts w:ascii="宋体" w:hAnsi="宋体" w:eastAsia="宋体" w:cs="Times New Roman"/>
          <w:bCs/>
          <w:spacing w:val="-6"/>
          <w:szCs w:val="21"/>
        </w:rPr>
      </w:pPr>
      <w:r>
        <w:rPr>
          <w:rFonts w:hint="eastAsia" w:ascii="宋体" w:hAnsi="宋体" w:eastAsia="宋体" w:cs="Times New Roman"/>
          <w:bCs/>
          <w:spacing w:val="-6"/>
          <w:szCs w:val="21"/>
        </w:rPr>
        <w:t>我</w:t>
      </w:r>
      <w:r>
        <w:rPr>
          <w:rFonts w:ascii="宋体" w:hAnsi="宋体" w:eastAsia="宋体" w:cs="Times New Roman"/>
          <w:spacing w:val="-6"/>
          <w:szCs w:val="21"/>
        </w:rPr>
        <w:t>________________</w:t>
      </w:r>
      <w:r>
        <w:rPr>
          <w:rFonts w:hint="eastAsia" w:ascii="宋体" w:hAnsi="宋体" w:eastAsia="宋体" w:cs="Times New Roman"/>
          <w:spacing w:val="-6"/>
          <w:szCs w:val="21"/>
        </w:rPr>
        <w:t>（</w:t>
      </w:r>
      <w:r>
        <w:rPr>
          <w:rFonts w:ascii="宋体" w:hAnsi="宋体" w:eastAsia="宋体" w:cs="Times New Roman"/>
          <w:bCs/>
          <w:spacing w:val="-6"/>
          <w:szCs w:val="21"/>
        </w:rPr>
        <w:t>姓名</w:t>
      </w:r>
      <w:r>
        <w:rPr>
          <w:rFonts w:hint="eastAsia" w:ascii="宋体" w:hAnsi="宋体" w:eastAsia="宋体" w:cs="Times New Roman"/>
          <w:bCs/>
          <w:spacing w:val="-6"/>
          <w:szCs w:val="21"/>
        </w:rPr>
        <w:t>）</w:t>
      </w:r>
      <w:r>
        <w:rPr>
          <w:rFonts w:ascii="宋体" w:hAnsi="宋体" w:eastAsia="宋体" w:cs="Times New Roman"/>
          <w:bCs/>
          <w:spacing w:val="-6"/>
          <w:szCs w:val="21"/>
        </w:rPr>
        <w:t>系</w:t>
      </w:r>
      <w:r>
        <w:rPr>
          <w:rFonts w:hint="eastAsia" w:ascii="宋体" w:hAnsi="宋体" w:eastAsia="宋体" w:cs="Times New Roman"/>
          <w:bCs/>
          <w:spacing w:val="-6"/>
          <w:szCs w:val="21"/>
        </w:rPr>
        <w:t>_________________________（投标人名称）</w:t>
      </w:r>
      <w:r>
        <w:rPr>
          <w:rFonts w:ascii="宋体" w:hAnsi="宋体" w:eastAsia="宋体" w:cs="Times New Roman"/>
          <w:bCs/>
          <w:spacing w:val="-6"/>
          <w:szCs w:val="21"/>
        </w:rPr>
        <w:t>的法定代表人，身份证</w:t>
      </w:r>
      <w:r>
        <w:rPr>
          <w:rFonts w:hint="eastAsia" w:ascii="宋体" w:hAnsi="宋体" w:eastAsia="宋体" w:cs="Times New Roman"/>
          <w:bCs/>
          <w:spacing w:val="-6"/>
          <w:szCs w:val="21"/>
        </w:rPr>
        <w:t>号码：_________________________________。</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现授权委托本单位在职职工：</w:t>
      </w:r>
      <w:r>
        <w:rPr>
          <w:rFonts w:ascii="宋体" w:hAnsi="宋体" w:eastAsia="宋体" w:cs="Times New Roman"/>
          <w:spacing w:val="-6"/>
          <w:szCs w:val="21"/>
        </w:rPr>
        <w:t>_________</w:t>
      </w:r>
      <w:r>
        <w:rPr>
          <w:rFonts w:hint="eastAsia" w:ascii="宋体" w:hAnsi="宋体" w:eastAsia="宋体" w:cs="Times New Roman"/>
          <w:spacing w:val="-6"/>
          <w:szCs w:val="21"/>
        </w:rPr>
        <w:t>（姓名），身份证号码：</w:t>
      </w:r>
      <w:r>
        <w:rPr>
          <w:rFonts w:ascii="宋体" w:hAnsi="宋体" w:eastAsia="宋体" w:cs="Times New Roman"/>
          <w:spacing w:val="-6"/>
          <w:szCs w:val="21"/>
        </w:rPr>
        <w:t>_______________</w:t>
      </w:r>
      <w:r>
        <w:rPr>
          <w:rFonts w:hint="eastAsia" w:ascii="宋体" w:hAnsi="宋体" w:eastAsia="宋体" w:cs="Times New Roman"/>
          <w:spacing w:val="-6"/>
          <w:szCs w:val="21"/>
        </w:rPr>
        <w:t>，以我方的名义参加</w:t>
      </w:r>
      <w:r>
        <w:rPr>
          <w:rFonts w:hint="eastAsia" w:ascii="宋体" w:hAnsi="宋体" w:eastAsia="宋体" w:cs="Times New Roman"/>
          <w:bCs/>
          <w:spacing w:val="-6"/>
          <w:szCs w:val="21"/>
        </w:rPr>
        <w:t>浙江财经大学学生生活区组团厨房设备标项</w:t>
      </w:r>
      <w:r>
        <w:rPr>
          <w:rFonts w:hint="eastAsia" w:ascii="宋体" w:hAnsi="宋体" w:eastAsia="宋体" w:cs="Times New Roman"/>
          <w:bCs/>
          <w:spacing w:val="-6"/>
          <w:szCs w:val="21"/>
          <w:u w:val="single"/>
        </w:rPr>
        <w:t xml:space="preserve">  </w:t>
      </w:r>
      <w:r>
        <w:rPr>
          <w:rFonts w:ascii="宋体" w:hAnsi="宋体" w:eastAsia="宋体" w:cs="Times New Roman"/>
          <w:bCs/>
          <w:spacing w:val="-6"/>
          <w:szCs w:val="21"/>
          <w:u w:val="single"/>
        </w:rPr>
        <w:t xml:space="preserve"> </w:t>
      </w:r>
      <w:r>
        <w:rPr>
          <w:rFonts w:hint="eastAsia" w:ascii="宋体" w:hAnsi="宋体" w:eastAsia="宋体" w:cs="Times New Roman"/>
          <w:bCs/>
          <w:spacing w:val="-6"/>
          <w:szCs w:val="21"/>
          <w:u w:val="single"/>
        </w:rPr>
        <w:t xml:space="preserve"> </w:t>
      </w:r>
      <w:r>
        <w:rPr>
          <w:rFonts w:hint="eastAsia" w:ascii="宋体" w:hAnsi="宋体" w:eastAsia="宋体" w:cs="Times New Roman"/>
          <w:spacing w:val="-6"/>
          <w:szCs w:val="21"/>
        </w:rPr>
        <w:t>的投标活动，并代表我方全权办理针对上述项目的投标、开标、评标、签约等具体事务和签署相关文件。</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我方对被授权人的签名负全部责任。</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在撤销授权的书面通知以前，本授权书一直有效。被授权人在授权书有效期内签署的所有文件不因授权的撤销而失效。</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被授权人无转委托权，特此委托。</w:t>
      </w:r>
    </w:p>
    <w:p>
      <w:pPr>
        <w:adjustRightInd w:val="0"/>
        <w:snapToGrid w:val="0"/>
        <w:spacing w:line="288" w:lineRule="auto"/>
        <w:ind w:firstLine="368" w:firstLineChars="186"/>
        <w:rPr>
          <w:rFonts w:ascii="宋体" w:hAnsi="宋体" w:eastAsia="宋体" w:cs="Times New Roman"/>
          <w:spacing w:val="-6"/>
          <w:szCs w:val="21"/>
          <w:u w:val="single"/>
        </w:rPr>
      </w:pPr>
      <w:r>
        <w:rPr>
          <w:rFonts w:hint="eastAsia" w:ascii="宋体" w:hAnsi="宋体" w:eastAsia="宋体" w:cs="Times New Roman"/>
          <w:spacing w:val="-6"/>
          <w:szCs w:val="21"/>
          <w:u w:val="single"/>
        </w:rPr>
        <w:t>▲投标人授权代表必须为投标人本单位在职职工，并提供2021年12月（含）以后任意一月社保缴纳证明。</w:t>
      </w:r>
    </w:p>
    <w:p>
      <w:pPr>
        <w:adjustRightInd w:val="0"/>
        <w:snapToGrid w:val="0"/>
        <w:spacing w:line="288" w:lineRule="auto"/>
        <w:ind w:firstLine="370" w:firstLineChars="186"/>
        <w:rPr>
          <w:rFonts w:ascii="宋体" w:hAnsi="宋体" w:eastAsia="宋体" w:cs="Times New Roman"/>
          <w:b/>
          <w:bCs/>
          <w:spacing w:val="-6"/>
          <w:szCs w:val="21"/>
          <w:u w:val="single"/>
        </w:rPr>
      </w:pPr>
      <w:r>
        <w:rPr>
          <w:rFonts w:hint="eastAsia" w:ascii="宋体" w:hAnsi="宋体" w:eastAsia="宋体" w:cs="Times New Roman"/>
          <w:b/>
          <w:bCs/>
          <w:spacing w:val="-6"/>
          <w:szCs w:val="21"/>
        </w:rPr>
        <w:t>法定代表人（签名或盖章）：</w:t>
      </w:r>
    </w:p>
    <w:p>
      <w:pPr>
        <w:adjustRightInd w:val="0"/>
        <w:snapToGrid w:val="0"/>
        <w:spacing w:line="288" w:lineRule="auto"/>
        <w:rPr>
          <w:rFonts w:ascii="宋体" w:hAnsi="宋体" w:eastAsia="宋体" w:cs="Times New Roman"/>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628" w:type="dxa"/>
            <w:vAlign w:val="center"/>
          </w:tcPr>
          <w:p>
            <w:pPr>
              <w:adjustRightInd w:val="0"/>
              <w:snapToGrid w:val="0"/>
              <w:spacing w:line="288" w:lineRule="auto"/>
              <w:jc w:val="left"/>
              <w:rPr>
                <w:rFonts w:ascii="宋体" w:hAnsi="宋体" w:eastAsia="宋体" w:cs="Times New Roman"/>
                <w:szCs w:val="21"/>
              </w:rPr>
            </w:pPr>
            <w:r>
              <w:rPr>
                <w:rFonts w:hint="eastAsia" w:ascii="宋体" w:hAnsi="宋体" w:eastAsia="宋体" w:cs="Times New Roman"/>
                <w:szCs w:val="21"/>
              </w:rPr>
              <w:t>法定代表人身份证明：</w:t>
            </w: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r>
              <w:rPr>
                <w:rFonts w:hint="eastAsia" w:ascii="宋体" w:hAnsi="宋体" w:eastAsia="宋体" w:cs="Times New Roman"/>
                <w:szCs w:val="21"/>
              </w:rPr>
              <w:t>授权代表身份证明：</w:t>
            </w: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bCs/>
                <w:spacing w:val="-6"/>
                <w:szCs w:val="21"/>
              </w:rPr>
            </w:pPr>
          </w:p>
        </w:tc>
      </w:tr>
    </w:tbl>
    <w:p>
      <w:pPr>
        <w:adjustRightInd w:val="0"/>
        <w:snapToGrid w:val="0"/>
        <w:spacing w:line="288" w:lineRule="auto"/>
        <w:outlineLvl w:val="2"/>
        <w:rPr>
          <w:rFonts w:ascii="宋体" w:hAnsi="宋体" w:eastAsia="宋体" w:cs="宋体"/>
          <w:b/>
          <w:spacing w:val="-6"/>
          <w:szCs w:val="21"/>
        </w:rPr>
      </w:pPr>
      <w:r>
        <w:rPr>
          <w:rFonts w:ascii="宋体" w:hAnsi="宋体" w:eastAsia="宋体" w:cs="Times New Roman"/>
          <w:b/>
          <w:spacing w:val="-6"/>
          <w:szCs w:val="21"/>
        </w:rPr>
        <w:br w:type="page"/>
      </w:r>
      <w:r>
        <w:rPr>
          <w:rFonts w:hint="eastAsia" w:ascii="宋体" w:hAnsi="宋体" w:eastAsia="宋体" w:cs="宋体"/>
          <w:b/>
          <w:spacing w:val="-6"/>
          <w:szCs w:val="21"/>
        </w:rPr>
        <w:t>（</w:t>
      </w:r>
      <w:r>
        <w:rPr>
          <w:rFonts w:ascii="宋体" w:hAnsi="宋体" w:eastAsia="宋体" w:cs="宋体"/>
          <w:b/>
          <w:spacing w:val="-6"/>
          <w:szCs w:val="21"/>
        </w:rPr>
        <w:t>2</w:t>
      </w:r>
      <w:r>
        <w:rPr>
          <w:rFonts w:hint="eastAsia" w:ascii="宋体" w:hAnsi="宋体" w:eastAsia="宋体" w:cs="宋体"/>
          <w:b/>
          <w:spacing w:val="-6"/>
          <w:szCs w:val="21"/>
        </w:rPr>
        <w:t>）2021年12月（含）以后任意一月投标授权代表社保缴纳证明</w:t>
      </w:r>
    </w:p>
    <w:p>
      <w:pPr>
        <w:adjustRightInd w:val="0"/>
        <w:snapToGrid w:val="0"/>
        <w:spacing w:line="288" w:lineRule="auto"/>
        <w:rPr>
          <w:rFonts w:ascii="宋体" w:hAnsi="宋体" w:eastAsia="宋体" w:cs="Times New Roman"/>
          <w:b/>
          <w:spacing w:val="-4"/>
          <w:szCs w:val="21"/>
        </w:rPr>
      </w:pPr>
      <w:r>
        <w:rPr>
          <w:rFonts w:hint="eastAsia" w:ascii="宋体" w:hAnsi="宋体" w:eastAsia="宋体" w:cs="Times New Roman"/>
          <w:b/>
          <w:spacing w:val="-6"/>
          <w:szCs w:val="21"/>
        </w:rPr>
        <w:t>（授权代表为法定代表人可不提供）</w:t>
      </w:r>
    </w:p>
    <w:p>
      <w:pPr>
        <w:adjustRightInd w:val="0"/>
        <w:snapToGrid w:val="0"/>
        <w:spacing w:line="288" w:lineRule="auto"/>
        <w:jc w:val="center"/>
        <w:rPr>
          <w:rFonts w:ascii="宋体" w:hAnsi="宋体" w:eastAsia="宋体" w:cs="Times New Roman"/>
          <w:b/>
          <w:spacing w:val="-6"/>
          <w:szCs w:val="21"/>
        </w:rPr>
      </w:pPr>
      <w:r>
        <w:rPr>
          <w:rFonts w:ascii="宋体" w:hAnsi="宋体" w:eastAsia="宋体" w:cs="Times New Roman"/>
          <w:b/>
          <w:spacing w:val="-6"/>
          <w:szCs w:val="21"/>
        </w:rPr>
        <w:br w:type="page"/>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3</w:t>
      </w:r>
      <w:r>
        <w:rPr>
          <w:rFonts w:hint="eastAsia" w:ascii="宋体" w:hAnsi="宋体" w:eastAsia="宋体" w:cs="宋体"/>
          <w:b/>
          <w:spacing w:val="-6"/>
          <w:szCs w:val="21"/>
        </w:rPr>
        <w:t>）投标人同类合同一览表</w:t>
      </w:r>
    </w:p>
    <w:tbl>
      <w:tblPr>
        <w:tblStyle w:val="2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0"/>
        <w:gridCol w:w="1133"/>
        <w:gridCol w:w="1441"/>
        <w:gridCol w:w="683"/>
        <w:gridCol w:w="1153"/>
        <w:gridCol w:w="829"/>
        <w:gridCol w:w="1556"/>
        <w:gridCol w:w="19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序号</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采购人</w:t>
            </w:r>
          </w:p>
        </w:tc>
        <w:tc>
          <w:tcPr>
            <w:tcW w:w="14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项目名称</w:t>
            </w:r>
          </w:p>
        </w:tc>
        <w:tc>
          <w:tcPr>
            <w:tcW w:w="6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数量</w:t>
            </w:r>
          </w:p>
        </w:tc>
        <w:tc>
          <w:tcPr>
            <w:tcW w:w="11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合同金额</w:t>
            </w:r>
          </w:p>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（万元）</w:t>
            </w:r>
          </w:p>
        </w:tc>
        <w:tc>
          <w:tcPr>
            <w:tcW w:w="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附件页码</w:t>
            </w:r>
          </w:p>
        </w:tc>
        <w:tc>
          <w:tcPr>
            <w:tcW w:w="15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合同签订时间</w:t>
            </w:r>
          </w:p>
        </w:tc>
        <w:tc>
          <w:tcPr>
            <w:tcW w:w="19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采购人联系人</w:t>
            </w:r>
          </w:p>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联系方式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4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6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9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4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6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9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4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6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9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4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6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9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4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6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983" w:type="dxa"/>
            <w:tcBorders>
              <w:top w:val="single" w:color="auto" w:sz="4" w:space="0"/>
              <w:left w:val="single" w:color="auto" w:sz="4" w:space="0"/>
              <w:bottom w:val="single" w:color="auto" w:sz="4" w:space="0"/>
              <w:right w:val="single" w:color="auto" w:sz="4" w:space="0"/>
            </w:tcBorders>
          </w:tcPr>
          <w:p>
            <w:pPr>
              <w:adjustRightInd w:val="0"/>
              <w:snapToGrid w:val="0"/>
              <w:spacing w:line="288" w:lineRule="auto"/>
              <w:rPr>
                <w:rFonts w:ascii="宋体" w:hAnsi="宋体" w:eastAsia="宋体" w:cs="宋体"/>
                <w:b/>
                <w:bCs/>
                <w:szCs w:val="21"/>
              </w:rPr>
            </w:pPr>
          </w:p>
        </w:tc>
      </w:tr>
    </w:tbl>
    <w:p>
      <w:pPr>
        <w:adjustRightInd w:val="0"/>
        <w:snapToGrid w:val="0"/>
        <w:spacing w:line="288" w:lineRule="auto"/>
        <w:rPr>
          <w:rFonts w:ascii="宋体" w:hAnsi="宋体" w:eastAsia="宋体" w:cs="Times New Roman"/>
          <w:szCs w:val="21"/>
        </w:rPr>
      </w:pP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说明：</w:t>
      </w: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1</w:t>
      </w:r>
      <w:r>
        <w:rPr>
          <w:rFonts w:ascii="宋体" w:hAnsi="宋体" w:eastAsia="宋体" w:cs="Times New Roman"/>
          <w:b/>
          <w:spacing w:val="-6"/>
          <w:szCs w:val="21"/>
        </w:rPr>
        <w:t>.</w:t>
      </w:r>
      <w:r>
        <w:rPr>
          <w:rFonts w:hint="eastAsia" w:ascii="宋体" w:hAnsi="宋体" w:eastAsia="宋体" w:cs="Times New Roman"/>
          <w:b/>
          <w:spacing w:val="-6"/>
          <w:szCs w:val="21"/>
        </w:rPr>
        <w:t>投标人须提供上述业绩合同扫描件；</w:t>
      </w: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2</w:t>
      </w:r>
      <w:r>
        <w:rPr>
          <w:rFonts w:ascii="宋体" w:hAnsi="宋体" w:eastAsia="宋体" w:cs="Times New Roman"/>
          <w:b/>
          <w:spacing w:val="-6"/>
          <w:szCs w:val="21"/>
        </w:rPr>
        <w:t>.</w:t>
      </w:r>
      <w:r>
        <w:rPr>
          <w:rFonts w:hint="eastAsia" w:ascii="宋体" w:hAnsi="宋体" w:eastAsia="宋体" w:cs="Times New Roman"/>
          <w:b/>
          <w:spacing w:val="-6"/>
          <w:szCs w:val="21"/>
        </w:rPr>
        <w:t>所有合同扫描件应清晰，应能体现合同签订时间、双方签名盖章等内容；</w:t>
      </w: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3</w:t>
      </w:r>
      <w:r>
        <w:rPr>
          <w:rFonts w:ascii="宋体" w:hAnsi="宋体" w:eastAsia="宋体" w:cs="Times New Roman"/>
          <w:b/>
          <w:spacing w:val="-6"/>
          <w:szCs w:val="21"/>
        </w:rPr>
        <w:t>.</w:t>
      </w:r>
      <w:r>
        <w:rPr>
          <w:rFonts w:hint="eastAsia" w:ascii="宋体" w:hAnsi="宋体" w:eastAsia="宋体" w:cs="Times New Roman"/>
          <w:b/>
          <w:spacing w:val="-6"/>
          <w:szCs w:val="21"/>
        </w:rPr>
        <w:t>投标人应在不涉及商业秘密的前提下尽可能提供详细的合同扫描件内容。</w:t>
      </w:r>
    </w:p>
    <w:p>
      <w:pPr>
        <w:adjustRightInd w:val="0"/>
        <w:snapToGrid w:val="0"/>
        <w:spacing w:line="288" w:lineRule="auto"/>
        <w:rPr>
          <w:rFonts w:ascii="宋体" w:hAnsi="宋体" w:eastAsia="宋体" w:cs="Times New Roman"/>
          <w:spacing w:val="-6"/>
          <w:szCs w:val="21"/>
        </w:rPr>
      </w:pPr>
    </w:p>
    <w:p>
      <w:pPr>
        <w:adjustRightInd w:val="0"/>
        <w:snapToGrid w:val="0"/>
        <w:spacing w:line="288" w:lineRule="auto"/>
        <w:rPr>
          <w:rFonts w:ascii="宋体" w:hAnsi="宋体" w:eastAsia="宋体" w:cs="Times New Roman"/>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p>
      <w:pPr>
        <w:adjustRightInd w:val="0"/>
        <w:snapToGrid w:val="0"/>
        <w:spacing w:line="288" w:lineRule="auto"/>
        <w:jc w:val="center"/>
        <w:outlineLvl w:val="2"/>
        <w:rPr>
          <w:rFonts w:ascii="宋体" w:hAnsi="宋体" w:eastAsia="宋体" w:cs="Times New Roman"/>
          <w:b/>
          <w:szCs w:val="21"/>
        </w:rPr>
      </w:pPr>
      <w:r>
        <w:rPr>
          <w:rFonts w:hint="eastAsia" w:ascii="宋体" w:hAnsi="宋体" w:eastAsia="宋体" w:cs="Times New Roman"/>
          <w:spacing w:val="-6"/>
          <w:szCs w:val="21"/>
        </w:rPr>
        <w:br w:type="page"/>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4</w:t>
      </w:r>
      <w:r>
        <w:rPr>
          <w:rFonts w:hint="eastAsia" w:ascii="宋体" w:hAnsi="宋体" w:eastAsia="宋体" w:cs="宋体"/>
          <w:b/>
          <w:spacing w:val="-6"/>
          <w:szCs w:val="21"/>
        </w:rPr>
        <w:t>）采购需求偏离表</w:t>
      </w:r>
    </w:p>
    <w:p>
      <w:pPr>
        <w:adjustRightInd w:val="0"/>
        <w:snapToGrid w:val="0"/>
        <w:spacing w:line="288" w:lineRule="auto"/>
        <w:rPr>
          <w:rFonts w:ascii="宋体" w:hAnsi="宋体" w:eastAsia="宋体" w:cs="Times New Roman"/>
          <w:bCs/>
          <w:spacing w:val="-6"/>
          <w:szCs w:val="21"/>
        </w:rPr>
      </w:pPr>
      <w:r>
        <w:rPr>
          <w:rFonts w:hint="eastAsia" w:ascii="宋体" w:hAnsi="宋体" w:eastAsia="宋体" w:cs="Times New Roman"/>
          <w:bCs/>
          <w:spacing w:val="-6"/>
          <w:szCs w:val="21"/>
        </w:rPr>
        <w:t>采 购 人：浙江财经大学</w:t>
      </w:r>
    </w:p>
    <w:p>
      <w:pPr>
        <w:adjustRightInd w:val="0"/>
        <w:snapToGrid w:val="0"/>
        <w:spacing w:line="288" w:lineRule="auto"/>
        <w:rPr>
          <w:rFonts w:ascii="宋体" w:hAnsi="宋体" w:eastAsia="宋体" w:cs="Times New Roman"/>
          <w:bCs/>
          <w:spacing w:val="-6"/>
          <w:szCs w:val="21"/>
        </w:rPr>
      </w:pPr>
      <w:r>
        <w:rPr>
          <w:rFonts w:hint="eastAsia" w:ascii="宋体" w:hAnsi="宋体" w:eastAsia="宋体" w:cs="Times New Roman"/>
          <w:bCs/>
          <w:spacing w:val="-6"/>
          <w:szCs w:val="21"/>
        </w:rPr>
        <w:t>项目名称：学生生活区组团厨房设备</w:t>
      </w:r>
    </w:p>
    <w:p>
      <w:pPr>
        <w:adjustRightInd w:val="0"/>
        <w:snapToGrid w:val="0"/>
        <w:spacing w:line="288" w:lineRule="auto"/>
        <w:rPr>
          <w:rFonts w:ascii="宋体" w:hAnsi="宋体" w:eastAsia="宋体" w:cs="Times New Roman"/>
          <w:bCs/>
          <w:spacing w:val="-6"/>
          <w:szCs w:val="21"/>
        </w:rPr>
      </w:pPr>
      <w:r>
        <w:rPr>
          <w:rFonts w:hint="eastAsia" w:ascii="宋体" w:hAnsi="宋体" w:eastAsia="宋体" w:cs="Times New Roman"/>
          <w:bCs/>
          <w:spacing w:val="-6"/>
          <w:szCs w:val="21"/>
        </w:rPr>
        <w:t xml:space="preserve">项目编号：QSZB-Z(H)-E22190(GK) </w:t>
      </w:r>
    </w:p>
    <w:p>
      <w:pPr>
        <w:adjustRightInd w:val="0"/>
        <w:snapToGrid w:val="0"/>
        <w:spacing w:line="288" w:lineRule="auto"/>
        <w:rPr>
          <w:rFonts w:ascii="宋体" w:hAnsi="宋体" w:eastAsia="宋体" w:cs="Times New Roman"/>
          <w:bCs/>
          <w:spacing w:val="-6"/>
          <w:szCs w:val="21"/>
        </w:rPr>
      </w:pPr>
      <w:r>
        <w:rPr>
          <w:rFonts w:hint="eastAsia" w:ascii="宋体" w:hAnsi="宋体" w:eastAsia="宋体" w:cs="Times New Roman"/>
          <w:bCs/>
          <w:spacing w:val="-6"/>
          <w:szCs w:val="21"/>
        </w:rPr>
        <w:t>标    项：</w:t>
      </w:r>
    </w:p>
    <w:tbl>
      <w:tblPr>
        <w:tblStyle w:val="27"/>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4254"/>
        <w:gridCol w:w="2574"/>
        <w:gridCol w:w="2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序号</w:t>
            </w:r>
          </w:p>
        </w:tc>
        <w:tc>
          <w:tcPr>
            <w:tcW w:w="42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招标文件要求</w:t>
            </w:r>
          </w:p>
        </w:tc>
        <w:tc>
          <w:tcPr>
            <w:tcW w:w="257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响应规格</w:t>
            </w:r>
          </w:p>
        </w:tc>
        <w:tc>
          <w:tcPr>
            <w:tcW w:w="21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是否偏离（提供说明）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8" w:type="dxa"/>
            <w:gridSpan w:val="4"/>
            <w:vAlign w:val="center"/>
          </w:tcPr>
          <w:p>
            <w:pPr>
              <w:adjustRightInd w:val="0"/>
              <w:snapToGrid w:val="0"/>
              <w:spacing w:line="288" w:lineRule="auto"/>
              <w:rPr>
                <w:rFonts w:ascii="宋体" w:hAnsi="宋体" w:eastAsia="宋体" w:cs="宋体"/>
                <w:szCs w:val="21"/>
              </w:rPr>
            </w:pPr>
            <w:r>
              <w:rPr>
                <w:rFonts w:hint="eastAsia" w:ascii="宋体" w:hAnsi="宋体" w:eastAsia="宋体" w:cs="宋体"/>
                <w:b/>
                <w:bCs/>
                <w:szCs w:val="21"/>
              </w:rPr>
              <w:t>采购资金的支付方式、时间、条件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1</w:t>
            </w:r>
          </w:p>
        </w:tc>
        <w:tc>
          <w:tcPr>
            <w:tcW w:w="4254" w:type="dxa"/>
            <w:vAlign w:val="center"/>
          </w:tcPr>
          <w:p>
            <w:pPr>
              <w:adjustRightInd w:val="0"/>
              <w:snapToGrid w:val="0"/>
              <w:spacing w:line="288" w:lineRule="auto"/>
              <w:rPr>
                <w:rFonts w:ascii="宋体" w:hAnsi="宋体" w:eastAsia="宋体" w:cs="宋体"/>
                <w:szCs w:val="21"/>
              </w:rPr>
            </w:pPr>
          </w:p>
        </w:tc>
        <w:tc>
          <w:tcPr>
            <w:tcW w:w="2574" w:type="dxa"/>
            <w:vAlign w:val="center"/>
          </w:tcPr>
          <w:p>
            <w:pPr>
              <w:adjustRightInd w:val="0"/>
              <w:snapToGrid w:val="0"/>
              <w:spacing w:line="288" w:lineRule="auto"/>
              <w:rPr>
                <w:rFonts w:ascii="宋体" w:hAnsi="宋体" w:eastAsia="宋体" w:cs="宋体"/>
                <w:szCs w:val="21"/>
              </w:rPr>
            </w:pPr>
          </w:p>
        </w:tc>
        <w:tc>
          <w:tcPr>
            <w:tcW w:w="2124" w:type="dxa"/>
            <w:vAlign w:val="center"/>
          </w:tcPr>
          <w:p>
            <w:pPr>
              <w:adjustRightInd w:val="0"/>
              <w:snapToGrid w:val="0"/>
              <w:spacing w:line="288"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2</w:t>
            </w:r>
          </w:p>
        </w:tc>
        <w:tc>
          <w:tcPr>
            <w:tcW w:w="4254" w:type="dxa"/>
            <w:vAlign w:val="center"/>
          </w:tcPr>
          <w:p>
            <w:pPr>
              <w:adjustRightInd w:val="0"/>
              <w:snapToGrid w:val="0"/>
              <w:spacing w:line="288" w:lineRule="auto"/>
              <w:rPr>
                <w:rFonts w:ascii="宋体" w:hAnsi="宋体" w:eastAsia="宋体" w:cs="宋体"/>
                <w:szCs w:val="21"/>
              </w:rPr>
            </w:pPr>
          </w:p>
        </w:tc>
        <w:tc>
          <w:tcPr>
            <w:tcW w:w="2574" w:type="dxa"/>
            <w:vAlign w:val="center"/>
          </w:tcPr>
          <w:p>
            <w:pPr>
              <w:adjustRightInd w:val="0"/>
              <w:snapToGrid w:val="0"/>
              <w:spacing w:line="288" w:lineRule="auto"/>
              <w:rPr>
                <w:rFonts w:ascii="宋体" w:hAnsi="宋体" w:eastAsia="宋体" w:cs="宋体"/>
                <w:szCs w:val="21"/>
              </w:rPr>
            </w:pPr>
          </w:p>
        </w:tc>
        <w:tc>
          <w:tcPr>
            <w:tcW w:w="2124" w:type="dxa"/>
            <w:vAlign w:val="center"/>
          </w:tcPr>
          <w:p>
            <w:pPr>
              <w:adjustRightInd w:val="0"/>
              <w:snapToGrid w:val="0"/>
              <w:spacing w:line="288"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w:t>
            </w:r>
          </w:p>
        </w:tc>
        <w:tc>
          <w:tcPr>
            <w:tcW w:w="4254" w:type="dxa"/>
            <w:vAlign w:val="center"/>
          </w:tcPr>
          <w:p>
            <w:pPr>
              <w:adjustRightInd w:val="0"/>
              <w:snapToGrid w:val="0"/>
              <w:spacing w:line="288" w:lineRule="auto"/>
              <w:rPr>
                <w:rFonts w:ascii="宋体" w:hAnsi="宋体" w:eastAsia="宋体" w:cs="宋体"/>
                <w:szCs w:val="21"/>
              </w:rPr>
            </w:pPr>
          </w:p>
        </w:tc>
        <w:tc>
          <w:tcPr>
            <w:tcW w:w="2574" w:type="dxa"/>
            <w:vAlign w:val="center"/>
          </w:tcPr>
          <w:p>
            <w:pPr>
              <w:adjustRightInd w:val="0"/>
              <w:snapToGrid w:val="0"/>
              <w:spacing w:line="288" w:lineRule="auto"/>
              <w:rPr>
                <w:rFonts w:ascii="宋体" w:hAnsi="宋体" w:eastAsia="宋体" w:cs="宋体"/>
                <w:szCs w:val="21"/>
              </w:rPr>
            </w:pPr>
          </w:p>
        </w:tc>
        <w:tc>
          <w:tcPr>
            <w:tcW w:w="2124" w:type="dxa"/>
            <w:vAlign w:val="center"/>
          </w:tcPr>
          <w:p>
            <w:pPr>
              <w:adjustRightInd w:val="0"/>
              <w:snapToGrid w:val="0"/>
              <w:spacing w:line="288"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8" w:type="dxa"/>
            <w:gridSpan w:val="4"/>
            <w:vAlign w:val="center"/>
          </w:tcPr>
          <w:p>
            <w:pPr>
              <w:adjustRightInd w:val="0"/>
              <w:snapToGrid w:val="0"/>
              <w:spacing w:line="288" w:lineRule="auto"/>
              <w:rPr>
                <w:rFonts w:ascii="宋体" w:hAnsi="宋体" w:eastAsia="宋体" w:cs="宋体"/>
                <w:szCs w:val="21"/>
              </w:rPr>
            </w:pPr>
            <w:r>
              <w:rPr>
                <w:rFonts w:hint="eastAsia" w:ascii="宋体" w:hAnsi="宋体" w:eastAsia="宋体" w:cs="宋体"/>
                <w:b/>
                <w:bCs/>
                <w:szCs w:val="21"/>
              </w:rPr>
              <w:t>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1</w:t>
            </w:r>
          </w:p>
        </w:tc>
        <w:tc>
          <w:tcPr>
            <w:tcW w:w="4254" w:type="dxa"/>
            <w:vAlign w:val="center"/>
          </w:tcPr>
          <w:p>
            <w:pPr>
              <w:adjustRightInd w:val="0"/>
              <w:snapToGrid w:val="0"/>
              <w:spacing w:line="288" w:lineRule="auto"/>
              <w:jc w:val="left"/>
              <w:rPr>
                <w:rFonts w:ascii="宋体" w:hAnsi="宋体" w:eastAsia="宋体" w:cs="宋体"/>
                <w:szCs w:val="21"/>
              </w:rPr>
            </w:pPr>
          </w:p>
        </w:tc>
        <w:tc>
          <w:tcPr>
            <w:tcW w:w="2574" w:type="dxa"/>
            <w:vAlign w:val="center"/>
          </w:tcPr>
          <w:p>
            <w:pPr>
              <w:adjustRightInd w:val="0"/>
              <w:snapToGrid w:val="0"/>
              <w:spacing w:line="288" w:lineRule="auto"/>
              <w:jc w:val="left"/>
              <w:rPr>
                <w:rFonts w:ascii="宋体" w:hAnsi="宋体" w:eastAsia="宋体" w:cs="宋体"/>
                <w:szCs w:val="21"/>
              </w:rPr>
            </w:pPr>
          </w:p>
        </w:tc>
        <w:tc>
          <w:tcPr>
            <w:tcW w:w="2124" w:type="dxa"/>
            <w:vAlign w:val="center"/>
          </w:tcPr>
          <w:p>
            <w:pPr>
              <w:adjustRightInd w:val="0"/>
              <w:snapToGrid w:val="0"/>
              <w:spacing w:line="288" w:lineRule="auto"/>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2</w:t>
            </w:r>
          </w:p>
        </w:tc>
        <w:tc>
          <w:tcPr>
            <w:tcW w:w="4254" w:type="dxa"/>
            <w:vAlign w:val="center"/>
          </w:tcPr>
          <w:p>
            <w:pPr>
              <w:adjustRightInd w:val="0"/>
              <w:snapToGrid w:val="0"/>
              <w:spacing w:line="288" w:lineRule="auto"/>
              <w:jc w:val="left"/>
              <w:rPr>
                <w:rFonts w:ascii="宋体" w:hAnsi="宋体" w:eastAsia="宋体" w:cs="宋体"/>
                <w:szCs w:val="21"/>
              </w:rPr>
            </w:pPr>
          </w:p>
        </w:tc>
        <w:tc>
          <w:tcPr>
            <w:tcW w:w="2574" w:type="dxa"/>
            <w:vAlign w:val="center"/>
          </w:tcPr>
          <w:p>
            <w:pPr>
              <w:adjustRightInd w:val="0"/>
              <w:snapToGrid w:val="0"/>
              <w:spacing w:line="288" w:lineRule="auto"/>
              <w:jc w:val="left"/>
              <w:rPr>
                <w:rFonts w:ascii="宋体" w:hAnsi="宋体" w:eastAsia="宋体" w:cs="宋体"/>
                <w:szCs w:val="21"/>
              </w:rPr>
            </w:pPr>
          </w:p>
        </w:tc>
        <w:tc>
          <w:tcPr>
            <w:tcW w:w="2124" w:type="dxa"/>
            <w:vAlign w:val="center"/>
          </w:tcPr>
          <w:p>
            <w:pPr>
              <w:adjustRightInd w:val="0"/>
              <w:snapToGrid w:val="0"/>
              <w:spacing w:line="288" w:lineRule="auto"/>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w:t>
            </w:r>
          </w:p>
        </w:tc>
        <w:tc>
          <w:tcPr>
            <w:tcW w:w="4254" w:type="dxa"/>
            <w:vAlign w:val="center"/>
          </w:tcPr>
          <w:p>
            <w:pPr>
              <w:adjustRightInd w:val="0"/>
              <w:snapToGrid w:val="0"/>
              <w:spacing w:line="288" w:lineRule="auto"/>
              <w:jc w:val="left"/>
              <w:rPr>
                <w:rFonts w:ascii="宋体" w:hAnsi="宋体" w:eastAsia="宋体" w:cs="宋体"/>
                <w:szCs w:val="21"/>
              </w:rPr>
            </w:pPr>
          </w:p>
        </w:tc>
        <w:tc>
          <w:tcPr>
            <w:tcW w:w="2574" w:type="dxa"/>
            <w:vAlign w:val="center"/>
          </w:tcPr>
          <w:p>
            <w:pPr>
              <w:adjustRightInd w:val="0"/>
              <w:snapToGrid w:val="0"/>
              <w:spacing w:line="288" w:lineRule="auto"/>
              <w:jc w:val="left"/>
              <w:rPr>
                <w:rFonts w:ascii="宋体" w:hAnsi="宋体" w:eastAsia="宋体" w:cs="宋体"/>
                <w:szCs w:val="21"/>
              </w:rPr>
            </w:pPr>
          </w:p>
        </w:tc>
        <w:tc>
          <w:tcPr>
            <w:tcW w:w="2124" w:type="dxa"/>
            <w:vAlign w:val="center"/>
          </w:tcPr>
          <w:p>
            <w:pPr>
              <w:adjustRightInd w:val="0"/>
              <w:snapToGrid w:val="0"/>
              <w:spacing w:line="288" w:lineRule="auto"/>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8" w:type="dxa"/>
            <w:gridSpan w:val="4"/>
            <w:vAlign w:val="center"/>
          </w:tcPr>
          <w:p>
            <w:pPr>
              <w:adjustRightInd w:val="0"/>
              <w:snapToGrid w:val="0"/>
              <w:spacing w:line="288" w:lineRule="auto"/>
              <w:rPr>
                <w:rFonts w:ascii="宋体" w:hAnsi="宋体" w:eastAsia="宋体" w:cs="宋体"/>
                <w:b/>
                <w:bCs/>
                <w:szCs w:val="21"/>
              </w:rPr>
            </w:pPr>
            <w:r>
              <w:rPr>
                <w:rFonts w:hint="eastAsia" w:ascii="宋体" w:hAnsi="宋体" w:eastAsia="宋体" w:cs="宋体"/>
                <w:b/>
                <w:bCs/>
                <w:szCs w:val="21"/>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1</w:t>
            </w:r>
          </w:p>
        </w:tc>
        <w:tc>
          <w:tcPr>
            <w:tcW w:w="4254" w:type="dxa"/>
            <w:vAlign w:val="center"/>
          </w:tcPr>
          <w:p>
            <w:pPr>
              <w:adjustRightInd w:val="0"/>
              <w:snapToGrid w:val="0"/>
              <w:spacing w:line="288" w:lineRule="auto"/>
              <w:rPr>
                <w:rFonts w:ascii="宋体" w:hAnsi="宋体" w:eastAsia="宋体" w:cs="宋体"/>
                <w:szCs w:val="21"/>
              </w:rPr>
            </w:pPr>
          </w:p>
        </w:tc>
        <w:tc>
          <w:tcPr>
            <w:tcW w:w="2574" w:type="dxa"/>
            <w:vAlign w:val="center"/>
          </w:tcPr>
          <w:p>
            <w:pPr>
              <w:adjustRightInd w:val="0"/>
              <w:snapToGrid w:val="0"/>
              <w:spacing w:line="288" w:lineRule="auto"/>
              <w:rPr>
                <w:rFonts w:ascii="宋体" w:hAnsi="宋体" w:eastAsia="宋体" w:cs="宋体"/>
                <w:szCs w:val="21"/>
              </w:rPr>
            </w:pPr>
          </w:p>
        </w:tc>
        <w:tc>
          <w:tcPr>
            <w:tcW w:w="2124" w:type="dxa"/>
            <w:vAlign w:val="center"/>
          </w:tcPr>
          <w:p>
            <w:pPr>
              <w:adjustRightInd w:val="0"/>
              <w:snapToGrid w:val="0"/>
              <w:spacing w:line="288"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2</w:t>
            </w:r>
          </w:p>
        </w:tc>
        <w:tc>
          <w:tcPr>
            <w:tcW w:w="4254" w:type="dxa"/>
            <w:vAlign w:val="center"/>
          </w:tcPr>
          <w:p>
            <w:pPr>
              <w:adjustRightInd w:val="0"/>
              <w:snapToGrid w:val="0"/>
              <w:spacing w:line="288" w:lineRule="auto"/>
              <w:rPr>
                <w:rFonts w:ascii="宋体" w:hAnsi="宋体" w:eastAsia="宋体" w:cs="宋体"/>
                <w:szCs w:val="21"/>
              </w:rPr>
            </w:pPr>
          </w:p>
        </w:tc>
        <w:tc>
          <w:tcPr>
            <w:tcW w:w="2574" w:type="dxa"/>
            <w:vAlign w:val="center"/>
          </w:tcPr>
          <w:p>
            <w:pPr>
              <w:adjustRightInd w:val="0"/>
              <w:snapToGrid w:val="0"/>
              <w:spacing w:line="288" w:lineRule="auto"/>
              <w:rPr>
                <w:rFonts w:ascii="宋体" w:hAnsi="宋体" w:eastAsia="宋体" w:cs="宋体"/>
                <w:szCs w:val="21"/>
              </w:rPr>
            </w:pPr>
          </w:p>
        </w:tc>
        <w:tc>
          <w:tcPr>
            <w:tcW w:w="2124" w:type="dxa"/>
            <w:vAlign w:val="center"/>
          </w:tcPr>
          <w:p>
            <w:pPr>
              <w:adjustRightInd w:val="0"/>
              <w:snapToGrid w:val="0"/>
              <w:spacing w:line="288"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w:t>
            </w:r>
          </w:p>
        </w:tc>
        <w:tc>
          <w:tcPr>
            <w:tcW w:w="4254" w:type="dxa"/>
            <w:vAlign w:val="center"/>
          </w:tcPr>
          <w:p>
            <w:pPr>
              <w:adjustRightInd w:val="0"/>
              <w:snapToGrid w:val="0"/>
              <w:spacing w:line="288" w:lineRule="auto"/>
              <w:rPr>
                <w:rFonts w:ascii="宋体" w:hAnsi="宋体" w:eastAsia="宋体" w:cs="宋体"/>
                <w:szCs w:val="21"/>
              </w:rPr>
            </w:pPr>
          </w:p>
        </w:tc>
        <w:tc>
          <w:tcPr>
            <w:tcW w:w="2574" w:type="dxa"/>
            <w:vAlign w:val="center"/>
          </w:tcPr>
          <w:p>
            <w:pPr>
              <w:adjustRightInd w:val="0"/>
              <w:snapToGrid w:val="0"/>
              <w:spacing w:line="288" w:lineRule="auto"/>
              <w:rPr>
                <w:rFonts w:ascii="宋体" w:hAnsi="宋体" w:eastAsia="宋体" w:cs="宋体"/>
                <w:szCs w:val="21"/>
              </w:rPr>
            </w:pPr>
          </w:p>
        </w:tc>
        <w:tc>
          <w:tcPr>
            <w:tcW w:w="2124" w:type="dxa"/>
            <w:vAlign w:val="center"/>
          </w:tcPr>
          <w:p>
            <w:pPr>
              <w:adjustRightInd w:val="0"/>
              <w:snapToGrid w:val="0"/>
              <w:spacing w:line="288" w:lineRule="auto"/>
              <w:rPr>
                <w:rFonts w:ascii="宋体" w:hAnsi="宋体" w:eastAsia="宋体" w:cs="宋体"/>
                <w:szCs w:val="21"/>
              </w:rPr>
            </w:pPr>
          </w:p>
        </w:tc>
      </w:tr>
    </w:tbl>
    <w:p>
      <w:pPr>
        <w:adjustRightInd w:val="0"/>
        <w:snapToGrid w:val="0"/>
        <w:spacing w:line="288" w:lineRule="auto"/>
        <w:rPr>
          <w:rFonts w:ascii="宋体" w:hAnsi="宋体" w:eastAsia="宋体" w:cs="Times New Roman"/>
          <w:b/>
          <w:bCs/>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说明：</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1</w:t>
      </w:r>
      <w:r>
        <w:rPr>
          <w:rFonts w:ascii="宋体" w:hAnsi="宋体" w:eastAsia="宋体" w:cs="Times New Roman"/>
          <w:b/>
          <w:bCs/>
          <w:spacing w:val="-6"/>
          <w:szCs w:val="21"/>
        </w:rPr>
        <w:t>.</w:t>
      </w:r>
      <w:r>
        <w:rPr>
          <w:rFonts w:hint="eastAsia" w:ascii="宋体" w:hAnsi="宋体" w:eastAsia="宋体" w:cs="Times New Roman"/>
          <w:b/>
          <w:bCs/>
          <w:spacing w:val="-6"/>
          <w:szCs w:val="21"/>
        </w:rPr>
        <w:t>逐项按照招标文件要求填写响应规格；</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2</w:t>
      </w:r>
      <w:r>
        <w:rPr>
          <w:rFonts w:ascii="宋体" w:hAnsi="宋体" w:eastAsia="宋体" w:cs="Times New Roman"/>
          <w:b/>
          <w:bCs/>
          <w:spacing w:val="-6"/>
          <w:szCs w:val="21"/>
        </w:rPr>
        <w:t>.</w:t>
      </w:r>
      <w:r>
        <w:rPr>
          <w:rFonts w:hint="eastAsia" w:ascii="宋体" w:hAnsi="宋体" w:eastAsia="宋体" w:cs="Times New Roman"/>
          <w:b/>
          <w:bCs/>
          <w:spacing w:val="-6"/>
          <w:szCs w:val="21"/>
        </w:rPr>
        <w:t>偏离说明是指对招标文件要求存在不同之处的解释说明。偏离系指：正偏离（高于采购需求）、负偏离（低于采购需求）、无偏离（满足采购需求）；</w:t>
      </w: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bCs/>
          <w:spacing w:val="-6"/>
          <w:szCs w:val="21"/>
        </w:rPr>
        <w:t>3</w:t>
      </w:r>
      <w:r>
        <w:rPr>
          <w:rFonts w:ascii="宋体" w:hAnsi="宋体" w:eastAsia="宋体" w:cs="Times New Roman"/>
          <w:b/>
          <w:bCs/>
          <w:spacing w:val="-6"/>
          <w:szCs w:val="21"/>
        </w:rPr>
        <w:t>.</w:t>
      </w:r>
      <w:r>
        <w:rPr>
          <w:rFonts w:hint="eastAsia" w:ascii="宋体" w:hAnsi="宋体" w:eastAsia="宋体" w:cs="Times New Roman"/>
          <w:b/>
          <w:bCs/>
          <w:spacing w:val="-6"/>
          <w:szCs w:val="21"/>
        </w:rPr>
        <w:t>如不填写或未如实填写</w:t>
      </w:r>
      <w:r>
        <w:rPr>
          <w:rFonts w:hint="eastAsia" w:ascii="宋体" w:hAnsi="宋体" w:eastAsia="宋体" w:cs="Times New Roman"/>
          <w:b/>
          <w:spacing w:val="-6"/>
          <w:szCs w:val="21"/>
        </w:rPr>
        <w:t>，自行承担投标风险。</w:t>
      </w:r>
    </w:p>
    <w:p>
      <w:pPr>
        <w:adjustRightInd w:val="0"/>
        <w:snapToGrid w:val="0"/>
        <w:spacing w:line="288" w:lineRule="auto"/>
        <w:rPr>
          <w:rFonts w:ascii="宋体" w:hAnsi="宋体" w:eastAsia="宋体" w:cs="Times New Roman"/>
          <w:spacing w:val="-6"/>
          <w:szCs w:val="21"/>
        </w:rPr>
      </w:pPr>
    </w:p>
    <w:p>
      <w:pPr>
        <w:adjustRightInd w:val="0"/>
        <w:snapToGrid w:val="0"/>
        <w:spacing w:line="288" w:lineRule="auto"/>
        <w:rPr>
          <w:rFonts w:ascii="宋体" w:hAnsi="宋体" w:eastAsia="宋体" w:cs="Times New Roman"/>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Times New Roman"/>
          <w:spacing w:val="-6"/>
          <w:szCs w:val="21"/>
        </w:rPr>
        <w:br w:type="page"/>
      </w:r>
      <w:r>
        <w:rPr>
          <w:rFonts w:hint="eastAsia" w:ascii="宋体" w:hAnsi="宋体" w:eastAsia="宋体" w:cs="宋体"/>
          <w:b/>
          <w:spacing w:val="-6"/>
          <w:szCs w:val="21"/>
        </w:rPr>
        <w:t>（</w:t>
      </w:r>
      <w:r>
        <w:rPr>
          <w:rFonts w:ascii="宋体" w:hAnsi="宋体" w:eastAsia="宋体" w:cs="宋体"/>
          <w:b/>
          <w:spacing w:val="-6"/>
          <w:szCs w:val="21"/>
        </w:rPr>
        <w:t>5</w:t>
      </w:r>
      <w:r>
        <w:rPr>
          <w:rFonts w:hint="eastAsia" w:ascii="宋体" w:hAnsi="宋体" w:eastAsia="宋体" w:cs="宋体"/>
          <w:b/>
          <w:spacing w:val="-6"/>
          <w:szCs w:val="21"/>
        </w:rPr>
        <w:t>）货物配置清单</w:t>
      </w:r>
      <w:r>
        <w:rPr>
          <w:rFonts w:hint="eastAsia" w:ascii="宋体" w:hAnsi="宋体" w:eastAsia="宋体" w:cs="宋体"/>
          <w:spacing w:val="-6"/>
          <w:szCs w:val="21"/>
        </w:rPr>
        <w:t>（不含报价）</w:t>
      </w:r>
    </w:p>
    <w:p>
      <w:pPr>
        <w:adjustRightInd w:val="0"/>
        <w:snapToGrid w:val="0"/>
        <w:spacing w:line="288" w:lineRule="auto"/>
        <w:rPr>
          <w:rFonts w:ascii="宋体" w:hAnsi="宋体" w:eastAsia="宋体" w:cs="宋体"/>
          <w:spacing w:val="-6"/>
          <w:szCs w:val="21"/>
        </w:rPr>
      </w:pPr>
    </w:p>
    <w:tbl>
      <w:tblPr>
        <w:tblStyle w:val="27"/>
        <w:tblW w:w="945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8"/>
        <w:gridCol w:w="1841"/>
        <w:gridCol w:w="1011"/>
        <w:gridCol w:w="2105"/>
        <w:gridCol w:w="756"/>
        <w:gridCol w:w="1011"/>
        <w:gridCol w:w="202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序号</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名称</w:t>
            </w: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品牌</w:t>
            </w: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规格型号</w:t>
            </w: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产地</w:t>
            </w: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数量</w:t>
            </w: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配置（可另附页）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bl>
    <w:p>
      <w:pPr>
        <w:adjustRightInd w:val="0"/>
        <w:snapToGrid w:val="0"/>
        <w:spacing w:line="288" w:lineRule="auto"/>
        <w:rPr>
          <w:rFonts w:ascii="宋体" w:hAnsi="宋体" w:eastAsia="宋体" w:cs="宋体"/>
          <w:szCs w:val="21"/>
        </w:rPr>
      </w:pPr>
    </w:p>
    <w:p>
      <w:pPr>
        <w:adjustRightInd w:val="0"/>
        <w:snapToGrid w:val="0"/>
        <w:spacing w:line="288" w:lineRule="auto"/>
        <w:rPr>
          <w:rFonts w:ascii="宋体" w:hAnsi="宋体" w:eastAsia="宋体" w:cs="宋体"/>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p>
      <w:pPr>
        <w:autoSpaceDE w:val="0"/>
        <w:autoSpaceDN w:val="0"/>
        <w:adjustRightInd w:val="0"/>
        <w:snapToGrid w:val="0"/>
        <w:spacing w:line="288" w:lineRule="auto"/>
        <w:jc w:val="left"/>
        <w:rPr>
          <w:rFonts w:ascii="宋体" w:hAnsi="宋体" w:eastAsia="宋体" w:cs="宋体"/>
          <w:spacing w:val="-6"/>
          <w:kern w:val="0"/>
          <w:szCs w:val="21"/>
        </w:rPr>
      </w:pPr>
    </w:p>
    <w:p>
      <w:pPr>
        <w:adjustRightInd w:val="0"/>
        <w:snapToGrid w:val="0"/>
        <w:spacing w:line="288" w:lineRule="auto"/>
        <w:rPr>
          <w:rFonts w:ascii="宋体" w:hAnsi="宋体" w:eastAsia="宋体" w:cs="宋体"/>
          <w:szCs w:val="21"/>
        </w:rPr>
      </w:pPr>
    </w:p>
    <w:p>
      <w:pPr>
        <w:adjustRightInd w:val="0"/>
        <w:snapToGrid w:val="0"/>
        <w:spacing w:line="288" w:lineRule="auto"/>
        <w:rPr>
          <w:rFonts w:ascii="宋体" w:hAnsi="宋体" w:eastAsia="宋体" w:cs="宋体"/>
          <w:b/>
          <w:spacing w:val="-6"/>
          <w:szCs w:val="21"/>
        </w:rPr>
      </w:pPr>
      <w:r>
        <w:rPr>
          <w:rFonts w:hint="eastAsia" w:ascii="宋体" w:hAnsi="宋体" w:eastAsia="宋体" w:cs="宋体"/>
          <w:b/>
          <w:spacing w:val="-6"/>
          <w:szCs w:val="21"/>
        </w:rPr>
        <w:t>附：产品技术支持材料</w:t>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br w:type="page"/>
      </w:r>
    </w:p>
    <w:p>
      <w:pPr>
        <w:adjustRightInd w:val="0"/>
        <w:snapToGrid w:val="0"/>
        <w:spacing w:line="288" w:lineRule="auto"/>
        <w:jc w:val="left"/>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6</w:t>
      </w:r>
      <w:r>
        <w:rPr>
          <w:rFonts w:hint="eastAsia" w:ascii="宋体" w:hAnsi="宋体" w:eastAsia="宋体" w:cs="宋体"/>
          <w:b/>
          <w:spacing w:val="-6"/>
          <w:szCs w:val="21"/>
        </w:rPr>
        <w:t>）技术方案</w:t>
      </w:r>
    </w:p>
    <w:p>
      <w:pPr>
        <w:adjustRightInd w:val="0"/>
        <w:snapToGrid w:val="0"/>
        <w:spacing w:line="288" w:lineRule="auto"/>
        <w:ind w:firstLine="396" w:firstLineChars="200"/>
        <w:jc w:val="left"/>
        <w:rPr>
          <w:rFonts w:ascii="宋体" w:hAnsi="宋体" w:eastAsia="宋体" w:cs="宋体"/>
          <w:spacing w:val="-6"/>
          <w:szCs w:val="21"/>
        </w:rPr>
      </w:pPr>
      <w:r>
        <w:rPr>
          <w:rFonts w:hint="eastAsia" w:ascii="宋体" w:hAnsi="宋体" w:eastAsia="宋体" w:cs="宋体"/>
          <w:spacing w:val="-6"/>
          <w:szCs w:val="21"/>
        </w:rPr>
        <w:t>整体实施方案</w:t>
      </w:r>
    </w:p>
    <w:p>
      <w:pPr>
        <w:adjustRightInd w:val="0"/>
        <w:snapToGrid w:val="0"/>
        <w:spacing w:line="288" w:lineRule="auto"/>
        <w:ind w:firstLine="396" w:firstLineChars="200"/>
        <w:jc w:val="left"/>
        <w:rPr>
          <w:rFonts w:ascii="宋体" w:hAnsi="宋体" w:eastAsia="宋体" w:cs="宋体"/>
          <w:spacing w:val="-6"/>
          <w:szCs w:val="21"/>
        </w:rPr>
      </w:pPr>
      <w:r>
        <w:rPr>
          <w:rFonts w:hint="eastAsia" w:ascii="宋体" w:hAnsi="宋体" w:eastAsia="宋体" w:cs="宋体"/>
          <w:spacing w:val="-6"/>
          <w:szCs w:val="21"/>
        </w:rPr>
        <w:t>质量保障方案</w:t>
      </w:r>
    </w:p>
    <w:p>
      <w:pPr>
        <w:adjustRightInd w:val="0"/>
        <w:snapToGrid w:val="0"/>
        <w:spacing w:line="288" w:lineRule="auto"/>
        <w:ind w:firstLine="396" w:firstLineChars="200"/>
        <w:jc w:val="left"/>
        <w:rPr>
          <w:rFonts w:ascii="宋体" w:hAnsi="宋体" w:eastAsia="宋体" w:cs="宋体"/>
          <w:spacing w:val="-6"/>
          <w:szCs w:val="21"/>
        </w:rPr>
      </w:pPr>
      <w:r>
        <w:rPr>
          <w:rFonts w:hint="eastAsia" w:ascii="宋体" w:hAnsi="宋体" w:eastAsia="宋体" w:cs="宋体"/>
          <w:spacing w:val="-6"/>
          <w:szCs w:val="21"/>
        </w:rPr>
        <w:t>安装调试方案</w:t>
      </w:r>
    </w:p>
    <w:p>
      <w:pPr>
        <w:adjustRightInd w:val="0"/>
        <w:snapToGrid w:val="0"/>
        <w:spacing w:line="288" w:lineRule="auto"/>
        <w:ind w:firstLine="396" w:firstLineChars="200"/>
        <w:jc w:val="left"/>
        <w:rPr>
          <w:rFonts w:ascii="宋体" w:hAnsi="宋体" w:eastAsia="宋体" w:cs="宋体"/>
          <w:spacing w:val="-6"/>
          <w:szCs w:val="21"/>
        </w:rPr>
      </w:pPr>
      <w:r>
        <w:rPr>
          <w:rFonts w:hint="eastAsia" w:ascii="宋体" w:hAnsi="宋体" w:eastAsia="宋体" w:cs="宋体"/>
          <w:spacing w:val="-6"/>
          <w:szCs w:val="21"/>
        </w:rPr>
        <w:t>负责团队</w:t>
      </w:r>
    </w:p>
    <w:p>
      <w:pPr>
        <w:adjustRightInd w:val="0"/>
        <w:snapToGrid w:val="0"/>
        <w:spacing w:line="288" w:lineRule="auto"/>
        <w:ind w:firstLine="396" w:firstLineChars="200"/>
        <w:jc w:val="left"/>
        <w:rPr>
          <w:rFonts w:ascii="宋体" w:hAnsi="宋体" w:eastAsia="宋体" w:cs="宋体"/>
          <w:spacing w:val="-6"/>
          <w:szCs w:val="21"/>
        </w:rPr>
      </w:pPr>
      <w:r>
        <w:rPr>
          <w:rFonts w:hint="eastAsia" w:ascii="宋体" w:hAnsi="宋体" w:eastAsia="宋体" w:cs="宋体"/>
          <w:spacing w:val="-6"/>
          <w:szCs w:val="21"/>
        </w:rPr>
        <w:t>售后服务方案</w:t>
      </w:r>
    </w:p>
    <w:p>
      <w:pPr>
        <w:adjustRightInd w:val="0"/>
        <w:snapToGrid w:val="0"/>
        <w:spacing w:line="288" w:lineRule="auto"/>
        <w:ind w:firstLine="396" w:firstLineChars="200"/>
        <w:jc w:val="left"/>
        <w:rPr>
          <w:rFonts w:ascii="宋体" w:hAnsi="宋体" w:eastAsia="宋体" w:cs="宋体"/>
          <w:spacing w:val="-6"/>
          <w:szCs w:val="21"/>
        </w:rPr>
      </w:pPr>
      <w:r>
        <w:rPr>
          <w:rFonts w:hint="eastAsia" w:ascii="宋体" w:hAnsi="宋体" w:eastAsia="宋体" w:cs="宋体"/>
          <w:spacing w:val="-6"/>
          <w:szCs w:val="21"/>
        </w:rPr>
        <w:t>疫情防控方案</w:t>
      </w:r>
    </w:p>
    <w:p>
      <w:pPr>
        <w:adjustRightInd w:val="0"/>
        <w:snapToGrid w:val="0"/>
        <w:spacing w:line="288" w:lineRule="auto"/>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7</w:t>
      </w:r>
      <w:r>
        <w:rPr>
          <w:rFonts w:hint="eastAsia" w:ascii="宋体" w:hAnsi="宋体" w:eastAsia="宋体" w:cs="宋体"/>
          <w:b/>
          <w:spacing w:val="-6"/>
          <w:szCs w:val="21"/>
        </w:rPr>
        <w:t>）节能产品证明材料</w:t>
      </w:r>
    </w:p>
    <w:p>
      <w:pPr>
        <w:adjustRightInd w:val="0"/>
        <w:snapToGrid w:val="0"/>
        <w:spacing w:line="288" w:lineRule="auto"/>
        <w:rPr>
          <w:rFonts w:ascii="宋体" w:hAnsi="宋体" w:eastAsia="宋体" w:cs="Times New Roman"/>
          <w:b/>
          <w:szCs w:val="21"/>
        </w:rPr>
      </w:pPr>
      <w:r>
        <w:rPr>
          <w:rFonts w:hint="eastAsia" w:ascii="宋体" w:hAnsi="宋体" w:eastAsia="宋体" w:cs="Times New Roman"/>
          <w:b/>
          <w:szCs w:val="21"/>
        </w:rPr>
        <w:t>说明：投标产品属于品目清单范围且提供国家确定的认证机构出具的有效的节能产品认证证书（扫描件加盖公章）。</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采购人拟采购的产品属于品目清单范围的，采购人及其委托的采购代理机构将依据国家确定的认证机构出具的、有效的节能产品认证证书，对获得证书的产品实施政府优先采购或强制采购。投标人须按招标文件要求提供相关产品认证证书。</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▲采购人拟采购的产品属于政府强制采购的节能产品品目清单范围的，投标人未按招标文件要求提供国家确定的认证机构出具的、有效的节能产品认证证书的，投标无效。</w:t>
      </w:r>
    </w:p>
    <w:p>
      <w:pPr>
        <w:adjustRightInd w:val="0"/>
        <w:snapToGrid w:val="0"/>
        <w:spacing w:line="288" w:lineRule="auto"/>
        <w:rPr>
          <w:rFonts w:ascii="宋体" w:hAnsi="宋体" w:eastAsia="宋体" w:cs="Times New Roman"/>
          <w:b/>
          <w:szCs w:val="21"/>
        </w:rPr>
      </w:pPr>
    </w:p>
    <w:p>
      <w:pPr>
        <w:adjustRightInd w:val="0"/>
        <w:snapToGrid w:val="0"/>
        <w:spacing w:line="288" w:lineRule="auto"/>
        <w:rPr>
          <w:rFonts w:ascii="宋体" w:hAnsi="宋体" w:eastAsia="宋体" w:cs="宋体"/>
          <w:b/>
          <w:spacing w:val="-6"/>
          <w:szCs w:val="21"/>
        </w:rPr>
      </w:pPr>
    </w:p>
    <w:p>
      <w:pPr>
        <w:adjustRightInd w:val="0"/>
        <w:snapToGrid w:val="0"/>
        <w:spacing w:line="288" w:lineRule="auto"/>
        <w:outlineLvl w:val="2"/>
        <w:rPr>
          <w:rFonts w:ascii="宋体" w:hAnsi="宋体" w:eastAsia="宋体" w:cs="宋体"/>
          <w:b/>
          <w:spacing w:val="-6"/>
          <w:szCs w:val="21"/>
        </w:rPr>
      </w:pPr>
      <w:r>
        <w:rPr>
          <w:rFonts w:hint="eastAsia" w:ascii="宋体" w:hAnsi="宋体" w:eastAsia="宋体" w:cs="宋体"/>
          <w:b/>
          <w:spacing w:val="-6"/>
          <w:szCs w:val="21"/>
        </w:rPr>
        <w:t>（8）投标人需要说明的其他文件和材料。</w:t>
      </w:r>
    </w:p>
    <w:p>
      <w:pPr>
        <w:widowControl/>
        <w:adjustRightInd w:val="0"/>
        <w:snapToGrid w:val="0"/>
        <w:spacing w:line="288" w:lineRule="auto"/>
        <w:jc w:val="left"/>
        <w:rPr>
          <w:rFonts w:ascii="宋体" w:hAnsi="宋体" w:eastAsia="宋体" w:cs="宋体"/>
          <w:b/>
          <w:spacing w:val="-6"/>
          <w:szCs w:val="21"/>
        </w:rPr>
      </w:pPr>
    </w:p>
    <w:p>
      <w:pPr>
        <w:widowControl/>
        <w:adjustRightInd w:val="0"/>
        <w:snapToGrid w:val="0"/>
        <w:spacing w:line="288" w:lineRule="auto"/>
        <w:jc w:val="left"/>
        <w:rPr>
          <w:rFonts w:ascii="宋体" w:hAnsi="宋体" w:eastAsia="宋体" w:cs="宋体"/>
          <w:b/>
          <w:spacing w:val="-6"/>
          <w:szCs w:val="21"/>
        </w:rPr>
      </w:pPr>
      <w:r>
        <w:rPr>
          <w:rFonts w:ascii="宋体" w:hAnsi="宋体" w:eastAsia="宋体" w:cs="宋体"/>
          <w:b/>
          <w:spacing w:val="-6"/>
          <w:szCs w:val="21"/>
        </w:rPr>
        <w:br w:type="page"/>
      </w:r>
    </w:p>
    <w:p>
      <w:pPr>
        <w:overflowPunct w:val="0"/>
        <w:adjustRightInd w:val="0"/>
        <w:snapToGrid w:val="0"/>
        <w:spacing w:line="288" w:lineRule="auto"/>
        <w:jc w:val="center"/>
        <w:outlineLvl w:val="1"/>
        <w:rPr>
          <w:rFonts w:ascii="宋体" w:hAnsi="宋体" w:eastAsia="宋体" w:cs="Times New Roman"/>
          <w:b/>
          <w:spacing w:val="-6"/>
          <w:sz w:val="84"/>
          <w:szCs w:val="84"/>
        </w:rPr>
      </w:pPr>
      <w:r>
        <w:rPr>
          <w:rFonts w:hint="eastAsia" w:ascii="宋体" w:hAnsi="宋体" w:eastAsia="宋体" w:cs="Times New Roman"/>
          <w:b/>
          <w:spacing w:val="-6"/>
          <w:sz w:val="84"/>
          <w:szCs w:val="84"/>
        </w:rPr>
        <w:t>报价文件</w:t>
      </w:r>
    </w:p>
    <w:p>
      <w:pPr>
        <w:widowControl/>
        <w:adjustRightInd w:val="0"/>
        <w:snapToGrid w:val="0"/>
        <w:spacing w:line="288" w:lineRule="auto"/>
        <w:jc w:val="left"/>
        <w:rPr>
          <w:rFonts w:ascii="宋体" w:hAnsi="宋体" w:eastAsia="宋体" w:cs="宋体"/>
          <w:b/>
          <w:spacing w:val="-6"/>
          <w:szCs w:val="21"/>
        </w:rPr>
      </w:pPr>
      <w:r>
        <w:rPr>
          <w:rFonts w:ascii="宋体" w:hAnsi="宋体" w:eastAsia="宋体" w:cs="宋体"/>
          <w:b/>
          <w:spacing w:val="-6"/>
          <w:szCs w:val="21"/>
        </w:rPr>
        <w:br w:type="page"/>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1</w:t>
      </w:r>
      <w:r>
        <w:rPr>
          <w:rFonts w:hint="eastAsia" w:ascii="宋体" w:hAnsi="宋体" w:eastAsia="宋体" w:cs="宋体"/>
          <w:b/>
          <w:spacing w:val="-6"/>
          <w:szCs w:val="21"/>
        </w:rPr>
        <w:t>）开标一览表</w:t>
      </w:r>
    </w:p>
    <w:p>
      <w:pPr>
        <w:adjustRightInd w:val="0"/>
        <w:snapToGrid w:val="0"/>
        <w:spacing w:line="288" w:lineRule="auto"/>
        <w:rPr>
          <w:rFonts w:ascii="宋体" w:hAnsi="宋体" w:eastAsia="宋体" w:cs="Times New Roman"/>
          <w:bCs/>
          <w:spacing w:val="-6"/>
          <w:szCs w:val="21"/>
        </w:rPr>
      </w:pPr>
      <w:r>
        <w:rPr>
          <w:rFonts w:hint="eastAsia" w:ascii="宋体" w:hAnsi="宋体" w:eastAsia="宋体" w:cs="Times New Roman"/>
          <w:bCs/>
          <w:spacing w:val="-6"/>
          <w:szCs w:val="21"/>
        </w:rPr>
        <w:t>采 购 人：浙江财经大学</w:t>
      </w:r>
    </w:p>
    <w:p>
      <w:pPr>
        <w:adjustRightInd w:val="0"/>
        <w:snapToGrid w:val="0"/>
        <w:spacing w:line="288" w:lineRule="auto"/>
        <w:rPr>
          <w:rFonts w:ascii="宋体" w:hAnsi="宋体" w:eastAsia="宋体" w:cs="Times New Roman"/>
          <w:bCs/>
          <w:spacing w:val="-6"/>
          <w:szCs w:val="21"/>
        </w:rPr>
      </w:pPr>
      <w:r>
        <w:rPr>
          <w:rFonts w:hint="eastAsia" w:ascii="宋体" w:hAnsi="宋体" w:eastAsia="宋体" w:cs="Times New Roman"/>
          <w:bCs/>
          <w:spacing w:val="-6"/>
          <w:szCs w:val="21"/>
        </w:rPr>
        <w:t>项目名称：学生生活区组团厨房设备</w:t>
      </w:r>
    </w:p>
    <w:p>
      <w:pPr>
        <w:adjustRightInd w:val="0"/>
        <w:snapToGrid w:val="0"/>
        <w:spacing w:line="288" w:lineRule="auto"/>
        <w:rPr>
          <w:rFonts w:ascii="宋体" w:hAnsi="宋体" w:eastAsia="宋体" w:cs="Times New Roman"/>
          <w:bCs/>
          <w:spacing w:val="-6"/>
          <w:szCs w:val="21"/>
        </w:rPr>
      </w:pPr>
      <w:r>
        <w:rPr>
          <w:rFonts w:hint="eastAsia" w:ascii="宋体" w:hAnsi="宋体" w:eastAsia="宋体" w:cs="Times New Roman"/>
          <w:bCs/>
          <w:spacing w:val="-6"/>
          <w:szCs w:val="21"/>
        </w:rPr>
        <w:t xml:space="preserve">项目编号：QSZB-Z(H)-E22190(GK) </w:t>
      </w:r>
    </w:p>
    <w:p>
      <w:pPr>
        <w:adjustRightInd w:val="0"/>
        <w:snapToGrid w:val="0"/>
        <w:spacing w:line="288" w:lineRule="auto"/>
        <w:rPr>
          <w:rFonts w:ascii="宋体" w:hAnsi="宋体" w:eastAsia="宋体" w:cs="Times New Roman"/>
          <w:bCs/>
          <w:spacing w:val="-6"/>
          <w:szCs w:val="21"/>
        </w:rPr>
      </w:pPr>
      <w:r>
        <w:rPr>
          <w:rFonts w:hint="eastAsia" w:ascii="宋体" w:hAnsi="宋体" w:eastAsia="宋体" w:cs="Times New Roman"/>
          <w:bCs/>
          <w:spacing w:val="-6"/>
          <w:szCs w:val="21"/>
        </w:rPr>
        <w:t>标    项：</w:t>
      </w:r>
    </w:p>
    <w:tbl>
      <w:tblPr>
        <w:tblStyle w:val="27"/>
        <w:tblW w:w="991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8"/>
        <w:gridCol w:w="1839"/>
        <w:gridCol w:w="708"/>
        <w:gridCol w:w="1702"/>
        <w:gridCol w:w="756"/>
        <w:gridCol w:w="1011"/>
        <w:gridCol w:w="1323"/>
        <w:gridCol w:w="1863"/>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序号</w:t>
            </w:r>
          </w:p>
        </w:tc>
        <w:tc>
          <w:tcPr>
            <w:tcW w:w="18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名称</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品牌</w:t>
            </w:r>
          </w:p>
        </w:tc>
        <w:tc>
          <w:tcPr>
            <w:tcW w:w="170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规格型号</w:t>
            </w: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产地</w:t>
            </w: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数量</w:t>
            </w:r>
          </w:p>
        </w:tc>
        <w:tc>
          <w:tcPr>
            <w:tcW w:w="13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单价（元）</w:t>
            </w:r>
          </w:p>
        </w:tc>
        <w:tc>
          <w:tcPr>
            <w:tcW w:w="18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金额（元）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3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c>
          <w:tcPr>
            <w:tcW w:w="18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3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c>
          <w:tcPr>
            <w:tcW w:w="18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3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c>
          <w:tcPr>
            <w:tcW w:w="18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3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c>
          <w:tcPr>
            <w:tcW w:w="18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3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c>
          <w:tcPr>
            <w:tcW w:w="18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918"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left"/>
              <w:rPr>
                <w:rFonts w:ascii="宋体" w:hAnsi="宋体" w:eastAsia="宋体" w:cs="宋体"/>
                <w:b/>
                <w:bCs/>
                <w:szCs w:val="21"/>
              </w:rPr>
            </w:pPr>
            <w:r>
              <w:rPr>
                <w:rFonts w:hint="eastAsia" w:ascii="宋体" w:hAnsi="宋体" w:eastAsia="宋体" w:cs="Times New Roman"/>
                <w:b/>
                <w:spacing w:val="-6"/>
                <w:szCs w:val="21"/>
              </w:rPr>
              <w:t>说明：▲采购人将以合同形式有偿取得货物或服务，不接受投标人给予的赠品、回扣或者与采购无关的其他商品、服务。</w:t>
            </w:r>
          </w:p>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投标总价（人民币元）</w:t>
            </w:r>
          </w:p>
          <w:p>
            <w:pPr>
              <w:adjustRightInd w:val="0"/>
              <w:snapToGrid w:val="0"/>
              <w:spacing w:line="288" w:lineRule="auto"/>
              <w:rPr>
                <w:rFonts w:ascii="宋体" w:hAnsi="宋体" w:eastAsia="宋体" w:cs="宋体"/>
                <w:b/>
                <w:bCs/>
                <w:szCs w:val="21"/>
              </w:rPr>
            </w:pPr>
          </w:p>
          <w:p>
            <w:pPr>
              <w:adjustRightInd w:val="0"/>
              <w:snapToGrid w:val="0"/>
              <w:spacing w:line="288" w:lineRule="auto"/>
              <w:rPr>
                <w:rFonts w:ascii="宋体" w:hAnsi="宋体" w:eastAsia="宋体" w:cs="宋体"/>
                <w:b/>
                <w:bCs/>
                <w:szCs w:val="21"/>
              </w:rPr>
            </w:pPr>
            <w:r>
              <w:rPr>
                <w:rFonts w:hint="eastAsia" w:ascii="宋体" w:hAnsi="宋体" w:eastAsia="宋体" w:cs="宋体"/>
                <w:b/>
                <w:bCs/>
                <w:szCs w:val="21"/>
              </w:rPr>
              <w:t>小写：_________________________</w:t>
            </w:r>
          </w:p>
          <w:p>
            <w:pPr>
              <w:adjustRightInd w:val="0"/>
              <w:snapToGrid w:val="0"/>
              <w:spacing w:line="288" w:lineRule="auto"/>
              <w:rPr>
                <w:rFonts w:ascii="宋体" w:hAnsi="宋体" w:eastAsia="宋体" w:cs="宋体"/>
                <w:b/>
                <w:bCs/>
                <w:szCs w:val="21"/>
              </w:rPr>
            </w:pPr>
          </w:p>
          <w:p>
            <w:pPr>
              <w:adjustRightInd w:val="0"/>
              <w:snapToGrid w:val="0"/>
              <w:spacing w:line="288" w:lineRule="auto"/>
              <w:rPr>
                <w:rFonts w:ascii="宋体" w:hAnsi="宋体" w:eastAsia="宋体" w:cs="宋体"/>
                <w:b/>
                <w:bCs/>
                <w:szCs w:val="21"/>
              </w:rPr>
            </w:pPr>
            <w:r>
              <w:rPr>
                <w:rFonts w:hint="eastAsia" w:ascii="宋体" w:hAnsi="宋体" w:eastAsia="宋体" w:cs="宋体"/>
                <w:b/>
                <w:bCs/>
                <w:szCs w:val="21"/>
              </w:rPr>
              <w:t>大写：_________________________</w:t>
            </w:r>
          </w:p>
          <w:p>
            <w:pPr>
              <w:adjustRightInd w:val="0"/>
              <w:snapToGrid w:val="0"/>
              <w:spacing w:line="288" w:lineRule="auto"/>
              <w:rPr>
                <w:rFonts w:ascii="宋体" w:hAnsi="宋体" w:eastAsia="宋体" w:cs="宋体"/>
                <w:b/>
                <w:bCs/>
                <w:szCs w:val="21"/>
              </w:rPr>
            </w:pPr>
          </w:p>
        </w:tc>
      </w:tr>
    </w:tbl>
    <w:p>
      <w:pPr>
        <w:adjustRightInd w:val="0"/>
        <w:snapToGrid w:val="0"/>
        <w:spacing w:line="288" w:lineRule="auto"/>
        <w:rPr>
          <w:rFonts w:ascii="宋体" w:hAnsi="宋体" w:eastAsia="宋体" w:cs="Times New Roman"/>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说明：</w:t>
      </w:r>
    </w:p>
    <w:p>
      <w:pPr>
        <w:adjustRightInd w:val="0"/>
        <w:snapToGrid w:val="0"/>
        <w:spacing w:line="288" w:lineRule="auto"/>
        <w:rPr>
          <w:rFonts w:ascii="宋体" w:hAnsi="宋体" w:eastAsia="宋体" w:cs="Times New Roman"/>
          <w:bCs/>
          <w:spacing w:val="-6"/>
          <w:szCs w:val="21"/>
        </w:rPr>
      </w:pPr>
      <w:r>
        <w:rPr>
          <w:rFonts w:ascii="宋体" w:hAnsi="宋体" w:eastAsia="宋体" w:cs="Times New Roman"/>
          <w:bCs/>
          <w:spacing w:val="-6"/>
          <w:szCs w:val="21"/>
        </w:rPr>
        <w:t>1.</w:t>
      </w:r>
      <w:r>
        <w:rPr>
          <w:rFonts w:hint="eastAsia" w:ascii="宋体" w:hAnsi="宋体" w:eastAsia="宋体" w:cs="Times New Roman"/>
          <w:bCs/>
          <w:spacing w:val="-6"/>
          <w:szCs w:val="21"/>
        </w:rPr>
        <w:t>此表在不改变格式要求的情况下，可自行增行。</w:t>
      </w:r>
    </w:p>
    <w:p>
      <w:pPr>
        <w:adjustRightInd w:val="0"/>
        <w:snapToGrid w:val="0"/>
        <w:spacing w:line="288" w:lineRule="auto"/>
        <w:jc w:val="left"/>
        <w:rPr>
          <w:rFonts w:ascii="宋体" w:hAnsi="宋体" w:eastAsia="宋体" w:cs="Times New Roman"/>
          <w:b/>
          <w:spacing w:val="-6"/>
          <w:szCs w:val="21"/>
        </w:rPr>
      </w:pPr>
      <w:r>
        <w:rPr>
          <w:rFonts w:ascii="宋体" w:hAnsi="宋体" w:eastAsia="宋体" w:cs="Times New Roman"/>
          <w:bCs/>
          <w:spacing w:val="-6"/>
          <w:szCs w:val="21"/>
        </w:rPr>
        <w:t>2.有关本项目实施所涉及的一切费用均计入报价。</w:t>
      </w:r>
    </w:p>
    <w:p>
      <w:pPr>
        <w:adjustRightInd w:val="0"/>
        <w:snapToGrid w:val="0"/>
        <w:spacing w:line="288" w:lineRule="auto"/>
        <w:jc w:val="left"/>
        <w:rPr>
          <w:rFonts w:ascii="宋体" w:hAnsi="宋体" w:eastAsia="宋体" w:cs="Times New Roman"/>
          <w:b/>
          <w:spacing w:val="-6"/>
          <w:szCs w:val="21"/>
        </w:rPr>
      </w:pPr>
      <w:r>
        <w:rPr>
          <w:rFonts w:ascii="宋体" w:hAnsi="宋体" w:eastAsia="宋体" w:cs="Times New Roman"/>
          <w:b/>
          <w:spacing w:val="-6"/>
          <w:szCs w:val="21"/>
        </w:rPr>
        <w:t>3.以上表格要求细分项目及报价，在“规格型号”一栏中，货物类项目填写规格型号。</w:t>
      </w:r>
    </w:p>
    <w:p>
      <w:pPr>
        <w:adjustRightInd w:val="0"/>
        <w:snapToGrid w:val="0"/>
        <w:spacing w:line="288" w:lineRule="auto"/>
        <w:rPr>
          <w:rFonts w:ascii="宋体" w:hAnsi="宋体" w:eastAsia="宋体" w:cs="Times New Roman"/>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Times New Roman"/>
          <w:bCs/>
          <w:spacing w:val="-6"/>
          <w:szCs w:val="21"/>
        </w:rPr>
        <w:br w:type="page"/>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2</w:t>
      </w:r>
      <w:r>
        <w:rPr>
          <w:rFonts w:hint="eastAsia" w:ascii="宋体" w:hAnsi="宋体" w:eastAsia="宋体" w:cs="宋体"/>
          <w:b/>
          <w:spacing w:val="-6"/>
          <w:szCs w:val="21"/>
        </w:rPr>
        <w:t>）</w:t>
      </w:r>
      <w:r>
        <w:rPr>
          <w:rFonts w:ascii="宋体" w:hAnsi="宋体" w:eastAsia="宋体" w:cs="宋体"/>
          <w:b/>
          <w:spacing w:val="-6"/>
          <w:szCs w:val="21"/>
        </w:rPr>
        <w:t>中小企业声明函（货物）</w:t>
      </w:r>
      <w:r>
        <w:rPr>
          <w:rFonts w:hint="eastAsia" w:ascii="宋体" w:hAnsi="宋体" w:eastAsia="宋体" w:cs="宋体"/>
          <w:b/>
          <w:spacing w:val="-6"/>
          <w:szCs w:val="21"/>
        </w:rPr>
        <w:t>（若属于中小企业）</w:t>
      </w:r>
    </w:p>
    <w:p>
      <w:pPr>
        <w:adjustRightInd w:val="0"/>
        <w:snapToGrid w:val="0"/>
        <w:spacing w:line="288" w:lineRule="auto"/>
        <w:ind w:firstLine="498" w:firstLineChars="236"/>
        <w:rPr>
          <w:rFonts w:ascii="宋体" w:hAnsi="宋体" w:eastAsia="宋体" w:cs="Times New Roman"/>
          <w:b/>
          <w:szCs w:val="21"/>
        </w:rPr>
      </w:pPr>
    </w:p>
    <w:p>
      <w:pPr>
        <w:adjustRightInd w:val="0"/>
        <w:snapToGrid w:val="0"/>
        <w:spacing w:line="288" w:lineRule="auto"/>
        <w:ind w:firstLine="495" w:firstLineChars="236"/>
        <w:rPr>
          <w:rFonts w:ascii="宋体" w:hAnsi="宋体" w:eastAsia="宋体" w:cs="Times New Roman"/>
          <w:szCs w:val="21"/>
        </w:rPr>
      </w:pPr>
      <w:r>
        <w:rPr>
          <w:rFonts w:ascii="宋体" w:hAnsi="宋体" w:eastAsia="宋体" w:cs="Times New Roman"/>
          <w:szCs w:val="21"/>
        </w:rPr>
        <w:t>本公司（联合体）郑重声明，根据《政府采购促进中小企业发展管理办法》（财库</w:t>
      </w:r>
      <w:r>
        <w:rPr>
          <w:rFonts w:hint="eastAsia" w:ascii="宋体" w:hAnsi="宋体" w:eastAsia="宋体" w:cs="Times New Roman"/>
          <w:szCs w:val="21"/>
        </w:rPr>
        <w:t>﹝</w:t>
      </w:r>
      <w:r>
        <w:rPr>
          <w:rFonts w:ascii="宋体" w:hAnsi="宋体" w:eastAsia="宋体" w:cs="Times New Roman"/>
          <w:szCs w:val="21"/>
        </w:rPr>
        <w:t>2020</w:t>
      </w:r>
      <w:r>
        <w:rPr>
          <w:rFonts w:hint="eastAsia" w:ascii="宋体" w:hAnsi="宋体" w:eastAsia="宋体" w:cs="Times New Roman"/>
          <w:szCs w:val="21"/>
        </w:rPr>
        <w:t>﹞</w:t>
      </w:r>
      <w:r>
        <w:rPr>
          <w:rFonts w:ascii="宋体" w:hAnsi="宋体" w:eastAsia="宋体" w:cs="Times New Roman"/>
          <w:szCs w:val="21"/>
        </w:rPr>
        <w:t>46 号）的规定，本公司（联合体）参加</w:t>
      </w:r>
      <w:r>
        <w:rPr>
          <w:rFonts w:ascii="宋体" w:hAnsi="宋体" w:eastAsia="宋体" w:cs="Times New Roman"/>
          <w:i/>
          <w:szCs w:val="21"/>
          <w:u w:val="single"/>
        </w:rPr>
        <w:t>（单位名称）</w:t>
      </w:r>
      <w:r>
        <w:rPr>
          <w:rFonts w:ascii="宋体" w:hAnsi="宋体" w:eastAsia="宋体" w:cs="Times New Roman"/>
          <w:szCs w:val="21"/>
        </w:rPr>
        <w:t>的</w:t>
      </w:r>
      <w:r>
        <w:rPr>
          <w:rFonts w:ascii="宋体" w:hAnsi="宋体" w:eastAsia="宋体" w:cs="Times New Roman"/>
          <w:i/>
          <w:szCs w:val="21"/>
          <w:u w:val="single"/>
        </w:rPr>
        <w:t>（项目名称）</w:t>
      </w:r>
      <w:r>
        <w:rPr>
          <w:rFonts w:ascii="宋体" w:hAnsi="宋体" w:eastAsia="宋体" w:cs="Times New Roman"/>
          <w:szCs w:val="21"/>
        </w:rPr>
        <w:t>采购活动，提供的货物全部由符合政策要求的中小企业制造。相关企业（含联合体中的中小企业、签订分包意向协议的中小企业）的具体情况如下：</w:t>
      </w:r>
    </w:p>
    <w:p>
      <w:pPr>
        <w:adjustRightInd w:val="0"/>
        <w:snapToGrid w:val="0"/>
        <w:spacing w:line="288" w:lineRule="auto"/>
        <w:ind w:firstLine="495" w:firstLineChars="236"/>
        <w:rPr>
          <w:rFonts w:ascii="宋体" w:hAnsi="宋体" w:eastAsia="宋体" w:cs="Times New Roman"/>
          <w:szCs w:val="21"/>
        </w:rPr>
      </w:pPr>
      <w:r>
        <w:rPr>
          <w:rFonts w:ascii="宋体" w:hAnsi="宋体" w:eastAsia="宋体" w:cs="Times New Roman"/>
          <w:i/>
          <w:szCs w:val="21"/>
          <w:u w:val="single"/>
        </w:rPr>
        <w:t>1. （标的名称）</w:t>
      </w:r>
      <w:r>
        <w:rPr>
          <w:rFonts w:ascii="宋体" w:hAnsi="宋体" w:eastAsia="宋体" w:cs="Times New Roman"/>
          <w:i/>
          <w:szCs w:val="21"/>
        </w:rPr>
        <w:t xml:space="preserve"> </w:t>
      </w:r>
      <w:r>
        <w:rPr>
          <w:rFonts w:ascii="宋体" w:hAnsi="宋体" w:eastAsia="宋体" w:cs="Times New Roman"/>
          <w:szCs w:val="21"/>
        </w:rPr>
        <w:t>，属于</w:t>
      </w:r>
      <w:r>
        <w:rPr>
          <w:rFonts w:ascii="宋体" w:hAnsi="宋体" w:eastAsia="宋体" w:cs="Times New Roman"/>
          <w:i/>
          <w:szCs w:val="21"/>
        </w:rPr>
        <w:t>（</w:t>
      </w:r>
      <w:r>
        <w:rPr>
          <w:rFonts w:ascii="宋体" w:hAnsi="宋体" w:eastAsia="宋体" w:cs="Times New Roman"/>
          <w:i/>
          <w:szCs w:val="21"/>
          <w:u w:val="single"/>
        </w:rPr>
        <w:t>采购文件中明确的所属行业）行业</w:t>
      </w:r>
      <w:r>
        <w:rPr>
          <w:rFonts w:ascii="宋体" w:hAnsi="宋体" w:eastAsia="宋体" w:cs="Times New Roman"/>
          <w:szCs w:val="21"/>
        </w:rPr>
        <w:t>；制造商为</w:t>
      </w:r>
      <w:r>
        <w:rPr>
          <w:rFonts w:ascii="宋体" w:hAnsi="宋体" w:eastAsia="宋体" w:cs="Times New Roman"/>
          <w:i/>
          <w:szCs w:val="21"/>
          <w:u w:val="single"/>
        </w:rPr>
        <w:t>（企业名称）</w:t>
      </w:r>
      <w:r>
        <w:rPr>
          <w:rFonts w:ascii="宋体" w:hAnsi="宋体" w:eastAsia="宋体" w:cs="Times New Roman"/>
          <w:szCs w:val="21"/>
        </w:rPr>
        <w:t>，从业人员</w:t>
      </w:r>
      <w:r>
        <w:rPr>
          <w:rFonts w:ascii="宋体" w:hAnsi="宋体" w:eastAsia="宋体" w:cs="Times New Roman"/>
          <w:szCs w:val="21"/>
          <w:u w:val="single"/>
        </w:rPr>
        <w:t xml:space="preserve"> </w:t>
      </w:r>
      <w:r>
        <w:rPr>
          <w:rFonts w:ascii="宋体" w:hAnsi="宋体" w:eastAsia="宋体" w:cs="Times New Roman"/>
          <w:szCs w:val="21"/>
          <w:u w:val="single"/>
        </w:rPr>
        <w:tab/>
      </w:r>
      <w:r>
        <w:rPr>
          <w:rFonts w:ascii="宋体" w:hAnsi="宋体" w:eastAsia="宋体" w:cs="Times New Roman"/>
          <w:szCs w:val="21"/>
        </w:rPr>
        <w:t>人，营业收入为</w:t>
      </w:r>
      <w:r>
        <w:rPr>
          <w:rFonts w:ascii="宋体" w:hAnsi="宋体" w:eastAsia="宋体" w:cs="Times New Roman"/>
          <w:szCs w:val="21"/>
          <w:u w:val="single"/>
        </w:rPr>
        <w:t xml:space="preserve"> </w:t>
      </w:r>
      <w:r>
        <w:rPr>
          <w:rFonts w:ascii="宋体" w:hAnsi="宋体" w:eastAsia="宋体" w:cs="Times New Roman"/>
          <w:szCs w:val="21"/>
          <w:u w:val="single"/>
        </w:rPr>
        <w:tab/>
      </w:r>
      <w:r>
        <w:rPr>
          <w:rFonts w:ascii="宋体" w:hAnsi="宋体" w:eastAsia="宋体" w:cs="Times New Roman"/>
          <w:szCs w:val="21"/>
        </w:rPr>
        <w:t>万元，资产总额为</w:t>
      </w:r>
      <w:r>
        <w:rPr>
          <w:rFonts w:ascii="宋体" w:hAnsi="宋体" w:eastAsia="宋体" w:cs="Times New Roman"/>
          <w:szCs w:val="21"/>
          <w:u w:val="single"/>
        </w:rPr>
        <w:t xml:space="preserve"> </w:t>
      </w:r>
      <w:r>
        <w:rPr>
          <w:rFonts w:ascii="宋体" w:hAnsi="宋体" w:eastAsia="宋体" w:cs="Times New Roman"/>
          <w:szCs w:val="21"/>
          <w:u w:val="single"/>
        </w:rPr>
        <w:tab/>
      </w:r>
      <w:r>
        <w:rPr>
          <w:rFonts w:ascii="宋体" w:hAnsi="宋体" w:eastAsia="宋体" w:cs="Times New Roman"/>
          <w:szCs w:val="21"/>
        </w:rPr>
        <w:t>万元，属于</w:t>
      </w:r>
      <w:r>
        <w:rPr>
          <w:rFonts w:ascii="宋体" w:hAnsi="宋体" w:eastAsia="宋体" w:cs="Times New Roman"/>
          <w:i/>
          <w:szCs w:val="21"/>
          <w:u w:val="single"/>
        </w:rPr>
        <w:t>（中型企业、小型企业、微型企业）</w:t>
      </w:r>
      <w:r>
        <w:rPr>
          <w:rFonts w:ascii="宋体" w:hAnsi="宋体" w:eastAsia="宋体" w:cs="Times New Roman"/>
          <w:szCs w:val="21"/>
        </w:rPr>
        <w:t>；</w:t>
      </w:r>
    </w:p>
    <w:p>
      <w:pPr>
        <w:adjustRightInd w:val="0"/>
        <w:snapToGrid w:val="0"/>
        <w:spacing w:line="288" w:lineRule="auto"/>
        <w:ind w:firstLine="495" w:firstLineChars="236"/>
        <w:rPr>
          <w:rFonts w:ascii="宋体" w:hAnsi="宋体" w:eastAsia="宋体" w:cs="Times New Roman"/>
          <w:szCs w:val="21"/>
        </w:rPr>
      </w:pPr>
      <w:r>
        <w:rPr>
          <w:rFonts w:ascii="宋体" w:hAnsi="宋体" w:eastAsia="宋体" w:cs="Times New Roman"/>
          <w:i/>
          <w:szCs w:val="21"/>
          <w:u w:val="single"/>
        </w:rPr>
        <w:t>2. （标的名称）</w:t>
      </w:r>
      <w:r>
        <w:rPr>
          <w:rFonts w:ascii="宋体" w:hAnsi="宋体" w:eastAsia="宋体" w:cs="Times New Roman"/>
          <w:i/>
          <w:szCs w:val="21"/>
        </w:rPr>
        <w:t xml:space="preserve"> </w:t>
      </w:r>
      <w:r>
        <w:rPr>
          <w:rFonts w:ascii="宋体" w:hAnsi="宋体" w:eastAsia="宋体" w:cs="Times New Roman"/>
          <w:szCs w:val="21"/>
        </w:rPr>
        <w:t>，属于</w:t>
      </w:r>
      <w:r>
        <w:rPr>
          <w:rFonts w:ascii="宋体" w:hAnsi="宋体" w:eastAsia="宋体" w:cs="Times New Roman"/>
          <w:i/>
          <w:szCs w:val="21"/>
        </w:rPr>
        <w:t>（</w:t>
      </w:r>
      <w:r>
        <w:rPr>
          <w:rFonts w:ascii="宋体" w:hAnsi="宋体" w:eastAsia="宋体" w:cs="Times New Roman"/>
          <w:i/>
          <w:szCs w:val="21"/>
          <w:u w:val="single"/>
        </w:rPr>
        <w:t>采购文件中明确的所属行业）行业</w:t>
      </w:r>
      <w:r>
        <w:rPr>
          <w:rFonts w:ascii="宋体" w:hAnsi="宋体" w:eastAsia="宋体" w:cs="Times New Roman"/>
          <w:szCs w:val="21"/>
        </w:rPr>
        <w:t>；制造商为</w:t>
      </w:r>
      <w:r>
        <w:rPr>
          <w:rFonts w:ascii="宋体" w:hAnsi="宋体" w:eastAsia="宋体" w:cs="Times New Roman"/>
          <w:i/>
          <w:szCs w:val="21"/>
          <w:u w:val="single"/>
        </w:rPr>
        <w:t>（企业名称）</w:t>
      </w:r>
      <w:r>
        <w:rPr>
          <w:rFonts w:ascii="宋体" w:hAnsi="宋体" w:eastAsia="宋体" w:cs="Times New Roman"/>
          <w:szCs w:val="21"/>
        </w:rPr>
        <w:t>，从业人员</w:t>
      </w:r>
      <w:r>
        <w:rPr>
          <w:rFonts w:ascii="宋体" w:hAnsi="宋体" w:eastAsia="宋体" w:cs="Times New Roman"/>
          <w:szCs w:val="21"/>
          <w:u w:val="single"/>
        </w:rPr>
        <w:t xml:space="preserve"> </w:t>
      </w:r>
      <w:r>
        <w:rPr>
          <w:rFonts w:ascii="宋体" w:hAnsi="宋体" w:eastAsia="宋体" w:cs="Times New Roman"/>
          <w:szCs w:val="21"/>
          <w:u w:val="single"/>
        </w:rPr>
        <w:tab/>
      </w:r>
      <w:r>
        <w:rPr>
          <w:rFonts w:ascii="宋体" w:hAnsi="宋体" w:eastAsia="宋体" w:cs="Times New Roman"/>
          <w:szCs w:val="21"/>
        </w:rPr>
        <w:t>人，营业收入为</w:t>
      </w:r>
      <w:r>
        <w:rPr>
          <w:rFonts w:ascii="宋体" w:hAnsi="宋体" w:eastAsia="宋体" w:cs="Times New Roman"/>
          <w:szCs w:val="21"/>
          <w:u w:val="single"/>
        </w:rPr>
        <w:t xml:space="preserve"> </w:t>
      </w:r>
      <w:r>
        <w:rPr>
          <w:rFonts w:ascii="宋体" w:hAnsi="宋体" w:eastAsia="宋体" w:cs="Times New Roman"/>
          <w:szCs w:val="21"/>
          <w:u w:val="single"/>
        </w:rPr>
        <w:tab/>
      </w:r>
      <w:r>
        <w:rPr>
          <w:rFonts w:ascii="宋体" w:hAnsi="宋体" w:eastAsia="宋体" w:cs="Times New Roman"/>
          <w:szCs w:val="21"/>
        </w:rPr>
        <w:t>万元，资产总额为</w:t>
      </w:r>
      <w:r>
        <w:rPr>
          <w:rFonts w:ascii="宋体" w:hAnsi="宋体" w:eastAsia="宋体" w:cs="Times New Roman"/>
          <w:szCs w:val="21"/>
          <w:u w:val="single"/>
        </w:rPr>
        <w:t xml:space="preserve"> </w:t>
      </w:r>
      <w:r>
        <w:rPr>
          <w:rFonts w:ascii="宋体" w:hAnsi="宋体" w:eastAsia="宋体" w:cs="Times New Roman"/>
          <w:szCs w:val="21"/>
          <w:u w:val="single"/>
        </w:rPr>
        <w:tab/>
      </w:r>
      <w:r>
        <w:rPr>
          <w:rFonts w:ascii="宋体" w:hAnsi="宋体" w:eastAsia="宋体" w:cs="Times New Roman"/>
          <w:szCs w:val="21"/>
        </w:rPr>
        <w:t>万元，属于</w:t>
      </w:r>
      <w:r>
        <w:rPr>
          <w:rFonts w:ascii="宋体" w:hAnsi="宋体" w:eastAsia="宋体" w:cs="Times New Roman"/>
          <w:i/>
          <w:szCs w:val="21"/>
          <w:u w:val="single"/>
        </w:rPr>
        <w:t>（中型企业、小型企业、微型企业）</w:t>
      </w:r>
      <w:r>
        <w:rPr>
          <w:rFonts w:hint="eastAsia" w:ascii="宋体" w:hAnsi="宋体" w:eastAsia="宋体" w:cs="Times New Roman"/>
          <w:szCs w:val="21"/>
        </w:rPr>
        <w:t>；</w:t>
      </w:r>
    </w:p>
    <w:p>
      <w:pPr>
        <w:adjustRightInd w:val="0"/>
        <w:snapToGrid w:val="0"/>
        <w:spacing w:line="288" w:lineRule="auto"/>
        <w:ind w:firstLine="495" w:firstLineChars="236"/>
        <w:rPr>
          <w:rFonts w:ascii="宋体" w:hAnsi="宋体" w:eastAsia="宋体" w:cs="Times New Roman"/>
          <w:szCs w:val="21"/>
        </w:rPr>
      </w:pPr>
      <w:r>
        <w:rPr>
          <w:rFonts w:ascii="宋体" w:hAnsi="宋体" w:eastAsia="宋体" w:cs="Times New Roman"/>
          <w:szCs w:val="21"/>
        </w:rPr>
        <w:t>……</w:t>
      </w:r>
    </w:p>
    <w:p>
      <w:pPr>
        <w:adjustRightInd w:val="0"/>
        <w:snapToGrid w:val="0"/>
        <w:spacing w:line="288" w:lineRule="auto"/>
        <w:ind w:firstLine="495" w:firstLineChars="236"/>
        <w:rPr>
          <w:rFonts w:ascii="宋体" w:hAnsi="宋体" w:eastAsia="宋体" w:cs="Times New Roman"/>
          <w:szCs w:val="21"/>
        </w:rPr>
      </w:pPr>
      <w:r>
        <w:rPr>
          <w:rFonts w:ascii="宋体" w:hAnsi="宋体" w:eastAsia="宋体" w:cs="Times New Roman"/>
          <w:szCs w:val="21"/>
        </w:rPr>
        <w:t>以上企业，不属于大企业的分支机构，不存在控股股东为大企业的情形，也不存在与大企业的负责人为同一人的情形。</w:t>
      </w:r>
    </w:p>
    <w:p>
      <w:pPr>
        <w:adjustRightInd w:val="0"/>
        <w:snapToGrid w:val="0"/>
        <w:spacing w:line="288" w:lineRule="auto"/>
        <w:ind w:firstLine="495" w:firstLineChars="236"/>
        <w:rPr>
          <w:rFonts w:ascii="宋体" w:hAnsi="宋体" w:eastAsia="宋体" w:cs="Times New Roman"/>
          <w:szCs w:val="21"/>
        </w:rPr>
      </w:pPr>
      <w:r>
        <w:rPr>
          <w:rFonts w:ascii="宋体" w:hAnsi="宋体" w:eastAsia="宋体" w:cs="Times New Roman"/>
          <w:szCs w:val="21"/>
        </w:rPr>
        <w:t>本企业对上述声明内容的真实性负责。如有虚假，将依法承担相应责任。</w:t>
      </w:r>
    </w:p>
    <w:p>
      <w:pPr>
        <w:adjustRightInd w:val="0"/>
        <w:snapToGrid w:val="0"/>
        <w:spacing w:line="288" w:lineRule="auto"/>
        <w:ind w:firstLine="495" w:firstLineChars="236"/>
        <w:rPr>
          <w:rFonts w:ascii="宋体" w:hAnsi="宋体" w:eastAsia="宋体" w:cs="Times New Roman"/>
          <w:szCs w:val="21"/>
        </w:rPr>
      </w:pPr>
    </w:p>
    <w:p>
      <w:pPr>
        <w:adjustRightInd w:val="0"/>
        <w:snapToGrid w:val="0"/>
        <w:spacing w:line="288" w:lineRule="auto"/>
        <w:ind w:firstLine="495" w:firstLineChars="236"/>
        <w:rPr>
          <w:rFonts w:ascii="宋体" w:hAnsi="宋体" w:eastAsia="宋体" w:cs="Times New Roman"/>
          <w:szCs w:val="21"/>
        </w:rPr>
      </w:pPr>
      <w:r>
        <w:rPr>
          <w:rFonts w:ascii="宋体" w:hAnsi="宋体" w:eastAsia="宋体" w:cs="Times New Roman"/>
          <w:szCs w:val="21"/>
        </w:rPr>
        <w:t>企业名称（盖章）：</w:t>
      </w:r>
    </w:p>
    <w:p>
      <w:pPr>
        <w:adjustRightInd w:val="0"/>
        <w:snapToGrid w:val="0"/>
        <w:spacing w:line="288" w:lineRule="auto"/>
        <w:ind w:firstLine="495" w:firstLineChars="236"/>
        <w:rPr>
          <w:rFonts w:ascii="宋体" w:hAnsi="宋体" w:eastAsia="宋体" w:cs="Times New Roman"/>
          <w:szCs w:val="21"/>
        </w:rPr>
      </w:pPr>
      <w:r>
        <w:rPr>
          <w:rFonts w:ascii="宋体" w:hAnsi="宋体" w:eastAsia="宋体" w:cs="Times New Roman"/>
          <w:szCs w:val="21"/>
        </w:rPr>
        <w:t>日期：</w:t>
      </w:r>
    </w:p>
    <w:p>
      <w:pPr>
        <w:adjustRightInd w:val="0"/>
        <w:snapToGrid w:val="0"/>
        <w:spacing w:line="288" w:lineRule="auto"/>
        <w:ind w:firstLine="495" w:firstLineChars="236"/>
        <w:rPr>
          <w:rFonts w:ascii="宋体" w:hAnsi="宋体" w:eastAsia="宋体" w:cs="Times New Roman"/>
          <w:szCs w:val="21"/>
        </w:rPr>
      </w:pPr>
    </w:p>
    <w:p>
      <w:pPr>
        <w:adjustRightInd w:val="0"/>
        <w:snapToGrid w:val="0"/>
        <w:spacing w:line="288" w:lineRule="auto"/>
        <w:ind w:firstLine="495" w:firstLineChars="236"/>
        <w:rPr>
          <w:rFonts w:ascii="宋体" w:hAnsi="宋体" w:eastAsia="宋体" w:cs="Times New Roman"/>
          <w:szCs w:val="21"/>
        </w:rPr>
      </w:pPr>
      <w:r>
        <w:rPr>
          <w:rFonts w:hint="eastAsia" w:ascii="宋体" w:hAnsi="宋体" w:eastAsia="宋体" w:cs="Times New Roman"/>
          <w:szCs w:val="21"/>
        </w:rPr>
        <w:t>注：</w:t>
      </w:r>
    </w:p>
    <w:p>
      <w:pPr>
        <w:adjustRightInd w:val="0"/>
        <w:snapToGrid w:val="0"/>
        <w:spacing w:line="288" w:lineRule="auto"/>
        <w:ind w:firstLine="495" w:firstLineChars="23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中小企业参加政府采购活动，应当出具财库〔2020〕46号文件规定的《中小企业声明函》，否则不得享受相关中小企业扶持政策。</w:t>
      </w:r>
    </w:p>
    <w:p>
      <w:pPr>
        <w:adjustRightInd w:val="0"/>
        <w:snapToGrid w:val="0"/>
        <w:spacing w:line="288" w:lineRule="auto"/>
        <w:ind w:firstLine="495" w:firstLineChars="236"/>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从业人员、营业收入、资产总额填报上一年度数据，无上一年度数据的新成立企业可不填报。</w:t>
      </w:r>
    </w:p>
    <w:p>
      <w:pPr>
        <w:adjustRightInd w:val="0"/>
        <w:snapToGrid w:val="0"/>
        <w:spacing w:line="288" w:lineRule="auto"/>
        <w:ind w:firstLine="495" w:firstLineChars="236"/>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《中小企业声明函》填写不全的，视为未提供《中小企业声明函》（从业人员、营业收入、资产总额在中小企业划型标准规定中不涉及的除外），</w:t>
      </w:r>
      <w:r>
        <w:rPr>
          <w:rFonts w:hint="eastAsia" w:ascii="宋体" w:hAnsi="宋体" w:eastAsia="宋体"/>
        </w:rPr>
        <w:t>不享受中小企业扶持政策。</w:t>
      </w:r>
      <w:r>
        <w:rPr>
          <w:rFonts w:ascii="宋体" w:hAnsi="宋体" w:eastAsia="宋体" w:cs="宋体"/>
          <w:szCs w:val="21"/>
        </w:rPr>
        <w:t>如项目包含“多件”标的物的，需按标的物项数逐项填写。</w:t>
      </w:r>
    </w:p>
    <w:p>
      <w:pPr>
        <w:adjustRightInd w:val="0"/>
        <w:snapToGrid w:val="0"/>
        <w:spacing w:line="288" w:lineRule="auto"/>
        <w:ind w:firstLine="495" w:firstLineChars="236"/>
        <w:rPr>
          <w:rFonts w:ascii="宋体" w:hAnsi="宋体" w:eastAsia="宋体" w:cs="Times New Roman"/>
          <w:szCs w:val="21"/>
        </w:rPr>
      </w:pPr>
      <w:r>
        <w:rPr>
          <w:rFonts w:hint="eastAsia" w:ascii="宋体" w:hAnsi="宋体" w:eastAsia="宋体" w:cs="Times New Roman"/>
          <w:szCs w:val="21"/>
        </w:rPr>
        <w:t>4.投标人提供《中小企业声明函》内容不实的，属于提供虚假材料谋取中标、成交，依照《中华人民共和国政府采购法》等国家有关规定追究相应责任。</w:t>
      </w:r>
    </w:p>
    <w:p>
      <w:pPr>
        <w:adjustRightInd w:val="0"/>
        <w:snapToGrid w:val="0"/>
        <w:spacing w:line="288" w:lineRule="auto"/>
        <w:ind w:firstLine="495" w:firstLineChars="236"/>
        <w:rPr>
          <w:rFonts w:ascii="宋体" w:hAnsi="宋体" w:eastAsia="宋体" w:cs="Times New Roman"/>
          <w:szCs w:val="21"/>
        </w:rPr>
      </w:pPr>
      <w:r>
        <w:rPr>
          <w:rFonts w:hint="eastAsia" w:ascii="宋体" w:hAnsi="宋体" w:eastAsia="宋体" w:cs="Times New Roman"/>
          <w:szCs w:val="21"/>
        </w:rPr>
        <w:t>5.本项目仅以《中小企业声明函》作为评判投标人是否属于中小企业的唯一依据。</w:t>
      </w:r>
    </w:p>
    <w:p>
      <w:pPr>
        <w:widowControl/>
        <w:adjustRightInd w:val="0"/>
        <w:snapToGrid w:val="0"/>
        <w:spacing w:line="288" w:lineRule="auto"/>
        <w:ind w:firstLine="495" w:firstLineChars="236"/>
        <w:jc w:val="left"/>
        <w:rPr>
          <w:rFonts w:ascii="宋体" w:hAnsi="宋体" w:eastAsia="宋体" w:cs="Times New Roman"/>
          <w:szCs w:val="21"/>
        </w:rPr>
      </w:pPr>
      <w:r>
        <w:rPr>
          <w:rFonts w:ascii="宋体" w:hAnsi="宋体" w:eastAsia="宋体" w:cs="Times New Roman"/>
          <w:szCs w:val="21"/>
        </w:rPr>
        <w:br w:type="page"/>
      </w:r>
    </w:p>
    <w:p>
      <w:pPr>
        <w:adjustRightInd w:val="0"/>
        <w:snapToGrid w:val="0"/>
        <w:spacing w:line="288" w:lineRule="auto"/>
        <w:jc w:val="center"/>
        <w:outlineLvl w:val="2"/>
        <w:rPr>
          <w:rFonts w:ascii="宋体" w:hAnsi="宋体" w:eastAsia="宋体" w:cs="宋体"/>
          <w:color w:val="000000"/>
          <w:kern w:val="0"/>
          <w:szCs w:val="21"/>
          <w:highlight w:val="yellow"/>
        </w:rPr>
      </w:pPr>
      <w:r>
        <w:rPr>
          <w:rFonts w:hint="eastAsia" w:ascii="宋体" w:hAnsi="宋体" w:eastAsia="宋体" w:cs="宋体"/>
          <w:b/>
          <w:spacing w:val="-6"/>
          <w:szCs w:val="21"/>
        </w:rPr>
        <w:t>（</w:t>
      </w:r>
      <w:r>
        <w:rPr>
          <w:rFonts w:ascii="宋体" w:hAnsi="宋体" w:eastAsia="宋体" w:cs="宋体"/>
          <w:b/>
          <w:spacing w:val="-6"/>
          <w:szCs w:val="21"/>
        </w:rPr>
        <w:t>3</w:t>
      </w:r>
      <w:r>
        <w:rPr>
          <w:rFonts w:hint="eastAsia" w:ascii="宋体" w:hAnsi="宋体" w:eastAsia="宋体" w:cs="宋体"/>
          <w:b/>
          <w:spacing w:val="-6"/>
          <w:szCs w:val="21"/>
        </w:rPr>
        <w:t>）属于监狱企业的证明文件（若属于监狱企业）</w:t>
      </w:r>
    </w:p>
    <w:p>
      <w:pPr>
        <w:adjustRightInd w:val="0"/>
        <w:snapToGrid w:val="0"/>
        <w:spacing w:line="288" w:lineRule="auto"/>
        <w:rPr>
          <w:rFonts w:ascii="宋体" w:hAnsi="宋体" w:eastAsia="宋体" w:cs="宋体"/>
          <w:color w:val="000000"/>
          <w:kern w:val="0"/>
          <w:szCs w:val="21"/>
        </w:rPr>
      </w:pPr>
    </w:p>
    <w:p>
      <w:pPr>
        <w:adjustRightInd w:val="0"/>
        <w:snapToGrid w:val="0"/>
        <w:spacing w:line="288" w:lineRule="auto"/>
        <w:ind w:firstLine="373" w:firstLineChars="177"/>
        <w:rPr>
          <w:rFonts w:ascii="宋体" w:hAnsi="宋体" w:eastAsia="宋体"/>
          <w:b/>
          <w:bCs/>
          <w:szCs w:val="21"/>
        </w:rPr>
      </w:pPr>
      <w:r>
        <w:rPr>
          <w:rFonts w:hint="eastAsia" w:ascii="宋体" w:hAnsi="宋体" w:eastAsia="宋体" w:cs="宋体"/>
          <w:b/>
          <w:bCs/>
          <w:color w:val="000000"/>
          <w:kern w:val="0"/>
          <w:szCs w:val="21"/>
        </w:rPr>
        <w:t>监狱企业参加政府采购活动时，应当提供由省级以上监狱管理局、戒毒管理局（含新疆生产建设兵团）出具的属于监狱企业的证明文件。</w:t>
      </w:r>
    </w:p>
    <w:p>
      <w:pPr>
        <w:adjustRightInd w:val="0"/>
        <w:snapToGrid w:val="0"/>
        <w:spacing w:line="288" w:lineRule="auto"/>
        <w:rPr>
          <w:rFonts w:ascii="宋体" w:hAnsi="宋体" w:eastAsia="宋体"/>
          <w:szCs w:val="21"/>
        </w:rPr>
      </w:pPr>
    </w:p>
    <w:p>
      <w:pPr>
        <w:adjustRightInd w:val="0"/>
        <w:snapToGrid w:val="0"/>
        <w:spacing w:line="288" w:lineRule="auto"/>
        <w:rPr>
          <w:rFonts w:ascii="宋体" w:hAnsi="宋体" w:eastAsia="宋体"/>
          <w:b/>
          <w:bCs/>
          <w:szCs w:val="21"/>
        </w:rPr>
      </w:pPr>
      <w:r>
        <w:rPr>
          <w:rFonts w:hint="eastAsia" w:ascii="宋体" w:hAnsi="宋体" w:eastAsia="宋体"/>
          <w:b/>
          <w:bCs/>
          <w:szCs w:val="21"/>
        </w:rPr>
        <w:t>说明：</w:t>
      </w:r>
    </w:p>
    <w:p>
      <w:pPr>
        <w:widowControl/>
        <w:shd w:val="clear" w:color="auto" w:fill="FFFFFF"/>
        <w:adjustRightInd w:val="0"/>
        <w:snapToGrid w:val="0"/>
        <w:spacing w:line="288" w:lineRule="auto"/>
        <w:ind w:firstLine="371" w:firstLineChars="177"/>
        <w:jc w:val="left"/>
        <w:rPr>
          <w:rFonts w:ascii="宋体" w:hAnsi="宋体" w:eastAsia="宋体" w:cs="宋体"/>
          <w:color w:val="000000"/>
          <w:kern w:val="0"/>
          <w:szCs w:val="21"/>
        </w:rPr>
      </w:pPr>
      <w:r>
        <w:rPr>
          <w:rFonts w:hint="eastAsia" w:ascii="宋体" w:hAnsi="宋体" w:eastAsia="宋体" w:cs="宋体"/>
          <w:color w:val="000000"/>
          <w:kern w:val="0"/>
          <w:szCs w:val="21"/>
        </w:rP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pPr>
        <w:widowControl/>
        <w:shd w:val="clear" w:color="auto" w:fill="FFFFFF"/>
        <w:adjustRightInd w:val="0"/>
        <w:snapToGrid w:val="0"/>
        <w:spacing w:line="288" w:lineRule="auto"/>
        <w:ind w:firstLine="371" w:firstLineChars="177"/>
        <w:jc w:val="left"/>
        <w:rPr>
          <w:rFonts w:ascii="宋体" w:hAnsi="宋体" w:eastAsia="宋体" w:cs="宋体"/>
          <w:color w:val="000000"/>
          <w:kern w:val="0"/>
          <w:szCs w:val="21"/>
        </w:rPr>
      </w:pPr>
      <w:r>
        <w:rPr>
          <w:rFonts w:hint="eastAsia" w:ascii="宋体" w:hAnsi="宋体" w:eastAsia="宋体" w:cs="宋体"/>
          <w:color w:val="000000"/>
          <w:kern w:val="0"/>
          <w:szCs w:val="21"/>
        </w:rPr>
        <w:t>二、在政府采购活动中，监狱企业视同小型、微型企业，享受预留份额、评审中价格扣除等政府采购促进中小企业发展的政府采购政策。</w:t>
      </w:r>
    </w:p>
    <w:p>
      <w:pPr>
        <w:widowControl/>
        <w:adjustRightInd w:val="0"/>
        <w:snapToGrid w:val="0"/>
        <w:spacing w:line="288" w:lineRule="auto"/>
        <w:jc w:val="left"/>
        <w:rPr>
          <w:rFonts w:ascii="宋体" w:hAnsi="宋体" w:eastAsia="宋体" w:cs="宋体"/>
          <w:b/>
          <w:spacing w:val="-6"/>
          <w:szCs w:val="21"/>
        </w:rPr>
      </w:pPr>
      <w:r>
        <w:rPr>
          <w:rFonts w:ascii="宋体" w:hAnsi="宋体" w:eastAsia="宋体" w:cs="宋体"/>
          <w:b/>
          <w:spacing w:val="-6"/>
          <w:szCs w:val="21"/>
        </w:rPr>
        <w:br w:type="page"/>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4</w:t>
      </w:r>
      <w:r>
        <w:rPr>
          <w:rFonts w:hint="eastAsia" w:ascii="宋体" w:hAnsi="宋体" w:eastAsia="宋体" w:cs="宋体"/>
          <w:b/>
          <w:spacing w:val="-6"/>
          <w:szCs w:val="21"/>
        </w:rPr>
        <w:t>）残疾人福利性单位声明函（若属于残疾人福利性单位）</w:t>
      </w:r>
    </w:p>
    <w:p>
      <w:pPr>
        <w:adjustRightInd w:val="0"/>
        <w:snapToGrid w:val="0"/>
        <w:spacing w:line="288" w:lineRule="auto"/>
        <w:rPr>
          <w:rFonts w:ascii="宋体" w:hAnsi="宋体" w:eastAsia="宋体" w:cs="Times New Roman"/>
          <w:b/>
          <w:spacing w:val="6"/>
          <w:szCs w:val="21"/>
        </w:rPr>
      </w:pPr>
    </w:p>
    <w:p>
      <w:pPr>
        <w:adjustRightInd w:val="0"/>
        <w:snapToGrid w:val="0"/>
        <w:spacing w:line="288" w:lineRule="auto"/>
        <w:ind w:firstLine="444" w:firstLineChars="200"/>
        <w:rPr>
          <w:rFonts w:ascii="宋体" w:hAnsi="宋体" w:eastAsia="宋体" w:cs="Times New Roman"/>
          <w:spacing w:val="6"/>
          <w:szCs w:val="21"/>
        </w:rPr>
      </w:pPr>
      <w:r>
        <w:rPr>
          <w:rFonts w:hint="eastAsia" w:ascii="宋体" w:hAnsi="宋体" w:eastAsia="宋体" w:cs="Times New Roman"/>
          <w:spacing w:val="6"/>
          <w:szCs w:val="21"/>
        </w:rPr>
        <w:t>本单位郑重声明，根据《财政部 民政部 中国残疾人联合会关于促进残疾人就业政府采购政策的通知》（财库</w:t>
      </w:r>
      <w:r>
        <w:rPr>
          <w:rFonts w:hint="eastAsia" w:ascii="宋体" w:hAnsi="宋体" w:eastAsia="宋体" w:cs="Times New Roman"/>
          <w:szCs w:val="21"/>
        </w:rPr>
        <w:t>〔2017〕 141</w:t>
      </w:r>
      <w:r>
        <w:rPr>
          <w:rFonts w:hint="eastAsia" w:ascii="宋体" w:hAnsi="宋体" w:eastAsia="宋体" w:cs="Times New Roman"/>
          <w:spacing w:val="6"/>
          <w:szCs w:val="21"/>
        </w:rPr>
        <w:t>号）的规定，</w:t>
      </w:r>
      <w:r>
        <w:rPr>
          <w:rFonts w:hint="eastAsia" w:ascii="宋体" w:hAnsi="宋体" w:eastAsia="宋体" w:cs="Times New Roman"/>
          <w:b/>
          <w:bCs/>
          <w:spacing w:val="6"/>
          <w:szCs w:val="21"/>
        </w:rPr>
        <w:t>本单位为符合条件的残疾人福利性单位</w:t>
      </w:r>
      <w:r>
        <w:rPr>
          <w:rFonts w:hint="eastAsia" w:ascii="宋体" w:hAnsi="宋体" w:eastAsia="宋体" w:cs="Times New Roman"/>
          <w:spacing w:val="6"/>
          <w:szCs w:val="21"/>
        </w:rPr>
        <w:t>，且本单位参加______（采购人）单位的______（项目名称）项目采购活动提供本单位制造的货物（由本单位承担工程/提供服务），或者提供其他残疾人福利性单位制造的货物（不包括使用非残疾人福利性单位注册商标的货物）。</w:t>
      </w:r>
    </w:p>
    <w:p>
      <w:pPr>
        <w:adjustRightInd w:val="0"/>
        <w:snapToGrid w:val="0"/>
        <w:spacing w:line="288" w:lineRule="auto"/>
        <w:ind w:firstLine="444" w:firstLineChars="200"/>
        <w:rPr>
          <w:rFonts w:ascii="宋体" w:hAnsi="宋体" w:eastAsia="宋体" w:cs="Times New Roman"/>
          <w:spacing w:val="6"/>
          <w:szCs w:val="21"/>
        </w:rPr>
      </w:pPr>
      <w:r>
        <w:rPr>
          <w:rFonts w:hint="eastAsia" w:ascii="宋体" w:hAnsi="宋体" w:eastAsia="宋体" w:cs="Times New Roman"/>
          <w:spacing w:val="6"/>
          <w:szCs w:val="21"/>
        </w:rPr>
        <w:t>本单位对上述声明的真实性负责。如有虚假，将依法承担相应责任。</w:t>
      </w:r>
    </w:p>
    <w:p>
      <w:pPr>
        <w:tabs>
          <w:tab w:val="left" w:pos="4860"/>
        </w:tabs>
        <w:adjustRightInd w:val="0"/>
        <w:snapToGrid w:val="0"/>
        <w:spacing w:line="288" w:lineRule="auto"/>
        <w:ind w:right="1560" w:firstLine="444" w:firstLineChars="200"/>
        <w:rPr>
          <w:rFonts w:ascii="宋体" w:hAnsi="宋体" w:eastAsia="宋体" w:cs="Times New Roman"/>
          <w:spacing w:val="6"/>
          <w:szCs w:val="21"/>
        </w:rPr>
      </w:pPr>
      <w:r>
        <w:rPr>
          <w:rFonts w:hint="eastAsia" w:ascii="宋体" w:hAnsi="宋体" w:eastAsia="宋体" w:cs="Times New Roman"/>
          <w:spacing w:val="6"/>
          <w:szCs w:val="21"/>
        </w:rPr>
        <w:t>单位名称（盖章）：</w:t>
      </w:r>
    </w:p>
    <w:p>
      <w:pPr>
        <w:tabs>
          <w:tab w:val="left" w:pos="4860"/>
        </w:tabs>
        <w:adjustRightInd w:val="0"/>
        <w:snapToGrid w:val="0"/>
        <w:spacing w:line="288" w:lineRule="auto"/>
        <w:ind w:right="1560" w:firstLine="444" w:firstLineChars="200"/>
        <w:rPr>
          <w:rFonts w:ascii="宋体" w:hAnsi="宋体" w:eastAsia="宋体" w:cs="Times New Roman"/>
          <w:spacing w:val="6"/>
          <w:szCs w:val="21"/>
        </w:rPr>
      </w:pPr>
      <w:r>
        <w:rPr>
          <w:rFonts w:hint="eastAsia" w:ascii="宋体" w:hAnsi="宋体" w:eastAsia="宋体" w:cs="Times New Roman"/>
          <w:spacing w:val="6"/>
          <w:szCs w:val="21"/>
        </w:rPr>
        <w:t>日  期：</w:t>
      </w:r>
    </w:p>
    <w:p>
      <w:pPr>
        <w:adjustRightInd w:val="0"/>
        <w:snapToGrid w:val="0"/>
        <w:spacing w:line="288" w:lineRule="auto"/>
        <w:rPr>
          <w:rFonts w:ascii="宋体" w:hAnsi="宋体" w:eastAsia="宋体"/>
          <w:szCs w:val="21"/>
        </w:rPr>
      </w:pPr>
    </w:p>
    <w:p>
      <w:pPr>
        <w:adjustRightInd w:val="0"/>
        <w:snapToGrid w:val="0"/>
        <w:spacing w:line="288" w:lineRule="auto"/>
        <w:rPr>
          <w:rFonts w:ascii="宋体" w:hAnsi="宋体" w:eastAsia="宋体"/>
          <w:b/>
          <w:bCs/>
          <w:szCs w:val="21"/>
        </w:rPr>
      </w:pPr>
      <w:r>
        <w:rPr>
          <w:rFonts w:hint="eastAsia" w:ascii="宋体" w:hAnsi="宋体" w:eastAsia="宋体"/>
          <w:b/>
          <w:bCs/>
          <w:szCs w:val="21"/>
        </w:rPr>
        <w:t>说明：</w:t>
      </w:r>
    </w:p>
    <w:p>
      <w:pPr>
        <w:pStyle w:val="23"/>
        <w:shd w:val="clear" w:color="auto" w:fill="FFFFFF"/>
        <w:adjustRightInd w:val="0"/>
        <w:snapToGrid w:val="0"/>
        <w:spacing w:before="0" w:beforeAutospacing="0" w:after="0" w:afterAutospacing="0" w:line="288" w:lineRule="auto"/>
        <w:ind w:firstLine="371" w:firstLineChars="177"/>
        <w:rPr>
          <w:color w:val="000000"/>
          <w:sz w:val="21"/>
          <w:szCs w:val="21"/>
        </w:rPr>
      </w:pPr>
      <w:r>
        <w:rPr>
          <w:rFonts w:hint="eastAsia"/>
          <w:color w:val="000000"/>
          <w:sz w:val="21"/>
          <w:szCs w:val="21"/>
        </w:rPr>
        <w:t>一、享受政府采购支持政策的残疾人福利性单位应当同时满足以下条件：</w:t>
      </w:r>
    </w:p>
    <w:p>
      <w:pPr>
        <w:pStyle w:val="23"/>
        <w:shd w:val="clear" w:color="auto" w:fill="FFFFFF"/>
        <w:adjustRightInd w:val="0"/>
        <w:snapToGrid w:val="0"/>
        <w:spacing w:before="0" w:beforeAutospacing="0" w:after="0" w:afterAutospacing="0" w:line="288" w:lineRule="auto"/>
        <w:ind w:firstLine="371" w:firstLineChars="177"/>
        <w:rPr>
          <w:color w:val="000000"/>
          <w:sz w:val="21"/>
          <w:szCs w:val="21"/>
        </w:rPr>
      </w:pPr>
      <w:r>
        <w:rPr>
          <w:rFonts w:hint="eastAsia"/>
          <w:color w:val="000000"/>
          <w:sz w:val="21"/>
          <w:szCs w:val="21"/>
        </w:rPr>
        <w:t>（一）安置的残疾人占本单位在职职工人数的比例不低于25%（含25%），并且安置的残疾人人数不少于10人（含10人）；</w:t>
      </w:r>
    </w:p>
    <w:p>
      <w:pPr>
        <w:pStyle w:val="23"/>
        <w:shd w:val="clear" w:color="auto" w:fill="FFFFFF"/>
        <w:adjustRightInd w:val="0"/>
        <w:snapToGrid w:val="0"/>
        <w:spacing w:before="0" w:beforeAutospacing="0" w:after="0" w:afterAutospacing="0" w:line="288" w:lineRule="auto"/>
        <w:ind w:firstLine="371" w:firstLineChars="177"/>
        <w:rPr>
          <w:color w:val="000000"/>
          <w:sz w:val="21"/>
          <w:szCs w:val="21"/>
        </w:rPr>
      </w:pPr>
      <w:r>
        <w:rPr>
          <w:rFonts w:hint="eastAsia"/>
          <w:color w:val="000000"/>
          <w:sz w:val="21"/>
          <w:szCs w:val="21"/>
        </w:rPr>
        <w:t>（二）依法与安置的每位残疾人签订了一年以上（含一年）的劳动合同或服务协议；</w:t>
      </w:r>
    </w:p>
    <w:p>
      <w:pPr>
        <w:pStyle w:val="23"/>
        <w:shd w:val="clear" w:color="auto" w:fill="FFFFFF"/>
        <w:adjustRightInd w:val="0"/>
        <w:snapToGrid w:val="0"/>
        <w:spacing w:before="0" w:beforeAutospacing="0" w:after="0" w:afterAutospacing="0" w:line="288" w:lineRule="auto"/>
        <w:ind w:firstLine="371" w:firstLineChars="177"/>
        <w:rPr>
          <w:color w:val="000000"/>
          <w:sz w:val="21"/>
          <w:szCs w:val="21"/>
        </w:rPr>
      </w:pPr>
      <w:r>
        <w:rPr>
          <w:rFonts w:hint="eastAsia"/>
          <w:color w:val="000000"/>
          <w:sz w:val="21"/>
          <w:szCs w:val="21"/>
        </w:rPr>
        <w:t>（三）为安置的每位残疾人按月足额缴纳了基本养老保险、基本医疗保险、失业保险、工伤保险和生育保险等社会保险费；</w:t>
      </w:r>
    </w:p>
    <w:p>
      <w:pPr>
        <w:pStyle w:val="23"/>
        <w:shd w:val="clear" w:color="auto" w:fill="FFFFFF"/>
        <w:adjustRightInd w:val="0"/>
        <w:snapToGrid w:val="0"/>
        <w:spacing w:before="0" w:beforeAutospacing="0" w:after="0" w:afterAutospacing="0" w:line="288" w:lineRule="auto"/>
        <w:ind w:firstLine="371" w:firstLineChars="177"/>
        <w:rPr>
          <w:color w:val="000000"/>
          <w:sz w:val="21"/>
          <w:szCs w:val="21"/>
        </w:rPr>
      </w:pPr>
      <w:r>
        <w:rPr>
          <w:rFonts w:hint="eastAsia"/>
          <w:color w:val="000000"/>
          <w:sz w:val="21"/>
          <w:szCs w:val="21"/>
        </w:rPr>
        <w:t>（四）通过银行等金融机构向安置的每位残疾人，按月支付了不低于单位所在区县适用的经省级人民政府批准的月最低工资标准的工资；</w:t>
      </w:r>
    </w:p>
    <w:p>
      <w:pPr>
        <w:pStyle w:val="23"/>
        <w:shd w:val="clear" w:color="auto" w:fill="FFFFFF"/>
        <w:adjustRightInd w:val="0"/>
        <w:snapToGrid w:val="0"/>
        <w:spacing w:before="0" w:beforeAutospacing="0" w:after="0" w:afterAutospacing="0" w:line="288" w:lineRule="auto"/>
        <w:ind w:firstLine="371" w:firstLineChars="177"/>
        <w:rPr>
          <w:color w:val="000000"/>
          <w:sz w:val="21"/>
          <w:szCs w:val="21"/>
        </w:rPr>
      </w:pPr>
      <w:r>
        <w:rPr>
          <w:rFonts w:hint="eastAsia"/>
          <w:color w:val="000000"/>
          <w:sz w:val="21"/>
          <w:szCs w:val="21"/>
        </w:rPr>
        <w:t>（五）提供本单位制造的货物、承担的工程或者服务（以下简称产品），或者提供其他残疾人福利性单位制造的货物（不包括使用非残疾人福利性单位注册商标的货物）。</w:t>
      </w:r>
    </w:p>
    <w:p>
      <w:pPr>
        <w:pStyle w:val="23"/>
        <w:shd w:val="clear" w:color="auto" w:fill="FFFFFF"/>
        <w:adjustRightInd w:val="0"/>
        <w:snapToGrid w:val="0"/>
        <w:spacing w:before="0" w:beforeAutospacing="0" w:after="0" w:afterAutospacing="0" w:line="288" w:lineRule="auto"/>
        <w:ind w:firstLine="371" w:firstLineChars="177"/>
        <w:rPr>
          <w:color w:val="000000"/>
          <w:sz w:val="21"/>
          <w:szCs w:val="21"/>
        </w:rPr>
      </w:pPr>
      <w:r>
        <w:rPr>
          <w:rFonts w:hint="eastAsia"/>
          <w:color w:val="000000"/>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23"/>
        <w:shd w:val="clear" w:color="auto" w:fill="FFFFFF"/>
        <w:adjustRightInd w:val="0"/>
        <w:snapToGrid w:val="0"/>
        <w:spacing w:before="0" w:beforeAutospacing="0" w:after="0" w:afterAutospacing="0" w:line="288" w:lineRule="auto"/>
        <w:ind w:firstLine="371" w:firstLineChars="177"/>
        <w:rPr>
          <w:color w:val="FF0000"/>
          <w:sz w:val="21"/>
          <w:szCs w:val="21"/>
        </w:rPr>
      </w:pPr>
      <w:r>
        <w:rPr>
          <w:rFonts w:hint="eastAsia"/>
          <w:color w:val="000000"/>
          <w:sz w:val="21"/>
          <w:szCs w:val="21"/>
        </w:rPr>
        <w:t>二、符合条件的残疾人福利性单位在参加政府采购活动时，应当提供</w:t>
      </w:r>
      <w:r>
        <w:rPr>
          <w:rFonts w:hint="eastAsia"/>
          <w:sz w:val="21"/>
          <w:szCs w:val="21"/>
        </w:rPr>
        <w:t>财库</w:t>
      </w:r>
      <w:r>
        <w:rPr>
          <w:sz w:val="21"/>
          <w:szCs w:val="21"/>
        </w:rPr>
        <w:t>[2017]141号</w:t>
      </w:r>
      <w:r>
        <w:rPr>
          <w:rFonts w:hint="eastAsia"/>
          <w:sz w:val="21"/>
          <w:szCs w:val="21"/>
        </w:rPr>
        <w:t>文件</w:t>
      </w:r>
      <w:r>
        <w:rPr>
          <w:rFonts w:hint="eastAsia"/>
          <w:color w:val="000000"/>
          <w:sz w:val="21"/>
          <w:szCs w:val="21"/>
        </w:rPr>
        <w:t>规定的《残疾人福利性单位声明函》</w:t>
      </w:r>
      <w:r>
        <w:rPr>
          <w:rFonts w:hint="eastAsia"/>
          <w:sz w:val="21"/>
          <w:szCs w:val="21"/>
        </w:rPr>
        <w:t>，并对声明的真实性负责。</w:t>
      </w:r>
    </w:p>
    <w:p>
      <w:pPr>
        <w:pStyle w:val="23"/>
        <w:shd w:val="clear" w:color="auto" w:fill="FFFFFF"/>
        <w:adjustRightInd w:val="0"/>
        <w:snapToGrid w:val="0"/>
        <w:spacing w:before="0" w:beforeAutospacing="0" w:after="0" w:afterAutospacing="0" w:line="288" w:lineRule="auto"/>
        <w:ind w:firstLine="371" w:firstLineChars="177"/>
        <w:rPr>
          <w:color w:val="FF0000"/>
          <w:sz w:val="21"/>
          <w:szCs w:val="21"/>
        </w:rPr>
      </w:pPr>
      <w:r>
        <w:rPr>
          <w:rFonts w:hint="eastAsia"/>
          <w:color w:val="000000"/>
          <w:sz w:val="21"/>
          <w:szCs w:val="21"/>
        </w:rPr>
        <w:t>三、在政府采购活动中，残疾人福利性单位视同小型、微型企业，享受预留份额、评审中价格扣除等促进中小企业发展的政府采购政策。</w:t>
      </w:r>
    </w:p>
    <w:p>
      <w:pPr>
        <w:pStyle w:val="23"/>
        <w:shd w:val="clear" w:color="auto" w:fill="FFFFFF"/>
        <w:adjustRightInd w:val="0"/>
        <w:snapToGrid w:val="0"/>
        <w:spacing w:before="0" w:beforeAutospacing="0" w:after="0" w:afterAutospacing="0" w:line="288" w:lineRule="auto"/>
        <w:ind w:firstLine="371" w:firstLineChars="177"/>
        <w:rPr>
          <w:sz w:val="21"/>
          <w:szCs w:val="21"/>
        </w:rPr>
      </w:pPr>
      <w:r>
        <w:rPr>
          <w:rFonts w:hint="eastAsia"/>
          <w:sz w:val="21"/>
          <w:szCs w:val="21"/>
        </w:rPr>
        <w:t>残疾人福利性单位属于小型、微型企业的，不重复享受政策。</w:t>
      </w:r>
    </w:p>
    <w:p>
      <w:pPr>
        <w:widowControl/>
        <w:jc w:val="left"/>
        <w:rPr>
          <w:rFonts w:ascii="宋体" w:hAnsi="宋体" w:eastAsia="宋体" w:cs="Times New Roman"/>
          <w:b/>
          <w:spacing w:val="-6"/>
          <w:szCs w:val="21"/>
        </w:rPr>
      </w:pPr>
      <w:r>
        <w:rPr>
          <w:rFonts w:ascii="宋体" w:hAnsi="宋体" w:eastAsia="宋体" w:cs="Times New Roman"/>
          <w:b/>
          <w:spacing w:val="-6"/>
          <w:szCs w:val="21"/>
        </w:rPr>
        <w:br w:type="page"/>
      </w:r>
    </w:p>
    <w:p>
      <w:pPr>
        <w:adjustRightInd w:val="0"/>
        <w:snapToGrid w:val="0"/>
        <w:spacing w:line="288" w:lineRule="auto"/>
        <w:outlineLvl w:val="2"/>
        <w:rPr>
          <w:rFonts w:ascii="宋体" w:hAnsi="宋体" w:eastAsia="宋体" w:cs="Times New Roman"/>
          <w:b/>
          <w:bCs/>
          <w:szCs w:val="21"/>
        </w:rPr>
      </w:pPr>
      <w:r>
        <w:rPr>
          <w:rFonts w:hint="eastAsia" w:ascii="宋体" w:hAnsi="宋体" w:eastAsia="宋体" w:cs="Times New Roman"/>
          <w:b/>
          <w:spacing w:val="-6"/>
          <w:szCs w:val="21"/>
        </w:rPr>
        <w:t>附件1：</w:t>
      </w:r>
      <w:r>
        <w:rPr>
          <w:rFonts w:hint="eastAsia" w:ascii="宋体" w:hAnsi="宋体" w:eastAsia="宋体" w:cs="Times New Roman"/>
          <w:b/>
          <w:bCs/>
          <w:szCs w:val="21"/>
        </w:rPr>
        <w:t>业务专用章使用说明函</w:t>
      </w:r>
    </w:p>
    <w:p>
      <w:pPr>
        <w:snapToGrid w:val="0"/>
        <w:spacing w:line="288" w:lineRule="auto"/>
        <w:rPr>
          <w:rFonts w:ascii="宋体" w:hAnsi="宋体" w:eastAsia="宋体" w:cs="仿宋_GB2312"/>
          <w:szCs w:val="21"/>
          <w:u w:val="single"/>
        </w:rPr>
      </w:pPr>
    </w:p>
    <w:p>
      <w:pPr>
        <w:snapToGrid w:val="0"/>
        <w:spacing w:line="288" w:lineRule="auto"/>
        <w:rPr>
          <w:rFonts w:ascii="宋体" w:hAnsi="宋体" w:eastAsia="宋体" w:cs="Times New Roman"/>
          <w:szCs w:val="21"/>
        </w:rPr>
      </w:pPr>
      <w:r>
        <w:rPr>
          <w:rFonts w:hint="eastAsia" w:ascii="宋体" w:hAnsi="宋体" w:eastAsia="宋体" w:cs="仿宋_GB2312"/>
          <w:szCs w:val="21"/>
          <w:u w:val="single"/>
        </w:rPr>
        <w:t>（采购人）、（采购代理机构）</w:t>
      </w:r>
    </w:p>
    <w:p>
      <w:pPr>
        <w:snapToGrid w:val="0"/>
        <w:spacing w:line="288" w:lineRule="auto"/>
        <w:ind w:firstLine="424" w:firstLineChars="202"/>
        <w:rPr>
          <w:rFonts w:ascii="宋体" w:hAnsi="宋体" w:eastAsia="宋体" w:cs="宋体"/>
          <w:szCs w:val="21"/>
        </w:rPr>
      </w:pPr>
      <w:r>
        <w:rPr>
          <w:rFonts w:hint="eastAsia" w:ascii="宋体" w:hAnsi="宋体" w:eastAsia="宋体" w:cs="仿宋_GB2312"/>
          <w:kern w:val="0"/>
          <w:szCs w:val="21"/>
          <w:lang w:val="zh-CN"/>
        </w:rPr>
        <w:t>我方</w:t>
      </w:r>
      <w:r>
        <w:rPr>
          <w:rFonts w:ascii="宋体" w:hAnsi="宋体" w:eastAsia="宋体" w:cs="仿宋_GB2312"/>
          <w:kern w:val="0"/>
          <w:szCs w:val="21"/>
          <w:u w:val="single"/>
          <w:lang w:val="zh-CN"/>
        </w:rPr>
        <w:t xml:space="preserve">                         </w:t>
      </w:r>
      <w:r>
        <w:rPr>
          <w:rFonts w:ascii="宋体" w:hAnsi="宋体" w:eastAsia="宋体" w:cs="仿宋_GB2312"/>
          <w:szCs w:val="21"/>
        </w:rPr>
        <w:t>(</w:t>
      </w:r>
      <w:r>
        <w:rPr>
          <w:rFonts w:hint="eastAsia" w:ascii="宋体" w:hAnsi="宋体" w:eastAsia="宋体" w:cs="仿宋_GB2312"/>
          <w:szCs w:val="21"/>
        </w:rPr>
        <w:t>供应商</w:t>
      </w:r>
      <w:r>
        <w:rPr>
          <w:rFonts w:ascii="宋体" w:hAnsi="宋体" w:eastAsia="宋体" w:cs="仿宋_GB2312"/>
          <w:szCs w:val="21"/>
        </w:rPr>
        <w:t>全称)</w:t>
      </w:r>
      <w:r>
        <w:rPr>
          <w:rFonts w:hint="eastAsia" w:ascii="宋体" w:hAnsi="宋体" w:eastAsia="宋体" w:cs="Times New Roman"/>
          <w:szCs w:val="21"/>
        </w:rPr>
        <w:t>是中华人民共和国依法登记注册的合法企业，</w:t>
      </w:r>
      <w:r>
        <w:rPr>
          <w:rFonts w:hint="eastAsia" w:ascii="宋体" w:hAnsi="宋体" w:eastAsia="宋体" w:cs="宋体"/>
          <w:bCs/>
          <w:szCs w:val="21"/>
        </w:rPr>
        <w:t>在参加</w:t>
      </w:r>
      <w:r>
        <w:rPr>
          <w:rFonts w:hint="eastAsia" w:ascii="宋体" w:hAnsi="宋体" w:eastAsia="宋体" w:cs="仿宋_GB2312"/>
          <w:szCs w:val="21"/>
        </w:rPr>
        <w:t>你方组织的</w:t>
      </w:r>
      <w:r>
        <w:rPr>
          <w:rFonts w:hint="eastAsia" w:ascii="宋体" w:hAnsi="宋体" w:eastAsia="宋体" w:cs="仿宋_GB2312"/>
          <w:szCs w:val="21"/>
          <w:u w:val="single"/>
        </w:rPr>
        <w:t>（项目名称）</w:t>
      </w:r>
      <w:r>
        <w:rPr>
          <w:rFonts w:hint="eastAsia" w:ascii="宋体" w:hAnsi="宋体" w:eastAsia="宋体" w:cs="仿宋_GB2312"/>
          <w:szCs w:val="21"/>
        </w:rPr>
        <w:t>项目</w:t>
      </w:r>
      <w:r>
        <w:rPr>
          <w:rFonts w:hint="eastAsia" w:ascii="宋体" w:hAnsi="宋体" w:eastAsia="宋体" w:cs="仿宋_GB2312"/>
          <w:szCs w:val="21"/>
          <w:u w:val="single"/>
        </w:rPr>
        <w:t>（项目编号）</w:t>
      </w:r>
      <w:r>
        <w:rPr>
          <w:rFonts w:hint="eastAsia" w:ascii="宋体" w:hAnsi="宋体" w:eastAsia="宋体" w:cs="宋体"/>
          <w:bCs/>
          <w:szCs w:val="21"/>
        </w:rPr>
        <w:t>投标（响应）活动中作如下说明：</w:t>
      </w:r>
      <w:r>
        <w:rPr>
          <w:rFonts w:hint="eastAsia" w:ascii="宋体" w:hAnsi="宋体" w:eastAsia="宋体" w:cs="宋体"/>
          <w:szCs w:val="21"/>
        </w:rPr>
        <w:t>我方所使用的</w:t>
      </w:r>
      <w:r>
        <w:rPr>
          <w:rFonts w:hint="eastAsia" w:ascii="宋体" w:hAnsi="宋体" w:eastAsia="宋体" w:cs="宋体"/>
          <w:szCs w:val="21"/>
          <w:u w:val="single"/>
        </w:rPr>
        <w:t>“</w:t>
      </w:r>
      <w:r>
        <w:rPr>
          <w:rFonts w:ascii="宋体" w:hAnsi="宋体" w:eastAsia="宋体" w:cs="仿宋_GB2312"/>
          <w:szCs w:val="21"/>
          <w:u w:val="single"/>
        </w:rPr>
        <w:t>XX</w:t>
      </w:r>
      <w:r>
        <w:rPr>
          <w:rFonts w:hint="eastAsia" w:ascii="宋体" w:hAnsi="宋体" w:eastAsia="宋体" w:cs="宋体"/>
          <w:szCs w:val="21"/>
          <w:u w:val="single"/>
        </w:rPr>
        <w:t>专用章”</w:t>
      </w:r>
      <w:r>
        <w:rPr>
          <w:rFonts w:hint="eastAsia" w:ascii="宋体" w:hAnsi="宋体" w:eastAsia="宋体" w:cs="宋体"/>
          <w:szCs w:val="21"/>
        </w:rPr>
        <w:t>与法定名称章具有同等的法律效力，对使用</w:t>
      </w:r>
      <w:r>
        <w:rPr>
          <w:rFonts w:hint="eastAsia" w:ascii="宋体" w:hAnsi="宋体" w:eastAsia="宋体" w:cs="宋体"/>
          <w:szCs w:val="21"/>
          <w:u w:val="single"/>
        </w:rPr>
        <w:t>“</w:t>
      </w:r>
      <w:r>
        <w:rPr>
          <w:rFonts w:ascii="宋体" w:hAnsi="宋体" w:eastAsia="宋体" w:cs="仿宋_GB2312"/>
          <w:szCs w:val="21"/>
          <w:u w:val="single"/>
        </w:rPr>
        <w:t>XX</w:t>
      </w:r>
      <w:r>
        <w:rPr>
          <w:rFonts w:hint="eastAsia" w:ascii="宋体" w:hAnsi="宋体" w:eastAsia="宋体" w:cs="宋体"/>
          <w:szCs w:val="21"/>
          <w:u w:val="single"/>
        </w:rPr>
        <w:t>专用章”</w:t>
      </w:r>
      <w:r>
        <w:rPr>
          <w:rFonts w:hint="eastAsia" w:ascii="宋体" w:hAnsi="宋体" w:eastAsia="宋体" w:cs="宋体"/>
          <w:szCs w:val="21"/>
        </w:rPr>
        <w:t>的行为予以完全承认，并愿意承担相应责任。</w:t>
      </w:r>
    </w:p>
    <w:p>
      <w:pPr>
        <w:snapToGrid w:val="0"/>
        <w:spacing w:line="288" w:lineRule="auto"/>
        <w:ind w:firstLine="424" w:firstLineChars="202"/>
        <w:rPr>
          <w:rFonts w:ascii="宋体" w:hAnsi="宋体" w:eastAsia="宋体" w:cs="宋体"/>
          <w:szCs w:val="21"/>
        </w:rPr>
      </w:pPr>
      <w:r>
        <w:rPr>
          <w:rFonts w:hint="eastAsia" w:ascii="宋体" w:hAnsi="宋体" w:eastAsia="宋体" w:cs="宋体"/>
          <w:szCs w:val="21"/>
        </w:rPr>
        <w:t>特此说明。</w:t>
      </w:r>
    </w:p>
    <w:p>
      <w:pPr>
        <w:snapToGrid w:val="0"/>
        <w:spacing w:line="288" w:lineRule="auto"/>
        <w:ind w:right="480" w:firstLine="424" w:firstLineChars="202"/>
        <w:rPr>
          <w:rFonts w:ascii="宋体" w:hAnsi="宋体" w:eastAsia="宋体" w:cs="宋体"/>
          <w:szCs w:val="21"/>
        </w:rPr>
      </w:pPr>
      <w:r>
        <w:rPr>
          <w:rFonts w:hint="eastAsia" w:ascii="宋体" w:hAnsi="宋体" w:eastAsia="宋体" w:cs="宋体"/>
          <w:szCs w:val="21"/>
        </w:rPr>
        <w:t>供应商（法定名称章）：</w:t>
      </w:r>
    </w:p>
    <w:p>
      <w:pPr>
        <w:snapToGrid w:val="0"/>
        <w:spacing w:line="288" w:lineRule="auto"/>
        <w:ind w:right="1440" w:firstLine="424" w:firstLineChars="202"/>
        <w:rPr>
          <w:rFonts w:ascii="宋体" w:hAnsi="宋体" w:eastAsia="宋体" w:cs="宋体"/>
          <w:szCs w:val="21"/>
        </w:rPr>
      </w:pPr>
      <w:r>
        <w:rPr>
          <w:rFonts w:ascii="宋体" w:hAnsi="宋体" w:eastAsia="宋体" w:cs="宋体"/>
          <w:szCs w:val="21"/>
        </w:rPr>
        <w:t>日期：       年     月     日</w:t>
      </w:r>
    </w:p>
    <w:p>
      <w:pPr>
        <w:snapToGrid w:val="0"/>
        <w:spacing w:line="288" w:lineRule="auto"/>
        <w:rPr>
          <w:rFonts w:ascii="宋体" w:hAnsi="宋体" w:eastAsia="宋体" w:cs="宋体"/>
          <w:b/>
          <w:bCs/>
          <w:szCs w:val="21"/>
        </w:rPr>
      </w:pPr>
    </w:p>
    <w:p>
      <w:pPr>
        <w:snapToGrid w:val="0"/>
        <w:spacing w:line="288" w:lineRule="auto"/>
        <w:rPr>
          <w:rFonts w:ascii="宋体" w:hAnsi="宋体" w:eastAsia="宋体" w:cs="宋体"/>
          <w:szCs w:val="21"/>
        </w:rPr>
      </w:pPr>
      <w:r>
        <w:rPr>
          <w:rFonts w:hint="eastAsia" w:ascii="宋体" w:hAnsi="宋体" w:eastAsia="宋体" w:cs="宋体"/>
          <w:b/>
          <w:bCs/>
          <w:szCs w:val="21"/>
        </w:rPr>
        <w:t>附：</w:t>
      </w:r>
      <w:r>
        <w:rPr>
          <w:rFonts w:hint="eastAsia" w:ascii="宋体" w:hAnsi="宋体" w:eastAsia="宋体" w:cs="宋体"/>
          <w:szCs w:val="21"/>
        </w:rPr>
        <w:t>供应商法定名称章（印模）</w:t>
      </w:r>
      <w:r>
        <w:rPr>
          <w:rFonts w:ascii="宋体" w:hAnsi="宋体" w:eastAsia="宋体" w:cs="宋体"/>
          <w:szCs w:val="21"/>
        </w:rPr>
        <w:t xml:space="preserve">                </w:t>
      </w:r>
      <w:r>
        <w:rPr>
          <w:rFonts w:hint="eastAsia" w:ascii="宋体" w:hAnsi="宋体" w:eastAsia="宋体" w:cs="宋体"/>
          <w:szCs w:val="21"/>
        </w:rPr>
        <w:t>供应商“</w:t>
      </w:r>
      <w:r>
        <w:rPr>
          <w:rFonts w:ascii="宋体" w:hAnsi="宋体" w:eastAsia="宋体" w:cs="仿宋_GB2312"/>
          <w:szCs w:val="21"/>
        </w:rPr>
        <w:t>XX</w:t>
      </w:r>
      <w:r>
        <w:rPr>
          <w:rFonts w:hint="eastAsia" w:ascii="宋体" w:hAnsi="宋体" w:eastAsia="宋体" w:cs="宋体"/>
          <w:szCs w:val="21"/>
        </w:rPr>
        <w:t>专用章”（印模）</w:t>
      </w:r>
    </w:p>
    <w:p>
      <w:pPr>
        <w:snapToGrid w:val="0"/>
        <w:spacing w:line="288" w:lineRule="auto"/>
        <w:rPr>
          <w:rFonts w:ascii="宋体" w:hAnsi="宋体" w:eastAsia="宋体" w:cs="宋体"/>
          <w:szCs w:val="21"/>
        </w:rPr>
      </w:pPr>
      <w:r>
        <w:rPr>
          <w:rFonts w:ascii="宋体" w:hAnsi="宋体" w:eastAsia="宋体" w:cs="Times New Roman"/>
          <w:b/>
          <w:bCs/>
          <w:szCs w:val="21"/>
        </w:rPr>
        <mc:AlternateContent>
          <mc:Choice Requires="wps">
            <w:drawing>
              <wp:inline distT="0" distB="0" distL="0" distR="0">
                <wp:extent cx="2704465" cy="2253615"/>
                <wp:effectExtent l="0" t="0" r="19685" b="13335"/>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inline>
            </w:drawing>
          </mc:Choice>
          <mc:Fallback>
            <w:pict>
              <v:rect id="Rectangle 17" o:spid="_x0000_s1026" o:spt="1" style="height:177.45pt;width:212.95pt;" fillcolor="#FFFFFF" filled="t" stroked="t" coordsize="21600,21600" o:gfxdata="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NeRvNYAAAAFAQAADwAAAAAAAAABACAAAAAiAAAAZHJzL2Rvd25yZXYueG1sUEsBAhQAFAAA&#10;AAgAh07iQOLXmAkqAgAAdAQAAA4AAAAAAAAAAQAgAAAAJQEAAGRycy9lMm9Eb2MueG1sUEsFBgAA&#10;AAAGAAYAWQEAAMEFAAAAAA==&#10;">
                <v:fill on="t" focussize="0,0"/>
                <v:stroke color="#000000" miterlimit="2" joinstyle="miter"/>
                <v:imagedata o:title=""/>
                <o:lock v:ext="edit" aspectratio="f"/>
                <w10:wrap type="none"/>
                <w10:anchorlock/>
              </v:rect>
            </w:pict>
          </mc:Fallback>
        </mc:AlternateContent>
      </w:r>
      <w:r>
        <w:rPr>
          <w:rFonts w:hint="eastAsia" w:ascii="宋体" w:hAnsi="宋体" w:eastAsia="宋体" w:cs="宋体"/>
          <w:szCs w:val="21"/>
        </w:rPr>
        <w:t xml:space="preserve"> </w:t>
      </w:r>
      <w:r>
        <w:rPr>
          <w:rFonts w:ascii="宋体" w:hAnsi="宋体" w:eastAsia="宋体" w:cs="Times New Roman"/>
          <w:b/>
          <w:bCs/>
          <w:szCs w:val="21"/>
        </w:rPr>
        <mc:AlternateContent>
          <mc:Choice Requires="wps">
            <w:drawing>
              <wp:inline distT="0" distB="0" distL="0" distR="0">
                <wp:extent cx="2647950" cy="2253615"/>
                <wp:effectExtent l="0" t="0" r="19050" b="13335"/>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inline>
            </w:drawing>
          </mc:Choice>
          <mc:Fallback>
            <w:pict>
              <v:rect id="Rectangle 16" o:spid="_x0000_s1026" o:spt="1" style="height:177.45pt;width:208.5pt;" fillcolor="#FFFFFF" filled="t" stroked="t" coordsize="21600,21600" o:gfxdata="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FVJTLUAAAABQEAAA8AAAAAAAAAAQAgAAAAIgAAAGRycy9kb3ducmV2LnhtbFBLAQIUABQAAAAI&#10;AIdO4kB3gn1EKgIAAHQEAAAOAAAAAAAAAAEAIAAAACMBAABkcnMvZTJvRG9jLnhtbFBLBQYAAAAA&#10;BgAGAFkBAAC/BQAAAAA=&#10;">
                <v:fill on="t" focussize="0,0"/>
                <v:stroke color="#000000" miterlimit="2" joinstyle="miter"/>
                <v:imagedata o:title=""/>
                <o:lock v:ext="edit" aspectratio="f"/>
                <w10:wrap type="none"/>
                <w10:anchorlock/>
              </v:rect>
            </w:pict>
          </mc:Fallback>
        </mc:AlternateContent>
      </w:r>
    </w:p>
    <w:p>
      <w:pPr>
        <w:widowControl/>
        <w:jc w:val="left"/>
        <w:rPr>
          <w:rFonts w:ascii="宋体" w:hAnsi="宋体" w:eastAsia="宋体" w:cs="Times New Roman"/>
          <w:b/>
          <w:spacing w:val="-6"/>
          <w:szCs w:val="21"/>
        </w:rPr>
      </w:pPr>
      <w:r>
        <w:rPr>
          <w:rFonts w:ascii="宋体" w:hAnsi="宋体" w:eastAsia="宋体" w:cs="Times New Roman"/>
          <w:b/>
          <w:spacing w:val="-6"/>
          <w:szCs w:val="21"/>
        </w:rPr>
        <w:br w:type="page"/>
      </w:r>
    </w:p>
    <w:p>
      <w:pPr>
        <w:snapToGrid w:val="0"/>
        <w:spacing w:line="288" w:lineRule="auto"/>
        <w:jc w:val="center"/>
        <w:outlineLvl w:val="2"/>
        <w:rPr>
          <w:rFonts w:ascii="宋体" w:hAnsi="宋体" w:eastAsia="宋体" w:cs="仿宋_GB2312"/>
          <w:b/>
          <w:kern w:val="0"/>
          <w:szCs w:val="21"/>
          <w:lang w:val="zh-CN"/>
        </w:rPr>
      </w:pPr>
      <w:r>
        <w:rPr>
          <w:rFonts w:hint="eastAsia" w:ascii="宋体" w:hAnsi="宋体" w:eastAsia="宋体" w:cs="仿宋_GB2312"/>
          <w:b/>
          <w:kern w:val="0"/>
          <w:szCs w:val="21"/>
          <w:lang w:val="zh-CN"/>
        </w:rPr>
        <w:t>附件2</w:t>
      </w:r>
      <w:r>
        <w:rPr>
          <w:rFonts w:ascii="宋体" w:hAnsi="宋体" w:eastAsia="宋体" w:cs="仿宋_GB2312"/>
          <w:b/>
          <w:kern w:val="0"/>
          <w:szCs w:val="21"/>
          <w:lang w:val="zh-CN"/>
        </w:rPr>
        <w:t>：</w:t>
      </w:r>
      <w:r>
        <w:rPr>
          <w:rFonts w:hint="eastAsia" w:ascii="宋体" w:hAnsi="宋体" w:eastAsia="宋体" w:cs="仿宋_GB2312"/>
          <w:b/>
          <w:kern w:val="0"/>
          <w:szCs w:val="21"/>
          <w:lang w:val="zh-CN"/>
        </w:rPr>
        <w:t>联合协议</w:t>
      </w:r>
    </w:p>
    <w:p>
      <w:pPr>
        <w:widowControl/>
        <w:snapToGrid w:val="0"/>
        <w:spacing w:line="288" w:lineRule="auto"/>
        <w:ind w:firstLine="424" w:firstLineChars="201"/>
        <w:jc w:val="left"/>
        <w:rPr>
          <w:rFonts w:ascii="宋体" w:hAnsi="宋体" w:eastAsia="宋体" w:cs="仿宋_GB2312"/>
          <w:b/>
          <w:szCs w:val="21"/>
        </w:rPr>
      </w:pPr>
      <w:r>
        <w:rPr>
          <w:rFonts w:hint="eastAsia" w:ascii="宋体" w:hAnsi="宋体" w:eastAsia="宋体" w:cs="仿宋_GB2312"/>
          <w:b/>
          <w:szCs w:val="21"/>
        </w:rPr>
        <w:t>（以联合体形式投标的，提供联合协议；本项目不接受联合体投标或者投标人不以联合体形式投标的，则不需要提供）</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u w:val="single"/>
        </w:rPr>
        <w:t>（联合体所有成员名称）</w:t>
      </w:r>
      <w:r>
        <w:rPr>
          <w:rFonts w:hint="eastAsia" w:ascii="宋体" w:hAnsi="宋体" w:eastAsia="宋体" w:cs="仿宋_GB2312"/>
          <w:kern w:val="0"/>
          <w:szCs w:val="21"/>
        </w:rPr>
        <w:t>自愿</w:t>
      </w:r>
      <w:r>
        <w:rPr>
          <w:rFonts w:hint="eastAsia" w:ascii="宋体" w:hAnsi="宋体" w:eastAsia="宋体" w:cs="仿宋_GB2312"/>
          <w:kern w:val="0"/>
          <w:szCs w:val="21"/>
          <w:lang w:val="zh-CN"/>
        </w:rPr>
        <w:t>组成一个联合体，以一个投标人的身份</w:t>
      </w:r>
      <w:r>
        <w:rPr>
          <w:rFonts w:hint="eastAsia" w:ascii="宋体" w:hAnsi="宋体" w:eastAsia="宋体" w:cs="仿宋_GB2312"/>
          <w:kern w:val="0"/>
          <w:szCs w:val="21"/>
        </w:rPr>
        <w:t>参加</w:t>
      </w:r>
      <w:r>
        <w:rPr>
          <w:rFonts w:hint="eastAsia" w:ascii="宋体" w:hAnsi="宋体" w:eastAsia="宋体" w:cs="仿宋_GB2312"/>
          <w:szCs w:val="21"/>
        </w:rPr>
        <w:t>（项目名称）【招标编号：</w:t>
      </w:r>
      <w:r>
        <w:rPr>
          <w:rFonts w:hint="eastAsia" w:ascii="宋体" w:hAnsi="宋体" w:eastAsia="宋体" w:cs="Times New Roman"/>
          <w:szCs w:val="21"/>
        </w:rPr>
        <w:t>（采购编号）</w:t>
      </w:r>
      <w:r>
        <w:rPr>
          <w:rFonts w:hint="eastAsia" w:ascii="宋体" w:hAnsi="宋体" w:eastAsia="宋体" w:cs="仿宋_GB2312"/>
          <w:szCs w:val="21"/>
        </w:rPr>
        <w:t>】</w:t>
      </w:r>
      <w:r>
        <w:rPr>
          <w:rFonts w:hint="eastAsia" w:ascii="宋体" w:hAnsi="宋体" w:eastAsia="宋体" w:cs="仿宋_GB2312"/>
          <w:kern w:val="0"/>
          <w:szCs w:val="21"/>
          <w:lang w:val="zh-CN"/>
        </w:rPr>
        <w:t>投标。</w:t>
      </w:r>
      <w:r>
        <w:rPr>
          <w:rFonts w:ascii="宋体" w:hAnsi="宋体" w:eastAsia="宋体" w:cs="仿宋_GB2312"/>
          <w:kern w:val="0"/>
          <w:szCs w:val="21"/>
          <w:lang w:val="zh-CN"/>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一、各方一致决定，</w:t>
      </w:r>
      <w:r>
        <w:rPr>
          <w:rFonts w:hint="eastAsia" w:ascii="宋体" w:hAnsi="宋体" w:eastAsia="宋体" w:cs="仿宋_GB2312"/>
          <w:kern w:val="0"/>
          <w:szCs w:val="21"/>
          <w:u w:val="single"/>
        </w:rPr>
        <w:t>（某联合体成员名称）</w:t>
      </w:r>
      <w:r>
        <w:rPr>
          <w:rFonts w:hint="eastAsia" w:ascii="宋体" w:hAnsi="宋体" w:eastAsia="宋体" w:cs="仿宋_GB2312"/>
          <w:kern w:val="0"/>
          <w:szCs w:val="21"/>
        </w:rPr>
        <w:t>为联合体</w:t>
      </w:r>
      <w:r>
        <w:rPr>
          <w:rFonts w:hint="eastAsia" w:ascii="宋体" w:hAnsi="宋体" w:eastAsia="宋体" w:cs="仿宋_GB2312"/>
          <w:kern w:val="0"/>
          <w:szCs w:val="21"/>
          <w:lang w:val="zh-CN"/>
        </w:rPr>
        <w:t>牵头人</w:t>
      </w:r>
      <w:r>
        <w:rPr>
          <w:rFonts w:hint="eastAsia" w:ascii="宋体" w:hAnsi="宋体" w:eastAsia="宋体" w:cs="Arial"/>
          <w:szCs w:val="21"/>
        </w:rPr>
        <w:t>，代表所有联合体成员负责投标和合同实施阶段的主办、协调工作</w:t>
      </w:r>
      <w:r>
        <w:rPr>
          <w:rFonts w:hint="eastAsia" w:ascii="宋体" w:hAnsi="宋体" w:eastAsia="宋体" w:cs="仿宋_GB2312"/>
          <w:kern w:val="0"/>
          <w:szCs w:val="21"/>
          <w:lang w:val="zh-CN"/>
        </w:rPr>
        <w:t>。</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二、</w:t>
      </w:r>
      <w:r>
        <w:rPr>
          <w:rFonts w:hint="eastAsia" w:ascii="宋体" w:hAnsi="宋体" w:eastAsia="宋体" w:cs="Arial"/>
          <w:szCs w:val="21"/>
        </w:rPr>
        <w:t>所有联合体成员各方签署授权书，授权书载明的</w:t>
      </w:r>
      <w:r>
        <w:rPr>
          <w:rFonts w:hint="eastAsia" w:ascii="宋体" w:hAnsi="宋体" w:eastAsia="宋体" w:cs="仿宋_GB2312"/>
          <w:kern w:val="0"/>
          <w:szCs w:val="21"/>
          <w:lang w:val="zh-CN"/>
        </w:rPr>
        <w:t>授权代表根据招标文件规定及投标内容而对采购人、采购机构所作的任何合法承诺，包括书面澄清及相应等均对联合投标各方产生约束力。</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三、本次联合投标中，分工如下：</w:t>
      </w:r>
      <w:r>
        <w:rPr>
          <w:rFonts w:hint="eastAsia" w:ascii="宋体" w:hAnsi="宋体" w:eastAsia="宋体" w:cs="仿宋_GB2312"/>
          <w:kern w:val="0"/>
          <w:szCs w:val="21"/>
          <w:u w:val="single"/>
        </w:rPr>
        <w:t>（联合体其中一方成员名称）</w:t>
      </w:r>
      <w:r>
        <w:rPr>
          <w:rFonts w:hint="eastAsia" w:ascii="宋体" w:hAnsi="宋体" w:eastAsia="宋体" w:cs="仿宋_GB2312"/>
          <w:kern w:val="0"/>
          <w:szCs w:val="21"/>
          <w:lang w:val="zh-CN"/>
        </w:rPr>
        <w:t>承担的工作和义务为：</w:t>
      </w:r>
      <w:r>
        <w:rPr>
          <w:rFonts w:ascii="宋体" w:hAnsi="宋体" w:eastAsia="宋体" w:cs="Times New Roman"/>
          <w:szCs w:val="21"/>
          <w:u w:val="single"/>
        </w:rPr>
        <w:t xml:space="preserve">             </w:t>
      </w:r>
      <w:r>
        <w:rPr>
          <w:rFonts w:hint="eastAsia" w:ascii="宋体" w:hAnsi="宋体" w:eastAsia="宋体" w:cs="仿宋_GB2312"/>
          <w:kern w:val="0"/>
          <w:szCs w:val="21"/>
          <w:lang w:val="zh-CN"/>
        </w:rPr>
        <w:t>；</w:t>
      </w:r>
      <w:r>
        <w:rPr>
          <w:rFonts w:ascii="宋体" w:hAnsi="宋体" w:eastAsia="宋体" w:cs="仿宋_GB2312"/>
          <w:kern w:val="0"/>
          <w:szCs w:val="21"/>
          <w:lang w:val="zh-CN"/>
        </w:rPr>
        <w:t>……。</w:t>
      </w:r>
    </w:p>
    <w:p>
      <w:pPr>
        <w:snapToGrid w:val="0"/>
        <w:spacing w:line="288" w:lineRule="auto"/>
        <w:ind w:firstLine="422" w:firstLineChars="201"/>
        <w:rPr>
          <w:rFonts w:ascii="宋体" w:hAnsi="宋体" w:eastAsia="宋体" w:cs="仿宋_GB2312"/>
          <w:b/>
          <w:kern w:val="0"/>
          <w:szCs w:val="21"/>
          <w:lang w:val="zh-CN"/>
        </w:rPr>
      </w:pPr>
      <w:r>
        <w:rPr>
          <w:rFonts w:hint="eastAsia" w:ascii="宋体" w:hAnsi="宋体" w:eastAsia="宋体" w:cs="仿宋_GB2312"/>
          <w:kern w:val="0"/>
          <w:szCs w:val="21"/>
          <w:lang w:val="zh-CN"/>
        </w:rPr>
        <w:t>四、</w:t>
      </w:r>
      <w:r>
        <w:rPr>
          <w:rFonts w:hint="eastAsia" w:ascii="宋体" w:hAnsi="宋体" w:eastAsia="宋体" w:cs="仿宋_GB2312"/>
          <w:kern w:val="0"/>
          <w:szCs w:val="21"/>
          <w:u w:val="single"/>
        </w:rPr>
        <w:t>（联合体其中一方成员名称）</w:t>
      </w:r>
      <w:r>
        <w:rPr>
          <w:rFonts w:hint="eastAsia" w:ascii="宋体" w:hAnsi="宋体" w:eastAsia="宋体" w:cs="仿宋_GB2312"/>
          <w:kern w:val="0"/>
          <w:szCs w:val="21"/>
        </w:rPr>
        <w:t>提供的全部货物由小微企业制造，其合同份额占到合同总金额</w:t>
      </w:r>
      <w:r>
        <w:rPr>
          <w:rFonts w:ascii="宋体" w:hAnsi="宋体" w:eastAsia="宋体" w:cs="仿宋_GB2312"/>
          <w:kern w:val="0"/>
          <w:szCs w:val="21"/>
          <w:u w:val="single"/>
        </w:rPr>
        <w:t xml:space="preserve">     </w:t>
      </w:r>
      <w:r>
        <w:rPr>
          <w:rFonts w:ascii="宋体" w:hAnsi="宋体" w:eastAsia="宋体" w:cs="仿宋_GB2312"/>
          <w:kern w:val="0"/>
          <w:szCs w:val="21"/>
        </w:rPr>
        <w:t>%以上；</w:t>
      </w:r>
      <w:r>
        <w:rPr>
          <w:rFonts w:hint="eastAsia" w:ascii="宋体" w:hAnsi="宋体" w:eastAsia="宋体" w:cs="仿宋_GB2312"/>
          <w:kern w:val="0"/>
          <w:szCs w:val="21"/>
          <w:lang w:val="zh-CN"/>
        </w:rPr>
        <w:t>……。</w:t>
      </w:r>
      <w:r>
        <w:rPr>
          <w:rFonts w:hint="eastAsia" w:ascii="宋体" w:hAnsi="宋体" w:eastAsia="宋体" w:cs="仿宋_GB2312"/>
          <w:b/>
          <w:kern w:val="0"/>
          <w:szCs w:val="21"/>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宋体" w:hAnsi="宋体" w:eastAsia="宋体" w:cs="仿宋_GB2312"/>
          <w:b/>
          <w:kern w:val="0"/>
          <w:szCs w:val="21"/>
          <w:lang w:val="zh-CN"/>
        </w:rPr>
        <w:t xml:space="preserve"> 30%以上</w:t>
      </w:r>
      <w:r>
        <w:rPr>
          <w:rFonts w:hint="eastAsia" w:ascii="宋体" w:hAnsi="宋体" w:eastAsia="宋体" w:cs="仿宋_GB2312"/>
          <w:b/>
          <w:kern w:val="0"/>
          <w:szCs w:val="21"/>
          <w:lang w:val="zh-CN"/>
        </w:rPr>
        <w:t>，对联合体报价给予</w:t>
      </w:r>
      <w:r>
        <w:rPr>
          <w:rFonts w:ascii="宋体" w:hAnsi="宋体" w:eastAsia="宋体" w:cs="仿宋_GB2312"/>
          <w:b/>
          <w:kern w:val="0"/>
          <w:szCs w:val="21"/>
          <w:lang w:val="zh-CN"/>
        </w:rPr>
        <w:t>3%的扣除</w:t>
      </w:r>
      <w:r>
        <w:rPr>
          <w:rFonts w:hint="eastAsia" w:ascii="宋体" w:hAnsi="宋体" w:eastAsia="宋体" w:cs="仿宋_GB2312"/>
          <w:b/>
          <w:kern w:val="0"/>
          <w:szCs w:val="21"/>
          <w:lang w:val="zh-CN"/>
        </w:rPr>
        <w:t>）</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五、如果中标，</w:t>
      </w:r>
      <w:r>
        <w:rPr>
          <w:rFonts w:hint="eastAsia" w:ascii="宋体" w:hAnsi="宋体" w:eastAsia="宋体" w:cs="Times New Roman"/>
          <w:szCs w:val="21"/>
        </w:rPr>
        <w:t>联合体各成员方共同与采购人签订合同，并就采购合同约定的事项对采购人承担连带责任。</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六、有关本次联合投标的其他事宜：</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仿宋_GB2312"/>
          <w:kern w:val="0"/>
          <w:szCs w:val="21"/>
          <w:lang w:val="zh-CN"/>
        </w:rPr>
        <w:t>1、联合体各方不再单独参加或者与其</w:t>
      </w:r>
      <w:r>
        <w:rPr>
          <w:rFonts w:hint="eastAsia" w:ascii="宋体" w:hAnsi="宋体" w:eastAsia="宋体" w:cs="仿宋_GB2312"/>
          <w:kern w:val="0"/>
          <w:szCs w:val="21"/>
          <w:lang w:val="zh-CN"/>
        </w:rPr>
        <w:t>他供应商另外组成联合体参加同一合同项下的政府采购活动。</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仿宋_GB2312"/>
          <w:kern w:val="0"/>
          <w:szCs w:val="21"/>
          <w:lang w:val="zh-CN"/>
        </w:rPr>
        <w:t>2、联合体中有同类资质的各方按照联合体分工承担相同工作的，按照资质等级较低的供应商确定资质等级。</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仿宋_GB2312"/>
          <w:kern w:val="0"/>
          <w:szCs w:val="21"/>
          <w:lang w:val="zh-CN"/>
        </w:rPr>
        <w:t>3、本协议提交采购人、采购机构后，联合体各方不得以任何形式对上述内容进行修改或撤销。</w:t>
      </w:r>
    </w:p>
    <w:p>
      <w:pPr>
        <w:snapToGrid w:val="0"/>
        <w:spacing w:line="288" w:lineRule="auto"/>
        <w:ind w:firstLine="422" w:firstLineChars="201"/>
        <w:rPr>
          <w:rFonts w:ascii="宋体" w:hAnsi="宋体" w:eastAsia="宋体" w:cs="仿宋_GB2312"/>
          <w:kern w:val="0"/>
          <w:szCs w:val="21"/>
          <w:lang w:val="zh-CN"/>
        </w:rPr>
      </w:pPr>
    </w:p>
    <w:p>
      <w:pPr>
        <w:snapToGrid w:val="0"/>
        <w:spacing w:line="288" w:lineRule="auto"/>
        <w:ind w:firstLine="422" w:firstLineChars="201"/>
        <w:rPr>
          <w:rFonts w:ascii="宋体" w:hAnsi="宋体" w:eastAsia="宋体" w:cs="仿宋_GB2312"/>
          <w:kern w:val="0"/>
          <w:szCs w:val="21"/>
          <w:lang w:val="zh-CN"/>
        </w:rPr>
      </w:pPr>
    </w:p>
    <w:p>
      <w:pPr>
        <w:snapToGrid w:val="0"/>
        <w:spacing w:line="288" w:lineRule="auto"/>
        <w:ind w:firstLine="424" w:firstLineChars="201"/>
        <w:rPr>
          <w:rFonts w:ascii="宋体" w:hAnsi="宋体" w:eastAsia="宋体" w:cs="仿宋_GB2312"/>
          <w:b/>
          <w:bCs/>
          <w:kern w:val="0"/>
          <w:szCs w:val="21"/>
          <w:lang w:val="zh-CN"/>
        </w:rPr>
      </w:pPr>
      <w:r>
        <w:rPr>
          <w:rFonts w:hint="eastAsia" w:ascii="宋体" w:hAnsi="宋体" w:eastAsia="宋体" w:cs="仿宋_GB2312"/>
          <w:b/>
          <w:bCs/>
          <w:kern w:val="0"/>
          <w:szCs w:val="21"/>
          <w:lang w:val="zh-CN"/>
        </w:rPr>
        <w:t>联合体成员名称</w:t>
      </w:r>
      <w:r>
        <w:rPr>
          <w:rFonts w:ascii="宋体" w:hAnsi="宋体" w:eastAsia="宋体" w:cs="仿宋_GB2312"/>
          <w:b/>
          <w:bCs/>
          <w:kern w:val="0"/>
          <w:szCs w:val="21"/>
          <w:lang w:val="zh-CN"/>
        </w:rPr>
        <w:t>(电子签名/公章)：</w:t>
      </w:r>
    </w:p>
    <w:p>
      <w:pPr>
        <w:snapToGrid w:val="0"/>
        <w:spacing w:line="288" w:lineRule="auto"/>
        <w:ind w:firstLine="424" w:firstLineChars="201"/>
        <w:rPr>
          <w:rFonts w:ascii="宋体" w:hAnsi="宋体" w:eastAsia="宋体" w:cs="仿宋_GB2312"/>
          <w:b/>
          <w:bCs/>
          <w:kern w:val="0"/>
          <w:szCs w:val="21"/>
          <w:lang w:val="zh-CN"/>
        </w:rPr>
      </w:pPr>
    </w:p>
    <w:p>
      <w:pPr>
        <w:snapToGrid w:val="0"/>
        <w:spacing w:line="288" w:lineRule="auto"/>
        <w:ind w:firstLine="424" w:firstLineChars="201"/>
        <w:rPr>
          <w:rFonts w:ascii="宋体" w:hAnsi="宋体" w:eastAsia="宋体" w:cs="Times New Roman"/>
          <w:b/>
          <w:bCs/>
          <w:szCs w:val="21"/>
        </w:rPr>
      </w:pPr>
    </w:p>
    <w:p>
      <w:pPr>
        <w:snapToGrid w:val="0"/>
        <w:spacing w:line="288" w:lineRule="auto"/>
        <w:ind w:firstLine="424" w:firstLineChars="201"/>
        <w:rPr>
          <w:rFonts w:ascii="宋体" w:hAnsi="宋体" w:eastAsia="宋体" w:cs="仿宋_GB2312"/>
          <w:b/>
          <w:bCs/>
          <w:kern w:val="0"/>
          <w:szCs w:val="21"/>
          <w:lang w:val="zh-CN"/>
        </w:rPr>
      </w:pPr>
      <w:r>
        <w:rPr>
          <w:rFonts w:ascii="宋体" w:hAnsi="宋体" w:eastAsia="宋体" w:cs="仿宋_GB2312"/>
          <w:b/>
          <w:bCs/>
          <w:kern w:val="0"/>
          <w:szCs w:val="21"/>
          <w:lang w:val="zh-CN"/>
        </w:rPr>
        <w:t>日期：  年  月   日</w:t>
      </w:r>
    </w:p>
    <w:p>
      <w:pPr>
        <w:widowControl/>
        <w:jc w:val="left"/>
        <w:rPr>
          <w:rFonts w:ascii="宋体" w:hAnsi="宋体" w:eastAsia="宋体" w:cs="仿宋_GB2312"/>
          <w:b/>
          <w:kern w:val="0"/>
          <w:szCs w:val="21"/>
        </w:rPr>
      </w:pPr>
      <w:r>
        <w:rPr>
          <w:rFonts w:ascii="宋体" w:hAnsi="宋体" w:eastAsia="宋体" w:cs="仿宋_GB2312"/>
          <w:b/>
          <w:kern w:val="0"/>
          <w:szCs w:val="21"/>
        </w:rPr>
        <w:br w:type="page"/>
      </w:r>
    </w:p>
    <w:p>
      <w:pPr>
        <w:snapToGrid w:val="0"/>
        <w:spacing w:line="288" w:lineRule="auto"/>
        <w:jc w:val="center"/>
        <w:outlineLvl w:val="2"/>
        <w:rPr>
          <w:rFonts w:ascii="宋体" w:hAnsi="宋体" w:eastAsia="宋体" w:cs="仿宋_GB2312"/>
          <w:b/>
          <w:kern w:val="0"/>
          <w:szCs w:val="21"/>
        </w:rPr>
      </w:pPr>
      <w:r>
        <w:rPr>
          <w:rFonts w:hint="eastAsia" w:ascii="宋体" w:hAnsi="宋体" w:eastAsia="宋体" w:cs="仿宋_GB2312"/>
          <w:b/>
          <w:kern w:val="0"/>
          <w:szCs w:val="21"/>
        </w:rPr>
        <w:t>附件3</w:t>
      </w:r>
      <w:r>
        <w:rPr>
          <w:rFonts w:ascii="宋体" w:hAnsi="宋体" w:eastAsia="宋体" w:cs="仿宋_GB2312"/>
          <w:b/>
          <w:kern w:val="0"/>
          <w:szCs w:val="21"/>
        </w:rPr>
        <w:t>：</w:t>
      </w:r>
      <w:r>
        <w:rPr>
          <w:rFonts w:hint="eastAsia" w:ascii="宋体" w:hAnsi="宋体" w:eastAsia="宋体" w:cs="仿宋_GB2312"/>
          <w:b/>
          <w:kern w:val="0"/>
          <w:szCs w:val="21"/>
        </w:rPr>
        <w:t>分包意向协议</w:t>
      </w:r>
    </w:p>
    <w:p>
      <w:pPr>
        <w:widowControl/>
        <w:snapToGrid w:val="0"/>
        <w:spacing w:line="288" w:lineRule="auto"/>
        <w:ind w:firstLine="422" w:firstLineChars="201"/>
        <w:jc w:val="left"/>
        <w:rPr>
          <w:rFonts w:ascii="宋体" w:hAnsi="宋体" w:eastAsia="宋体" w:cs="仿宋_GB2312"/>
          <w:szCs w:val="21"/>
        </w:rPr>
      </w:pPr>
      <w:r>
        <w:rPr>
          <w:rFonts w:hint="eastAsia" w:ascii="宋体" w:hAnsi="宋体" w:eastAsia="宋体" w:cs="仿宋_GB2312"/>
          <w:szCs w:val="21"/>
        </w:rPr>
        <w:t>（</w:t>
      </w:r>
      <w:r>
        <w:rPr>
          <w:rFonts w:hint="eastAsia" w:ascii="宋体" w:hAnsi="宋体" w:eastAsia="宋体" w:cs="仿宋_GB2312"/>
          <w:b/>
          <w:szCs w:val="21"/>
        </w:rPr>
        <w:t>中标后以分包方式履行合同的，提供分包意向协议；采购人不同意分包或者投标人中标后不以分包方式履行合同的，则不需要提供。</w:t>
      </w:r>
      <w:r>
        <w:rPr>
          <w:rFonts w:hint="eastAsia" w:ascii="宋体" w:hAnsi="宋体" w:eastAsia="宋体" w:cs="仿宋_GB2312"/>
          <w:szCs w:val="21"/>
        </w:rPr>
        <w:t>）</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u w:val="single"/>
        </w:rPr>
        <w:t>（投标人名称）</w:t>
      </w:r>
      <w:r>
        <w:rPr>
          <w:rFonts w:hint="eastAsia" w:ascii="宋体" w:hAnsi="宋体" w:eastAsia="宋体" w:cs="仿宋_GB2312"/>
          <w:kern w:val="0"/>
          <w:szCs w:val="21"/>
          <w:lang w:val="zh-CN"/>
        </w:rPr>
        <w:t>若成为</w:t>
      </w:r>
      <w:r>
        <w:rPr>
          <w:rFonts w:hint="eastAsia" w:ascii="宋体" w:hAnsi="宋体" w:eastAsia="宋体" w:cs="仿宋_GB2312"/>
          <w:szCs w:val="21"/>
        </w:rPr>
        <w:t>（项目名称）【招标编号：</w:t>
      </w:r>
      <w:r>
        <w:rPr>
          <w:rFonts w:hint="eastAsia" w:ascii="宋体" w:hAnsi="宋体" w:eastAsia="宋体" w:cs="Times New Roman"/>
          <w:szCs w:val="21"/>
        </w:rPr>
        <w:t>（采购编号）</w:t>
      </w:r>
      <w:r>
        <w:rPr>
          <w:rFonts w:hint="eastAsia" w:ascii="宋体" w:hAnsi="宋体" w:eastAsia="宋体" w:cs="仿宋_GB2312"/>
          <w:szCs w:val="21"/>
        </w:rPr>
        <w:t>】</w:t>
      </w:r>
      <w:r>
        <w:rPr>
          <w:rFonts w:hint="eastAsia" w:ascii="宋体" w:hAnsi="宋体" w:eastAsia="宋体" w:cs="仿宋_GB2312"/>
          <w:kern w:val="0"/>
          <w:szCs w:val="21"/>
          <w:lang w:val="zh-CN"/>
        </w:rPr>
        <w:t>的中标供应商，将依法采取分包方式履行合同。</w:t>
      </w:r>
      <w:r>
        <w:rPr>
          <w:rFonts w:hint="eastAsia" w:ascii="宋体" w:hAnsi="宋体" w:eastAsia="宋体" w:cs="仿宋_GB2312"/>
          <w:kern w:val="0"/>
          <w:szCs w:val="21"/>
          <w:u w:val="single"/>
        </w:rPr>
        <w:t>（投标人名称）</w:t>
      </w:r>
      <w:r>
        <w:rPr>
          <w:rFonts w:hint="eastAsia" w:ascii="宋体" w:hAnsi="宋体" w:eastAsia="宋体" w:cs="仿宋_GB2312"/>
          <w:kern w:val="0"/>
          <w:szCs w:val="21"/>
        </w:rPr>
        <w:t>与</w:t>
      </w:r>
      <w:r>
        <w:rPr>
          <w:rFonts w:hint="eastAsia" w:ascii="宋体" w:hAnsi="宋体" w:eastAsia="宋体" w:cs="仿宋_GB2312"/>
          <w:kern w:val="0"/>
          <w:szCs w:val="21"/>
          <w:u w:val="single"/>
        </w:rPr>
        <w:t>（所有分包供应商名称）</w:t>
      </w:r>
      <w:r>
        <w:rPr>
          <w:rFonts w:hint="eastAsia" w:ascii="宋体" w:hAnsi="宋体" w:eastAsia="宋体" w:cs="仿宋_GB2312"/>
          <w:kern w:val="0"/>
          <w:szCs w:val="21"/>
        </w:rPr>
        <w:t>达成分包意向协议</w:t>
      </w:r>
      <w:r>
        <w:rPr>
          <w:rFonts w:hint="eastAsia" w:ascii="宋体" w:hAnsi="宋体" w:eastAsia="宋体" w:cs="仿宋_GB2312"/>
          <w:kern w:val="0"/>
          <w:szCs w:val="21"/>
          <w:lang w:val="zh-CN"/>
        </w:rPr>
        <w:t>。</w:t>
      </w:r>
      <w:r>
        <w:rPr>
          <w:rFonts w:ascii="宋体" w:hAnsi="宋体" w:eastAsia="宋体" w:cs="仿宋_GB2312"/>
          <w:kern w:val="0"/>
          <w:szCs w:val="21"/>
          <w:lang w:val="zh-CN"/>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一、分包标的及数量</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u w:val="single"/>
        </w:rPr>
        <w:t>（投标人名称）</w:t>
      </w:r>
      <w:r>
        <w:rPr>
          <w:rFonts w:hint="eastAsia" w:ascii="宋体" w:hAnsi="宋体" w:eastAsia="宋体" w:cs="仿宋_GB2312"/>
          <w:kern w:val="0"/>
          <w:szCs w:val="21"/>
          <w:lang w:val="zh-CN"/>
        </w:rPr>
        <w:t>将</w:t>
      </w:r>
      <w:r>
        <w:rPr>
          <w:rFonts w:ascii="宋体" w:hAnsi="宋体" w:eastAsia="宋体" w:cs="Times New Roman"/>
          <w:szCs w:val="21"/>
          <w:u w:val="single"/>
        </w:rPr>
        <w:t xml:space="preserve">   XX工作内容   </w:t>
      </w:r>
      <w:r>
        <w:rPr>
          <w:rFonts w:hint="eastAsia" w:ascii="宋体" w:hAnsi="宋体" w:eastAsia="宋体" w:cs="Arial"/>
          <w:szCs w:val="21"/>
        </w:rPr>
        <w:t>分包给</w:t>
      </w:r>
      <w:r>
        <w:rPr>
          <w:rFonts w:hint="eastAsia" w:ascii="宋体" w:hAnsi="宋体" w:eastAsia="宋体" w:cs="仿宋_GB2312"/>
          <w:kern w:val="0"/>
          <w:szCs w:val="21"/>
          <w:u w:val="single"/>
        </w:rPr>
        <w:t>（某分包供应商名称）</w:t>
      </w:r>
      <w:r>
        <w:rPr>
          <w:rFonts w:hint="eastAsia" w:ascii="宋体" w:hAnsi="宋体" w:eastAsia="宋体" w:cs="仿宋_GB2312"/>
          <w:kern w:val="0"/>
          <w:szCs w:val="21"/>
          <w:lang w:val="zh-CN"/>
        </w:rPr>
        <w:t>，</w:t>
      </w:r>
      <w:r>
        <w:rPr>
          <w:rFonts w:hint="eastAsia" w:ascii="宋体" w:hAnsi="宋体" w:eastAsia="宋体" w:cs="仿宋_GB2312"/>
          <w:kern w:val="0"/>
          <w:szCs w:val="21"/>
          <w:u w:val="single"/>
        </w:rPr>
        <w:t>（某分包供应商名称），</w:t>
      </w:r>
      <w:r>
        <w:rPr>
          <w:rFonts w:hint="eastAsia" w:ascii="宋体" w:hAnsi="宋体" w:eastAsia="宋体" w:cs="仿宋_GB2312"/>
          <w:kern w:val="0"/>
          <w:szCs w:val="21"/>
          <w:lang w:val="zh-CN"/>
        </w:rPr>
        <w:t>具备承</w:t>
      </w:r>
      <w:r>
        <w:rPr>
          <w:rFonts w:hint="eastAsia" w:ascii="宋体" w:hAnsi="宋体" w:eastAsia="宋体" w:cs="仿宋_GB2312"/>
          <w:kern w:val="0"/>
          <w:szCs w:val="21"/>
        </w:rPr>
        <w:t>担</w:t>
      </w:r>
      <w:r>
        <w:rPr>
          <w:rFonts w:ascii="宋体" w:hAnsi="宋体" w:eastAsia="宋体" w:cs="仿宋_GB2312"/>
          <w:kern w:val="0"/>
          <w:szCs w:val="21"/>
          <w:u w:val="single"/>
          <w:lang w:val="zh-CN"/>
        </w:rPr>
        <w:t>XX工作内容</w:t>
      </w:r>
      <w:r>
        <w:rPr>
          <w:rFonts w:hint="eastAsia" w:ascii="宋体" w:hAnsi="宋体" w:eastAsia="宋体" w:cs="仿宋_GB2312"/>
          <w:kern w:val="0"/>
          <w:szCs w:val="21"/>
          <w:lang w:val="zh-CN"/>
        </w:rPr>
        <w:t>相应资质条件且不得再次分包；</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二、分包工作履行期限、地点、方式</w:t>
      </w:r>
    </w:p>
    <w:p>
      <w:pPr>
        <w:snapToGrid w:val="0"/>
        <w:spacing w:line="288" w:lineRule="auto"/>
        <w:ind w:firstLine="422" w:firstLineChars="201"/>
        <w:rPr>
          <w:rFonts w:ascii="宋体" w:hAnsi="宋体" w:eastAsia="宋体" w:cs="Times New Roman"/>
          <w:szCs w:val="21"/>
          <w:u w:val="single"/>
        </w:rPr>
      </w:pPr>
      <w:r>
        <w:rPr>
          <w:rFonts w:ascii="宋体" w:hAnsi="宋体" w:eastAsia="宋体" w:cs="Times New Roman"/>
          <w:szCs w:val="21"/>
          <w:u w:val="single"/>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三、质量</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Times New Roman"/>
          <w:szCs w:val="21"/>
          <w:u w:val="single"/>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四、价款或者报酬</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Times New Roman"/>
          <w:szCs w:val="21"/>
          <w:u w:val="single"/>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五、违约责任</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Times New Roman"/>
          <w:szCs w:val="21"/>
          <w:u w:val="single"/>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六、争议解决的办法</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Times New Roman"/>
          <w:szCs w:val="21"/>
          <w:u w:val="single"/>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七、其他</w:t>
      </w:r>
    </w:p>
    <w:p>
      <w:pPr>
        <w:snapToGrid w:val="0"/>
        <w:spacing w:line="288" w:lineRule="auto"/>
        <w:ind w:firstLine="422" w:firstLineChars="201"/>
        <w:rPr>
          <w:rFonts w:ascii="宋体" w:hAnsi="宋体" w:eastAsia="宋体" w:cs="仿宋_GB2312"/>
          <w:b/>
          <w:kern w:val="0"/>
          <w:szCs w:val="21"/>
          <w:lang w:val="zh-CN"/>
        </w:rPr>
      </w:pPr>
      <w:r>
        <w:rPr>
          <w:rFonts w:hint="eastAsia" w:ascii="宋体" w:hAnsi="宋体" w:eastAsia="宋体" w:cs="仿宋_GB2312"/>
          <w:kern w:val="0"/>
          <w:szCs w:val="21"/>
          <w:u w:val="single"/>
        </w:rPr>
        <w:t>（分包供应商名称）提供的货物全部由小微企业制造，</w:t>
      </w:r>
      <w:r>
        <w:rPr>
          <w:rFonts w:hint="eastAsia" w:ascii="宋体" w:hAnsi="宋体" w:eastAsia="宋体" w:cs="仿宋_GB2312"/>
          <w:kern w:val="0"/>
          <w:szCs w:val="21"/>
        </w:rPr>
        <w:t>其合同份额占到合同总金额</w:t>
      </w:r>
      <w:r>
        <w:rPr>
          <w:rFonts w:ascii="宋体" w:hAnsi="宋体" w:eastAsia="宋体" w:cs="仿宋_GB2312"/>
          <w:kern w:val="0"/>
          <w:szCs w:val="21"/>
          <w:u w:val="single"/>
        </w:rPr>
        <w:t xml:space="preserve">     </w:t>
      </w:r>
      <w:r>
        <w:rPr>
          <w:rFonts w:ascii="宋体" w:hAnsi="宋体" w:eastAsia="宋体" w:cs="仿宋_GB2312"/>
          <w:kern w:val="0"/>
          <w:szCs w:val="21"/>
        </w:rPr>
        <w:t>%以上</w:t>
      </w:r>
      <w:r>
        <w:rPr>
          <w:rFonts w:hint="eastAsia" w:ascii="宋体" w:hAnsi="宋体" w:eastAsia="宋体" w:cs="Times New Roman"/>
          <w:szCs w:val="21"/>
        </w:rPr>
        <w:t>。</w:t>
      </w:r>
      <w:r>
        <w:rPr>
          <w:rFonts w:hint="eastAsia" w:ascii="宋体" w:hAnsi="宋体" w:eastAsia="宋体" w:cs="仿宋_GB2312"/>
          <w:b/>
          <w:kern w:val="0"/>
          <w:szCs w:val="21"/>
          <w:lang w:val="zh-CN"/>
        </w:rPr>
        <w:t>（未预留份额专门面向中小企业采购的的采购项目，以及预留份额中的非预留部分采购包，允许分包的，分包供应商提供的货物全部由小微企业制造，且其合同份额占到合同总金额</w:t>
      </w:r>
      <w:r>
        <w:rPr>
          <w:rFonts w:ascii="宋体" w:hAnsi="宋体" w:eastAsia="宋体" w:cs="仿宋_GB2312"/>
          <w:b/>
          <w:kern w:val="0"/>
          <w:szCs w:val="21"/>
          <w:lang w:val="zh-CN"/>
        </w:rPr>
        <w:t xml:space="preserve"> 30%以上</w:t>
      </w:r>
      <w:r>
        <w:rPr>
          <w:rFonts w:hint="eastAsia" w:ascii="宋体" w:hAnsi="宋体" w:eastAsia="宋体" w:cs="仿宋_GB2312"/>
          <w:b/>
          <w:kern w:val="0"/>
          <w:szCs w:val="21"/>
          <w:lang w:val="zh-CN"/>
        </w:rPr>
        <w:t>的，对大中型企业的报价给予</w:t>
      </w:r>
      <w:r>
        <w:rPr>
          <w:rFonts w:ascii="宋体" w:hAnsi="宋体" w:eastAsia="宋体" w:cs="仿宋_GB2312"/>
          <w:b/>
          <w:kern w:val="0"/>
          <w:szCs w:val="21"/>
          <w:lang w:val="zh-CN"/>
        </w:rPr>
        <w:t>3%的扣除</w:t>
      </w:r>
      <w:r>
        <w:rPr>
          <w:rFonts w:hint="eastAsia" w:ascii="宋体" w:hAnsi="宋体" w:eastAsia="宋体" w:cs="仿宋_GB2312"/>
          <w:b/>
          <w:kern w:val="0"/>
          <w:szCs w:val="21"/>
          <w:lang w:val="zh-CN"/>
        </w:rPr>
        <w:t>）</w:t>
      </w:r>
    </w:p>
    <w:p>
      <w:pPr>
        <w:snapToGrid w:val="0"/>
        <w:spacing w:line="288" w:lineRule="auto"/>
        <w:rPr>
          <w:rFonts w:ascii="宋体" w:hAnsi="宋体" w:eastAsia="宋体" w:cs="仿宋_GB2312"/>
          <w:kern w:val="0"/>
          <w:szCs w:val="21"/>
          <w:lang w:val="zh-CN"/>
        </w:rPr>
      </w:pPr>
    </w:p>
    <w:p>
      <w:pPr>
        <w:snapToGrid w:val="0"/>
        <w:spacing w:line="288" w:lineRule="auto"/>
        <w:ind w:firstLine="422" w:firstLineChars="200"/>
        <w:rPr>
          <w:rFonts w:ascii="宋体" w:hAnsi="宋体" w:eastAsia="宋体" w:cs="仿宋_GB2312"/>
          <w:b/>
          <w:bCs/>
          <w:kern w:val="0"/>
          <w:szCs w:val="21"/>
          <w:lang w:val="zh-CN"/>
        </w:rPr>
      </w:pPr>
      <w:r>
        <w:rPr>
          <w:rFonts w:hint="eastAsia" w:ascii="宋体" w:hAnsi="宋体" w:eastAsia="宋体" w:cs="仿宋_GB2312"/>
          <w:b/>
          <w:bCs/>
          <w:kern w:val="0"/>
          <w:szCs w:val="21"/>
          <w:lang w:val="zh-CN"/>
        </w:rPr>
        <w:t>投标人名称（电子签名</w:t>
      </w:r>
      <w:r>
        <w:rPr>
          <w:rFonts w:ascii="宋体" w:hAnsi="宋体" w:eastAsia="宋体" w:cs="仿宋_GB2312"/>
          <w:b/>
          <w:bCs/>
          <w:kern w:val="0"/>
          <w:szCs w:val="21"/>
          <w:lang w:val="zh-CN"/>
        </w:rPr>
        <w:t>/公章）：</w:t>
      </w:r>
    </w:p>
    <w:p>
      <w:pPr>
        <w:snapToGrid w:val="0"/>
        <w:spacing w:line="288" w:lineRule="auto"/>
        <w:ind w:firstLine="424" w:firstLineChars="201"/>
        <w:rPr>
          <w:rFonts w:ascii="宋体" w:hAnsi="宋体" w:eastAsia="宋体" w:cs="仿宋_GB2312"/>
          <w:b/>
          <w:bCs/>
          <w:kern w:val="0"/>
          <w:szCs w:val="21"/>
          <w:lang w:val="zh-CN"/>
        </w:rPr>
      </w:pPr>
    </w:p>
    <w:p>
      <w:pPr>
        <w:snapToGrid w:val="0"/>
        <w:spacing w:line="288" w:lineRule="auto"/>
        <w:ind w:firstLine="424" w:firstLineChars="201"/>
        <w:rPr>
          <w:rFonts w:ascii="宋体" w:hAnsi="宋体" w:eastAsia="宋体" w:cs="仿宋_GB2312"/>
          <w:b/>
          <w:bCs/>
          <w:kern w:val="0"/>
          <w:szCs w:val="21"/>
          <w:lang w:val="zh-CN"/>
        </w:rPr>
      </w:pPr>
      <w:r>
        <w:rPr>
          <w:rFonts w:hint="eastAsia" w:ascii="宋体" w:hAnsi="宋体" w:eastAsia="宋体" w:cs="仿宋_GB2312"/>
          <w:b/>
          <w:bCs/>
          <w:kern w:val="0"/>
          <w:szCs w:val="21"/>
          <w:lang w:val="zh-CN"/>
        </w:rPr>
        <w:t>分包供应商名称：</w:t>
      </w:r>
    </w:p>
    <w:p>
      <w:pPr>
        <w:snapToGrid w:val="0"/>
        <w:spacing w:line="288" w:lineRule="auto"/>
        <w:rPr>
          <w:rFonts w:ascii="宋体" w:hAnsi="宋体" w:eastAsia="宋体" w:cs="仿宋_GB2312"/>
          <w:b/>
          <w:bCs/>
          <w:kern w:val="0"/>
          <w:szCs w:val="21"/>
          <w:lang w:val="zh-CN"/>
        </w:rPr>
      </w:pPr>
    </w:p>
    <w:p>
      <w:pPr>
        <w:snapToGrid w:val="0"/>
        <w:spacing w:line="288" w:lineRule="auto"/>
        <w:ind w:firstLine="424" w:firstLineChars="201"/>
        <w:rPr>
          <w:rFonts w:ascii="宋体" w:hAnsi="宋体" w:eastAsia="宋体" w:cs="仿宋_GB2312"/>
          <w:b/>
          <w:bCs/>
          <w:kern w:val="0"/>
          <w:szCs w:val="21"/>
          <w:lang w:val="zh-CN"/>
        </w:rPr>
      </w:pPr>
      <w:r>
        <w:rPr>
          <w:rFonts w:ascii="宋体" w:hAnsi="宋体" w:eastAsia="宋体" w:cs="仿宋_GB2312"/>
          <w:b/>
          <w:bCs/>
          <w:kern w:val="0"/>
          <w:szCs w:val="21"/>
          <w:lang w:val="zh-CN"/>
        </w:rPr>
        <w:t>日期：  年  月   日</w:t>
      </w:r>
    </w:p>
    <w:p>
      <w:pPr>
        <w:rPr>
          <w:rFonts w:ascii="等线" w:hAnsi="等线" w:eastAsia="等线" w:cs="Times New Roman"/>
        </w:rPr>
      </w:pPr>
    </w:p>
    <w:p>
      <w:pPr>
        <w:adjustRightInd w:val="0"/>
        <w:snapToGrid w:val="0"/>
        <w:spacing w:line="288" w:lineRule="auto"/>
        <w:rPr>
          <w:rFonts w:ascii="宋体" w:hAnsi="宋体" w:eastAsia="宋体" w:cs="Times New Roman"/>
          <w:b/>
          <w:spacing w:val="-6"/>
          <w:szCs w:val="21"/>
        </w:rPr>
      </w:pPr>
    </w:p>
    <w:sectPr>
      <w:footerReference r:id="rId6" w:type="default"/>
      <w:pgSz w:w="11906" w:h="16838"/>
      <w:pgMar w:top="1247" w:right="1247" w:bottom="1247" w:left="1247" w:header="0" w:footer="694" w:gutter="0"/>
      <w:pgNumType w:start="1"/>
      <w:cols w:space="720"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pple-system">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Helvetica Neue Light">
    <w:altName w:val="Courier New"/>
    <w:panose1 w:val="00000000000000000000"/>
    <w:charset w:val="00"/>
    <w:family w:val="auto"/>
    <w:pitch w:val="default"/>
    <w:sig w:usb0="00000000" w:usb1="00000000" w:usb2="00000002" w:usb3="00000000" w:csb0="00000007" w:csb1="00000000"/>
  </w:font>
  <w:font w:name="ヒラギノ角ゴ Pro W3">
    <w:altName w:val="MS Gothic"/>
    <w:panose1 w:val="00000000000000000000"/>
    <w:charset w:val="80"/>
    <w:family w:val="auto"/>
    <w:pitch w:val="default"/>
    <w:sig w:usb0="00000000" w:usb1="00000000" w:usb2="00000012" w:usb3="00000000" w:csb0="0002000D" w:csb1="00000000"/>
  </w:font>
  <w:font w:name="MS Gothic">
    <w:panose1 w:val="020B0609070205080204"/>
    <w:charset w:val="80"/>
    <w:family w:val="auto"/>
    <w:pitch w:val="default"/>
    <w:sig w:usb0="E00002FF" w:usb1="6AC7FDFB" w:usb2="08000012" w:usb3="00000000" w:csb0="4002009F" w:csb1="DFD70000"/>
  </w:font>
  <w:font w:name="等线 Light">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宋体" w:hAnsi="宋体" w:eastAsia="宋体"/>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宋体" w:hAnsi="宋体" w:eastAsia="宋体"/>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宋体" w:hAnsi="宋体" w:eastAsia="宋体"/>
        <w:sz w:val="21"/>
        <w:szCs w:val="21"/>
      </w:rPr>
    </w:pPr>
    <w:r>
      <w:rPr>
        <w:rFonts w:ascii="宋体" w:hAnsi="宋体" w:eastAsia="宋体"/>
        <w:sz w:val="21"/>
        <w:szCs w:val="21"/>
      </w:rPr>
      <w:fldChar w:fldCharType="begin"/>
    </w:r>
    <w:r>
      <w:rPr>
        <w:rFonts w:ascii="宋体" w:hAnsi="宋体" w:eastAsia="宋体"/>
        <w:sz w:val="21"/>
        <w:szCs w:val="21"/>
      </w:rPr>
      <w:instrText xml:space="preserve">PAGE   \* MERGEFORMAT</w:instrText>
    </w:r>
    <w:r>
      <w:rPr>
        <w:rFonts w:ascii="宋体" w:hAnsi="宋体" w:eastAsia="宋体"/>
        <w:sz w:val="21"/>
        <w:szCs w:val="21"/>
      </w:rPr>
      <w:fldChar w:fldCharType="separate"/>
    </w:r>
    <w:r>
      <w:rPr>
        <w:rFonts w:ascii="宋体" w:hAnsi="宋体" w:eastAsia="宋体"/>
        <w:sz w:val="21"/>
        <w:szCs w:val="21"/>
        <w:lang w:val="zh-CN"/>
      </w:rPr>
      <w:t>1</w:t>
    </w:r>
    <w:r>
      <w:rPr>
        <w:rFonts w:ascii="宋体" w:hAnsi="宋体" w:eastAsia="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0" distR="0">
          <wp:extent cx="5905500" cy="6794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5500" cy="6794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4BE91B"/>
    <w:multiLevelType w:val="singleLevel"/>
    <w:tmpl w:val="D34BE91B"/>
    <w:lvl w:ilvl="0" w:tentative="0">
      <w:start w:val="1"/>
      <w:numFmt w:val="decimal"/>
      <w:suff w:val="nothing"/>
      <w:lvlText w:val="%1、"/>
      <w:lvlJc w:val="left"/>
    </w:lvl>
  </w:abstractNum>
  <w:abstractNum w:abstractNumId="1">
    <w:nsid w:val="00000005"/>
    <w:multiLevelType w:val="multilevel"/>
    <w:tmpl w:val="00000005"/>
    <w:lvl w:ilvl="0" w:tentative="0">
      <w:start w:val="1"/>
      <w:numFmt w:val="decimal"/>
      <w:pStyle w:val="7"/>
      <w:lvlText w:val="%1、"/>
      <w:lvlJc w:val="left"/>
      <w:pPr>
        <w:tabs>
          <w:tab w:val="left" w:pos="720"/>
        </w:tabs>
        <w:ind w:left="720" w:hanging="7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QxN2Y2ZDI2Y2I4ZjYzNTM0OTg2ZDMzOTYyZjBmMjIifQ=="/>
  </w:docVars>
  <w:rsids>
    <w:rsidRoot w:val="00756626"/>
    <w:rsid w:val="000009E4"/>
    <w:rsid w:val="0000114F"/>
    <w:rsid w:val="0000436F"/>
    <w:rsid w:val="000062F4"/>
    <w:rsid w:val="00006469"/>
    <w:rsid w:val="00006CFD"/>
    <w:rsid w:val="000116E4"/>
    <w:rsid w:val="00013608"/>
    <w:rsid w:val="00013B07"/>
    <w:rsid w:val="00014530"/>
    <w:rsid w:val="00015995"/>
    <w:rsid w:val="00016D69"/>
    <w:rsid w:val="0003507E"/>
    <w:rsid w:val="00037CC3"/>
    <w:rsid w:val="00037F12"/>
    <w:rsid w:val="000404C3"/>
    <w:rsid w:val="0004184A"/>
    <w:rsid w:val="00042FA2"/>
    <w:rsid w:val="00043D3F"/>
    <w:rsid w:val="000448EE"/>
    <w:rsid w:val="0004610A"/>
    <w:rsid w:val="00046C0F"/>
    <w:rsid w:val="00047FBE"/>
    <w:rsid w:val="000505CC"/>
    <w:rsid w:val="000536E0"/>
    <w:rsid w:val="00057E8D"/>
    <w:rsid w:val="0006261A"/>
    <w:rsid w:val="00064DBE"/>
    <w:rsid w:val="000651B3"/>
    <w:rsid w:val="00065AAC"/>
    <w:rsid w:val="00066C2F"/>
    <w:rsid w:val="00067CDC"/>
    <w:rsid w:val="00074377"/>
    <w:rsid w:val="000765FF"/>
    <w:rsid w:val="00080197"/>
    <w:rsid w:val="00080E86"/>
    <w:rsid w:val="000814E9"/>
    <w:rsid w:val="00082DB5"/>
    <w:rsid w:val="00082FB1"/>
    <w:rsid w:val="00085C8D"/>
    <w:rsid w:val="00085FCC"/>
    <w:rsid w:val="00087A58"/>
    <w:rsid w:val="00091AA5"/>
    <w:rsid w:val="00091FF9"/>
    <w:rsid w:val="000922B3"/>
    <w:rsid w:val="000949E6"/>
    <w:rsid w:val="0009761D"/>
    <w:rsid w:val="000A108A"/>
    <w:rsid w:val="000A68FB"/>
    <w:rsid w:val="000A749D"/>
    <w:rsid w:val="000A74CF"/>
    <w:rsid w:val="000A7D0F"/>
    <w:rsid w:val="000B1B92"/>
    <w:rsid w:val="000B5BC8"/>
    <w:rsid w:val="000C1DE2"/>
    <w:rsid w:val="000C1EF8"/>
    <w:rsid w:val="000C3444"/>
    <w:rsid w:val="000C3537"/>
    <w:rsid w:val="000C587E"/>
    <w:rsid w:val="000C67A6"/>
    <w:rsid w:val="000D0B38"/>
    <w:rsid w:val="000D107B"/>
    <w:rsid w:val="000D4121"/>
    <w:rsid w:val="000D763B"/>
    <w:rsid w:val="000E0B46"/>
    <w:rsid w:val="000E12A8"/>
    <w:rsid w:val="000E158D"/>
    <w:rsid w:val="000E6420"/>
    <w:rsid w:val="000F4562"/>
    <w:rsid w:val="000F5B5E"/>
    <w:rsid w:val="000F7A3B"/>
    <w:rsid w:val="00100520"/>
    <w:rsid w:val="00100F21"/>
    <w:rsid w:val="00103101"/>
    <w:rsid w:val="00105EC1"/>
    <w:rsid w:val="00106A4D"/>
    <w:rsid w:val="001137C8"/>
    <w:rsid w:val="00113ACF"/>
    <w:rsid w:val="00117EF1"/>
    <w:rsid w:val="001203D7"/>
    <w:rsid w:val="00120781"/>
    <w:rsid w:val="00130294"/>
    <w:rsid w:val="001358FA"/>
    <w:rsid w:val="001376F6"/>
    <w:rsid w:val="00137FB9"/>
    <w:rsid w:val="00145597"/>
    <w:rsid w:val="0014573A"/>
    <w:rsid w:val="001466D3"/>
    <w:rsid w:val="001472FE"/>
    <w:rsid w:val="00147E13"/>
    <w:rsid w:val="00154E6E"/>
    <w:rsid w:val="00160F71"/>
    <w:rsid w:val="00162355"/>
    <w:rsid w:val="00162B7F"/>
    <w:rsid w:val="00162D25"/>
    <w:rsid w:val="00163375"/>
    <w:rsid w:val="001639E5"/>
    <w:rsid w:val="00164553"/>
    <w:rsid w:val="00164E88"/>
    <w:rsid w:val="00166D36"/>
    <w:rsid w:val="00167EC3"/>
    <w:rsid w:val="0017064E"/>
    <w:rsid w:val="00170DD1"/>
    <w:rsid w:val="00172304"/>
    <w:rsid w:val="0018079E"/>
    <w:rsid w:val="00182FEC"/>
    <w:rsid w:val="00183AD9"/>
    <w:rsid w:val="001846BE"/>
    <w:rsid w:val="00191976"/>
    <w:rsid w:val="00197EDA"/>
    <w:rsid w:val="001A1C51"/>
    <w:rsid w:val="001A2D63"/>
    <w:rsid w:val="001A2F81"/>
    <w:rsid w:val="001A3D21"/>
    <w:rsid w:val="001B01EC"/>
    <w:rsid w:val="001B03B6"/>
    <w:rsid w:val="001B1958"/>
    <w:rsid w:val="001B1EED"/>
    <w:rsid w:val="001B2BF5"/>
    <w:rsid w:val="001B2E94"/>
    <w:rsid w:val="001B3AE6"/>
    <w:rsid w:val="001B63B2"/>
    <w:rsid w:val="001B6AE4"/>
    <w:rsid w:val="001B6C0D"/>
    <w:rsid w:val="001C1474"/>
    <w:rsid w:val="001C2000"/>
    <w:rsid w:val="001C2933"/>
    <w:rsid w:val="001C4075"/>
    <w:rsid w:val="001C6036"/>
    <w:rsid w:val="001D157A"/>
    <w:rsid w:val="001D2D58"/>
    <w:rsid w:val="001D7868"/>
    <w:rsid w:val="001E1516"/>
    <w:rsid w:val="001E1992"/>
    <w:rsid w:val="001E3085"/>
    <w:rsid w:val="001F36AC"/>
    <w:rsid w:val="001F7274"/>
    <w:rsid w:val="002004E1"/>
    <w:rsid w:val="00200536"/>
    <w:rsid w:val="00201125"/>
    <w:rsid w:val="00201321"/>
    <w:rsid w:val="00204F17"/>
    <w:rsid w:val="00210339"/>
    <w:rsid w:val="00211660"/>
    <w:rsid w:val="00213589"/>
    <w:rsid w:val="00221BD1"/>
    <w:rsid w:val="00223595"/>
    <w:rsid w:val="00224BD6"/>
    <w:rsid w:val="002265A9"/>
    <w:rsid w:val="00230DA7"/>
    <w:rsid w:val="002336BD"/>
    <w:rsid w:val="00236327"/>
    <w:rsid w:val="00236937"/>
    <w:rsid w:val="002402D1"/>
    <w:rsid w:val="002435F2"/>
    <w:rsid w:val="00243D1E"/>
    <w:rsid w:val="00251F2E"/>
    <w:rsid w:val="00252ED7"/>
    <w:rsid w:val="0025569A"/>
    <w:rsid w:val="00255E9B"/>
    <w:rsid w:val="00255F77"/>
    <w:rsid w:val="0025659F"/>
    <w:rsid w:val="002570E8"/>
    <w:rsid w:val="00257110"/>
    <w:rsid w:val="002607CF"/>
    <w:rsid w:val="00262884"/>
    <w:rsid w:val="00263494"/>
    <w:rsid w:val="00263BCE"/>
    <w:rsid w:val="00264D84"/>
    <w:rsid w:val="00267917"/>
    <w:rsid w:val="00272073"/>
    <w:rsid w:val="00275FBD"/>
    <w:rsid w:val="00282765"/>
    <w:rsid w:val="00283AE2"/>
    <w:rsid w:val="00283EB5"/>
    <w:rsid w:val="002871B1"/>
    <w:rsid w:val="00296AB0"/>
    <w:rsid w:val="002A17E3"/>
    <w:rsid w:val="002A7085"/>
    <w:rsid w:val="002A799A"/>
    <w:rsid w:val="002B0296"/>
    <w:rsid w:val="002B1048"/>
    <w:rsid w:val="002B4AE9"/>
    <w:rsid w:val="002B7A0E"/>
    <w:rsid w:val="002C0526"/>
    <w:rsid w:val="002C3342"/>
    <w:rsid w:val="002C71A0"/>
    <w:rsid w:val="002D2EAF"/>
    <w:rsid w:val="002D3A28"/>
    <w:rsid w:val="002D7E3F"/>
    <w:rsid w:val="002E094C"/>
    <w:rsid w:val="002E3494"/>
    <w:rsid w:val="002E3E0B"/>
    <w:rsid w:val="002E4545"/>
    <w:rsid w:val="002E46E3"/>
    <w:rsid w:val="002F13BD"/>
    <w:rsid w:val="002F14C6"/>
    <w:rsid w:val="002F55DD"/>
    <w:rsid w:val="002F75BD"/>
    <w:rsid w:val="00302870"/>
    <w:rsid w:val="00303255"/>
    <w:rsid w:val="00304616"/>
    <w:rsid w:val="00304855"/>
    <w:rsid w:val="00305DE7"/>
    <w:rsid w:val="0030628A"/>
    <w:rsid w:val="00306563"/>
    <w:rsid w:val="00306AB0"/>
    <w:rsid w:val="00310445"/>
    <w:rsid w:val="003117B9"/>
    <w:rsid w:val="00311A4B"/>
    <w:rsid w:val="00312BBF"/>
    <w:rsid w:val="00317A81"/>
    <w:rsid w:val="00320EE9"/>
    <w:rsid w:val="00321487"/>
    <w:rsid w:val="00327618"/>
    <w:rsid w:val="0033301D"/>
    <w:rsid w:val="00335F8F"/>
    <w:rsid w:val="00336F68"/>
    <w:rsid w:val="00336FDD"/>
    <w:rsid w:val="00341604"/>
    <w:rsid w:val="00347CBA"/>
    <w:rsid w:val="003502B4"/>
    <w:rsid w:val="00352E2F"/>
    <w:rsid w:val="003560E6"/>
    <w:rsid w:val="00357CF0"/>
    <w:rsid w:val="00363F3D"/>
    <w:rsid w:val="003665F6"/>
    <w:rsid w:val="0036728D"/>
    <w:rsid w:val="00371425"/>
    <w:rsid w:val="00371E29"/>
    <w:rsid w:val="00373614"/>
    <w:rsid w:val="0037508B"/>
    <w:rsid w:val="0038111B"/>
    <w:rsid w:val="00381C15"/>
    <w:rsid w:val="00382F41"/>
    <w:rsid w:val="0038494C"/>
    <w:rsid w:val="003868F7"/>
    <w:rsid w:val="00392BF4"/>
    <w:rsid w:val="003940F4"/>
    <w:rsid w:val="003959FD"/>
    <w:rsid w:val="003961ED"/>
    <w:rsid w:val="00396C57"/>
    <w:rsid w:val="0039799B"/>
    <w:rsid w:val="003A0ADB"/>
    <w:rsid w:val="003A188A"/>
    <w:rsid w:val="003A1BED"/>
    <w:rsid w:val="003A1C79"/>
    <w:rsid w:val="003A2DAB"/>
    <w:rsid w:val="003A3152"/>
    <w:rsid w:val="003A454D"/>
    <w:rsid w:val="003A4659"/>
    <w:rsid w:val="003A7992"/>
    <w:rsid w:val="003A7D03"/>
    <w:rsid w:val="003B064C"/>
    <w:rsid w:val="003B13A5"/>
    <w:rsid w:val="003B3605"/>
    <w:rsid w:val="003B5B05"/>
    <w:rsid w:val="003B6DAB"/>
    <w:rsid w:val="003C3454"/>
    <w:rsid w:val="003C4781"/>
    <w:rsid w:val="003C5468"/>
    <w:rsid w:val="003C7A4A"/>
    <w:rsid w:val="003D1ED8"/>
    <w:rsid w:val="003D26B2"/>
    <w:rsid w:val="003D3515"/>
    <w:rsid w:val="003D6E1E"/>
    <w:rsid w:val="003E24B1"/>
    <w:rsid w:val="003E3756"/>
    <w:rsid w:val="003E60E1"/>
    <w:rsid w:val="003F3E09"/>
    <w:rsid w:val="003F52EA"/>
    <w:rsid w:val="004011A4"/>
    <w:rsid w:val="00401E65"/>
    <w:rsid w:val="00403B44"/>
    <w:rsid w:val="00403FBB"/>
    <w:rsid w:val="00405332"/>
    <w:rsid w:val="0041002E"/>
    <w:rsid w:val="00413B01"/>
    <w:rsid w:val="0041400B"/>
    <w:rsid w:val="004142D4"/>
    <w:rsid w:val="004173F4"/>
    <w:rsid w:val="00417F83"/>
    <w:rsid w:val="0043170C"/>
    <w:rsid w:val="004327AE"/>
    <w:rsid w:val="00433671"/>
    <w:rsid w:val="004430E8"/>
    <w:rsid w:val="0044335C"/>
    <w:rsid w:val="0045480E"/>
    <w:rsid w:val="00456743"/>
    <w:rsid w:val="00456DA5"/>
    <w:rsid w:val="00457EA2"/>
    <w:rsid w:val="00460DBC"/>
    <w:rsid w:val="00461FD3"/>
    <w:rsid w:val="00462180"/>
    <w:rsid w:val="004626CF"/>
    <w:rsid w:val="00463860"/>
    <w:rsid w:val="00463AF9"/>
    <w:rsid w:val="004644FC"/>
    <w:rsid w:val="00464B58"/>
    <w:rsid w:val="00464D58"/>
    <w:rsid w:val="004719AB"/>
    <w:rsid w:val="0047231B"/>
    <w:rsid w:val="0047725C"/>
    <w:rsid w:val="004840CF"/>
    <w:rsid w:val="0048470A"/>
    <w:rsid w:val="00484EC1"/>
    <w:rsid w:val="00485246"/>
    <w:rsid w:val="004866A5"/>
    <w:rsid w:val="00491047"/>
    <w:rsid w:val="004914C8"/>
    <w:rsid w:val="0049330E"/>
    <w:rsid w:val="004934D4"/>
    <w:rsid w:val="004967FF"/>
    <w:rsid w:val="00497365"/>
    <w:rsid w:val="004977E3"/>
    <w:rsid w:val="00497B33"/>
    <w:rsid w:val="004A0913"/>
    <w:rsid w:val="004A1C68"/>
    <w:rsid w:val="004A2732"/>
    <w:rsid w:val="004A2B24"/>
    <w:rsid w:val="004A4BA1"/>
    <w:rsid w:val="004A62EE"/>
    <w:rsid w:val="004A758D"/>
    <w:rsid w:val="004A7612"/>
    <w:rsid w:val="004B1139"/>
    <w:rsid w:val="004B3D83"/>
    <w:rsid w:val="004B7ECD"/>
    <w:rsid w:val="004B7FA0"/>
    <w:rsid w:val="004C0ACF"/>
    <w:rsid w:val="004C38B7"/>
    <w:rsid w:val="004C4AEA"/>
    <w:rsid w:val="004C5359"/>
    <w:rsid w:val="004D0781"/>
    <w:rsid w:val="004D2BC8"/>
    <w:rsid w:val="004D3156"/>
    <w:rsid w:val="004D36FE"/>
    <w:rsid w:val="004D3FD1"/>
    <w:rsid w:val="004D682B"/>
    <w:rsid w:val="004D6D2F"/>
    <w:rsid w:val="004D71C3"/>
    <w:rsid w:val="004E373B"/>
    <w:rsid w:val="004E38BF"/>
    <w:rsid w:val="004E40A7"/>
    <w:rsid w:val="004E764E"/>
    <w:rsid w:val="004F1F7A"/>
    <w:rsid w:val="004F749F"/>
    <w:rsid w:val="005000B3"/>
    <w:rsid w:val="005004BC"/>
    <w:rsid w:val="00502879"/>
    <w:rsid w:val="0050432A"/>
    <w:rsid w:val="0051415E"/>
    <w:rsid w:val="0051461C"/>
    <w:rsid w:val="005161CE"/>
    <w:rsid w:val="00516415"/>
    <w:rsid w:val="00516C2B"/>
    <w:rsid w:val="00517F0F"/>
    <w:rsid w:val="00520566"/>
    <w:rsid w:val="00520844"/>
    <w:rsid w:val="00520CCA"/>
    <w:rsid w:val="00521BB9"/>
    <w:rsid w:val="0052332C"/>
    <w:rsid w:val="005238C8"/>
    <w:rsid w:val="0052419B"/>
    <w:rsid w:val="00525513"/>
    <w:rsid w:val="00527B24"/>
    <w:rsid w:val="00530E18"/>
    <w:rsid w:val="0053308F"/>
    <w:rsid w:val="00533573"/>
    <w:rsid w:val="0053482D"/>
    <w:rsid w:val="005349E7"/>
    <w:rsid w:val="00536EA4"/>
    <w:rsid w:val="00543979"/>
    <w:rsid w:val="0055295C"/>
    <w:rsid w:val="005541E6"/>
    <w:rsid w:val="005552F4"/>
    <w:rsid w:val="00555329"/>
    <w:rsid w:val="005579AA"/>
    <w:rsid w:val="0056031C"/>
    <w:rsid w:val="00561927"/>
    <w:rsid w:val="005630DE"/>
    <w:rsid w:val="00563576"/>
    <w:rsid w:val="00565695"/>
    <w:rsid w:val="005666C3"/>
    <w:rsid w:val="00567903"/>
    <w:rsid w:val="005735F1"/>
    <w:rsid w:val="005740DC"/>
    <w:rsid w:val="005762C1"/>
    <w:rsid w:val="00577861"/>
    <w:rsid w:val="00584B0A"/>
    <w:rsid w:val="00585951"/>
    <w:rsid w:val="00586136"/>
    <w:rsid w:val="00587DC3"/>
    <w:rsid w:val="00592BC6"/>
    <w:rsid w:val="00593624"/>
    <w:rsid w:val="005936D5"/>
    <w:rsid w:val="0059376A"/>
    <w:rsid w:val="005938EE"/>
    <w:rsid w:val="00594309"/>
    <w:rsid w:val="00595A42"/>
    <w:rsid w:val="00597EA9"/>
    <w:rsid w:val="005A2031"/>
    <w:rsid w:val="005A603C"/>
    <w:rsid w:val="005A6A8A"/>
    <w:rsid w:val="005B2265"/>
    <w:rsid w:val="005B7D64"/>
    <w:rsid w:val="005C25EA"/>
    <w:rsid w:val="005D0C62"/>
    <w:rsid w:val="005D2502"/>
    <w:rsid w:val="005D4D28"/>
    <w:rsid w:val="005D5F6E"/>
    <w:rsid w:val="005E2D92"/>
    <w:rsid w:val="005E5251"/>
    <w:rsid w:val="005E632D"/>
    <w:rsid w:val="005E74BA"/>
    <w:rsid w:val="005F1144"/>
    <w:rsid w:val="005F14E1"/>
    <w:rsid w:val="005F2651"/>
    <w:rsid w:val="005F531A"/>
    <w:rsid w:val="005F5528"/>
    <w:rsid w:val="005F65C8"/>
    <w:rsid w:val="005F70AB"/>
    <w:rsid w:val="005F7DB1"/>
    <w:rsid w:val="00602E5E"/>
    <w:rsid w:val="0060397B"/>
    <w:rsid w:val="006070EC"/>
    <w:rsid w:val="006072E8"/>
    <w:rsid w:val="00611AFB"/>
    <w:rsid w:val="006135DB"/>
    <w:rsid w:val="006143BF"/>
    <w:rsid w:val="006153AB"/>
    <w:rsid w:val="006175EF"/>
    <w:rsid w:val="00622644"/>
    <w:rsid w:val="00623EDB"/>
    <w:rsid w:val="006252C4"/>
    <w:rsid w:val="006279EA"/>
    <w:rsid w:val="006314E7"/>
    <w:rsid w:val="00635BD5"/>
    <w:rsid w:val="00640CB4"/>
    <w:rsid w:val="00641772"/>
    <w:rsid w:val="00642A44"/>
    <w:rsid w:val="00653A68"/>
    <w:rsid w:val="00653AF9"/>
    <w:rsid w:val="00657DC0"/>
    <w:rsid w:val="00660BB7"/>
    <w:rsid w:val="00664079"/>
    <w:rsid w:val="006642C4"/>
    <w:rsid w:val="00664DAA"/>
    <w:rsid w:val="00664F3B"/>
    <w:rsid w:val="006713B5"/>
    <w:rsid w:val="00674C38"/>
    <w:rsid w:val="006763DA"/>
    <w:rsid w:val="00680DD5"/>
    <w:rsid w:val="00681FEB"/>
    <w:rsid w:val="006823E7"/>
    <w:rsid w:val="00684122"/>
    <w:rsid w:val="0068459B"/>
    <w:rsid w:val="00685148"/>
    <w:rsid w:val="006900EA"/>
    <w:rsid w:val="0069103C"/>
    <w:rsid w:val="00691AD4"/>
    <w:rsid w:val="0069264D"/>
    <w:rsid w:val="00693005"/>
    <w:rsid w:val="00693820"/>
    <w:rsid w:val="00696E42"/>
    <w:rsid w:val="00697054"/>
    <w:rsid w:val="00697CA8"/>
    <w:rsid w:val="006A43F9"/>
    <w:rsid w:val="006A4806"/>
    <w:rsid w:val="006A4E30"/>
    <w:rsid w:val="006B4735"/>
    <w:rsid w:val="006B60FC"/>
    <w:rsid w:val="006C0103"/>
    <w:rsid w:val="006C1090"/>
    <w:rsid w:val="006C3E32"/>
    <w:rsid w:val="006C5E79"/>
    <w:rsid w:val="006C7249"/>
    <w:rsid w:val="006D3FAD"/>
    <w:rsid w:val="006D584E"/>
    <w:rsid w:val="006D5DA2"/>
    <w:rsid w:val="006D663C"/>
    <w:rsid w:val="006E0B30"/>
    <w:rsid w:val="006E0F3D"/>
    <w:rsid w:val="006E6008"/>
    <w:rsid w:val="006F1A49"/>
    <w:rsid w:val="006F4883"/>
    <w:rsid w:val="006F6B94"/>
    <w:rsid w:val="00701FAE"/>
    <w:rsid w:val="00710E91"/>
    <w:rsid w:val="00712B38"/>
    <w:rsid w:val="00716277"/>
    <w:rsid w:val="0071668C"/>
    <w:rsid w:val="0071784C"/>
    <w:rsid w:val="00722B86"/>
    <w:rsid w:val="00725627"/>
    <w:rsid w:val="007258CF"/>
    <w:rsid w:val="00726EB1"/>
    <w:rsid w:val="00732E62"/>
    <w:rsid w:val="007359D0"/>
    <w:rsid w:val="00735C25"/>
    <w:rsid w:val="0073691D"/>
    <w:rsid w:val="00737B87"/>
    <w:rsid w:val="00742745"/>
    <w:rsid w:val="007433C8"/>
    <w:rsid w:val="0074775E"/>
    <w:rsid w:val="00756626"/>
    <w:rsid w:val="007572BE"/>
    <w:rsid w:val="00763093"/>
    <w:rsid w:val="00764B19"/>
    <w:rsid w:val="00765853"/>
    <w:rsid w:val="0076760A"/>
    <w:rsid w:val="00774D1E"/>
    <w:rsid w:val="00775E29"/>
    <w:rsid w:val="007765A6"/>
    <w:rsid w:val="00777132"/>
    <w:rsid w:val="00782776"/>
    <w:rsid w:val="0078494B"/>
    <w:rsid w:val="00784A57"/>
    <w:rsid w:val="007851E4"/>
    <w:rsid w:val="00785328"/>
    <w:rsid w:val="00785B83"/>
    <w:rsid w:val="00785D4D"/>
    <w:rsid w:val="00786098"/>
    <w:rsid w:val="0078688E"/>
    <w:rsid w:val="00787700"/>
    <w:rsid w:val="007910A8"/>
    <w:rsid w:val="007917B3"/>
    <w:rsid w:val="00791D7E"/>
    <w:rsid w:val="0079274B"/>
    <w:rsid w:val="00792E7D"/>
    <w:rsid w:val="007958CB"/>
    <w:rsid w:val="00796DBA"/>
    <w:rsid w:val="007A1535"/>
    <w:rsid w:val="007A1632"/>
    <w:rsid w:val="007A2697"/>
    <w:rsid w:val="007A3332"/>
    <w:rsid w:val="007A4000"/>
    <w:rsid w:val="007A6DC4"/>
    <w:rsid w:val="007A7660"/>
    <w:rsid w:val="007A7E00"/>
    <w:rsid w:val="007B23A4"/>
    <w:rsid w:val="007B2A33"/>
    <w:rsid w:val="007B3510"/>
    <w:rsid w:val="007B70E0"/>
    <w:rsid w:val="007C2C06"/>
    <w:rsid w:val="007D0155"/>
    <w:rsid w:val="007D0409"/>
    <w:rsid w:val="007D0DB5"/>
    <w:rsid w:val="007D299D"/>
    <w:rsid w:val="007D3533"/>
    <w:rsid w:val="007D4433"/>
    <w:rsid w:val="007D5A95"/>
    <w:rsid w:val="007D736C"/>
    <w:rsid w:val="007D7BE8"/>
    <w:rsid w:val="007D7DBA"/>
    <w:rsid w:val="007E0063"/>
    <w:rsid w:val="007E13AE"/>
    <w:rsid w:val="007E1841"/>
    <w:rsid w:val="007E5D59"/>
    <w:rsid w:val="007E6466"/>
    <w:rsid w:val="007E6782"/>
    <w:rsid w:val="007E74B9"/>
    <w:rsid w:val="007E7D3E"/>
    <w:rsid w:val="007F3874"/>
    <w:rsid w:val="007F46A2"/>
    <w:rsid w:val="007F4F71"/>
    <w:rsid w:val="007F5783"/>
    <w:rsid w:val="007F58B9"/>
    <w:rsid w:val="007F73C5"/>
    <w:rsid w:val="007F7402"/>
    <w:rsid w:val="00803C6A"/>
    <w:rsid w:val="008051C0"/>
    <w:rsid w:val="008062F5"/>
    <w:rsid w:val="00810B33"/>
    <w:rsid w:val="00814392"/>
    <w:rsid w:val="008143E7"/>
    <w:rsid w:val="008147B0"/>
    <w:rsid w:val="0081666D"/>
    <w:rsid w:val="00816F86"/>
    <w:rsid w:val="00817A68"/>
    <w:rsid w:val="00821920"/>
    <w:rsid w:val="0082200D"/>
    <w:rsid w:val="00826BEC"/>
    <w:rsid w:val="008309E3"/>
    <w:rsid w:val="0083275D"/>
    <w:rsid w:val="008331E4"/>
    <w:rsid w:val="00834263"/>
    <w:rsid w:val="0083518C"/>
    <w:rsid w:val="00835258"/>
    <w:rsid w:val="00836C7B"/>
    <w:rsid w:val="00837077"/>
    <w:rsid w:val="00837A11"/>
    <w:rsid w:val="008400F7"/>
    <w:rsid w:val="00843CE6"/>
    <w:rsid w:val="00845785"/>
    <w:rsid w:val="0084594D"/>
    <w:rsid w:val="0084629B"/>
    <w:rsid w:val="008470A5"/>
    <w:rsid w:val="008524BA"/>
    <w:rsid w:val="00854FBA"/>
    <w:rsid w:val="00860FD0"/>
    <w:rsid w:val="008629F4"/>
    <w:rsid w:val="0087038D"/>
    <w:rsid w:val="008800E3"/>
    <w:rsid w:val="008807C0"/>
    <w:rsid w:val="00887F0C"/>
    <w:rsid w:val="00893056"/>
    <w:rsid w:val="00893A32"/>
    <w:rsid w:val="008A1A9C"/>
    <w:rsid w:val="008A541E"/>
    <w:rsid w:val="008B0ED1"/>
    <w:rsid w:val="008B3188"/>
    <w:rsid w:val="008B336F"/>
    <w:rsid w:val="008B56D2"/>
    <w:rsid w:val="008B7147"/>
    <w:rsid w:val="008C23E0"/>
    <w:rsid w:val="008C3D8A"/>
    <w:rsid w:val="008C3FF0"/>
    <w:rsid w:val="008C56F5"/>
    <w:rsid w:val="008C6787"/>
    <w:rsid w:val="008C7394"/>
    <w:rsid w:val="008C7810"/>
    <w:rsid w:val="008D0FB0"/>
    <w:rsid w:val="008D2DB0"/>
    <w:rsid w:val="008D3747"/>
    <w:rsid w:val="008D6BE2"/>
    <w:rsid w:val="008D79D3"/>
    <w:rsid w:val="008E0100"/>
    <w:rsid w:val="008E7989"/>
    <w:rsid w:val="008E7DD4"/>
    <w:rsid w:val="008F3F87"/>
    <w:rsid w:val="008F3FFA"/>
    <w:rsid w:val="008F6917"/>
    <w:rsid w:val="0090229C"/>
    <w:rsid w:val="00903112"/>
    <w:rsid w:val="0090469F"/>
    <w:rsid w:val="0090555B"/>
    <w:rsid w:val="00906561"/>
    <w:rsid w:val="009113FC"/>
    <w:rsid w:val="00912B21"/>
    <w:rsid w:val="00917842"/>
    <w:rsid w:val="009207E0"/>
    <w:rsid w:val="00921DF6"/>
    <w:rsid w:val="00924893"/>
    <w:rsid w:val="00926422"/>
    <w:rsid w:val="00927ABA"/>
    <w:rsid w:val="009302F3"/>
    <w:rsid w:val="009328CF"/>
    <w:rsid w:val="00934006"/>
    <w:rsid w:val="009369AF"/>
    <w:rsid w:val="00937328"/>
    <w:rsid w:val="0093779E"/>
    <w:rsid w:val="00940228"/>
    <w:rsid w:val="00945580"/>
    <w:rsid w:val="00950D6E"/>
    <w:rsid w:val="00952B9C"/>
    <w:rsid w:val="009548AD"/>
    <w:rsid w:val="00956757"/>
    <w:rsid w:val="0095717F"/>
    <w:rsid w:val="0096020D"/>
    <w:rsid w:val="00961B8D"/>
    <w:rsid w:val="009652E1"/>
    <w:rsid w:val="009700EA"/>
    <w:rsid w:val="00973324"/>
    <w:rsid w:val="00975C50"/>
    <w:rsid w:val="00976106"/>
    <w:rsid w:val="009816FF"/>
    <w:rsid w:val="00982C94"/>
    <w:rsid w:val="009837EC"/>
    <w:rsid w:val="009845F3"/>
    <w:rsid w:val="00990633"/>
    <w:rsid w:val="00991551"/>
    <w:rsid w:val="00994B9D"/>
    <w:rsid w:val="009A2069"/>
    <w:rsid w:val="009A24DD"/>
    <w:rsid w:val="009A506D"/>
    <w:rsid w:val="009A55BF"/>
    <w:rsid w:val="009A73F9"/>
    <w:rsid w:val="009B0065"/>
    <w:rsid w:val="009B1308"/>
    <w:rsid w:val="009B2CDC"/>
    <w:rsid w:val="009B4FED"/>
    <w:rsid w:val="009B6FEB"/>
    <w:rsid w:val="009C428B"/>
    <w:rsid w:val="009C5F48"/>
    <w:rsid w:val="009C62B5"/>
    <w:rsid w:val="009D0173"/>
    <w:rsid w:val="009D10AD"/>
    <w:rsid w:val="009D3EE2"/>
    <w:rsid w:val="009D4E08"/>
    <w:rsid w:val="009D5CF6"/>
    <w:rsid w:val="009D79D9"/>
    <w:rsid w:val="009E0C57"/>
    <w:rsid w:val="009E0D54"/>
    <w:rsid w:val="009E2C98"/>
    <w:rsid w:val="009E5DE6"/>
    <w:rsid w:val="009E6E7D"/>
    <w:rsid w:val="009F00CA"/>
    <w:rsid w:val="009F6E40"/>
    <w:rsid w:val="00A01CA9"/>
    <w:rsid w:val="00A02B70"/>
    <w:rsid w:val="00A02EC0"/>
    <w:rsid w:val="00A11D23"/>
    <w:rsid w:val="00A12BFB"/>
    <w:rsid w:val="00A131C6"/>
    <w:rsid w:val="00A14643"/>
    <w:rsid w:val="00A153E2"/>
    <w:rsid w:val="00A208BD"/>
    <w:rsid w:val="00A20C0F"/>
    <w:rsid w:val="00A24843"/>
    <w:rsid w:val="00A24A64"/>
    <w:rsid w:val="00A272A5"/>
    <w:rsid w:val="00A31583"/>
    <w:rsid w:val="00A31B9C"/>
    <w:rsid w:val="00A32353"/>
    <w:rsid w:val="00A32B99"/>
    <w:rsid w:val="00A33534"/>
    <w:rsid w:val="00A34503"/>
    <w:rsid w:val="00A36534"/>
    <w:rsid w:val="00A365B5"/>
    <w:rsid w:val="00A37F7F"/>
    <w:rsid w:val="00A41840"/>
    <w:rsid w:val="00A436D8"/>
    <w:rsid w:val="00A450E3"/>
    <w:rsid w:val="00A500FC"/>
    <w:rsid w:val="00A50DF7"/>
    <w:rsid w:val="00A5356D"/>
    <w:rsid w:val="00A56E2F"/>
    <w:rsid w:val="00A603C8"/>
    <w:rsid w:val="00A6069B"/>
    <w:rsid w:val="00A62595"/>
    <w:rsid w:val="00A63F72"/>
    <w:rsid w:val="00A66EBD"/>
    <w:rsid w:val="00A739E7"/>
    <w:rsid w:val="00A75C85"/>
    <w:rsid w:val="00A81A17"/>
    <w:rsid w:val="00A8478E"/>
    <w:rsid w:val="00A85D86"/>
    <w:rsid w:val="00A91A61"/>
    <w:rsid w:val="00A91F9F"/>
    <w:rsid w:val="00A93BEF"/>
    <w:rsid w:val="00AA1EC4"/>
    <w:rsid w:val="00AA26BF"/>
    <w:rsid w:val="00AA4EEB"/>
    <w:rsid w:val="00AA6158"/>
    <w:rsid w:val="00AB0DB9"/>
    <w:rsid w:val="00AB197A"/>
    <w:rsid w:val="00AB538C"/>
    <w:rsid w:val="00AB6351"/>
    <w:rsid w:val="00AC0C26"/>
    <w:rsid w:val="00AC2AE1"/>
    <w:rsid w:val="00AC729C"/>
    <w:rsid w:val="00AD15D6"/>
    <w:rsid w:val="00AD4215"/>
    <w:rsid w:val="00AD454A"/>
    <w:rsid w:val="00AD794A"/>
    <w:rsid w:val="00AD7AC4"/>
    <w:rsid w:val="00AE109C"/>
    <w:rsid w:val="00AE2D51"/>
    <w:rsid w:val="00AE5218"/>
    <w:rsid w:val="00AE6143"/>
    <w:rsid w:val="00AE6479"/>
    <w:rsid w:val="00AE65DE"/>
    <w:rsid w:val="00AF02D2"/>
    <w:rsid w:val="00AF0A8C"/>
    <w:rsid w:val="00AF0D11"/>
    <w:rsid w:val="00AF2EB1"/>
    <w:rsid w:val="00AF4159"/>
    <w:rsid w:val="00AF47F0"/>
    <w:rsid w:val="00AF4C17"/>
    <w:rsid w:val="00AF57C7"/>
    <w:rsid w:val="00AF7D17"/>
    <w:rsid w:val="00AF7E39"/>
    <w:rsid w:val="00B015D3"/>
    <w:rsid w:val="00B016AA"/>
    <w:rsid w:val="00B02CEA"/>
    <w:rsid w:val="00B03E42"/>
    <w:rsid w:val="00B055CB"/>
    <w:rsid w:val="00B11414"/>
    <w:rsid w:val="00B2224D"/>
    <w:rsid w:val="00B26485"/>
    <w:rsid w:val="00B27103"/>
    <w:rsid w:val="00B27134"/>
    <w:rsid w:val="00B27466"/>
    <w:rsid w:val="00B31493"/>
    <w:rsid w:val="00B32F85"/>
    <w:rsid w:val="00B37B48"/>
    <w:rsid w:val="00B408F4"/>
    <w:rsid w:val="00B41A65"/>
    <w:rsid w:val="00B44146"/>
    <w:rsid w:val="00B5172B"/>
    <w:rsid w:val="00B5208F"/>
    <w:rsid w:val="00B54056"/>
    <w:rsid w:val="00B54F8A"/>
    <w:rsid w:val="00B608E3"/>
    <w:rsid w:val="00B6179A"/>
    <w:rsid w:val="00B63121"/>
    <w:rsid w:val="00B64886"/>
    <w:rsid w:val="00B6513B"/>
    <w:rsid w:val="00B66247"/>
    <w:rsid w:val="00B6671E"/>
    <w:rsid w:val="00B709E0"/>
    <w:rsid w:val="00B71159"/>
    <w:rsid w:val="00B724F3"/>
    <w:rsid w:val="00B76833"/>
    <w:rsid w:val="00B76BE5"/>
    <w:rsid w:val="00B83888"/>
    <w:rsid w:val="00B852B1"/>
    <w:rsid w:val="00B85628"/>
    <w:rsid w:val="00B878AA"/>
    <w:rsid w:val="00B90814"/>
    <w:rsid w:val="00B90B33"/>
    <w:rsid w:val="00B91B56"/>
    <w:rsid w:val="00B962D4"/>
    <w:rsid w:val="00B96B37"/>
    <w:rsid w:val="00BA396F"/>
    <w:rsid w:val="00BA4D43"/>
    <w:rsid w:val="00BA74CC"/>
    <w:rsid w:val="00BA79C1"/>
    <w:rsid w:val="00BB0B3D"/>
    <w:rsid w:val="00BB3F17"/>
    <w:rsid w:val="00BB5F21"/>
    <w:rsid w:val="00BB5FAE"/>
    <w:rsid w:val="00BC1A71"/>
    <w:rsid w:val="00BC48DB"/>
    <w:rsid w:val="00BC4928"/>
    <w:rsid w:val="00BC74E1"/>
    <w:rsid w:val="00BC78C9"/>
    <w:rsid w:val="00BC7B36"/>
    <w:rsid w:val="00BD2CA3"/>
    <w:rsid w:val="00BD2EE6"/>
    <w:rsid w:val="00BD5352"/>
    <w:rsid w:val="00BD7446"/>
    <w:rsid w:val="00BE0F12"/>
    <w:rsid w:val="00BE1633"/>
    <w:rsid w:val="00BE21D5"/>
    <w:rsid w:val="00BE5332"/>
    <w:rsid w:val="00BF3D5C"/>
    <w:rsid w:val="00C01687"/>
    <w:rsid w:val="00C02080"/>
    <w:rsid w:val="00C02627"/>
    <w:rsid w:val="00C03DE1"/>
    <w:rsid w:val="00C049FB"/>
    <w:rsid w:val="00C07B07"/>
    <w:rsid w:val="00C10A57"/>
    <w:rsid w:val="00C111CD"/>
    <w:rsid w:val="00C11B1B"/>
    <w:rsid w:val="00C12647"/>
    <w:rsid w:val="00C12F52"/>
    <w:rsid w:val="00C14A89"/>
    <w:rsid w:val="00C2067F"/>
    <w:rsid w:val="00C21AEB"/>
    <w:rsid w:val="00C25898"/>
    <w:rsid w:val="00C266F1"/>
    <w:rsid w:val="00C270E3"/>
    <w:rsid w:val="00C31323"/>
    <w:rsid w:val="00C32230"/>
    <w:rsid w:val="00C343E2"/>
    <w:rsid w:val="00C34CEF"/>
    <w:rsid w:val="00C3722B"/>
    <w:rsid w:val="00C373A3"/>
    <w:rsid w:val="00C41A90"/>
    <w:rsid w:val="00C41BEC"/>
    <w:rsid w:val="00C44455"/>
    <w:rsid w:val="00C512AC"/>
    <w:rsid w:val="00C5397C"/>
    <w:rsid w:val="00C57474"/>
    <w:rsid w:val="00C6026E"/>
    <w:rsid w:val="00C61007"/>
    <w:rsid w:val="00C61726"/>
    <w:rsid w:val="00C633DA"/>
    <w:rsid w:val="00C641CA"/>
    <w:rsid w:val="00C6577C"/>
    <w:rsid w:val="00C667C1"/>
    <w:rsid w:val="00C674A0"/>
    <w:rsid w:val="00C71F89"/>
    <w:rsid w:val="00C72C1E"/>
    <w:rsid w:val="00C72F15"/>
    <w:rsid w:val="00C746CE"/>
    <w:rsid w:val="00C74B9A"/>
    <w:rsid w:val="00C77FD8"/>
    <w:rsid w:val="00C855AA"/>
    <w:rsid w:val="00C87192"/>
    <w:rsid w:val="00C96C41"/>
    <w:rsid w:val="00C97128"/>
    <w:rsid w:val="00CA086A"/>
    <w:rsid w:val="00CA1738"/>
    <w:rsid w:val="00CA1B4D"/>
    <w:rsid w:val="00CA245C"/>
    <w:rsid w:val="00CA3FFB"/>
    <w:rsid w:val="00CA4FE5"/>
    <w:rsid w:val="00CA575F"/>
    <w:rsid w:val="00CA5D7B"/>
    <w:rsid w:val="00CA6539"/>
    <w:rsid w:val="00CB0E7C"/>
    <w:rsid w:val="00CB1761"/>
    <w:rsid w:val="00CB2DE2"/>
    <w:rsid w:val="00CB3645"/>
    <w:rsid w:val="00CB3776"/>
    <w:rsid w:val="00CB4BED"/>
    <w:rsid w:val="00CC100D"/>
    <w:rsid w:val="00CC1CB3"/>
    <w:rsid w:val="00CC2B1A"/>
    <w:rsid w:val="00CC370C"/>
    <w:rsid w:val="00CC37F5"/>
    <w:rsid w:val="00CC4070"/>
    <w:rsid w:val="00CC477F"/>
    <w:rsid w:val="00CC4A5C"/>
    <w:rsid w:val="00CC5DA0"/>
    <w:rsid w:val="00CD1574"/>
    <w:rsid w:val="00CD15DC"/>
    <w:rsid w:val="00CD428D"/>
    <w:rsid w:val="00CD4CE1"/>
    <w:rsid w:val="00CD674E"/>
    <w:rsid w:val="00CD6C86"/>
    <w:rsid w:val="00CD6CAD"/>
    <w:rsid w:val="00CD7100"/>
    <w:rsid w:val="00CE1BC2"/>
    <w:rsid w:val="00CE3C16"/>
    <w:rsid w:val="00CE6FB6"/>
    <w:rsid w:val="00CE7AD9"/>
    <w:rsid w:val="00CF32A8"/>
    <w:rsid w:val="00CF3576"/>
    <w:rsid w:val="00CF4740"/>
    <w:rsid w:val="00CF6826"/>
    <w:rsid w:val="00CF7A2E"/>
    <w:rsid w:val="00D00847"/>
    <w:rsid w:val="00D03363"/>
    <w:rsid w:val="00D04AA5"/>
    <w:rsid w:val="00D1413E"/>
    <w:rsid w:val="00D14CB3"/>
    <w:rsid w:val="00D20C5C"/>
    <w:rsid w:val="00D21444"/>
    <w:rsid w:val="00D23BB6"/>
    <w:rsid w:val="00D24377"/>
    <w:rsid w:val="00D25F8C"/>
    <w:rsid w:val="00D26829"/>
    <w:rsid w:val="00D279B4"/>
    <w:rsid w:val="00D279C0"/>
    <w:rsid w:val="00D304E2"/>
    <w:rsid w:val="00D30BC4"/>
    <w:rsid w:val="00D31A6C"/>
    <w:rsid w:val="00D33AD3"/>
    <w:rsid w:val="00D350C0"/>
    <w:rsid w:val="00D37935"/>
    <w:rsid w:val="00D421C7"/>
    <w:rsid w:val="00D42928"/>
    <w:rsid w:val="00D430E2"/>
    <w:rsid w:val="00D43116"/>
    <w:rsid w:val="00D4494B"/>
    <w:rsid w:val="00D45D1A"/>
    <w:rsid w:val="00D467F5"/>
    <w:rsid w:val="00D46A25"/>
    <w:rsid w:val="00D50AE7"/>
    <w:rsid w:val="00D52B0A"/>
    <w:rsid w:val="00D52E58"/>
    <w:rsid w:val="00D549A2"/>
    <w:rsid w:val="00D55CF5"/>
    <w:rsid w:val="00D55F9D"/>
    <w:rsid w:val="00D5707F"/>
    <w:rsid w:val="00D573C6"/>
    <w:rsid w:val="00D601FB"/>
    <w:rsid w:val="00D618F4"/>
    <w:rsid w:val="00D642C9"/>
    <w:rsid w:val="00D66FB7"/>
    <w:rsid w:val="00D71592"/>
    <w:rsid w:val="00D72413"/>
    <w:rsid w:val="00D7265F"/>
    <w:rsid w:val="00D731A8"/>
    <w:rsid w:val="00D737DF"/>
    <w:rsid w:val="00D769DE"/>
    <w:rsid w:val="00D76D20"/>
    <w:rsid w:val="00D80E6F"/>
    <w:rsid w:val="00D81C37"/>
    <w:rsid w:val="00D82CD2"/>
    <w:rsid w:val="00D9040A"/>
    <w:rsid w:val="00D90FC2"/>
    <w:rsid w:val="00D938B2"/>
    <w:rsid w:val="00D944DF"/>
    <w:rsid w:val="00DA023F"/>
    <w:rsid w:val="00DA249D"/>
    <w:rsid w:val="00DA62C7"/>
    <w:rsid w:val="00DA739D"/>
    <w:rsid w:val="00DB1340"/>
    <w:rsid w:val="00DB18EF"/>
    <w:rsid w:val="00DB23D8"/>
    <w:rsid w:val="00DB3FB2"/>
    <w:rsid w:val="00DB4B8D"/>
    <w:rsid w:val="00DB52B1"/>
    <w:rsid w:val="00DB56B5"/>
    <w:rsid w:val="00DB696D"/>
    <w:rsid w:val="00DB7068"/>
    <w:rsid w:val="00DC07CA"/>
    <w:rsid w:val="00DC4C1E"/>
    <w:rsid w:val="00DC4D9B"/>
    <w:rsid w:val="00DD013F"/>
    <w:rsid w:val="00DD17D3"/>
    <w:rsid w:val="00DD3FB1"/>
    <w:rsid w:val="00DD4E42"/>
    <w:rsid w:val="00DD5814"/>
    <w:rsid w:val="00DD6C53"/>
    <w:rsid w:val="00DE123F"/>
    <w:rsid w:val="00DE1A72"/>
    <w:rsid w:val="00DE2C67"/>
    <w:rsid w:val="00DE45BC"/>
    <w:rsid w:val="00DE5638"/>
    <w:rsid w:val="00DE7182"/>
    <w:rsid w:val="00DF02C6"/>
    <w:rsid w:val="00DF11F5"/>
    <w:rsid w:val="00DF26D8"/>
    <w:rsid w:val="00DF3656"/>
    <w:rsid w:val="00DF3A80"/>
    <w:rsid w:val="00DF4586"/>
    <w:rsid w:val="00DF5B5D"/>
    <w:rsid w:val="00DF5D92"/>
    <w:rsid w:val="00DF65B2"/>
    <w:rsid w:val="00DF73F4"/>
    <w:rsid w:val="00E001D9"/>
    <w:rsid w:val="00E03ACF"/>
    <w:rsid w:val="00E03B2B"/>
    <w:rsid w:val="00E03DEE"/>
    <w:rsid w:val="00E04498"/>
    <w:rsid w:val="00E04709"/>
    <w:rsid w:val="00E048FB"/>
    <w:rsid w:val="00E0701D"/>
    <w:rsid w:val="00E10951"/>
    <w:rsid w:val="00E1306D"/>
    <w:rsid w:val="00E136E8"/>
    <w:rsid w:val="00E151D8"/>
    <w:rsid w:val="00E15522"/>
    <w:rsid w:val="00E159C7"/>
    <w:rsid w:val="00E213AB"/>
    <w:rsid w:val="00E215AB"/>
    <w:rsid w:val="00E22BDB"/>
    <w:rsid w:val="00E261F0"/>
    <w:rsid w:val="00E3394F"/>
    <w:rsid w:val="00E3640D"/>
    <w:rsid w:val="00E370BD"/>
    <w:rsid w:val="00E379E2"/>
    <w:rsid w:val="00E402DD"/>
    <w:rsid w:val="00E4041E"/>
    <w:rsid w:val="00E43AF2"/>
    <w:rsid w:val="00E43B06"/>
    <w:rsid w:val="00E44AB8"/>
    <w:rsid w:val="00E45A9D"/>
    <w:rsid w:val="00E46D21"/>
    <w:rsid w:val="00E507E2"/>
    <w:rsid w:val="00E51D4F"/>
    <w:rsid w:val="00E55076"/>
    <w:rsid w:val="00E5522B"/>
    <w:rsid w:val="00E554E7"/>
    <w:rsid w:val="00E62869"/>
    <w:rsid w:val="00E63216"/>
    <w:rsid w:val="00E70FDF"/>
    <w:rsid w:val="00E71E33"/>
    <w:rsid w:val="00E73AEE"/>
    <w:rsid w:val="00E74ABE"/>
    <w:rsid w:val="00E75502"/>
    <w:rsid w:val="00E8199F"/>
    <w:rsid w:val="00E81C2D"/>
    <w:rsid w:val="00E826D9"/>
    <w:rsid w:val="00E849B4"/>
    <w:rsid w:val="00E84C89"/>
    <w:rsid w:val="00E85DFB"/>
    <w:rsid w:val="00E8633D"/>
    <w:rsid w:val="00E87852"/>
    <w:rsid w:val="00E905D1"/>
    <w:rsid w:val="00E90F4F"/>
    <w:rsid w:val="00E920B9"/>
    <w:rsid w:val="00E92C09"/>
    <w:rsid w:val="00E9413C"/>
    <w:rsid w:val="00E94676"/>
    <w:rsid w:val="00E96BF3"/>
    <w:rsid w:val="00EA0C3B"/>
    <w:rsid w:val="00EA1755"/>
    <w:rsid w:val="00EA18DE"/>
    <w:rsid w:val="00EA4F01"/>
    <w:rsid w:val="00EA6C57"/>
    <w:rsid w:val="00EB0A8D"/>
    <w:rsid w:val="00EB1F69"/>
    <w:rsid w:val="00EB32D8"/>
    <w:rsid w:val="00EB7AB1"/>
    <w:rsid w:val="00EC2397"/>
    <w:rsid w:val="00EC3220"/>
    <w:rsid w:val="00EC4F83"/>
    <w:rsid w:val="00ED15BD"/>
    <w:rsid w:val="00ED1947"/>
    <w:rsid w:val="00ED1C7D"/>
    <w:rsid w:val="00ED22B7"/>
    <w:rsid w:val="00ED487B"/>
    <w:rsid w:val="00ED558D"/>
    <w:rsid w:val="00EE04AC"/>
    <w:rsid w:val="00EE0F77"/>
    <w:rsid w:val="00EE20BA"/>
    <w:rsid w:val="00EE2E85"/>
    <w:rsid w:val="00EE370B"/>
    <w:rsid w:val="00EE3A4F"/>
    <w:rsid w:val="00EE6014"/>
    <w:rsid w:val="00EE69E7"/>
    <w:rsid w:val="00EF16BA"/>
    <w:rsid w:val="00EF2298"/>
    <w:rsid w:val="00EF23EC"/>
    <w:rsid w:val="00EF4317"/>
    <w:rsid w:val="00EF50C5"/>
    <w:rsid w:val="00EF560F"/>
    <w:rsid w:val="00F00BB6"/>
    <w:rsid w:val="00F03300"/>
    <w:rsid w:val="00F06AEE"/>
    <w:rsid w:val="00F10C79"/>
    <w:rsid w:val="00F13AE7"/>
    <w:rsid w:val="00F1422F"/>
    <w:rsid w:val="00F14F28"/>
    <w:rsid w:val="00F15F50"/>
    <w:rsid w:val="00F20358"/>
    <w:rsid w:val="00F23FE1"/>
    <w:rsid w:val="00F244B7"/>
    <w:rsid w:val="00F24546"/>
    <w:rsid w:val="00F249B5"/>
    <w:rsid w:val="00F25629"/>
    <w:rsid w:val="00F25AE9"/>
    <w:rsid w:val="00F25FC8"/>
    <w:rsid w:val="00F26F38"/>
    <w:rsid w:val="00F27C4E"/>
    <w:rsid w:val="00F30E12"/>
    <w:rsid w:val="00F33F8B"/>
    <w:rsid w:val="00F343CD"/>
    <w:rsid w:val="00F37864"/>
    <w:rsid w:val="00F431A3"/>
    <w:rsid w:val="00F43AE5"/>
    <w:rsid w:val="00F44EFF"/>
    <w:rsid w:val="00F45A96"/>
    <w:rsid w:val="00F45C23"/>
    <w:rsid w:val="00F5041F"/>
    <w:rsid w:val="00F529D3"/>
    <w:rsid w:val="00F5535C"/>
    <w:rsid w:val="00F55A1E"/>
    <w:rsid w:val="00F55A6D"/>
    <w:rsid w:val="00F56BE9"/>
    <w:rsid w:val="00F612B8"/>
    <w:rsid w:val="00F61515"/>
    <w:rsid w:val="00F6239F"/>
    <w:rsid w:val="00F63B33"/>
    <w:rsid w:val="00F65007"/>
    <w:rsid w:val="00F65257"/>
    <w:rsid w:val="00F66744"/>
    <w:rsid w:val="00F7137A"/>
    <w:rsid w:val="00F71665"/>
    <w:rsid w:val="00F73D48"/>
    <w:rsid w:val="00F75F0C"/>
    <w:rsid w:val="00F76A54"/>
    <w:rsid w:val="00F77CB4"/>
    <w:rsid w:val="00F827AA"/>
    <w:rsid w:val="00F85469"/>
    <w:rsid w:val="00F855E3"/>
    <w:rsid w:val="00F857AF"/>
    <w:rsid w:val="00F86F0B"/>
    <w:rsid w:val="00F877F8"/>
    <w:rsid w:val="00F87AC8"/>
    <w:rsid w:val="00F87B12"/>
    <w:rsid w:val="00F90BB7"/>
    <w:rsid w:val="00F91A27"/>
    <w:rsid w:val="00F94E51"/>
    <w:rsid w:val="00F9692B"/>
    <w:rsid w:val="00FA15C6"/>
    <w:rsid w:val="00FA3B34"/>
    <w:rsid w:val="00FA3C67"/>
    <w:rsid w:val="00FA4722"/>
    <w:rsid w:val="00FA4BE6"/>
    <w:rsid w:val="00FA52DE"/>
    <w:rsid w:val="00FA5F22"/>
    <w:rsid w:val="00FB4062"/>
    <w:rsid w:val="00FB6C65"/>
    <w:rsid w:val="00FC0078"/>
    <w:rsid w:val="00FC16C8"/>
    <w:rsid w:val="00FC4C10"/>
    <w:rsid w:val="00FC59A5"/>
    <w:rsid w:val="00FD1F23"/>
    <w:rsid w:val="00FD3E41"/>
    <w:rsid w:val="00FD4A9E"/>
    <w:rsid w:val="00FD52A4"/>
    <w:rsid w:val="00FD55B1"/>
    <w:rsid w:val="00FD6717"/>
    <w:rsid w:val="00FE0D9E"/>
    <w:rsid w:val="00FE1EE7"/>
    <w:rsid w:val="00FE5A7E"/>
    <w:rsid w:val="00FF0F5C"/>
    <w:rsid w:val="00FF3198"/>
    <w:rsid w:val="00FF52F2"/>
    <w:rsid w:val="00FF6F04"/>
    <w:rsid w:val="010033FE"/>
    <w:rsid w:val="01285229"/>
    <w:rsid w:val="01F81427"/>
    <w:rsid w:val="03F93561"/>
    <w:rsid w:val="05D34727"/>
    <w:rsid w:val="08931933"/>
    <w:rsid w:val="0B4A1776"/>
    <w:rsid w:val="0C786503"/>
    <w:rsid w:val="0D1A04C9"/>
    <w:rsid w:val="10757130"/>
    <w:rsid w:val="10C1729F"/>
    <w:rsid w:val="112B34AD"/>
    <w:rsid w:val="11FF5827"/>
    <w:rsid w:val="18090C43"/>
    <w:rsid w:val="18FB5F15"/>
    <w:rsid w:val="1B321622"/>
    <w:rsid w:val="1F9C38D3"/>
    <w:rsid w:val="20767551"/>
    <w:rsid w:val="21DB64E2"/>
    <w:rsid w:val="221C4C30"/>
    <w:rsid w:val="22A70B6C"/>
    <w:rsid w:val="23C14303"/>
    <w:rsid w:val="23FF4622"/>
    <w:rsid w:val="27432BC1"/>
    <w:rsid w:val="27F0275A"/>
    <w:rsid w:val="28580092"/>
    <w:rsid w:val="28BC23D4"/>
    <w:rsid w:val="2AA10ED5"/>
    <w:rsid w:val="2ADA0518"/>
    <w:rsid w:val="2C921974"/>
    <w:rsid w:val="2DBE14C9"/>
    <w:rsid w:val="2F6A64D8"/>
    <w:rsid w:val="30616EA9"/>
    <w:rsid w:val="31A44D82"/>
    <w:rsid w:val="32BE120D"/>
    <w:rsid w:val="330C0EF9"/>
    <w:rsid w:val="33506DE6"/>
    <w:rsid w:val="35A54CED"/>
    <w:rsid w:val="37534CA7"/>
    <w:rsid w:val="37D824F1"/>
    <w:rsid w:val="3B0C4DFA"/>
    <w:rsid w:val="3C4D26C6"/>
    <w:rsid w:val="3D044EFC"/>
    <w:rsid w:val="3E6946AD"/>
    <w:rsid w:val="3EB60CB3"/>
    <w:rsid w:val="3EC436F9"/>
    <w:rsid w:val="3F740895"/>
    <w:rsid w:val="3FB93DC6"/>
    <w:rsid w:val="402A691C"/>
    <w:rsid w:val="422E66F3"/>
    <w:rsid w:val="4275164D"/>
    <w:rsid w:val="430A3262"/>
    <w:rsid w:val="46A824B9"/>
    <w:rsid w:val="46BB170B"/>
    <w:rsid w:val="47510906"/>
    <w:rsid w:val="495D70F7"/>
    <w:rsid w:val="4B7D5F80"/>
    <w:rsid w:val="4BF40741"/>
    <w:rsid w:val="4C5E019B"/>
    <w:rsid w:val="4F64249F"/>
    <w:rsid w:val="4F6E1200"/>
    <w:rsid w:val="4FEE189E"/>
    <w:rsid w:val="53F038EA"/>
    <w:rsid w:val="59BA69E3"/>
    <w:rsid w:val="5A661DF4"/>
    <w:rsid w:val="5ACF0178"/>
    <w:rsid w:val="5C3E17F9"/>
    <w:rsid w:val="5D3A6920"/>
    <w:rsid w:val="5D8135CC"/>
    <w:rsid w:val="600446EC"/>
    <w:rsid w:val="600D2EE6"/>
    <w:rsid w:val="602675B1"/>
    <w:rsid w:val="621760F6"/>
    <w:rsid w:val="62246B60"/>
    <w:rsid w:val="644F1ACD"/>
    <w:rsid w:val="67FF1998"/>
    <w:rsid w:val="680D1D99"/>
    <w:rsid w:val="69431270"/>
    <w:rsid w:val="6A7F4F75"/>
    <w:rsid w:val="6ACA16F9"/>
    <w:rsid w:val="6B16774A"/>
    <w:rsid w:val="6ECE2681"/>
    <w:rsid w:val="72340F9C"/>
    <w:rsid w:val="774152C9"/>
    <w:rsid w:val="793070F8"/>
    <w:rsid w:val="79D825C1"/>
    <w:rsid w:val="7B5D131E"/>
    <w:rsid w:val="7DB41B16"/>
    <w:rsid w:val="7DEB79E2"/>
    <w:rsid w:val="7DFC5027"/>
    <w:rsid w:val="7E002D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qFormat="1"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9"/>
    <w:qFormat/>
    <w:uiPriority w:val="9"/>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40"/>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41"/>
    <w:qFormat/>
    <w:uiPriority w:val="9"/>
    <w:pPr>
      <w:keepNext/>
      <w:keepLines/>
      <w:spacing w:before="260" w:after="260" w:line="416" w:lineRule="auto"/>
      <w:outlineLvl w:val="2"/>
    </w:pPr>
    <w:rPr>
      <w:rFonts w:ascii="Times New Roman" w:hAnsi="Times New Roman" w:eastAsia="宋体" w:cs="Times New Roman"/>
      <w:b/>
      <w:bCs/>
      <w:sz w:val="32"/>
      <w:szCs w:val="32"/>
    </w:rPr>
  </w:style>
  <w:style w:type="paragraph" w:styleId="5">
    <w:name w:val="heading 4"/>
    <w:basedOn w:val="1"/>
    <w:next w:val="1"/>
    <w:link w:val="42"/>
    <w:qFormat/>
    <w:uiPriority w:val="9"/>
    <w:pPr>
      <w:keepNext/>
      <w:keepLines/>
      <w:spacing w:before="280" w:after="290" w:line="376" w:lineRule="auto"/>
      <w:outlineLvl w:val="3"/>
    </w:pPr>
    <w:rPr>
      <w:rFonts w:ascii="Cambria" w:hAnsi="Cambria" w:eastAsia="宋体" w:cs="Times New Roman"/>
      <w:b/>
      <w:bCs/>
      <w:sz w:val="28"/>
      <w:szCs w:val="28"/>
      <w:lang w:val="zh-CN"/>
    </w:rPr>
  </w:style>
  <w:style w:type="paragraph" w:styleId="6">
    <w:name w:val="heading 5"/>
    <w:basedOn w:val="1"/>
    <w:next w:val="1"/>
    <w:link w:val="43"/>
    <w:qFormat/>
    <w:uiPriority w:val="9"/>
    <w:pPr>
      <w:keepNext/>
      <w:keepLines/>
      <w:spacing w:before="280" w:after="290" w:line="376" w:lineRule="auto"/>
      <w:outlineLvl w:val="4"/>
    </w:pPr>
    <w:rPr>
      <w:rFonts w:ascii="Times New Roman" w:hAnsi="Times New Roman" w:eastAsia="宋体" w:cs="Times New Roman"/>
      <w:b/>
      <w:bCs/>
      <w:sz w:val="28"/>
      <w:szCs w:val="28"/>
      <w:lang w:val="zh-CN"/>
    </w:rPr>
  </w:style>
  <w:style w:type="character" w:default="1" w:styleId="29">
    <w:name w:val="Default Paragraph Font"/>
    <w:semiHidden/>
    <w:unhideWhenUsed/>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7">
    <w:name w:val="List Number"/>
    <w:basedOn w:val="1"/>
    <w:qFormat/>
    <w:uiPriority w:val="0"/>
    <w:pPr>
      <w:widowControl/>
      <w:numPr>
        <w:ilvl w:val="0"/>
        <w:numId w:val="1"/>
      </w:numPr>
      <w:tabs>
        <w:tab w:val="left" w:pos="454"/>
        <w:tab w:val="clear" w:pos="720"/>
      </w:tabs>
      <w:spacing w:after="156" w:afterLines="50"/>
      <w:ind w:left="454" w:hanging="284"/>
      <w:jc w:val="left"/>
    </w:pPr>
    <w:rPr>
      <w:rFonts w:ascii="Times New Roman" w:hAnsi="Times New Roman" w:eastAsia="宋体" w:cs="Times New Roman"/>
      <w:kern w:val="0"/>
      <w:sz w:val="24"/>
      <w:szCs w:val="20"/>
    </w:rPr>
  </w:style>
  <w:style w:type="paragraph" w:styleId="8">
    <w:name w:val="Normal Indent"/>
    <w:basedOn w:val="1"/>
    <w:link w:val="44"/>
    <w:qFormat/>
    <w:uiPriority w:val="0"/>
    <w:pPr>
      <w:ind w:firstLine="420"/>
    </w:pPr>
    <w:rPr>
      <w:rFonts w:eastAsia="宋体"/>
    </w:rPr>
  </w:style>
  <w:style w:type="paragraph" w:styleId="9">
    <w:name w:val="caption"/>
    <w:basedOn w:val="1"/>
    <w:next w:val="1"/>
    <w:qFormat/>
    <w:uiPriority w:val="0"/>
    <w:pPr>
      <w:spacing w:before="152" w:after="160"/>
    </w:pPr>
    <w:rPr>
      <w:rFonts w:ascii="Arial" w:hAnsi="Arial" w:eastAsia="黑体" w:cs="Arial"/>
      <w:sz w:val="20"/>
      <w:szCs w:val="20"/>
    </w:rPr>
  </w:style>
  <w:style w:type="paragraph" w:styleId="10">
    <w:name w:val="Document Map"/>
    <w:basedOn w:val="1"/>
    <w:link w:val="45"/>
    <w:unhideWhenUsed/>
    <w:qFormat/>
    <w:uiPriority w:val="99"/>
    <w:rPr>
      <w:rFonts w:ascii="宋体"/>
      <w:sz w:val="18"/>
      <w:szCs w:val="18"/>
    </w:rPr>
  </w:style>
  <w:style w:type="paragraph" w:styleId="11">
    <w:name w:val="annotation text"/>
    <w:basedOn w:val="1"/>
    <w:link w:val="46"/>
    <w:unhideWhenUsed/>
    <w:qFormat/>
    <w:uiPriority w:val="99"/>
    <w:pPr>
      <w:jc w:val="left"/>
    </w:pPr>
  </w:style>
  <w:style w:type="paragraph" w:styleId="12">
    <w:name w:val="Body Text"/>
    <w:basedOn w:val="1"/>
    <w:next w:val="1"/>
    <w:link w:val="47"/>
    <w:unhideWhenUsed/>
    <w:qFormat/>
    <w:uiPriority w:val="99"/>
    <w:pPr>
      <w:spacing w:after="120"/>
    </w:pPr>
    <w:rPr>
      <w:rFonts w:ascii="Times New Roman" w:hAnsi="Times New Roman" w:eastAsia="宋体" w:cs="Times New Roman"/>
      <w:sz w:val="28"/>
      <w:szCs w:val="24"/>
    </w:rPr>
  </w:style>
  <w:style w:type="paragraph" w:styleId="13">
    <w:name w:val="Body Text Indent"/>
    <w:basedOn w:val="1"/>
    <w:link w:val="48"/>
    <w:qFormat/>
    <w:uiPriority w:val="0"/>
    <w:pPr>
      <w:spacing w:line="200" w:lineRule="atLeast"/>
      <w:ind w:firstLine="301"/>
    </w:pPr>
    <w:rPr>
      <w:rFonts w:ascii="宋体" w:hAnsi="Courier New"/>
      <w:spacing w:val="-4"/>
      <w:sz w:val="18"/>
    </w:rPr>
  </w:style>
  <w:style w:type="paragraph" w:styleId="14">
    <w:name w:val="List 2"/>
    <w:basedOn w:val="1"/>
    <w:unhideWhenUsed/>
    <w:qFormat/>
    <w:uiPriority w:val="99"/>
    <w:pPr>
      <w:ind w:left="100" w:leftChars="200" w:hanging="200" w:hangingChars="200"/>
      <w:contextualSpacing/>
    </w:pPr>
    <w:rPr>
      <w:rFonts w:ascii="Times New Roman" w:hAnsi="Times New Roman" w:eastAsia="宋体" w:cs="Times New Roman"/>
      <w:sz w:val="28"/>
      <w:szCs w:val="24"/>
    </w:rPr>
  </w:style>
  <w:style w:type="paragraph" w:styleId="15">
    <w:name w:val="Plain Text"/>
    <w:basedOn w:val="1"/>
    <w:link w:val="49"/>
    <w:qFormat/>
    <w:uiPriority w:val="99"/>
    <w:pPr>
      <w:spacing w:before="156" w:beforeLines="50" w:after="156" w:afterLines="50" w:line="400" w:lineRule="atLeast"/>
    </w:pPr>
    <w:rPr>
      <w:rFonts w:ascii="宋体" w:hAnsi="Courier New"/>
      <w:sz w:val="24"/>
      <w:szCs w:val="24"/>
    </w:rPr>
  </w:style>
  <w:style w:type="paragraph" w:styleId="16">
    <w:name w:val="Date"/>
    <w:basedOn w:val="1"/>
    <w:next w:val="1"/>
    <w:link w:val="50"/>
    <w:qFormat/>
    <w:uiPriority w:val="0"/>
    <w:pPr>
      <w:ind w:left="2500" w:leftChars="2500"/>
    </w:pPr>
    <w:rPr>
      <w:rFonts w:ascii="Times New Roman" w:hAnsi="Times New Roman" w:eastAsia="楷体_GB2312" w:cs="Times New Roman"/>
      <w:sz w:val="32"/>
      <w:szCs w:val="20"/>
    </w:rPr>
  </w:style>
  <w:style w:type="paragraph" w:styleId="17">
    <w:name w:val="Balloon Text"/>
    <w:basedOn w:val="1"/>
    <w:link w:val="51"/>
    <w:qFormat/>
    <w:uiPriority w:val="0"/>
    <w:rPr>
      <w:rFonts w:ascii="Times New Roman" w:hAnsi="Times New Roman" w:eastAsia="宋体" w:cs="Times New Roman"/>
      <w:sz w:val="18"/>
      <w:szCs w:val="18"/>
    </w:rPr>
  </w:style>
  <w:style w:type="paragraph" w:styleId="18">
    <w:name w:val="footer"/>
    <w:basedOn w:val="1"/>
    <w:link w:val="52"/>
    <w:unhideWhenUsed/>
    <w:qFormat/>
    <w:uiPriority w:val="99"/>
    <w:pPr>
      <w:tabs>
        <w:tab w:val="center" w:pos="4153"/>
        <w:tab w:val="right" w:pos="8306"/>
      </w:tabs>
      <w:snapToGrid w:val="0"/>
      <w:jc w:val="left"/>
    </w:pPr>
    <w:rPr>
      <w:sz w:val="18"/>
      <w:szCs w:val="18"/>
    </w:rPr>
  </w:style>
  <w:style w:type="paragraph" w:styleId="19">
    <w:name w:val="header"/>
    <w:basedOn w:val="1"/>
    <w:link w:val="53"/>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List"/>
    <w:basedOn w:val="1"/>
    <w:qFormat/>
    <w:uiPriority w:val="0"/>
    <w:pPr>
      <w:ind w:left="200" w:hanging="200" w:hangingChars="200"/>
    </w:pPr>
    <w:rPr>
      <w:rFonts w:ascii="Times New Roman" w:hAnsi="Times New Roman" w:eastAsia="宋体" w:cs="Times New Roman"/>
      <w:sz w:val="28"/>
      <w:szCs w:val="24"/>
    </w:rPr>
  </w:style>
  <w:style w:type="paragraph" w:styleId="21">
    <w:name w:val="toc 6"/>
    <w:basedOn w:val="1"/>
    <w:next w:val="1"/>
    <w:semiHidden/>
    <w:unhideWhenUsed/>
    <w:qFormat/>
    <w:uiPriority w:val="39"/>
    <w:pPr>
      <w:ind w:left="2100" w:leftChars="1000"/>
    </w:pPr>
  </w:style>
  <w:style w:type="paragraph" w:styleId="22">
    <w:name w:val="Body Text 2"/>
    <w:basedOn w:val="1"/>
    <w:link w:val="54"/>
    <w:qFormat/>
    <w:uiPriority w:val="0"/>
    <w:pPr>
      <w:widowControl/>
      <w:snapToGrid w:val="0"/>
      <w:spacing w:before="50" w:after="156" w:afterLines="50" w:line="400" w:lineRule="atLeast"/>
      <w:jc w:val="left"/>
    </w:pPr>
    <w:rPr>
      <w:rFonts w:hint="eastAsia" w:ascii="宋体" w:hAnsi="宋体" w:eastAsia="宋体" w:cs="Times New Roman"/>
      <w:color w:val="000000"/>
      <w:sz w:val="24"/>
      <w:szCs w:val="24"/>
    </w:rPr>
  </w:style>
  <w:style w:type="paragraph" w:styleId="23">
    <w:name w:val="Normal (Web)"/>
    <w:basedOn w:val="1"/>
    <w:qFormat/>
    <w:uiPriority w:val="0"/>
    <w:pPr>
      <w:widowControl/>
      <w:spacing w:before="100" w:beforeAutospacing="1" w:after="100" w:afterAutospacing="1"/>
      <w:ind w:firstLine="420"/>
      <w:jc w:val="left"/>
    </w:pPr>
    <w:rPr>
      <w:rFonts w:ascii="宋体" w:hAnsi="宋体" w:eastAsia="宋体" w:cs="Times New Roman"/>
      <w:kern w:val="0"/>
      <w:sz w:val="20"/>
      <w:szCs w:val="20"/>
    </w:rPr>
  </w:style>
  <w:style w:type="paragraph" w:styleId="24">
    <w:name w:val="annotation subject"/>
    <w:basedOn w:val="11"/>
    <w:next w:val="11"/>
    <w:link w:val="55"/>
    <w:unhideWhenUsed/>
    <w:qFormat/>
    <w:uiPriority w:val="99"/>
    <w:rPr>
      <w:b/>
      <w:bCs/>
      <w:sz w:val="28"/>
      <w:szCs w:val="24"/>
    </w:rPr>
  </w:style>
  <w:style w:type="paragraph" w:styleId="25">
    <w:name w:val="Body Text First Indent"/>
    <w:basedOn w:val="12"/>
    <w:link w:val="116"/>
    <w:semiHidden/>
    <w:unhideWhenUsed/>
    <w:qFormat/>
    <w:uiPriority w:val="99"/>
    <w:pPr>
      <w:ind w:firstLine="420" w:firstLineChars="100"/>
    </w:pPr>
    <w:rPr>
      <w:kern w:val="0"/>
      <w:sz w:val="20"/>
      <w:szCs w:val="20"/>
    </w:rPr>
  </w:style>
  <w:style w:type="paragraph" w:styleId="26">
    <w:name w:val="Body Text First Indent 2"/>
    <w:basedOn w:val="13"/>
    <w:link w:val="56"/>
    <w:unhideWhenUsed/>
    <w:qFormat/>
    <w:uiPriority w:val="99"/>
    <w:pPr>
      <w:ind w:firstLine="420"/>
    </w:p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uiPriority w:val="0"/>
    <w:rPr>
      <w:b/>
      <w:bCs/>
    </w:rPr>
  </w:style>
  <w:style w:type="character" w:styleId="31">
    <w:name w:val="page number"/>
    <w:basedOn w:val="29"/>
    <w:qFormat/>
    <w:uiPriority w:val="0"/>
  </w:style>
  <w:style w:type="character" w:styleId="32">
    <w:name w:val="FollowedHyperlink"/>
    <w:unhideWhenUsed/>
    <w:qFormat/>
    <w:uiPriority w:val="99"/>
    <w:rPr>
      <w:color w:val="5579A7"/>
      <w:u w:val="none"/>
    </w:rPr>
  </w:style>
  <w:style w:type="character" w:styleId="33">
    <w:name w:val="HTML Definition"/>
    <w:unhideWhenUsed/>
    <w:qFormat/>
    <w:uiPriority w:val="99"/>
    <w:rPr>
      <w:i/>
    </w:rPr>
  </w:style>
  <w:style w:type="character" w:styleId="34">
    <w:name w:val="Hyperlink"/>
    <w:qFormat/>
    <w:uiPriority w:val="99"/>
    <w:rPr>
      <w:color w:val="5579A7"/>
      <w:u w:val="none"/>
    </w:rPr>
  </w:style>
  <w:style w:type="character" w:styleId="35">
    <w:name w:val="HTML Code"/>
    <w:unhideWhenUsed/>
    <w:qFormat/>
    <w:uiPriority w:val="99"/>
    <w:rPr>
      <w:rFonts w:ascii="-apple-system" w:hAnsi="-apple-system" w:eastAsia="-apple-system" w:cs="-apple-system"/>
      <w:sz w:val="21"/>
      <w:szCs w:val="21"/>
    </w:rPr>
  </w:style>
  <w:style w:type="character" w:styleId="36">
    <w:name w:val="annotation reference"/>
    <w:unhideWhenUsed/>
    <w:qFormat/>
    <w:uiPriority w:val="99"/>
    <w:rPr>
      <w:sz w:val="21"/>
      <w:szCs w:val="21"/>
    </w:rPr>
  </w:style>
  <w:style w:type="character" w:styleId="37">
    <w:name w:val="HTML Keyboard"/>
    <w:unhideWhenUsed/>
    <w:qFormat/>
    <w:uiPriority w:val="99"/>
    <w:rPr>
      <w:rFonts w:hint="default" w:ascii="-apple-system" w:hAnsi="-apple-system" w:eastAsia="-apple-system" w:cs="-apple-system"/>
      <w:sz w:val="21"/>
      <w:szCs w:val="21"/>
    </w:rPr>
  </w:style>
  <w:style w:type="character" w:styleId="38">
    <w:name w:val="HTML Sample"/>
    <w:unhideWhenUsed/>
    <w:qFormat/>
    <w:uiPriority w:val="99"/>
    <w:rPr>
      <w:rFonts w:hint="default" w:ascii="-apple-system" w:hAnsi="-apple-system" w:eastAsia="-apple-system" w:cs="-apple-system"/>
      <w:sz w:val="21"/>
      <w:szCs w:val="21"/>
    </w:rPr>
  </w:style>
  <w:style w:type="character" w:customStyle="1" w:styleId="39">
    <w:name w:val="标题 1 字符"/>
    <w:basedOn w:val="29"/>
    <w:link w:val="2"/>
    <w:qFormat/>
    <w:uiPriority w:val="9"/>
    <w:rPr>
      <w:rFonts w:ascii="Times New Roman" w:hAnsi="Times New Roman" w:eastAsia="宋体" w:cs="Times New Roman"/>
      <w:b/>
      <w:bCs/>
      <w:kern w:val="44"/>
      <w:sz w:val="44"/>
      <w:szCs w:val="44"/>
    </w:rPr>
  </w:style>
  <w:style w:type="character" w:customStyle="1" w:styleId="40">
    <w:name w:val="标题 2 字符"/>
    <w:basedOn w:val="29"/>
    <w:link w:val="3"/>
    <w:qFormat/>
    <w:uiPriority w:val="9"/>
    <w:rPr>
      <w:rFonts w:ascii="Cambria" w:hAnsi="Cambria" w:eastAsia="宋体" w:cs="Times New Roman"/>
      <w:b/>
      <w:bCs/>
      <w:sz w:val="32"/>
      <w:szCs w:val="32"/>
    </w:rPr>
  </w:style>
  <w:style w:type="character" w:customStyle="1" w:styleId="41">
    <w:name w:val="标题 3 字符"/>
    <w:basedOn w:val="29"/>
    <w:link w:val="4"/>
    <w:qFormat/>
    <w:uiPriority w:val="9"/>
    <w:rPr>
      <w:rFonts w:ascii="Times New Roman" w:hAnsi="Times New Roman" w:eastAsia="宋体" w:cs="Times New Roman"/>
      <w:b/>
      <w:bCs/>
      <w:sz w:val="32"/>
      <w:szCs w:val="32"/>
    </w:rPr>
  </w:style>
  <w:style w:type="character" w:customStyle="1" w:styleId="42">
    <w:name w:val="标题 4 字符1"/>
    <w:link w:val="5"/>
    <w:qFormat/>
    <w:uiPriority w:val="9"/>
    <w:rPr>
      <w:rFonts w:ascii="Cambria" w:hAnsi="Cambria"/>
      <w:b/>
      <w:bCs/>
      <w:kern w:val="2"/>
      <w:sz w:val="28"/>
      <w:szCs w:val="28"/>
      <w:lang w:val="zh-CN"/>
    </w:rPr>
  </w:style>
  <w:style w:type="character" w:customStyle="1" w:styleId="43">
    <w:name w:val="标题 5 字符1"/>
    <w:link w:val="6"/>
    <w:qFormat/>
    <w:uiPriority w:val="9"/>
    <w:rPr>
      <w:b/>
      <w:bCs/>
      <w:kern w:val="2"/>
      <w:sz w:val="28"/>
      <w:szCs w:val="28"/>
      <w:lang w:val="zh-CN"/>
    </w:rPr>
  </w:style>
  <w:style w:type="character" w:customStyle="1" w:styleId="44">
    <w:name w:val="正文缩进 字符"/>
    <w:link w:val="8"/>
    <w:qFormat/>
    <w:uiPriority w:val="0"/>
    <w:rPr>
      <w:rFonts w:eastAsia="宋体"/>
    </w:rPr>
  </w:style>
  <w:style w:type="character" w:customStyle="1" w:styleId="45">
    <w:name w:val="文档结构图 字符"/>
    <w:link w:val="10"/>
    <w:qFormat/>
    <w:uiPriority w:val="99"/>
    <w:rPr>
      <w:rFonts w:ascii="宋体"/>
      <w:sz w:val="18"/>
      <w:szCs w:val="18"/>
    </w:rPr>
  </w:style>
  <w:style w:type="character" w:customStyle="1" w:styleId="46">
    <w:name w:val="批注文字 字符1"/>
    <w:basedOn w:val="29"/>
    <w:link w:val="11"/>
    <w:semiHidden/>
    <w:qFormat/>
    <w:uiPriority w:val="99"/>
  </w:style>
  <w:style w:type="character" w:customStyle="1" w:styleId="47">
    <w:name w:val="正文文本 字符"/>
    <w:basedOn w:val="29"/>
    <w:link w:val="12"/>
    <w:qFormat/>
    <w:uiPriority w:val="99"/>
    <w:rPr>
      <w:rFonts w:ascii="Times New Roman" w:hAnsi="Times New Roman" w:eastAsia="宋体" w:cs="Times New Roman"/>
      <w:sz w:val="28"/>
      <w:szCs w:val="24"/>
    </w:rPr>
  </w:style>
  <w:style w:type="character" w:customStyle="1" w:styleId="48">
    <w:name w:val="正文文本缩进 字符2"/>
    <w:link w:val="13"/>
    <w:qFormat/>
    <w:uiPriority w:val="0"/>
    <w:rPr>
      <w:rFonts w:ascii="宋体" w:hAnsi="Courier New"/>
      <w:spacing w:val="-4"/>
      <w:sz w:val="18"/>
    </w:rPr>
  </w:style>
  <w:style w:type="character" w:customStyle="1" w:styleId="49">
    <w:name w:val="纯文本 字符1"/>
    <w:link w:val="15"/>
    <w:qFormat/>
    <w:uiPriority w:val="99"/>
    <w:rPr>
      <w:rFonts w:ascii="宋体" w:hAnsi="Courier New"/>
      <w:sz w:val="24"/>
      <w:szCs w:val="24"/>
    </w:rPr>
  </w:style>
  <w:style w:type="character" w:customStyle="1" w:styleId="50">
    <w:name w:val="日期 字符"/>
    <w:basedOn w:val="29"/>
    <w:link w:val="16"/>
    <w:qFormat/>
    <w:uiPriority w:val="0"/>
    <w:rPr>
      <w:rFonts w:ascii="Times New Roman" w:hAnsi="Times New Roman" w:eastAsia="楷体_GB2312" w:cs="Times New Roman"/>
      <w:sz w:val="32"/>
      <w:szCs w:val="20"/>
    </w:rPr>
  </w:style>
  <w:style w:type="character" w:customStyle="1" w:styleId="51">
    <w:name w:val="批注框文本 字符"/>
    <w:basedOn w:val="29"/>
    <w:link w:val="17"/>
    <w:qFormat/>
    <w:uiPriority w:val="0"/>
    <w:rPr>
      <w:rFonts w:ascii="Times New Roman" w:hAnsi="Times New Roman" w:eastAsia="宋体" w:cs="Times New Roman"/>
      <w:sz w:val="18"/>
      <w:szCs w:val="18"/>
    </w:rPr>
  </w:style>
  <w:style w:type="character" w:customStyle="1" w:styleId="52">
    <w:name w:val="页脚 字符"/>
    <w:basedOn w:val="29"/>
    <w:link w:val="18"/>
    <w:qFormat/>
    <w:uiPriority w:val="99"/>
    <w:rPr>
      <w:sz w:val="18"/>
      <w:szCs w:val="18"/>
    </w:rPr>
  </w:style>
  <w:style w:type="character" w:customStyle="1" w:styleId="53">
    <w:name w:val="页眉 字符"/>
    <w:basedOn w:val="29"/>
    <w:link w:val="19"/>
    <w:qFormat/>
    <w:uiPriority w:val="99"/>
    <w:rPr>
      <w:sz w:val="18"/>
      <w:szCs w:val="18"/>
    </w:rPr>
  </w:style>
  <w:style w:type="character" w:customStyle="1" w:styleId="54">
    <w:name w:val="正文文本 2 字符"/>
    <w:basedOn w:val="29"/>
    <w:link w:val="22"/>
    <w:qFormat/>
    <w:uiPriority w:val="0"/>
    <w:rPr>
      <w:rFonts w:ascii="宋体" w:hAnsi="宋体" w:eastAsia="宋体" w:cs="Times New Roman"/>
      <w:color w:val="000000"/>
      <w:sz w:val="24"/>
      <w:szCs w:val="24"/>
    </w:rPr>
  </w:style>
  <w:style w:type="character" w:customStyle="1" w:styleId="55">
    <w:name w:val="批注主题 字符"/>
    <w:link w:val="24"/>
    <w:qFormat/>
    <w:uiPriority w:val="99"/>
    <w:rPr>
      <w:b/>
      <w:bCs/>
      <w:sz w:val="28"/>
      <w:szCs w:val="24"/>
    </w:rPr>
  </w:style>
  <w:style w:type="character" w:customStyle="1" w:styleId="56">
    <w:name w:val="正文文本首行缩进 2 字符"/>
    <w:basedOn w:val="57"/>
    <w:link w:val="26"/>
    <w:qFormat/>
    <w:uiPriority w:val="99"/>
    <w:rPr>
      <w:rFonts w:ascii="宋体" w:hAnsi="Courier New"/>
      <w:spacing w:val="-4"/>
      <w:sz w:val="18"/>
    </w:rPr>
  </w:style>
  <w:style w:type="character" w:customStyle="1" w:styleId="57">
    <w:name w:val="正文文本缩进 字符3"/>
    <w:basedOn w:val="29"/>
    <w:semiHidden/>
    <w:qFormat/>
    <w:uiPriority w:val="99"/>
  </w:style>
  <w:style w:type="character" w:customStyle="1" w:styleId="58">
    <w:name w:val="jbox-icon-none"/>
    <w:qFormat/>
    <w:uiPriority w:val="0"/>
    <w:rPr>
      <w:vanish/>
    </w:rPr>
  </w:style>
  <w:style w:type="character" w:customStyle="1" w:styleId="59">
    <w:name w:val="z-窗体底端 字符"/>
    <w:link w:val="60"/>
    <w:qFormat/>
    <w:uiPriority w:val="99"/>
    <w:rPr>
      <w:rFonts w:ascii="Arial" w:hAnsi="Arial"/>
      <w:vanish/>
      <w:sz w:val="16"/>
      <w:szCs w:val="16"/>
    </w:rPr>
  </w:style>
  <w:style w:type="paragraph" w:customStyle="1" w:styleId="60">
    <w:name w:val="z-窗体底端1"/>
    <w:basedOn w:val="1"/>
    <w:next w:val="1"/>
    <w:link w:val="59"/>
    <w:unhideWhenUsed/>
    <w:qFormat/>
    <w:uiPriority w:val="99"/>
    <w:pPr>
      <w:widowControl/>
      <w:pBdr>
        <w:top w:val="single" w:color="auto" w:sz="6" w:space="1"/>
      </w:pBdr>
      <w:jc w:val="center"/>
    </w:pPr>
    <w:rPr>
      <w:rFonts w:ascii="Arial" w:hAnsi="Arial"/>
      <w:vanish/>
      <w:sz w:val="16"/>
      <w:szCs w:val="16"/>
    </w:rPr>
  </w:style>
  <w:style w:type="character" w:customStyle="1" w:styleId="61">
    <w:name w:val="black601"/>
    <w:qFormat/>
    <w:uiPriority w:val="0"/>
    <w:rPr>
      <w:color w:val="666666"/>
    </w:rPr>
  </w:style>
  <w:style w:type="character" w:customStyle="1" w:styleId="62">
    <w:name w:val="hour_pm"/>
    <w:basedOn w:val="29"/>
    <w:qFormat/>
    <w:uiPriority w:val="0"/>
  </w:style>
  <w:style w:type="character" w:customStyle="1" w:styleId="63">
    <w:name w:val="标题 1 Char Char"/>
    <w:qFormat/>
    <w:uiPriority w:val="0"/>
    <w:rPr>
      <w:rFonts w:eastAsia="宋体"/>
      <w:b/>
      <w:spacing w:val="-2"/>
      <w:sz w:val="24"/>
      <w:lang w:val="en-US" w:eastAsia="zh-CN" w:bidi="ar-SA"/>
    </w:rPr>
  </w:style>
  <w:style w:type="character" w:customStyle="1" w:styleId="64">
    <w:name w:val="jbox-icon-info"/>
    <w:basedOn w:val="29"/>
    <w:qFormat/>
    <w:uiPriority w:val="0"/>
  </w:style>
  <w:style w:type="character" w:customStyle="1" w:styleId="65">
    <w:name w:val="hover9"/>
    <w:qFormat/>
    <w:uiPriority w:val="0"/>
    <w:rPr>
      <w:shd w:val="clear" w:color="auto" w:fill="EEEEEE"/>
    </w:rPr>
  </w:style>
  <w:style w:type="character" w:customStyle="1" w:styleId="66">
    <w:name w:val="maywed421"/>
    <w:qFormat/>
    <w:uiPriority w:val="0"/>
    <w:rPr>
      <w:color w:val="366FB6"/>
      <w:u w:val="none"/>
    </w:rPr>
  </w:style>
  <w:style w:type="character" w:customStyle="1" w:styleId="67">
    <w:name w:val="old"/>
    <w:qFormat/>
    <w:uiPriority w:val="0"/>
    <w:rPr>
      <w:color w:val="999999"/>
    </w:rPr>
  </w:style>
  <w:style w:type="character" w:customStyle="1" w:styleId="68">
    <w:name w:val="jbox-icon-warning"/>
    <w:basedOn w:val="29"/>
    <w:qFormat/>
    <w:uiPriority w:val="0"/>
  </w:style>
  <w:style w:type="character" w:customStyle="1" w:styleId="69">
    <w:name w:val="z-窗体顶端 字符"/>
    <w:link w:val="70"/>
    <w:qFormat/>
    <w:uiPriority w:val="99"/>
    <w:rPr>
      <w:rFonts w:ascii="Arial" w:hAnsi="Arial"/>
      <w:vanish/>
      <w:sz w:val="16"/>
      <w:szCs w:val="16"/>
    </w:rPr>
  </w:style>
  <w:style w:type="paragraph" w:customStyle="1" w:styleId="70">
    <w:name w:val="z-窗体顶端1"/>
    <w:basedOn w:val="1"/>
    <w:next w:val="1"/>
    <w:link w:val="69"/>
    <w:unhideWhenUsed/>
    <w:qFormat/>
    <w:uiPriority w:val="99"/>
    <w:pPr>
      <w:widowControl/>
      <w:pBdr>
        <w:bottom w:val="single" w:color="auto" w:sz="6" w:space="1"/>
      </w:pBdr>
      <w:jc w:val="center"/>
    </w:pPr>
    <w:rPr>
      <w:rFonts w:ascii="Arial" w:hAnsi="Arial"/>
      <w:vanish/>
      <w:sz w:val="16"/>
      <w:szCs w:val="16"/>
    </w:rPr>
  </w:style>
  <w:style w:type="character" w:customStyle="1" w:styleId="71">
    <w:name w:val="jbox-icon-loading"/>
    <w:basedOn w:val="29"/>
    <w:qFormat/>
    <w:uiPriority w:val="0"/>
  </w:style>
  <w:style w:type="character" w:customStyle="1" w:styleId="72">
    <w:name w:val="正文文本缩进 字符"/>
    <w:qFormat/>
    <w:uiPriority w:val="0"/>
    <w:rPr>
      <w:rFonts w:ascii="宋体" w:hAnsi="Courier New"/>
      <w:spacing w:val="-4"/>
      <w:kern w:val="2"/>
      <w:sz w:val="18"/>
    </w:rPr>
  </w:style>
  <w:style w:type="character" w:customStyle="1" w:styleId="73">
    <w:name w:val="正文文本缩进 字符1"/>
    <w:qFormat/>
    <w:uiPriority w:val="0"/>
    <w:rPr>
      <w:rFonts w:ascii="宋体" w:hAnsi="Courier New"/>
      <w:spacing w:val="-4"/>
      <w:kern w:val="2"/>
      <w:sz w:val="18"/>
    </w:rPr>
  </w:style>
  <w:style w:type="character" w:customStyle="1" w:styleId="74">
    <w:name w:val="纯文本 字符"/>
    <w:qFormat/>
    <w:uiPriority w:val="0"/>
    <w:rPr>
      <w:rFonts w:ascii="宋体" w:hAnsi="Courier New"/>
      <w:kern w:val="2"/>
      <w:sz w:val="24"/>
      <w:szCs w:val="24"/>
    </w:rPr>
  </w:style>
  <w:style w:type="character" w:customStyle="1" w:styleId="75">
    <w:name w:val="jbox-icon-question"/>
    <w:basedOn w:val="29"/>
    <w:qFormat/>
    <w:uiPriority w:val="0"/>
  </w:style>
  <w:style w:type="character" w:customStyle="1" w:styleId="76">
    <w:name w:val="jbox-icon"/>
    <w:basedOn w:val="29"/>
    <w:qFormat/>
    <w:uiPriority w:val="0"/>
  </w:style>
  <w:style w:type="character" w:customStyle="1" w:styleId="77">
    <w:name w:val="纯文本 字符2"/>
    <w:qFormat/>
    <w:uiPriority w:val="99"/>
    <w:rPr>
      <w:rFonts w:ascii="宋体" w:hAnsi="Courier New"/>
      <w:kern w:val="2"/>
      <w:sz w:val="24"/>
      <w:szCs w:val="24"/>
    </w:rPr>
  </w:style>
  <w:style w:type="character" w:customStyle="1" w:styleId="78">
    <w:name w:val="hour_am"/>
    <w:basedOn w:val="29"/>
    <w:qFormat/>
    <w:uiPriority w:val="0"/>
  </w:style>
  <w:style w:type="character" w:customStyle="1" w:styleId="79">
    <w:name w:val="jbox-icon-success"/>
    <w:basedOn w:val="29"/>
    <w:qFormat/>
    <w:uiPriority w:val="0"/>
  </w:style>
  <w:style w:type="character" w:customStyle="1" w:styleId="80">
    <w:name w:val="批注文字 字符"/>
    <w:qFormat/>
    <w:uiPriority w:val="99"/>
    <w:rPr>
      <w:kern w:val="2"/>
      <w:sz w:val="28"/>
      <w:szCs w:val="24"/>
    </w:rPr>
  </w:style>
  <w:style w:type="character" w:customStyle="1" w:styleId="81">
    <w:name w:val="纯文本 Char1"/>
    <w:qFormat/>
    <w:uiPriority w:val="0"/>
    <w:rPr>
      <w:rFonts w:ascii="宋体" w:hAnsi="Courier New"/>
      <w:kern w:val="2"/>
      <w:sz w:val="21"/>
    </w:rPr>
  </w:style>
  <w:style w:type="character" w:customStyle="1" w:styleId="82">
    <w:name w:val="纯文本 Char"/>
    <w:qFormat/>
    <w:uiPriority w:val="99"/>
    <w:rPr>
      <w:rFonts w:ascii="宋体" w:hAnsi="Courier New"/>
      <w:kern w:val="2"/>
      <w:sz w:val="24"/>
      <w:szCs w:val="24"/>
    </w:rPr>
  </w:style>
  <w:style w:type="character" w:customStyle="1" w:styleId="83">
    <w:name w:val="sub_title s0"/>
    <w:basedOn w:val="29"/>
    <w:qFormat/>
    <w:uiPriority w:val="0"/>
  </w:style>
  <w:style w:type="character" w:customStyle="1" w:styleId="84">
    <w:name w:val="jbox-icon-error"/>
    <w:basedOn w:val="29"/>
    <w:qFormat/>
    <w:uiPriority w:val="0"/>
  </w:style>
  <w:style w:type="paragraph" w:customStyle="1" w:styleId="85">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86">
    <w:name w:val="xl25"/>
    <w:basedOn w:val="1"/>
    <w:qFormat/>
    <w:uiPriority w:val="0"/>
    <w:pPr>
      <w:widowControl/>
      <w:spacing w:before="100" w:beforeAutospacing="1" w:after="100" w:afterAutospacing="1"/>
      <w:jc w:val="center"/>
      <w:textAlignment w:val="center"/>
    </w:pPr>
    <w:rPr>
      <w:rFonts w:hint="eastAsia" w:ascii="楷体_GB2312" w:hAnsi="宋体" w:eastAsia="楷体_GB2312" w:cs="Times New Roman"/>
      <w:kern w:val="0"/>
      <w:sz w:val="24"/>
      <w:szCs w:val="24"/>
    </w:rPr>
  </w:style>
  <w:style w:type="paragraph" w:customStyle="1" w:styleId="87">
    <w:name w:val="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88">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89">
    <w:name w:val="z-窗体顶端 字符1"/>
    <w:basedOn w:val="29"/>
    <w:semiHidden/>
    <w:qFormat/>
    <w:uiPriority w:val="99"/>
    <w:rPr>
      <w:rFonts w:ascii="Arial" w:hAnsi="Arial" w:cs="Arial"/>
      <w:vanish/>
      <w:sz w:val="16"/>
      <w:szCs w:val="16"/>
    </w:rPr>
  </w:style>
  <w:style w:type="paragraph" w:customStyle="1" w:styleId="90">
    <w:name w:val="正文段"/>
    <w:basedOn w:val="1"/>
    <w:qFormat/>
    <w:uiPriority w:val="0"/>
    <w:pPr>
      <w:widowControl/>
      <w:snapToGrid w:val="0"/>
      <w:spacing w:after="156" w:afterLines="50"/>
      <w:ind w:firstLine="200" w:firstLineChars="200"/>
    </w:pPr>
    <w:rPr>
      <w:rFonts w:ascii="Times New Roman" w:hAnsi="Times New Roman" w:eastAsia="宋体" w:cs="Times New Roman"/>
      <w:kern w:val="0"/>
      <w:sz w:val="24"/>
      <w:szCs w:val="20"/>
    </w:rPr>
  </w:style>
  <w:style w:type="paragraph" w:customStyle="1" w:styleId="91">
    <w:name w:val="Default"/>
    <w:next w:val="88"/>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character" w:customStyle="1" w:styleId="92">
    <w:name w:val="批注主题 字符1"/>
    <w:basedOn w:val="46"/>
    <w:semiHidden/>
    <w:qFormat/>
    <w:uiPriority w:val="99"/>
    <w:rPr>
      <w:b/>
      <w:bCs/>
    </w:rPr>
  </w:style>
  <w:style w:type="character" w:customStyle="1" w:styleId="93">
    <w:name w:val="文档结构图 字符1"/>
    <w:basedOn w:val="29"/>
    <w:semiHidden/>
    <w:qFormat/>
    <w:uiPriority w:val="99"/>
    <w:rPr>
      <w:rFonts w:ascii="Microsoft YaHei UI" w:eastAsia="Microsoft YaHei UI"/>
      <w:sz w:val="18"/>
      <w:szCs w:val="18"/>
    </w:rPr>
  </w:style>
  <w:style w:type="character" w:customStyle="1" w:styleId="94">
    <w:name w:val="纯文本 字符3"/>
    <w:basedOn w:val="29"/>
    <w:semiHidden/>
    <w:qFormat/>
    <w:uiPriority w:val="99"/>
    <w:rPr>
      <w:rFonts w:hAnsi="Courier New" w:cs="Courier New" w:asciiTheme="minorEastAsia"/>
    </w:rPr>
  </w:style>
  <w:style w:type="character" w:customStyle="1" w:styleId="95">
    <w:name w:val="z-窗体底端 字符1"/>
    <w:basedOn w:val="29"/>
    <w:semiHidden/>
    <w:qFormat/>
    <w:uiPriority w:val="99"/>
    <w:rPr>
      <w:rFonts w:ascii="Arial" w:hAnsi="Arial" w:cs="Arial"/>
      <w:vanish/>
      <w:sz w:val="16"/>
      <w:szCs w:val="16"/>
    </w:rPr>
  </w:style>
  <w:style w:type="paragraph" w:customStyle="1" w:styleId="96">
    <w:name w:val="此正文"/>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97">
    <w:name w:val="表内文字"/>
    <w:basedOn w:val="1"/>
    <w:qFormat/>
    <w:uiPriority w:val="0"/>
    <w:pPr>
      <w:tabs>
        <w:tab w:val="left" w:pos="1418"/>
      </w:tabs>
      <w:spacing w:line="360" w:lineRule="auto"/>
      <w:jc w:val="center"/>
    </w:pPr>
    <w:rPr>
      <w:rFonts w:hint="eastAsia" w:ascii="仿宋_GB2312" w:hAnsi="Times New Roman" w:eastAsia="仿宋_GB2312" w:cs="Times New Roman"/>
      <w:spacing w:val="-20"/>
      <w:kern w:val="0"/>
      <w:sz w:val="24"/>
      <w:szCs w:val="24"/>
    </w:rPr>
  </w:style>
  <w:style w:type="paragraph" w:customStyle="1" w:styleId="98">
    <w:name w:val="正文 A"/>
    <w:qFormat/>
    <w:uiPriority w:val="0"/>
    <w:pPr>
      <w:widowControl w:val="0"/>
      <w:jc w:val="both"/>
    </w:pPr>
    <w:rPr>
      <w:rFonts w:hint="eastAsia" w:ascii="Arial Unicode MS" w:hAnsi="Arial Unicode MS" w:eastAsia="Times New Roman" w:cs="Arial Unicode MS"/>
      <w:color w:val="000000"/>
      <w:kern w:val="2"/>
      <w:sz w:val="28"/>
      <w:szCs w:val="28"/>
      <w:u w:color="000000"/>
      <w:lang w:val="en-US" w:eastAsia="zh-CN" w:bidi="ar-SA"/>
    </w:rPr>
  </w:style>
  <w:style w:type="paragraph" w:customStyle="1" w:styleId="99">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100">
    <w:name w:val="正文1"/>
    <w:qFormat/>
    <w:uiPriority w:val="0"/>
    <w:pPr>
      <w:suppressAutoHyphens/>
      <w:spacing w:after="180" w:line="312" w:lineRule="auto"/>
    </w:pPr>
    <w:rPr>
      <w:rFonts w:ascii="Helvetica Neue Light" w:hAnsi="Helvetica Neue Light" w:eastAsia="ヒラギノ角ゴ Pro W3" w:cs="Times New Roman"/>
      <w:color w:val="000000"/>
      <w:sz w:val="18"/>
      <w:lang w:val="en-US" w:eastAsia="zh-CN" w:bidi="ar-SA"/>
    </w:rPr>
  </w:style>
  <w:style w:type="paragraph" w:customStyle="1" w:styleId="101">
    <w:name w:val="Char Char Char Char1"/>
    <w:basedOn w:val="1"/>
    <w:qFormat/>
    <w:uiPriority w:val="0"/>
    <w:rPr>
      <w:rFonts w:ascii="Tahoma" w:hAnsi="Tahoma" w:eastAsia="宋体" w:cs="Times New Roman"/>
      <w:sz w:val="24"/>
      <w:szCs w:val="20"/>
    </w:rPr>
  </w:style>
  <w:style w:type="paragraph" w:customStyle="1" w:styleId="102">
    <w:name w:val="彩色列表 - 强调文字颜色 11"/>
    <w:basedOn w:val="1"/>
    <w:qFormat/>
    <w:uiPriority w:val="34"/>
    <w:pPr>
      <w:ind w:firstLine="420" w:firstLineChars="200"/>
    </w:pPr>
    <w:rPr>
      <w:rFonts w:ascii="Calibri" w:hAnsi="Calibri" w:eastAsia="宋体" w:cs="Times New Roman"/>
    </w:rPr>
  </w:style>
  <w:style w:type="paragraph" w:customStyle="1" w:styleId="103">
    <w:name w:val="Proposals body"/>
    <w:basedOn w:val="1"/>
    <w:next w:val="1"/>
    <w:qFormat/>
    <w:uiPriority w:val="0"/>
    <w:pPr>
      <w:widowControl/>
      <w:spacing w:line="460" w:lineRule="exact"/>
      <w:jc w:val="left"/>
    </w:pPr>
    <w:rPr>
      <w:rFonts w:ascii="仿宋_GB2312" w:hAnsi="Times New Roman" w:eastAsia="仿宋_GB2312" w:cs="Times New Roman"/>
      <w:snapToGrid w:val="0"/>
      <w:kern w:val="0"/>
      <w:sz w:val="24"/>
      <w:szCs w:val="24"/>
    </w:rPr>
  </w:style>
  <w:style w:type="paragraph" w:customStyle="1" w:styleId="104">
    <w:name w:val="正文2"/>
    <w:basedOn w:val="1"/>
    <w:link w:val="105"/>
    <w:qFormat/>
    <w:uiPriority w:val="0"/>
    <w:pPr>
      <w:spacing w:before="156" w:line="360" w:lineRule="auto"/>
      <w:ind w:firstLine="510" w:firstLineChars="200"/>
    </w:pPr>
    <w:rPr>
      <w:rFonts w:ascii="Times New Roman" w:hAnsi="Times New Roman" w:eastAsia="宋体" w:cs="Times New Roman"/>
      <w:sz w:val="24"/>
      <w:szCs w:val="20"/>
    </w:rPr>
  </w:style>
  <w:style w:type="character" w:customStyle="1" w:styleId="105">
    <w:name w:val="正文2 Char Char"/>
    <w:link w:val="104"/>
    <w:qFormat/>
    <w:uiPriority w:val="0"/>
    <w:rPr>
      <w:kern w:val="2"/>
      <w:sz w:val="24"/>
    </w:rPr>
  </w:style>
  <w:style w:type="paragraph" w:customStyle="1" w:styleId="10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sz w:val="21"/>
      <w:szCs w:val="22"/>
      <w:lang w:val="en-US" w:eastAsia="zh-CN" w:bidi="ar-SA"/>
    </w:rPr>
  </w:style>
  <w:style w:type="paragraph" w:customStyle="1" w:styleId="107">
    <w:name w:val="无间距"/>
    <w:qFormat/>
    <w:uiPriority w:val="0"/>
    <w:pPr>
      <w:widowControl w:val="0"/>
      <w:jc w:val="both"/>
    </w:pPr>
    <w:rPr>
      <w:rFonts w:ascii="Calibri" w:hAnsi="Calibri" w:eastAsia="宋体" w:cs="Times New Roman"/>
      <w:kern w:val="2"/>
      <w:sz w:val="21"/>
      <w:szCs w:val="22"/>
      <w:lang w:val="en-US" w:eastAsia="zh-CN" w:bidi="ar-SA"/>
    </w:rPr>
  </w:style>
  <w:style w:type="paragraph" w:styleId="108">
    <w:name w:val="List Paragraph"/>
    <w:basedOn w:val="1"/>
    <w:qFormat/>
    <w:uiPriority w:val="34"/>
    <w:pPr>
      <w:ind w:left="720"/>
      <w:contextualSpacing/>
    </w:pPr>
    <w:rPr>
      <w:rFonts w:ascii="Times New Roman" w:hAnsi="Times New Roman" w:eastAsia="宋体" w:cs="Times New Roman"/>
      <w:sz w:val="28"/>
      <w:szCs w:val="20"/>
    </w:rPr>
  </w:style>
  <w:style w:type="paragraph" w:customStyle="1" w:styleId="109">
    <w:name w:val="List Paragraph1"/>
    <w:basedOn w:val="1"/>
    <w:qFormat/>
    <w:uiPriority w:val="0"/>
    <w:pPr>
      <w:ind w:firstLine="420" w:firstLineChars="200"/>
    </w:pPr>
    <w:rPr>
      <w:rFonts w:ascii="Times New Roman" w:hAnsi="Times New Roman" w:eastAsia="宋体" w:cs="Times New Roman"/>
      <w:szCs w:val="24"/>
    </w:rPr>
  </w:style>
  <w:style w:type="paragraph" w:customStyle="1" w:styleId="110">
    <w:name w:val="标题 10"/>
    <w:basedOn w:val="3"/>
    <w:qFormat/>
    <w:uiPriority w:val="0"/>
    <w:pPr>
      <w:jc w:val="center"/>
    </w:pPr>
    <w:rPr>
      <w:kern w:val="0"/>
    </w:rPr>
  </w:style>
  <w:style w:type="character" w:customStyle="1" w:styleId="111">
    <w:name w:val="未处理的提及1"/>
    <w:semiHidden/>
    <w:unhideWhenUsed/>
    <w:qFormat/>
    <w:uiPriority w:val="99"/>
    <w:rPr>
      <w:color w:val="605E5C"/>
      <w:shd w:val="clear" w:color="auto" w:fill="E1DFDD"/>
    </w:rPr>
  </w:style>
  <w:style w:type="character" w:customStyle="1" w:styleId="112">
    <w:name w:val="未处理的提及2"/>
    <w:basedOn w:val="29"/>
    <w:semiHidden/>
    <w:unhideWhenUsed/>
    <w:qFormat/>
    <w:uiPriority w:val="99"/>
    <w:rPr>
      <w:color w:val="605E5C"/>
      <w:shd w:val="clear" w:color="auto" w:fill="E1DFDD"/>
    </w:rPr>
  </w:style>
  <w:style w:type="character" w:customStyle="1" w:styleId="113">
    <w:name w:val="未处理的提及3"/>
    <w:basedOn w:val="29"/>
    <w:semiHidden/>
    <w:unhideWhenUsed/>
    <w:qFormat/>
    <w:uiPriority w:val="99"/>
    <w:rPr>
      <w:color w:val="605E5C"/>
      <w:shd w:val="clear" w:color="auto" w:fill="E1DFDD"/>
    </w:rPr>
  </w:style>
  <w:style w:type="character" w:customStyle="1" w:styleId="114">
    <w:name w:val="标题 4 字符"/>
    <w:basedOn w:val="29"/>
    <w:semiHidden/>
    <w:qFormat/>
    <w:uiPriority w:val="9"/>
    <w:rPr>
      <w:rFonts w:asciiTheme="majorHAnsi" w:hAnsiTheme="majorHAnsi" w:eastAsiaTheme="majorEastAsia" w:cstheme="majorBidi"/>
      <w:b/>
      <w:bCs/>
      <w:kern w:val="2"/>
      <w:sz w:val="28"/>
      <w:szCs w:val="28"/>
    </w:rPr>
  </w:style>
  <w:style w:type="character" w:customStyle="1" w:styleId="115">
    <w:name w:val="标题 5 字符"/>
    <w:basedOn w:val="29"/>
    <w:semiHidden/>
    <w:qFormat/>
    <w:uiPriority w:val="9"/>
    <w:rPr>
      <w:rFonts w:asciiTheme="minorHAnsi" w:hAnsiTheme="minorHAnsi" w:eastAsiaTheme="minorEastAsia" w:cstheme="minorBidi"/>
      <w:b/>
      <w:bCs/>
      <w:kern w:val="2"/>
      <w:sz w:val="28"/>
      <w:szCs w:val="28"/>
    </w:rPr>
  </w:style>
  <w:style w:type="character" w:customStyle="1" w:styleId="116">
    <w:name w:val="正文文本首行缩进 字符1"/>
    <w:link w:val="25"/>
    <w:semiHidden/>
    <w:qFormat/>
    <w:uiPriority w:val="99"/>
  </w:style>
  <w:style w:type="character" w:customStyle="1" w:styleId="117">
    <w:name w:val="正文文本首行缩进 字符"/>
    <w:basedOn w:val="47"/>
    <w:semiHidden/>
    <w:qFormat/>
    <w:uiPriority w:val="99"/>
    <w:rPr>
      <w:rFonts w:asciiTheme="minorHAnsi" w:hAnsiTheme="minorHAnsi" w:eastAsiaTheme="minorEastAsia" w:cstheme="minorBidi"/>
      <w:kern w:val="2"/>
      <w:sz w:val="21"/>
      <w:szCs w:val="22"/>
    </w:rPr>
  </w:style>
  <w:style w:type="character" w:customStyle="1" w:styleId="118">
    <w:name w:val="正文文本 Char"/>
    <w:qFormat/>
    <w:uiPriority w:val="99"/>
    <w:rPr>
      <w:kern w:val="2"/>
      <w:sz w:val="28"/>
      <w:szCs w:val="24"/>
    </w:rPr>
  </w:style>
  <w:style w:type="paragraph" w:customStyle="1" w:styleId="119">
    <w:name w:val="_Style 112"/>
    <w:basedOn w:val="1"/>
    <w:next w:val="108"/>
    <w:link w:val="120"/>
    <w:qFormat/>
    <w:uiPriority w:val="99"/>
    <w:pPr>
      <w:ind w:firstLine="420" w:firstLineChars="200"/>
    </w:pPr>
    <w:rPr>
      <w:rFonts w:ascii="宋体" w:hAnsi="Courier New" w:eastAsia="宋体" w:cs="Times New Roman"/>
      <w:spacing w:val="-4"/>
      <w:sz w:val="18"/>
      <w:szCs w:val="24"/>
    </w:rPr>
  </w:style>
  <w:style w:type="character" w:customStyle="1" w:styleId="120">
    <w:name w:val="正文首行缩进 2 Char"/>
    <w:link w:val="119"/>
    <w:qFormat/>
    <w:uiPriority w:val="99"/>
    <w:rPr>
      <w:rFonts w:ascii="宋体" w:hAnsi="Courier New"/>
      <w:spacing w:val="-4"/>
      <w:kern w:val="2"/>
      <w:sz w:val="18"/>
      <w:szCs w:val="24"/>
    </w:rPr>
  </w:style>
  <w:style w:type="character" w:customStyle="1" w:styleId="121">
    <w:name w:val="标题 1 Char1"/>
    <w:qFormat/>
    <w:uiPriority w:val="9"/>
    <w:rPr>
      <w:b/>
      <w:bCs/>
      <w:kern w:val="44"/>
      <w:sz w:val="44"/>
      <w:szCs w:val="44"/>
    </w:rPr>
  </w:style>
  <w:style w:type="character" w:customStyle="1" w:styleId="122">
    <w:name w:val="标题 2 Char"/>
    <w:qFormat/>
    <w:uiPriority w:val="9"/>
    <w:rPr>
      <w:rFonts w:ascii="Cambria" w:hAnsi="Cambria" w:eastAsia="宋体" w:cs="Times New Roman"/>
      <w:b/>
      <w:bCs/>
      <w:kern w:val="2"/>
      <w:sz w:val="32"/>
      <w:szCs w:val="32"/>
    </w:rPr>
  </w:style>
  <w:style w:type="character" w:customStyle="1" w:styleId="123">
    <w:name w:val="标题 3 Char"/>
    <w:qFormat/>
    <w:uiPriority w:val="9"/>
    <w:rPr>
      <w:b/>
      <w:bCs/>
      <w:kern w:val="2"/>
      <w:sz w:val="32"/>
      <w:szCs w:val="32"/>
    </w:rPr>
  </w:style>
  <w:style w:type="character" w:customStyle="1" w:styleId="124">
    <w:name w:val="正文缩进 Char"/>
    <w:qFormat/>
    <w:uiPriority w:val="0"/>
    <w:rPr>
      <w:rFonts w:eastAsia="宋体"/>
      <w:kern w:val="2"/>
      <w:sz w:val="21"/>
      <w:lang w:val="en-US" w:eastAsia="zh-CN" w:bidi="ar-SA"/>
    </w:rPr>
  </w:style>
  <w:style w:type="character" w:customStyle="1" w:styleId="125">
    <w:name w:val="文档结构图 Char"/>
    <w:qFormat/>
    <w:uiPriority w:val="99"/>
    <w:rPr>
      <w:rFonts w:ascii="宋体"/>
      <w:kern w:val="2"/>
      <w:sz w:val="18"/>
      <w:szCs w:val="18"/>
    </w:rPr>
  </w:style>
  <w:style w:type="character" w:customStyle="1" w:styleId="126">
    <w:name w:val="批注文字 Char"/>
    <w:qFormat/>
    <w:uiPriority w:val="99"/>
    <w:rPr>
      <w:kern w:val="2"/>
      <w:sz w:val="28"/>
      <w:szCs w:val="24"/>
    </w:rPr>
  </w:style>
  <w:style w:type="character" w:customStyle="1" w:styleId="127">
    <w:name w:val="正文文本缩进 Char1"/>
    <w:qFormat/>
    <w:uiPriority w:val="0"/>
    <w:rPr>
      <w:rFonts w:ascii="宋体" w:hAnsi="Courier New"/>
      <w:spacing w:val="-4"/>
      <w:kern w:val="2"/>
      <w:sz w:val="18"/>
    </w:rPr>
  </w:style>
  <w:style w:type="character" w:customStyle="1" w:styleId="128">
    <w:name w:val="纯文本 Char2"/>
    <w:qFormat/>
    <w:uiPriority w:val="99"/>
    <w:rPr>
      <w:rFonts w:ascii="宋体" w:hAnsi="Courier New"/>
      <w:kern w:val="2"/>
      <w:sz w:val="24"/>
      <w:szCs w:val="24"/>
    </w:rPr>
  </w:style>
  <w:style w:type="character" w:customStyle="1" w:styleId="129">
    <w:name w:val="日期 Char"/>
    <w:qFormat/>
    <w:uiPriority w:val="0"/>
    <w:rPr>
      <w:rFonts w:eastAsia="楷体_GB2312"/>
      <w:kern w:val="2"/>
      <w:sz w:val="32"/>
    </w:rPr>
  </w:style>
  <w:style w:type="character" w:customStyle="1" w:styleId="130">
    <w:name w:val="批注框文本 Char"/>
    <w:qFormat/>
    <w:uiPriority w:val="0"/>
    <w:rPr>
      <w:kern w:val="2"/>
      <w:sz w:val="18"/>
      <w:szCs w:val="18"/>
    </w:rPr>
  </w:style>
  <w:style w:type="character" w:customStyle="1" w:styleId="131">
    <w:name w:val="页脚 Char1"/>
    <w:qFormat/>
    <w:uiPriority w:val="99"/>
    <w:rPr>
      <w:kern w:val="2"/>
      <w:sz w:val="18"/>
      <w:szCs w:val="18"/>
    </w:rPr>
  </w:style>
  <w:style w:type="character" w:customStyle="1" w:styleId="132">
    <w:name w:val="页眉 Char"/>
    <w:qFormat/>
    <w:uiPriority w:val="99"/>
    <w:rPr>
      <w:kern w:val="2"/>
      <w:sz w:val="18"/>
      <w:szCs w:val="18"/>
    </w:rPr>
  </w:style>
  <w:style w:type="character" w:customStyle="1" w:styleId="133">
    <w:name w:val="正文文本 2 Char"/>
    <w:qFormat/>
    <w:uiPriority w:val="0"/>
    <w:rPr>
      <w:rFonts w:ascii="宋体" w:hAnsi="宋体"/>
      <w:color w:val="000000"/>
      <w:kern w:val="2"/>
      <w:sz w:val="24"/>
      <w:szCs w:val="24"/>
    </w:rPr>
  </w:style>
  <w:style w:type="character" w:customStyle="1" w:styleId="134">
    <w:name w:val="批注主题 Char"/>
    <w:qFormat/>
    <w:uiPriority w:val="99"/>
    <w:rPr>
      <w:b/>
      <w:bCs/>
      <w:kern w:val="2"/>
      <w:sz w:val="28"/>
      <w:szCs w:val="24"/>
    </w:rPr>
  </w:style>
  <w:style w:type="character" w:customStyle="1" w:styleId="135">
    <w:name w:val="s1"/>
    <w:qFormat/>
    <w:uiPriority w:val="0"/>
  </w:style>
  <w:style w:type="character" w:customStyle="1" w:styleId="136">
    <w:name w:val="页脚 Char"/>
    <w:qFormat/>
    <w:uiPriority w:val="99"/>
    <w:rPr>
      <w:lang w:eastAsia="zh-CN"/>
    </w:rPr>
  </w:style>
  <w:style w:type="character" w:customStyle="1" w:styleId="137">
    <w:name w:val="font61"/>
    <w:qFormat/>
    <w:uiPriority w:val="0"/>
    <w:rPr>
      <w:rFonts w:hint="eastAsia" w:ascii="宋体" w:hAnsi="宋体" w:eastAsia="宋体" w:cs="宋体"/>
      <w:color w:val="000000"/>
      <w:sz w:val="20"/>
      <w:szCs w:val="20"/>
      <w:u w:val="none"/>
      <w:vertAlign w:val="superscript"/>
    </w:rPr>
  </w:style>
  <w:style w:type="character" w:customStyle="1" w:styleId="138">
    <w:name w:val="font11"/>
    <w:qFormat/>
    <w:uiPriority w:val="0"/>
    <w:rPr>
      <w:rFonts w:hint="eastAsia" w:ascii="宋体" w:hAnsi="宋体" w:eastAsia="宋体" w:cs="宋体"/>
      <w:color w:val="000000"/>
      <w:sz w:val="20"/>
      <w:szCs w:val="20"/>
      <w:u w:val="none"/>
    </w:rPr>
  </w:style>
  <w:style w:type="character" w:customStyle="1" w:styleId="139">
    <w:name w:val="z-窗体底端 字符3"/>
    <w:link w:val="140"/>
    <w:qFormat/>
    <w:uiPriority w:val="99"/>
    <w:rPr>
      <w:rFonts w:ascii="Arial" w:hAnsi="Arial"/>
      <w:vanish/>
      <w:sz w:val="16"/>
      <w:szCs w:val="16"/>
    </w:rPr>
  </w:style>
  <w:style w:type="paragraph" w:customStyle="1" w:styleId="140">
    <w:name w:val="z-窗体底端2"/>
    <w:basedOn w:val="1"/>
    <w:next w:val="1"/>
    <w:link w:val="139"/>
    <w:unhideWhenUsed/>
    <w:qFormat/>
    <w:uiPriority w:val="99"/>
    <w:pPr>
      <w:widowControl/>
      <w:pBdr>
        <w:top w:val="single" w:color="auto" w:sz="6" w:space="1"/>
      </w:pBdr>
      <w:jc w:val="center"/>
    </w:pPr>
    <w:rPr>
      <w:rFonts w:ascii="Arial" w:hAnsi="Arial" w:eastAsia="宋体" w:cs="Times New Roman"/>
      <w:vanish/>
      <w:kern w:val="0"/>
      <w:sz w:val="16"/>
      <w:szCs w:val="16"/>
    </w:rPr>
  </w:style>
  <w:style w:type="character" w:customStyle="1" w:styleId="141">
    <w:name w:val="z-窗体顶端 字符3"/>
    <w:link w:val="142"/>
    <w:qFormat/>
    <w:uiPriority w:val="99"/>
    <w:rPr>
      <w:rFonts w:ascii="Arial" w:hAnsi="Arial"/>
      <w:vanish/>
      <w:sz w:val="16"/>
      <w:szCs w:val="16"/>
    </w:rPr>
  </w:style>
  <w:style w:type="paragraph" w:customStyle="1" w:styleId="142">
    <w:name w:val="z-窗体顶端2"/>
    <w:basedOn w:val="1"/>
    <w:next w:val="1"/>
    <w:link w:val="141"/>
    <w:unhideWhenUsed/>
    <w:qFormat/>
    <w:uiPriority w:val="99"/>
    <w:pPr>
      <w:widowControl/>
      <w:pBdr>
        <w:bottom w:val="single" w:color="auto" w:sz="6" w:space="1"/>
      </w:pBdr>
      <w:jc w:val="center"/>
    </w:pPr>
    <w:rPr>
      <w:rFonts w:ascii="Arial" w:hAnsi="Arial" w:eastAsia="宋体" w:cs="Times New Roman"/>
      <w:vanish/>
      <w:kern w:val="0"/>
      <w:sz w:val="16"/>
      <w:szCs w:val="16"/>
    </w:rPr>
  </w:style>
  <w:style w:type="character" w:customStyle="1" w:styleId="143">
    <w:name w:val="标题 1 Char"/>
    <w:qFormat/>
    <w:uiPriority w:val="9"/>
    <w:rPr>
      <w:rFonts w:ascii="Times New Roman" w:hAnsi="Times New Roman" w:eastAsia="宋体" w:cs="Times New Roman"/>
      <w:b/>
      <w:bCs/>
      <w:kern w:val="44"/>
      <w:sz w:val="44"/>
      <w:szCs w:val="44"/>
    </w:rPr>
  </w:style>
  <w:style w:type="paragraph" w:customStyle="1" w:styleId="144">
    <w:name w:val="修订1"/>
    <w:unhideWhenUsed/>
    <w:qFormat/>
    <w:uiPriority w:val="99"/>
    <w:rPr>
      <w:rFonts w:ascii="Times New Roman" w:hAnsi="Times New Roman" w:eastAsia="宋体" w:cs="Times New Roman"/>
      <w:kern w:val="2"/>
      <w:sz w:val="28"/>
      <w:szCs w:val="24"/>
      <w:lang w:val="en-US" w:eastAsia="zh-CN" w:bidi="ar-SA"/>
    </w:rPr>
  </w:style>
  <w:style w:type="paragraph" w:customStyle="1" w:styleId="145">
    <w:name w:val="2级标题"/>
    <w:basedOn w:val="146"/>
    <w:qFormat/>
    <w:uiPriority w:val="0"/>
    <w:pPr>
      <w:keepLines/>
      <w:widowControl/>
      <w:spacing w:before="240" w:after="120" w:line="360" w:lineRule="auto"/>
      <w:ind w:firstLine="0" w:firstLineChars="0"/>
      <w:contextualSpacing/>
      <w:jc w:val="left"/>
      <w:outlineLvl w:val="1"/>
    </w:pPr>
    <w:rPr>
      <w:rFonts w:ascii="黑体" w:hAnsi="黑体" w:eastAsia="黑体"/>
      <w:kern w:val="0"/>
      <w:sz w:val="32"/>
      <w:szCs w:val="24"/>
      <w:lang w:eastAsia="en-US" w:bidi="en-US"/>
    </w:rPr>
  </w:style>
  <w:style w:type="paragraph" w:customStyle="1" w:styleId="146">
    <w:name w:val="列出段落1"/>
    <w:basedOn w:val="1"/>
    <w:qFormat/>
    <w:uiPriority w:val="0"/>
    <w:pPr>
      <w:ind w:firstLine="420" w:firstLineChars="200"/>
    </w:pPr>
    <w:rPr>
      <w:rFonts w:ascii="Calibri" w:hAnsi="Calibri" w:eastAsia="宋体" w:cs="Times New Roman"/>
      <w:sz w:val="28"/>
    </w:rPr>
  </w:style>
  <w:style w:type="paragraph" w:customStyle="1" w:styleId="147">
    <w:name w:val="TOC 72"/>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148">
    <w:name w:val="_Style 53"/>
    <w:basedOn w:val="13"/>
    <w:next w:val="26"/>
    <w:unhideWhenUsed/>
    <w:qFormat/>
    <w:uiPriority w:val="99"/>
    <w:pPr>
      <w:ind w:firstLine="420"/>
    </w:pPr>
    <w:rPr>
      <w:rFonts w:eastAsia="宋体" w:cs="Times New Roman"/>
      <w:lang w:val="zh-CN"/>
    </w:rPr>
  </w:style>
  <w:style w:type="paragraph" w:customStyle="1" w:styleId="149">
    <w:name w:val="_Style 3"/>
    <w:qFormat/>
    <w:uiPriority w:val="1"/>
    <w:pPr>
      <w:widowControl w:val="0"/>
      <w:jc w:val="both"/>
    </w:pPr>
    <w:rPr>
      <w:rFonts w:ascii="Times New Roman" w:hAnsi="Times New Roman" w:eastAsia="Arial" w:cs="Times New Roman"/>
      <w:kern w:val="2"/>
      <w:sz w:val="21"/>
      <w:szCs w:val="22"/>
      <w:lang w:val="en-US" w:eastAsia="zh-CN" w:bidi="ar-SA"/>
    </w:rPr>
  </w:style>
  <w:style w:type="paragraph" w:customStyle="1" w:styleId="150">
    <w:name w:val="ql-align-justify"/>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51">
    <w:name w:val="未处理的提及31"/>
    <w:basedOn w:val="2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4" Type="http://schemas.openxmlformats.org/officeDocument/2006/relationships/fontTable" Target="fontTable.xml"/><Relationship Id="rId83" Type="http://schemas.openxmlformats.org/officeDocument/2006/relationships/customXml" Target="../customXml/item2.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jpeg"/><Relationship Id="rId75" Type="http://schemas.openxmlformats.org/officeDocument/2006/relationships/image" Target="media/image69.jpeg"/><Relationship Id="rId74" Type="http://schemas.openxmlformats.org/officeDocument/2006/relationships/image" Target="media/image68.jpeg"/><Relationship Id="rId73" Type="http://schemas.openxmlformats.org/officeDocument/2006/relationships/image" Target="media/image67.jpe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jpeg"/><Relationship Id="rId7" Type="http://schemas.openxmlformats.org/officeDocument/2006/relationships/theme" Target="theme/theme1.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pn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png"/><Relationship Id="rId61" Type="http://schemas.openxmlformats.org/officeDocument/2006/relationships/image" Target="media/image55.jpeg"/><Relationship Id="rId60" Type="http://schemas.openxmlformats.org/officeDocument/2006/relationships/image" Target="media/image54.png"/><Relationship Id="rId6" Type="http://schemas.openxmlformats.org/officeDocument/2006/relationships/footer" Target="footer3.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279516-1E6D-4AAB-8FE6-6BAEFC043CAE}">
  <ds:schemaRefs/>
</ds:datastoreItem>
</file>

<file path=docProps/app.xml><?xml version="1.0" encoding="utf-8"?>
<Properties xmlns="http://schemas.openxmlformats.org/officeDocument/2006/extended-properties" xmlns:vt="http://schemas.openxmlformats.org/officeDocument/2006/docPropsVTypes">
  <Template>Normal</Template>
  <Pages>67</Pages>
  <Words>38053</Words>
  <Characters>42161</Characters>
  <Lines>79</Lines>
  <Paragraphs>94</Paragraphs>
  <TotalTime>38</TotalTime>
  <ScaleCrop>false</ScaleCrop>
  <LinksUpToDate>false</LinksUpToDate>
  <CharactersWithSpaces>44320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2022-07-14T03:55:00Z</dcterms:created>
  <dc:creator>hj j</dc:creator>
  <cp:lastModifiedBy>Administrator</cp:lastModifiedBy>
  <dcterms:modified xsi:type="dcterms:W3CDTF">2022-07-14T09:32:32Z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B363B45C01FF4C5A8AB2573BD522DAF7</vt:lpwstr>
  </property>
</Properties>
</file>