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auto"/>
          <w:sz w:val="24"/>
          <w:highlight w:val="none"/>
          <w:lang w:val="en-US" w:eastAsia="zh-CN"/>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下沙街道聘请第三方机构专家派驻开展安全生产社会化服务</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招标文件（试行）</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QTCG-GK-2022-238</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杭州市钱塘区人民政府下沙街道办事处</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浙江中诚工程管理科技有限公司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十七</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下沙街道聘请第三方机构专家派驻开展安全生产社会化服务</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QTCG-GK-2022-238</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下沙街道聘请第三方机构专家派驻开展安全生产社会化服务</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58</w:t>
      </w:r>
      <w:r>
        <w:rPr>
          <w:rFonts w:hint="eastAsia" w:ascii="仿宋_GB2312" w:hAnsi="仿宋" w:eastAsia="仿宋_GB2312"/>
          <w:color w:val="auto"/>
          <w:sz w:val="24"/>
          <w:highlight w:val="none"/>
        </w:rPr>
        <w:t xml:space="preserve">00000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58</w:t>
      </w:r>
      <w:r>
        <w:rPr>
          <w:rFonts w:hint="eastAsia" w:ascii="仿宋_GB2312" w:hAnsi="仿宋" w:eastAsia="仿宋_GB2312"/>
          <w:color w:val="auto"/>
          <w:sz w:val="24"/>
          <w:highlight w:val="none"/>
        </w:rPr>
        <w:t xml:space="preserve">00000 </w:t>
      </w:r>
    </w:p>
    <w:p>
      <w:pPr>
        <w:pStyle w:val="1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lang w:eastAsia="zh-CN"/>
        </w:rPr>
        <w:t>下沙街道聘请第三方机构专家派驻开展安全生产社会化服务</w:t>
      </w:r>
      <w:r>
        <w:rPr>
          <w:rFonts w:hint="eastAsia" w:ascii="仿宋_GB2312" w:hAnsi="仿宋" w:eastAsia="仿宋_GB2312"/>
          <w:bCs/>
          <w:snapToGrid/>
          <w:color w:val="auto"/>
          <w:kern w:val="2"/>
          <w:sz w:val="24"/>
          <w:szCs w:val="24"/>
          <w:highlight w:val="none"/>
        </w:rPr>
        <w:t>主要内容： 为改善街道企业的安全生产环境，从源头上遏制和减少安全生产隐患，推动社会力量参与支持安全生产工作，通过排查、整改指导、整改确认等安全技术服务。坚持“安全第一、预防为主、综合治理、失职追责”的方针，贯彻落实中央提出的安全发展理念，通过网格化管理企业</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详见招标文件第三部分采购需求。</w:t>
      </w:r>
    </w:p>
    <w:p>
      <w:pPr>
        <w:pStyle w:val="128"/>
        <w:ind w:firstLine="482"/>
        <w:outlineLvl w:val="2"/>
        <w:rPr>
          <w:rFonts w:hint="default" w:ascii="仿宋_GB2312" w:hAnsi="仿宋" w:eastAsia="仿宋_GB2312"/>
          <w:color w:val="auto"/>
          <w:highlight w:val="none"/>
          <w:lang w:val="en-US" w:eastAsia="zh-CN"/>
        </w:rPr>
      </w:pPr>
      <w:r>
        <w:rPr>
          <w:rFonts w:hint="eastAsia" w:ascii="仿宋_GB2312" w:hAnsi="仿宋" w:eastAsia="仿宋_GB2312"/>
          <w:b/>
          <w:color w:val="auto"/>
          <w:highlight w:val="none"/>
        </w:rPr>
        <w:t>合同履约期限：</w:t>
      </w:r>
      <w:r>
        <w:rPr>
          <w:rFonts w:hint="eastAsia" w:ascii="仿宋_GB2312" w:hAnsi="仿宋" w:eastAsia="仿宋_GB2312"/>
          <w:b/>
          <w:color w:val="auto"/>
          <w:highlight w:val="none"/>
          <w:lang w:val="en-US" w:eastAsia="zh-CN"/>
        </w:rPr>
        <w:t>详见采购需求</w:t>
      </w:r>
    </w:p>
    <w:p>
      <w:pPr>
        <w:pStyle w:val="1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snapToGrid w:val="0"/>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5"/>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1"/>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4"/>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5"/>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17"/>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0"/>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2"/>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23"/>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6"/>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2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2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30"/>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hint="eastAsia" w:ascii="仿宋_GB2312" w:hAnsi="仿宋" w:eastAsia="仿宋_GB2312"/>
          <w:color w:val="auto"/>
          <w:sz w:val="24"/>
          <w:highlight w:val="none"/>
        </w:rPr>
        <w:t xml:space="preserve">杭州钱塘新区公共资源交易中心和茂大厦四楼（杭州市钱塘区幸福南路1116号）第4号开标室 </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color w:val="auto"/>
          <w:sz w:val="24"/>
          <w:highlight w:val="none"/>
        </w:rPr>
        <w:t>。</w:t>
      </w:r>
      <w:r>
        <w:rPr>
          <w:rFonts w:ascii="仿宋_GB2312" w:hAnsi="仿宋" w:eastAsia="仿宋_GB2312"/>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3.其他事项：（1）需要落实的政府采购政策：包括节约资源、保护环境、支持创新、促进中小企业发展等。详见招标文件的第二部分总则。（2）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杭州市钱塘区人民政府下沙街道办事处</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_GB2312"/>
          <w:color w:val="auto"/>
          <w:sz w:val="24"/>
          <w:highlight w:val="none"/>
        </w:rPr>
        <w:t xml:space="preserve"> 杭州经济技术开发区海达南路555号</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高工</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 0571-</w:t>
      </w:r>
      <w:r>
        <w:rPr>
          <w:rFonts w:hint="eastAsia" w:ascii="仿宋_GB2312" w:hAnsi="仿宋" w:eastAsia="仿宋_GB2312"/>
          <w:color w:val="auto"/>
          <w:sz w:val="24"/>
          <w:highlight w:val="none"/>
          <w:lang w:val="en-US" w:eastAsia="zh-CN"/>
        </w:rPr>
        <w:t>86927883</w:t>
      </w:r>
    </w:p>
    <w:p>
      <w:pPr>
        <w:spacing w:line="360" w:lineRule="auto"/>
        <w:rPr>
          <w:rFonts w:hint="default" w:ascii="仿宋" w:hAnsi="仿宋" w:eastAsia="仿宋"/>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张工</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 0571-</w:t>
      </w:r>
      <w:r>
        <w:rPr>
          <w:rFonts w:hint="eastAsia" w:ascii="仿宋_GB2312" w:hAnsi="仿宋" w:eastAsia="仿宋_GB2312"/>
          <w:color w:val="auto"/>
          <w:sz w:val="24"/>
          <w:highlight w:val="none"/>
          <w:lang w:val="en-US" w:eastAsia="zh-CN"/>
        </w:rPr>
        <w:t>89095437</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称：浙江中诚工程管理科技有限公司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 w:hAnsi="仿宋" w:eastAsia="仿宋"/>
          <w:color w:val="auto"/>
          <w:sz w:val="24"/>
          <w:highlight w:val="none"/>
        </w:rPr>
        <w:t>杭州市萧山区振宁路600号国丰大厦B座1502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董钰</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0571-82829558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 xml:space="preserve">高亚伟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0571-82850808</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杭州市钱塘区财政局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杭州市钱塘区青六北路499号钱塘中心5号楼</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真：0571-82988295</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：任女士</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监督投诉电话：0571-82987260</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keepNext w:val="0"/>
              <w:keepLines w:val="0"/>
              <w:suppressLineNumbers w:val="0"/>
              <w:snapToGrid w:val="0"/>
              <w:spacing w:before="0" w:beforeAutospacing="0" w:after="0" w:afterAutospacing="0" w:line="360" w:lineRule="auto"/>
              <w:ind w:left="0" w:right="0"/>
              <w:jc w:val="left"/>
              <w:rPr>
                <w:rFonts w:hint="default"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hint="default" w:ascii="仿宋_GB2312" w:hAnsi="仿宋" w:eastAsia="仿宋_GB2312"/>
                <w:b/>
                <w:color w:val="auto"/>
                <w:kern w:val="0"/>
                <w:sz w:val="24"/>
                <w:highlight w:val="none"/>
                <w:lang w:val="zh-CN"/>
              </w:rPr>
              <w:t>;</w:t>
            </w:r>
          </w:p>
          <w:p>
            <w:pPr>
              <w:keepNext w:val="0"/>
              <w:keepLines w:val="0"/>
              <w:suppressLineNumbers w:val="0"/>
              <w:spacing w:before="0" w:beforeAutospacing="0" w:after="0" w:afterAutospacing="0" w:line="360" w:lineRule="auto"/>
              <w:ind w:left="0" w:right="0" w:firstLine="241" w:firstLineChars="100"/>
              <w:rPr>
                <w:rFonts w:hint="default"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default" w:ascii="仿宋_GB2312" w:hAnsi="仿宋" w:eastAsia="仿宋_GB2312" w:cs="仿宋_GB2312"/>
                <w:b/>
                <w:color w:val="auto"/>
                <w:sz w:val="24"/>
                <w:szCs w:val="21"/>
                <w:highlight w:val="none"/>
              </w:rPr>
              <w:t>;</w:t>
            </w:r>
          </w:p>
          <w:p>
            <w:pPr>
              <w:keepNext w:val="0"/>
              <w:keepLines w:val="0"/>
              <w:suppressLineNumbers w:val="0"/>
              <w:spacing w:before="0" w:beforeAutospacing="0" w:after="0" w:afterAutospacing="0" w:line="360" w:lineRule="auto"/>
              <w:ind w:left="0" w:right="0" w:firstLine="241" w:firstLineChars="100"/>
              <w:rPr>
                <w:rFonts w:hint="default"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32"/>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33"/>
                    <w:showingPlcHdr/>
                  </w:sdtPr>
                  <w:sdtEndPr>
                    <w:rPr>
                      <w:rFonts w:hint="eastAsia" w:ascii="仿宋_GB2312" w:hAnsi="仿宋" w:eastAsia="仿宋_GB2312" w:cs="Arial"/>
                      <w:kern w:val="0"/>
                      <w:sz w:val="24"/>
                      <w:highlight w:val="none"/>
                    </w:rPr>
                  </w:sdtEndPr>
                  <w:sdtContent/>
                </w:sdt>
              </w:sdtContent>
            </w:sdt>
            <w:r>
              <w:rPr>
                <w:rFonts w:hint="default"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keepNext w:val="0"/>
              <w:keepLines w:val="0"/>
              <w:suppressLineNumbers w:val="0"/>
              <w:spacing w:before="0" w:beforeAutospacing="0" w:after="0" w:afterAutospacing="0" w:line="360" w:lineRule="auto"/>
              <w:ind w:left="0" w:right="0"/>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35"/>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36"/>
                    <w:showingPlcHdr/>
                  </w:sdtPr>
                  <w:sdtEndPr>
                    <w:rPr>
                      <w:rFonts w:hint="eastAsia" w:ascii="仿宋_GB2312" w:hAnsi="仿宋" w:eastAsia="仿宋_GB2312" w:cs="Arial"/>
                      <w:kern w:val="0"/>
                      <w:sz w:val="24"/>
                      <w:highlight w:val="none"/>
                    </w:rPr>
                  </w:sdtEndPr>
                  <w:sdtContent/>
                </w:sdt>
              </w:sdtContent>
            </w:sdt>
            <w:r>
              <w:rPr>
                <w:rFonts w:hint="default" w:ascii="仿宋_GB2312" w:hAnsi="仿宋" w:eastAsia="仿宋_GB2312" w:cs="Arial"/>
                <w:color w:val="auto"/>
                <w:kern w:val="0"/>
                <w:sz w:val="24"/>
                <w:highlight w:val="none"/>
              </w:rPr>
              <w:t xml:space="preserve"> </w:t>
            </w:r>
            <w:r>
              <w:rPr>
                <w:rFonts w:hint="default" w:ascii="仿宋_GB2312" w:hAnsi="仿宋" w:eastAsia="仿宋_GB2312" w:cs="Arial"/>
                <w:kern w:val="0"/>
                <w:sz w:val="24"/>
                <w:highlight w:val="none"/>
              </w:rPr>
              <w:t>B</w:t>
            </w:r>
            <w:r>
              <w:rPr>
                <w:rFonts w:hint="eastAsia" w:ascii="仿宋_GB2312" w:hAnsi="仿宋" w:eastAsia="仿宋_GB2312"/>
                <w:sz w:val="24"/>
                <w:highlight w:val="none"/>
              </w:rPr>
              <w:t>同意</w:t>
            </w:r>
            <w:r>
              <w:rPr>
                <w:rFonts w:hint="eastAsia" w:ascii="仿宋_GB2312" w:hAnsi="仿宋" w:eastAsia="仿宋_GB2312"/>
                <w:sz w:val="24"/>
                <w:highlight w:val="none"/>
                <w:lang w:eastAsia="zh-CN"/>
              </w:rPr>
              <w:t>大型</w:t>
            </w:r>
            <w:r>
              <w:rPr>
                <w:rFonts w:hint="eastAsia" w:ascii="仿宋_GB2312" w:hAnsi="仿宋" w:eastAsia="仿宋_GB2312"/>
                <w:sz w:val="24"/>
                <w:highlight w:val="none"/>
                <w:lang w:val="en-US" w:eastAsia="zh-CN"/>
              </w:rPr>
              <w:t>企业向小微企业、中型企业向小微企业、小微企业向小微企业合理分包</w:t>
            </w:r>
            <w:r>
              <w:rPr>
                <w:rFonts w:hint="eastAsia" w:ascii="仿宋_GB2312" w:hAnsi="仿宋" w:eastAsia="仿宋_GB2312"/>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3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39"/>
                    <w:showingPlcHdr/>
                  </w:sdtPr>
                  <w:sdtEndPr>
                    <w:rPr>
                      <w:rFonts w:hint="eastAsia" w:ascii="仿宋_GB2312" w:hAnsi="仿宋" w:eastAsia="仿宋_GB2312" w:cs="Arial"/>
                      <w:kern w:val="0"/>
                      <w:sz w:val="24"/>
                      <w:highlight w:val="none"/>
                    </w:rPr>
                  </w:sdtEndPr>
                  <w:sdtContent/>
                </w:sdt>
              </w:sdtContent>
            </w:sdt>
            <w:r>
              <w:rPr>
                <w:rFonts w:hint="default"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default" w:ascii="仿宋_GB2312" w:hAnsi="仿宋" w:eastAsia="仿宋_GB2312"/>
                <w:color w:val="auto"/>
                <w:sz w:val="24"/>
                <w:highlight w:val="none"/>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default"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0"/>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4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42"/>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4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4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45"/>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hint="default" w:ascii="仿宋_GB2312" w:hAnsi="仿宋" w:eastAsia="仿宋_GB2312"/>
                <w:color w:val="auto"/>
                <w:sz w:val="24"/>
                <w:highlight w:val="none"/>
                <w:u w:val="single"/>
              </w:rPr>
              <w:t xml:space="preserve">      </w:t>
            </w:r>
            <w:r>
              <w:rPr>
                <w:rFonts w:hint="default" w:ascii="仿宋_GB2312" w:hAnsi="仿宋" w:eastAsia="仿宋_GB2312"/>
                <w:color w:val="auto"/>
                <w:sz w:val="24"/>
                <w:highlight w:val="none"/>
              </w:rPr>
              <w:t>,地点：</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hint="default"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4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48"/>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50"/>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51"/>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default"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default"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default"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default"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5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54"/>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5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57"/>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default"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hint="default"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hint="default"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hint="default" w:ascii="仿宋_GB2312" w:hAnsi="仿宋" w:eastAsia="仿宋_GB2312"/>
                <w:color w:val="auto"/>
                <w:sz w:val="24"/>
                <w:highlight w:val="none"/>
              </w:rPr>
              <w:t>行保管、封存，并作为履约验收的参考。</w:t>
            </w:r>
          </w:p>
          <w:p>
            <w:pPr>
              <w:keepNext w:val="0"/>
              <w:keepLines w:val="0"/>
              <w:suppressLineNumbers w:val="0"/>
              <w:spacing w:before="0" w:beforeAutospacing="0" w:after="0" w:afterAutospacing="0" w:line="360" w:lineRule="auto"/>
              <w:ind w:left="0" w:right="0"/>
              <w:rPr>
                <w:rFonts w:hint="default"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hint="default"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5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60"/>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62"/>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63"/>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olor w:val="auto"/>
                <w:kern w:val="0"/>
                <w:sz w:val="24"/>
                <w:highlight w:val="none"/>
              </w:rPr>
              <w:t>B组织。</w:t>
            </w:r>
          </w:p>
          <w:p>
            <w:pPr>
              <w:keepNext w:val="0"/>
              <w:keepLines w:val="0"/>
              <w:suppressLineNumbers w:val="0"/>
              <w:snapToGrid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default" w:ascii="仿宋_GB2312" w:hAnsi="仿宋" w:eastAsia="仿宋_GB2312"/>
                <w:color w:val="auto"/>
                <w:kern w:val="0"/>
                <w:sz w:val="24"/>
                <w:highlight w:val="none"/>
              </w:rPr>
              <w:t>1）在评标时安排每个投标人进行方案讲解演示。每个投标人时间不超过</w:t>
            </w:r>
            <w:r>
              <w:rPr>
                <w:rFonts w:hint="eastAsia" w:ascii="仿宋_GB2312" w:hAnsi="仿宋" w:eastAsia="仿宋_GB2312"/>
                <w:color w:val="auto"/>
                <w:kern w:val="0"/>
                <w:sz w:val="24"/>
                <w:highlight w:val="none"/>
                <w:lang w:val="en-US" w:eastAsia="zh-CN"/>
              </w:rPr>
              <w:t>1</w:t>
            </w:r>
            <w:r>
              <w:rPr>
                <w:rFonts w:hint="default" w:ascii="仿宋_GB2312" w:hAnsi="仿宋" w:eastAsia="仿宋_GB2312"/>
                <w:color w:val="auto"/>
                <w:kern w:val="0"/>
                <w:sz w:val="24"/>
                <w:highlight w:val="none"/>
              </w:rPr>
              <w:t>0分钟，讲解次序以投标文件解密时间先后次序为准，讲解演示人员不超过3人。讲解演示结束后按要求解答评标委员会提问。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hint="default"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keepNext w:val="0"/>
              <w:keepLines w:val="0"/>
              <w:suppressLineNumbers w:val="0"/>
              <w:snapToGrid w:val="0"/>
              <w:spacing w:before="0" w:beforeAutospacing="0" w:after="0" w:afterAutospacing="0" w:line="360" w:lineRule="auto"/>
              <w:ind w:left="0" w:right="0"/>
              <w:rPr>
                <w:rFonts w:hint="default"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b/>
                <w:bCs/>
                <w:color w:val="auto"/>
                <w:sz w:val="24"/>
                <w:highlight w:val="none"/>
                <w:u w:val="single"/>
              </w:rPr>
              <w:t xml:space="preserve">杭州钱塘新区公共资源交易中心和茂大厦四楼（杭州市钱塘区幸福南路1116号）第4号开标室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none"/>
                <w:lang w:val="en-US" w:eastAsia="zh-CN"/>
              </w:rPr>
              <w:t>时间为</w:t>
            </w:r>
            <w:r>
              <w:rPr>
                <w:rFonts w:hint="eastAsia" w:ascii="仿宋_GB2312" w:hAnsi="仿宋" w:eastAsia="仿宋_GB2312"/>
                <w:b/>
                <w:bCs/>
                <w:color w:val="auto"/>
                <w:sz w:val="24"/>
                <w:highlight w:val="none"/>
                <w:u w:val="single"/>
                <w:lang w:val="en-US" w:eastAsia="zh-CN"/>
              </w:rPr>
              <w:t>2022年9月16日09时30分</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keepNext w:val="0"/>
              <w:keepLines w:val="0"/>
              <w:suppressLineNumbers w:val="0"/>
              <w:snapToGrid w:val="0"/>
              <w:spacing w:before="0" w:beforeAutospacing="0" w:after="0" w:afterAutospacing="0" w:line="360" w:lineRule="auto"/>
              <w:ind w:left="0" w:right="0"/>
              <w:rPr>
                <w:rFonts w:hint="default"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6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6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66"/>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color w:val="auto"/>
                <w:kern w:val="0"/>
                <w:sz w:val="24"/>
                <w:highlight w:val="none"/>
              </w:rPr>
              <w:t>本项目不允许采购进口产品。</w:t>
            </w:r>
          </w:p>
          <w:p>
            <w:pPr>
              <w:keepNext w:val="0"/>
              <w:keepLines w:val="0"/>
              <w:suppressLineNumbers w:val="0"/>
              <w:spacing w:before="0" w:beforeAutospacing="0" w:after="0" w:afterAutospacing="0" w:line="360" w:lineRule="auto"/>
              <w:ind w:left="0" w:right="0"/>
              <w:rPr>
                <w:rFonts w:hint="default"/>
                <w:color w:val="auto"/>
                <w:highlight w:val="none"/>
              </w:rPr>
            </w:pPr>
            <w:sdt>
              <w:sdtPr>
                <w:rPr>
                  <w:rFonts w:hint="eastAsia" w:ascii="仿宋_GB2312" w:hAnsi="仿宋" w:eastAsia="仿宋_GB2312" w:cs="Arial"/>
                  <w:color w:val="auto"/>
                  <w:kern w:val="0"/>
                  <w:sz w:val="24"/>
                  <w:highlight w:val="none"/>
                </w:rPr>
                <w:id w:val="6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69"/>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sdt>
              <w:sdtPr>
                <w:rPr>
                  <w:rFonts w:hint="eastAsia" w:ascii="仿宋_GB2312" w:hAnsi="仿宋" w:eastAsia="仿宋_GB2312" w:cs="Arial"/>
                  <w:kern w:val="0"/>
                  <w:sz w:val="24"/>
                </w:rPr>
                <w:id w:val="70"/>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71"/>
                <w:showingPlcHdr/>
              </w:sdtPr>
              <w:sdtEndPr>
                <w:rPr>
                  <w:rFonts w:hint="eastAsia" w:ascii="仿宋_GB2312" w:hAnsi="仿宋" w:eastAsia="仿宋_GB2312" w:cs="Arial"/>
                  <w:kern w:val="0"/>
                  <w:sz w:val="24"/>
                </w:rPr>
              </w:sdtEndPr>
              <w:sdtContent/>
            </w:sdt>
            <w:r>
              <w:rPr>
                <w:rFonts w:hint="default"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sdt>
              <w:sdtPr>
                <w:rPr>
                  <w:rFonts w:hint="eastAsia" w:ascii="仿宋_GB2312" w:hAnsi="仿宋" w:eastAsia="仿宋_GB2312" w:cs="Arial"/>
                  <w:kern w:val="0"/>
                  <w:sz w:val="24"/>
                </w:rPr>
                <w:id w:val="72"/>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73"/>
                <w:showingPlcHdr/>
              </w:sdtPr>
              <w:sdtEndPr>
                <w:rPr>
                  <w:rFonts w:hint="eastAsia" w:ascii="仿宋_GB2312" w:hAnsi="仿宋" w:eastAsia="仿宋_GB2312" w:cs="Arial"/>
                  <w:kern w:val="0"/>
                  <w:sz w:val="24"/>
                </w:rPr>
              </w:sdtEndPr>
              <w:sdtContent/>
            </w:sdt>
            <w:r>
              <w:rPr>
                <w:rFonts w:hint="default"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hint="default"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eastAsia="zh-CN"/>
              </w:rPr>
              <w:t>下沙街道聘请第三方机构专家派驻开展安全生产社会化服务</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其他未列明行业 </w:t>
            </w:r>
            <w:r>
              <w:rPr>
                <w:rFonts w:hint="eastAsia" w:ascii="仿宋_GB2312" w:hAnsi="仿宋" w:eastAsia="仿宋_GB2312" w:cs="Arial"/>
                <w:color w:val="auto"/>
                <w:kern w:val="0"/>
                <w:sz w:val="24"/>
                <w:highlight w:val="none"/>
              </w:rPr>
              <w:t>行业；</w:t>
            </w:r>
          </w:p>
          <w:p>
            <w:pPr>
              <w:pStyle w:val="4"/>
              <w:suppressLineNumbers w:val="0"/>
              <w:spacing w:before="0" w:beforeAutospacing="0" w:after="0" w:afterAutospacing="0"/>
              <w:ind w:right="0"/>
              <w:rPr>
                <w:rFonts w:hint="default"/>
                <w:color w:val="auto"/>
                <w:highlight w:val="none"/>
                <w:lang w:val="en-US"/>
              </w:rPr>
            </w:pPr>
            <w:r>
              <w:rPr>
                <w:rFonts w:hint="eastAsia"/>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7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76"/>
                    <w:showingPlcHdr/>
                  </w:sdtPr>
                  <w:sdtEndPr>
                    <w:rPr>
                      <w:rFonts w:hint="eastAsia" w:ascii="仿宋_GB2312" w:hAnsi="仿宋" w:eastAsia="仿宋_GB2312" w:cs="Arial"/>
                      <w:kern w:val="0"/>
                      <w:sz w:val="24"/>
                    </w:rPr>
                  </w:sdtEndPr>
                  <w:sdtContent/>
                </w:sdt>
              </w:sdtContent>
            </w:sdt>
            <w:r>
              <w:rPr>
                <w:rFonts w:hint="default"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pPr>
              <w:pStyle w:val="23"/>
              <w:keepNext w:val="0"/>
              <w:keepLines w:val="0"/>
              <w:suppressLineNumbers w:val="0"/>
              <w:spacing w:before="0" w:beforeAutospacing="0" w:after="0" w:afterAutospacing="0"/>
              <w:ind w:left="0" w:right="0"/>
              <w:rPr>
                <w:rFonts w:hint="default" w:ascii="仿宋_GB2312" w:hAnsi="仿宋" w:eastAsia="仿宋_GB2312"/>
                <w:color w:val="auto"/>
                <w:kern w:val="0"/>
                <w:highlight w:val="none"/>
              </w:rPr>
            </w:pPr>
            <w:sdt>
              <w:sdtPr>
                <w:rPr>
                  <w:rFonts w:hint="eastAsia" w:ascii="仿宋_GB2312" w:hAnsi="仿宋" w:eastAsia="仿宋_GB2312" w:cs="Arial"/>
                  <w:kern w:val="0"/>
                  <w:sz w:val="24"/>
                </w:rPr>
                <w:id w:val="7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78"/>
                <w:showingPlcHdr/>
              </w:sdtPr>
              <w:sdtEndPr>
                <w:rPr>
                  <w:rFonts w:hint="eastAsia" w:ascii="仿宋_GB2312" w:hAnsi="仿宋" w:eastAsia="仿宋_GB2312" w:cs="Arial"/>
                  <w:kern w:val="0"/>
                  <w:sz w:val="24"/>
                </w:rPr>
              </w:sdtEndPr>
              <w:sdtContent/>
            </w:sdt>
            <w:r>
              <w:rPr>
                <w:rFonts w:hint="default"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pPr>
              <w:pStyle w:val="23"/>
              <w:keepNext w:val="0"/>
              <w:keepLines w:val="0"/>
              <w:suppressLineNumbers w:val="0"/>
              <w:spacing w:before="0" w:beforeAutospacing="0" w:after="0" w:afterAutospacing="0"/>
              <w:ind w:left="0" w:right="0" w:firstLine="480" w:firstLineChars="200"/>
              <w:rPr>
                <w:rFonts w:hint="default"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3"/>
              <w:keepNext w:val="0"/>
              <w:keepLines w:val="0"/>
              <w:suppressLineNumbers w:val="0"/>
              <w:spacing w:before="0" w:beforeAutospacing="0" w:after="0" w:afterAutospacing="0"/>
              <w:ind w:left="0" w:right="0" w:firstLine="480" w:firstLineChars="200"/>
              <w:rPr>
                <w:rFonts w:hint="default"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3"/>
              <w:keepNext w:val="0"/>
              <w:keepLines w:val="0"/>
              <w:suppressLineNumbers w:val="0"/>
              <w:spacing w:before="0" w:beforeAutospacing="0" w:after="0" w:afterAutospacing="0"/>
              <w:ind w:left="0" w:right="0"/>
              <w:rPr>
                <w:rFonts w:hint="default" w:ascii="仿宋_GB2312" w:hAnsi="仿宋" w:eastAsia="仿宋_GB2312"/>
                <w:color w:val="auto"/>
                <w:kern w:val="0"/>
                <w:highlight w:val="none"/>
              </w:rPr>
            </w:pPr>
            <w:sdt>
              <w:sdtPr>
                <w:rPr>
                  <w:rFonts w:hint="eastAsia" w:ascii="仿宋_GB2312" w:hAnsi="仿宋" w:eastAsia="仿宋_GB2312" w:cs="Arial"/>
                  <w:kern w:val="0"/>
                  <w:sz w:val="24"/>
                </w:rPr>
                <w:id w:val="7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80"/>
                <w:showingPlcHdr/>
              </w:sdtPr>
              <w:sdtEndPr>
                <w:rPr>
                  <w:rFonts w:hint="eastAsia" w:ascii="仿宋_GB2312" w:hAnsi="仿宋" w:eastAsia="仿宋_GB2312" w:cs="Arial"/>
                  <w:kern w:val="0"/>
                  <w:sz w:val="24"/>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pPr>
              <w:pStyle w:val="23"/>
              <w:keepNext w:val="0"/>
              <w:keepLines w:val="0"/>
              <w:suppressLineNumbers w:val="0"/>
              <w:spacing w:before="0" w:beforeAutospacing="0" w:after="0" w:afterAutospacing="0"/>
              <w:ind w:left="0" w:right="0" w:firstLine="480" w:firstLineChars="200"/>
              <w:rPr>
                <w:rFonts w:hint="default"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3"/>
              <w:keepNext w:val="0"/>
              <w:keepLines w:val="0"/>
              <w:suppressLineNumbers w:val="0"/>
              <w:spacing w:before="0" w:beforeAutospacing="0" w:after="0" w:afterAutospacing="0"/>
              <w:ind w:left="0" w:right="0" w:firstLine="480" w:firstLineChars="200"/>
              <w:rPr>
                <w:rFonts w:hint="default"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3"/>
              <w:keepNext w:val="0"/>
              <w:keepLines w:val="0"/>
              <w:suppressLineNumbers w:val="0"/>
              <w:spacing w:before="0" w:beforeAutospacing="0" w:after="0" w:afterAutospacing="0"/>
              <w:ind w:left="0" w:right="0"/>
              <w:rPr>
                <w:rFonts w:hint="default"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rPr>
                    <w:id w:val="8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83"/>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pPr>
              <w:pStyle w:val="23"/>
              <w:keepNext w:val="0"/>
              <w:keepLines w:val="0"/>
              <w:suppressLineNumbers w:val="0"/>
              <w:spacing w:before="0" w:beforeAutospacing="0" w:after="0" w:afterAutospacing="0"/>
              <w:ind w:left="0" w:right="0" w:firstLine="480" w:firstLineChars="200"/>
              <w:rPr>
                <w:rFonts w:hint="default"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3"/>
              <w:keepNext w:val="0"/>
              <w:keepLines w:val="0"/>
              <w:suppressLineNumbers w:val="0"/>
              <w:spacing w:before="0" w:beforeAutospacing="0" w:after="0" w:afterAutospacing="0"/>
              <w:ind w:left="0" w:right="0" w:firstLine="480" w:firstLineChars="200"/>
              <w:rPr>
                <w:rFonts w:hint="default"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suppressLineNumbers w:val="0"/>
              <w:spacing w:before="0" w:beforeAutospacing="0" w:after="0" w:afterAutospacing="0" w:line="360" w:lineRule="auto"/>
              <w:ind w:left="0" w:right="0" w:firstLine="420" w:firstLineChars="200"/>
              <w:rPr>
                <w:rFonts w:hint="default"/>
                <w:color w:val="auto"/>
                <w:highlight w:val="none"/>
              </w:rPr>
            </w:pPr>
          </w:p>
        </w:tc>
        <w:tc>
          <w:tcPr>
            <w:tcW w:w="1843" w:type="dxa"/>
            <w:vMerge w:val="continue"/>
            <w:tcBorders>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20" w:firstLineChars="200"/>
              <w:rPr>
                <w:rFonts w:hint="default"/>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hint="default"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suppressLineNumbers w:val="0"/>
              <w:spacing w:before="0" w:beforeAutospacing="0" w:after="0" w:afterAutospacing="0" w:line="360" w:lineRule="auto"/>
              <w:ind w:left="0" w:right="0"/>
              <w:rPr>
                <w:rFonts w:hint="default"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无</w:t>
            </w:r>
            <w:r>
              <w:rPr>
                <w:rFonts w:hint="eastAsia" w:ascii="仿宋_GB2312" w:hAnsi="仿宋" w:eastAsia="仿宋_GB2312"/>
                <w:color w:val="auto"/>
                <w:sz w:val="24"/>
                <w:highlight w:val="none"/>
                <w:u w:val="single"/>
              </w:rPr>
              <w:t xml:space="preserve"> </w:t>
            </w:r>
            <w:r>
              <w:rPr>
                <w:rFonts w:hint="default"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采购代理服务费：本项目的采购代理费由中标人支付。</w:t>
            </w:r>
          </w:p>
          <w:p>
            <w:pPr>
              <w:keepNext w:val="0"/>
              <w:keepLines w:val="0"/>
              <w:suppressLineNumbers w:val="0"/>
              <w:spacing w:before="0" w:beforeAutospacing="0" w:after="0" w:afterAutospacing="0" w:line="360" w:lineRule="auto"/>
              <w:ind w:left="0" w:right="0"/>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采购代理费计费标准：按发改价格【2011】534号文件规定的收费标准计取（不足3000元按3000元计），取费基数为本项目的</w:t>
            </w:r>
            <w:r>
              <w:rPr>
                <w:rFonts w:hint="eastAsia" w:ascii="仿宋_GB2312" w:hAnsi="仿宋" w:eastAsia="仿宋_GB2312"/>
                <w:snapToGrid w:val="0"/>
                <w:color w:val="auto"/>
                <w:kern w:val="28"/>
                <w:sz w:val="24"/>
                <w:highlight w:val="none"/>
                <w:lang w:val="en-US" w:eastAsia="zh-CN"/>
              </w:rPr>
              <w:t>中标价</w:t>
            </w:r>
            <w:r>
              <w:rPr>
                <w:rFonts w:hint="eastAsia" w:ascii="仿宋_GB2312" w:hAnsi="仿宋" w:eastAsia="仿宋_GB2312"/>
                <w:snapToGrid w:val="0"/>
                <w:color w:val="auto"/>
                <w:kern w:val="28"/>
                <w:sz w:val="24"/>
                <w:highlight w:val="none"/>
              </w:rPr>
              <w:t>。</w:t>
            </w:r>
          </w:p>
          <w:p>
            <w:pPr>
              <w:keepNext w:val="0"/>
              <w:keepLines w:val="0"/>
              <w:suppressLineNumbers w:val="0"/>
              <w:spacing w:before="0" w:beforeAutospacing="0" w:after="0" w:afterAutospacing="0" w:line="360" w:lineRule="auto"/>
              <w:ind w:left="0" w:right="0"/>
              <w:rPr>
                <w:rFonts w:hint="default"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结算方式及时间为：在领取中标通知书时由成交供应商一次性向采购代理机构付清。</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8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86"/>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89"/>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3"/>
        <w:rPr>
          <w:color w:val="auto"/>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72998"/>
      <w:bookmarkEnd w:id="15"/>
      <w:bookmarkStart w:id="16" w:name="_Hlt68057669"/>
      <w:bookmarkEnd w:id="16"/>
      <w:bookmarkStart w:id="17" w:name="_Hlt74730295"/>
      <w:bookmarkEnd w:id="17"/>
      <w:bookmarkStart w:id="18" w:name="_Hlt75236290"/>
      <w:bookmarkEnd w:id="18"/>
      <w:bookmarkStart w:id="19" w:name="_Hlt68073093"/>
      <w:bookmarkEnd w:id="19"/>
      <w:bookmarkStart w:id="20" w:name="_Hlt68072990"/>
      <w:bookmarkEnd w:id="20"/>
      <w:bookmarkStart w:id="21" w:name="_Hlt68403820"/>
      <w:bookmarkEnd w:id="21"/>
      <w:bookmarkStart w:id="22" w:name="_Hlt74729768"/>
      <w:bookmarkEnd w:id="22"/>
      <w:bookmarkStart w:id="23" w:name="_Hlt74714665"/>
      <w:bookmarkEnd w:id="23"/>
      <w:bookmarkStart w:id="24" w:name="_Hlt75236011"/>
      <w:bookmarkEnd w:id="24"/>
      <w:bookmarkStart w:id="25" w:name="_Hlt74707468"/>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widowControl/>
        <w:snapToGrid w:val="0"/>
        <w:spacing w:line="360" w:lineRule="auto"/>
        <w:jc w:val="center"/>
        <w:rPr>
          <w:rFonts w:ascii="仿宋" w:hAnsi="仿宋" w:eastAsia="仿宋"/>
          <w:b/>
          <w:snapToGrid w:val="0"/>
          <w:kern w:val="28"/>
          <w:sz w:val="28"/>
          <w:szCs w:val="20"/>
        </w:rPr>
      </w:pPr>
      <w:r>
        <w:rPr>
          <w:rFonts w:hint="eastAsia" w:ascii="仿宋" w:hAnsi="仿宋" w:eastAsia="仿宋"/>
          <w:b/>
          <w:snapToGrid w:val="0"/>
          <w:kern w:val="28"/>
          <w:sz w:val="28"/>
          <w:szCs w:val="20"/>
        </w:rPr>
        <w:t>招标一览表</w:t>
      </w:r>
    </w:p>
    <w:tbl>
      <w:tblPr>
        <w:tblStyle w:val="6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70"/>
        <w:gridCol w:w="1710"/>
        <w:gridCol w:w="925"/>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4"/>
              </w:rPr>
            </w:pPr>
            <w:r>
              <w:rPr>
                <w:rFonts w:hint="eastAsia" w:ascii="仿宋" w:hAnsi="仿宋" w:eastAsia="仿宋"/>
                <w:b/>
                <w:sz w:val="24"/>
              </w:rPr>
              <w:t>序号</w:t>
            </w:r>
          </w:p>
        </w:tc>
        <w:tc>
          <w:tcPr>
            <w:tcW w:w="3570"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4"/>
              </w:rPr>
            </w:pPr>
            <w:r>
              <w:rPr>
                <w:rFonts w:hint="eastAsia" w:ascii="仿宋" w:hAnsi="仿宋" w:eastAsia="仿宋"/>
                <w:b/>
                <w:sz w:val="24"/>
              </w:rPr>
              <w:t>项目内容</w:t>
            </w:r>
          </w:p>
        </w:tc>
        <w:tc>
          <w:tcPr>
            <w:tcW w:w="1710"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4"/>
              </w:rPr>
            </w:pPr>
            <w:r>
              <w:rPr>
                <w:rFonts w:hint="eastAsia" w:ascii="仿宋" w:hAnsi="仿宋" w:eastAsia="仿宋"/>
                <w:b/>
                <w:sz w:val="24"/>
              </w:rPr>
              <w:t>技术规格</w:t>
            </w:r>
          </w:p>
        </w:tc>
        <w:tc>
          <w:tcPr>
            <w:tcW w:w="925"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4"/>
              </w:rPr>
            </w:pPr>
            <w:r>
              <w:rPr>
                <w:rFonts w:hint="eastAsia" w:ascii="仿宋" w:hAnsi="仿宋" w:eastAsia="仿宋"/>
                <w:b/>
                <w:sz w:val="24"/>
              </w:rPr>
              <w:t>单位</w:t>
            </w:r>
          </w:p>
        </w:tc>
        <w:tc>
          <w:tcPr>
            <w:tcW w:w="925"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4"/>
              </w:rPr>
            </w:pPr>
            <w:r>
              <w:rPr>
                <w:rFonts w:hint="eastAsia" w:ascii="仿宋" w:hAnsi="仿宋" w:eastAsia="仿宋"/>
                <w:b/>
                <w:sz w:val="24"/>
              </w:rPr>
              <w:t>数量</w:t>
            </w:r>
          </w:p>
        </w:tc>
        <w:tc>
          <w:tcPr>
            <w:tcW w:w="926" w:type="dxa"/>
            <w:vAlign w:val="center"/>
          </w:tcPr>
          <w:p>
            <w:pPr>
              <w:keepNext w:val="0"/>
              <w:keepLines w:val="0"/>
              <w:suppressLineNumbers w:val="0"/>
              <w:spacing w:before="0" w:beforeAutospacing="0" w:after="0" w:afterAutospacing="0"/>
              <w:ind w:left="0" w:right="0"/>
              <w:jc w:val="center"/>
              <w:rPr>
                <w:rFonts w:hint="default"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4"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1</w:t>
            </w:r>
          </w:p>
        </w:tc>
        <w:tc>
          <w:tcPr>
            <w:tcW w:w="3570" w:type="dxa"/>
            <w:vAlign w:val="center"/>
          </w:tcPr>
          <w:p>
            <w:pPr>
              <w:keepNext w:val="0"/>
              <w:keepLines w:val="0"/>
              <w:suppressLineNumbers w:val="0"/>
              <w:spacing w:before="0" w:beforeAutospacing="0" w:after="0" w:afterAutospacing="0"/>
              <w:ind w:left="0" w:right="0"/>
              <w:jc w:val="center"/>
              <w:rPr>
                <w:rFonts w:hint="eastAsia" w:ascii="仿宋" w:hAnsi="仿宋" w:eastAsia="仿宋"/>
                <w:sz w:val="24"/>
                <w:lang w:eastAsia="zh-CN"/>
              </w:rPr>
            </w:pPr>
            <w:r>
              <w:rPr>
                <w:rFonts w:hint="eastAsia" w:ascii="仿宋" w:hAnsi="仿宋" w:eastAsia="仿宋"/>
                <w:sz w:val="24"/>
                <w:lang w:eastAsia="zh-CN"/>
              </w:rPr>
              <w:t>下沙街道聘请第三方机构专家派驻开展安全生产社会化服务</w:t>
            </w:r>
          </w:p>
        </w:tc>
        <w:tc>
          <w:tcPr>
            <w:tcW w:w="171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详见招标需求</w:t>
            </w:r>
          </w:p>
        </w:tc>
        <w:tc>
          <w:tcPr>
            <w:tcW w:w="9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项</w:t>
            </w:r>
          </w:p>
        </w:tc>
        <w:tc>
          <w:tcPr>
            <w:tcW w:w="9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1</w:t>
            </w:r>
          </w:p>
        </w:tc>
        <w:tc>
          <w:tcPr>
            <w:tcW w:w="926"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4"/>
              </w:rPr>
            </w:pPr>
          </w:p>
        </w:tc>
      </w:tr>
    </w:tbl>
    <w:p>
      <w:pPr>
        <w:spacing w:line="360" w:lineRule="auto"/>
        <w:ind w:firstLine="141" w:firstLineChars="50"/>
        <w:jc w:val="center"/>
        <w:rPr>
          <w:rFonts w:hint="default" w:ascii="仿宋_GB2312" w:hAnsi="仿宋" w:eastAsia="仿宋_GB2312" w:cs="仿宋_GB2312"/>
          <w:b/>
          <w:color w:val="auto"/>
          <w:sz w:val="24"/>
          <w:szCs w:val="24"/>
          <w:highlight w:val="none"/>
          <w:lang w:val="en-US" w:eastAsia="zh-CN"/>
        </w:rPr>
      </w:pPr>
      <w:r>
        <w:rPr>
          <w:rFonts w:hint="eastAsia" w:ascii="仿宋" w:hAnsi="仿宋" w:eastAsia="仿宋" w:cs="Times New Roman"/>
          <w:b/>
          <w:snapToGrid w:val="0"/>
          <w:kern w:val="28"/>
          <w:sz w:val="28"/>
          <w:szCs w:val="20"/>
          <w:lang w:val="en-US" w:eastAsia="zh-CN"/>
        </w:rPr>
        <w:t>招标需求</w:t>
      </w:r>
    </w:p>
    <w:p>
      <w:pPr>
        <w:spacing w:line="360" w:lineRule="auto"/>
        <w:ind w:firstLine="120" w:firstLineChars="50"/>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bCs w:val="0"/>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为改善街道企业的安全生产环境，从源头上遏制和减少安全生产隐患，推动社会力量参与支持安全生产工作，通过排查、整改指导、整改确认等安全技术服务控制和减少安全事故。坚持“安全第一、预防为主、综合治理、失职追责”的方针，贯彻落实中央提出的安全发展理念，通过网格化管理企业。</w:t>
      </w:r>
    </w:p>
    <w:p>
      <w:pPr>
        <w:pStyle w:val="2"/>
        <w:numPr>
          <w:ilvl w:val="0"/>
          <w:numId w:val="1"/>
        </w:numPr>
        <w:rPr>
          <w:rFonts w:hint="eastAsia" w:ascii="仿宋_GB2312" w:hAnsi="仿宋" w:eastAsia="仿宋_GB2312" w:cs="仿宋_GB2312"/>
          <w:b w:val="0"/>
          <w:bCs/>
          <w:color w:val="auto"/>
          <w:kern w:val="2"/>
          <w:sz w:val="24"/>
          <w:szCs w:val="24"/>
          <w:highlight w:val="none"/>
          <w:lang w:val="en-US" w:eastAsia="zh-CN" w:bidi="ar-SA"/>
        </w:rPr>
      </w:pPr>
      <w:r>
        <w:rPr>
          <w:rFonts w:hint="eastAsia" w:ascii="仿宋_GB2312" w:hAnsi="仿宋" w:eastAsia="仿宋_GB2312" w:cs="仿宋_GB2312"/>
          <w:b/>
          <w:bCs w:val="0"/>
          <w:color w:val="auto"/>
          <w:kern w:val="2"/>
          <w:sz w:val="24"/>
          <w:szCs w:val="24"/>
          <w:highlight w:val="none"/>
          <w:lang w:val="en-US" w:eastAsia="zh-CN" w:bidi="ar-SA"/>
        </w:rPr>
        <w:t>服务范围</w:t>
      </w:r>
    </w:p>
    <w:p>
      <w:pPr>
        <w:pStyle w:val="2"/>
        <w:numPr>
          <w:ilvl w:val="0"/>
          <w:numId w:val="0"/>
        </w:numPr>
        <w:ind w:firstLine="480" w:firstLineChars="200"/>
        <w:rPr>
          <w:rFonts w:hint="default"/>
          <w:highlight w:val="none"/>
          <w:lang w:val="en-US" w:eastAsia="zh-CN"/>
        </w:rPr>
      </w:pPr>
      <w:r>
        <w:rPr>
          <w:rFonts w:hint="eastAsia" w:ascii="仿宋_GB2312" w:hAnsi="仿宋" w:eastAsia="仿宋_GB2312" w:cs="仿宋_GB2312"/>
          <w:b w:val="0"/>
          <w:bCs/>
          <w:color w:val="auto"/>
          <w:kern w:val="2"/>
          <w:sz w:val="24"/>
          <w:szCs w:val="24"/>
          <w:highlight w:val="none"/>
          <w:lang w:val="en-US" w:eastAsia="zh-CN" w:bidi="ar-SA"/>
        </w:rPr>
        <w:t>下沙街道辖区约50平方千米范围内，重点包含220余家工业企业及特种设备、有限空间、危化品企业等其他重点行业，合同签订后，由采购人向中标人提供详细企业名单（服务期内，采购人可根据企业新建、关停等情况对企业名单作相应调整，费用不作调整）。</w:t>
      </w:r>
    </w:p>
    <w:p>
      <w:pPr>
        <w:spacing w:line="360" w:lineRule="auto"/>
        <w:ind w:firstLine="120" w:firstLineChars="50"/>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bCs w:val="0"/>
          <w:color w:val="auto"/>
          <w:sz w:val="24"/>
          <w:szCs w:val="24"/>
          <w:highlight w:val="none"/>
          <w:lang w:val="en-US" w:eastAsia="zh-CN"/>
        </w:rPr>
        <w:t>三</w:t>
      </w:r>
      <w:r>
        <w:rPr>
          <w:rFonts w:hint="eastAsia" w:ascii="仿宋_GB2312" w:hAnsi="仿宋" w:eastAsia="仿宋_GB2312" w:cs="仿宋_GB2312"/>
          <w:b/>
          <w:bCs w:val="0"/>
          <w:color w:val="auto"/>
          <w:sz w:val="24"/>
          <w:szCs w:val="24"/>
          <w:highlight w:val="none"/>
        </w:rPr>
        <w:t>、服务</w:t>
      </w:r>
      <w:r>
        <w:rPr>
          <w:rFonts w:hint="eastAsia" w:ascii="仿宋_GB2312" w:hAnsi="仿宋" w:eastAsia="仿宋_GB2312" w:cs="仿宋_GB2312"/>
          <w:b/>
          <w:bCs w:val="0"/>
          <w:color w:val="auto"/>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eastAsia="仿宋_GB2312"/>
          <w:b w:val="0"/>
          <w:bCs/>
          <w:highlight w:val="none"/>
          <w:lang w:val="en-US" w:eastAsia="zh-CN"/>
        </w:rPr>
      </w:pPr>
      <w:r>
        <w:rPr>
          <w:rFonts w:hint="eastAsia" w:ascii="仿宋_GB2312" w:hAnsi="仿宋" w:eastAsia="仿宋_GB2312" w:cs="仿宋_GB2312"/>
          <w:b w:val="0"/>
          <w:bCs/>
          <w:color w:val="auto"/>
          <w:sz w:val="24"/>
          <w:szCs w:val="24"/>
          <w:highlight w:val="none"/>
        </w:rPr>
        <w:t>1、</w:t>
      </w:r>
      <w:r>
        <w:rPr>
          <w:rFonts w:hint="eastAsia" w:ascii="仿宋_GB2312" w:hAnsi="仿宋" w:eastAsia="仿宋_GB2312" w:cs="仿宋_GB2312"/>
          <w:b w:val="0"/>
          <w:bCs/>
          <w:color w:val="auto"/>
          <w:sz w:val="24"/>
          <w:szCs w:val="24"/>
          <w:highlight w:val="none"/>
          <w:lang w:val="en-US" w:eastAsia="zh-CN"/>
        </w:rPr>
        <w:t>要求</w:t>
      </w:r>
      <w:r>
        <w:rPr>
          <w:rFonts w:hint="eastAsia" w:ascii="仿宋_GB2312" w:hAnsi="仿宋" w:eastAsia="仿宋_GB2312" w:cs="仿宋_GB2312"/>
          <w:b w:val="0"/>
          <w:bCs/>
          <w:color w:val="auto"/>
          <w:sz w:val="24"/>
          <w:szCs w:val="24"/>
          <w:highlight w:val="none"/>
        </w:rPr>
        <w:t>第三方机构1</w:t>
      </w:r>
      <w:r>
        <w:rPr>
          <w:rFonts w:hint="eastAsia" w:ascii="仿宋_GB2312" w:hAnsi="仿宋" w:eastAsia="仿宋_GB2312" w:cs="仿宋_GB2312"/>
          <w:b w:val="0"/>
          <w:bCs/>
          <w:color w:val="auto"/>
          <w:sz w:val="24"/>
          <w:szCs w:val="24"/>
          <w:highlight w:val="none"/>
          <w:lang w:val="en-US" w:eastAsia="zh-CN"/>
        </w:rPr>
        <w:t>0</w:t>
      </w:r>
      <w:r>
        <w:rPr>
          <w:rFonts w:hint="eastAsia" w:ascii="仿宋_GB2312" w:hAnsi="仿宋" w:eastAsia="仿宋_GB2312" w:cs="仿宋_GB2312"/>
          <w:b w:val="0"/>
          <w:bCs/>
          <w:color w:val="auto"/>
          <w:sz w:val="24"/>
          <w:szCs w:val="24"/>
          <w:highlight w:val="none"/>
        </w:rPr>
        <w:t>名专家派驻，开展对辖区</w:t>
      </w:r>
      <w:r>
        <w:rPr>
          <w:rFonts w:hint="eastAsia" w:ascii="仿宋_GB2312" w:hAnsi="仿宋" w:eastAsia="仿宋_GB2312" w:cs="仿宋_GB2312"/>
          <w:b w:val="0"/>
          <w:bCs/>
          <w:color w:val="auto"/>
          <w:sz w:val="24"/>
          <w:szCs w:val="24"/>
          <w:highlight w:val="none"/>
          <w:lang w:val="en-US" w:eastAsia="zh-CN"/>
        </w:rPr>
        <w:t>内企业的安全生产环境</w:t>
      </w:r>
      <w:r>
        <w:rPr>
          <w:rFonts w:hint="eastAsia" w:ascii="仿宋_GB2312" w:hAnsi="仿宋" w:eastAsia="仿宋_GB2312" w:cs="仿宋_GB2312"/>
          <w:b w:val="0"/>
          <w:bCs/>
          <w:color w:val="auto"/>
          <w:sz w:val="24"/>
          <w:szCs w:val="24"/>
          <w:highlight w:val="none"/>
        </w:rPr>
        <w:t>巡查监管。</w:t>
      </w:r>
      <w:r>
        <w:rPr>
          <w:rFonts w:hint="eastAsia" w:ascii="仿宋_GB2312" w:hAnsi="仿宋" w:eastAsia="仿宋_GB2312" w:cs="仿宋_GB2312"/>
          <w:b/>
          <w:bCs w:val="0"/>
          <w:color w:val="auto"/>
          <w:sz w:val="24"/>
          <w:szCs w:val="24"/>
          <w:highlight w:val="none"/>
        </w:rPr>
        <w:t>其中项目负责人要求：取得中级及以上注册安全工程师及以上证书；</w:t>
      </w:r>
      <w:r>
        <w:rPr>
          <w:rFonts w:hint="eastAsia" w:ascii="仿宋_GB2312" w:hAnsi="仿宋" w:eastAsia="仿宋_GB2312" w:cs="仿宋_GB2312"/>
          <w:b/>
          <w:bCs w:val="0"/>
          <w:color w:val="auto"/>
          <w:sz w:val="24"/>
          <w:szCs w:val="24"/>
          <w:highlight w:val="none"/>
          <w:lang w:val="en-US" w:eastAsia="zh-CN"/>
        </w:rPr>
        <w:t>班组成员（包含项目负责人）要求：至少5人取得中级及以上注册安全工程师及以上证书</w:t>
      </w:r>
      <w:r>
        <w:rPr>
          <w:rFonts w:hint="eastAsia" w:ascii="仿宋_GB2312" w:hAnsi="仿宋" w:eastAsia="仿宋_GB2312" w:cs="仿宋_GB2312"/>
          <w:b/>
          <w:bCs w:val="0"/>
          <w:color w:val="auto"/>
          <w:sz w:val="24"/>
          <w:szCs w:val="24"/>
          <w:highlight w:val="none"/>
        </w:rPr>
        <w:t>，2年以上从业经验，熟悉电脑各项表格操作。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2、</w:t>
      </w:r>
      <w:r>
        <w:rPr>
          <w:rFonts w:hint="eastAsia" w:ascii="仿宋_GB2312" w:hAnsi="仿宋" w:eastAsia="仿宋_GB2312" w:cs="仿宋_GB2312"/>
          <w:b w:val="0"/>
          <w:bCs/>
          <w:color w:val="auto"/>
          <w:sz w:val="24"/>
          <w:szCs w:val="24"/>
          <w:highlight w:val="none"/>
          <w:lang w:val="en-US" w:eastAsia="zh-CN"/>
        </w:rPr>
        <w:t>中标单位应对</w:t>
      </w:r>
      <w:r>
        <w:rPr>
          <w:rFonts w:hint="eastAsia" w:ascii="仿宋_GB2312" w:hAnsi="仿宋" w:eastAsia="仿宋_GB2312" w:cs="仿宋_GB2312"/>
          <w:b w:val="0"/>
          <w:bCs/>
          <w:color w:val="auto"/>
          <w:sz w:val="24"/>
          <w:szCs w:val="24"/>
          <w:highlight w:val="none"/>
        </w:rPr>
        <w:t>派驻人员</w:t>
      </w:r>
      <w:r>
        <w:rPr>
          <w:rFonts w:hint="eastAsia" w:ascii="仿宋_GB2312" w:hAnsi="仿宋" w:eastAsia="仿宋_GB2312" w:cs="仿宋_GB2312"/>
          <w:b w:val="0"/>
          <w:bCs/>
          <w:color w:val="auto"/>
          <w:sz w:val="24"/>
          <w:szCs w:val="24"/>
          <w:highlight w:val="none"/>
          <w:lang w:val="en-US" w:eastAsia="zh-CN"/>
        </w:rPr>
        <w:t>加强岗前安全教育和技术交底，并为派驻人员购买人身意外伤害保险，</w:t>
      </w:r>
      <w:r>
        <w:rPr>
          <w:rFonts w:hint="eastAsia" w:ascii="仿宋_GB2312" w:hAnsi="仿宋" w:eastAsia="仿宋_GB2312" w:cs="仿宋_GB2312"/>
          <w:b w:val="0"/>
          <w:bCs/>
          <w:color w:val="auto"/>
          <w:sz w:val="24"/>
          <w:szCs w:val="24"/>
          <w:highlight w:val="none"/>
        </w:rPr>
        <w:t>在日常工作中发生的意外伤害均由中标人自行承担相关责任。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lang w:eastAsia="zh-CN"/>
        </w:rPr>
      </w:pPr>
      <w:r>
        <w:rPr>
          <w:rFonts w:hint="eastAsia" w:ascii="仿宋_GB2312" w:hAnsi="仿宋" w:eastAsia="仿宋_GB2312" w:cs="仿宋_GB2312"/>
          <w:b w:val="0"/>
          <w:bCs/>
          <w:color w:val="auto"/>
          <w:sz w:val="24"/>
          <w:szCs w:val="24"/>
          <w:highlight w:val="none"/>
        </w:rPr>
        <w:t>3、办公场地由甲方提供，中标人自行解决派驻人员</w:t>
      </w:r>
      <w:r>
        <w:rPr>
          <w:rFonts w:hint="eastAsia" w:ascii="仿宋_GB2312" w:hAnsi="仿宋" w:eastAsia="仿宋_GB2312" w:cs="仿宋_GB2312"/>
          <w:b w:val="0"/>
          <w:bCs/>
          <w:color w:val="auto"/>
          <w:sz w:val="24"/>
          <w:szCs w:val="24"/>
          <w:highlight w:val="none"/>
          <w:lang w:val="en-US" w:eastAsia="zh-CN"/>
        </w:rPr>
        <w:t>的餐饮</w:t>
      </w:r>
      <w:r>
        <w:rPr>
          <w:rFonts w:hint="eastAsia" w:ascii="仿宋_GB2312" w:hAnsi="仿宋" w:eastAsia="仿宋_GB2312" w:cs="仿宋_GB2312"/>
          <w:b w:val="0"/>
          <w:bCs/>
          <w:color w:val="auto"/>
          <w:sz w:val="24"/>
          <w:szCs w:val="24"/>
          <w:highlight w:val="none"/>
        </w:rPr>
        <w:t>、后勤、</w:t>
      </w:r>
      <w:r>
        <w:rPr>
          <w:rFonts w:hint="eastAsia" w:ascii="仿宋_GB2312" w:hAnsi="仿宋" w:eastAsia="仿宋_GB2312" w:cs="仿宋_GB2312"/>
          <w:b w:val="0"/>
          <w:bCs/>
          <w:color w:val="auto"/>
          <w:sz w:val="24"/>
          <w:szCs w:val="24"/>
          <w:highlight w:val="none"/>
          <w:lang w:val="en-US" w:eastAsia="zh-CN"/>
        </w:rPr>
        <w:t>办公用品、电脑、巡查装备</w:t>
      </w:r>
      <w:r>
        <w:rPr>
          <w:rFonts w:hint="eastAsia" w:ascii="仿宋_GB2312" w:hAnsi="仿宋" w:eastAsia="仿宋_GB2312" w:cs="仿宋_GB2312"/>
          <w:b w:val="0"/>
          <w:bCs/>
          <w:color w:val="auto"/>
          <w:sz w:val="24"/>
          <w:szCs w:val="24"/>
          <w:highlight w:val="none"/>
        </w:rPr>
        <w:t>等</w:t>
      </w:r>
      <w:r>
        <w:rPr>
          <w:rFonts w:hint="eastAsia" w:ascii="仿宋_GB2312" w:hAnsi="仿宋" w:eastAsia="仿宋_GB2312" w:cs="仿宋_GB2312"/>
          <w:b w:val="0"/>
          <w:bCs/>
          <w:color w:val="auto"/>
          <w:sz w:val="24"/>
          <w:szCs w:val="24"/>
          <w:highlight w:val="none"/>
          <w:lang w:val="en-US" w:eastAsia="zh-CN"/>
        </w:rPr>
        <w:t>一系列开展日常工作所需设施、设备</w:t>
      </w:r>
      <w:r>
        <w:rPr>
          <w:rFonts w:hint="eastAsia" w:ascii="仿宋_GB2312" w:hAnsi="仿宋" w:eastAsia="仿宋_GB2312" w:cs="仿宋_GB2312"/>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lang w:val="en-US" w:eastAsia="zh-CN"/>
        </w:rPr>
      </w:pPr>
      <w:r>
        <w:rPr>
          <w:rFonts w:hint="eastAsia" w:ascii="仿宋_GB2312" w:hAnsi="仿宋" w:eastAsia="仿宋_GB2312" w:cs="仿宋_GB2312"/>
          <w:b w:val="0"/>
          <w:bCs/>
          <w:color w:val="auto"/>
          <w:sz w:val="24"/>
          <w:szCs w:val="24"/>
          <w:highlight w:val="none"/>
          <w:lang w:val="en-US" w:eastAsia="zh-CN"/>
        </w:rPr>
        <w:t>4、</w:t>
      </w:r>
      <w:r>
        <w:rPr>
          <w:rFonts w:hint="eastAsia" w:ascii="仿宋_GB2312" w:hAnsi="仿宋" w:eastAsia="仿宋_GB2312" w:cs="仿宋_GB2312"/>
          <w:b w:val="0"/>
          <w:bCs/>
          <w:color w:val="auto"/>
          <w:sz w:val="24"/>
          <w:szCs w:val="24"/>
          <w:highlight w:val="none"/>
        </w:rPr>
        <w:t>中标人</w:t>
      </w:r>
      <w:r>
        <w:rPr>
          <w:rFonts w:hint="eastAsia" w:ascii="仿宋_GB2312" w:hAnsi="仿宋" w:eastAsia="仿宋_GB2312" w:cs="仿宋_GB2312"/>
          <w:b w:val="0"/>
          <w:bCs/>
          <w:color w:val="auto"/>
          <w:sz w:val="24"/>
          <w:szCs w:val="24"/>
          <w:highlight w:val="none"/>
          <w:lang w:val="en-US" w:eastAsia="zh-CN"/>
        </w:rPr>
        <w:t>根据项目实际需求和采购人要求配备相应交通工具，交通工具产生的一系列费用均由中标人自行承担。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仿宋_GB2312"/>
          <w:b w:val="0"/>
          <w:bCs/>
          <w:color w:val="auto"/>
          <w:sz w:val="24"/>
          <w:szCs w:val="24"/>
          <w:highlight w:val="none"/>
          <w:lang w:val="en-US" w:eastAsia="zh-CN"/>
        </w:rPr>
      </w:pPr>
      <w:r>
        <w:rPr>
          <w:rFonts w:hint="eastAsia" w:ascii="仿宋_GB2312" w:hAnsi="仿宋" w:eastAsia="仿宋_GB2312" w:cs="仿宋_GB2312"/>
          <w:b w:val="0"/>
          <w:bCs/>
          <w:color w:val="auto"/>
          <w:sz w:val="24"/>
          <w:szCs w:val="24"/>
          <w:highlight w:val="none"/>
          <w:lang w:val="en-US" w:eastAsia="zh-CN"/>
        </w:rPr>
        <w:t>5</w:t>
      </w:r>
      <w:r>
        <w:rPr>
          <w:rFonts w:hint="default" w:ascii="仿宋_GB2312" w:hAnsi="仿宋" w:eastAsia="仿宋_GB2312" w:cs="仿宋_GB2312"/>
          <w:b w:val="0"/>
          <w:bCs/>
          <w:color w:val="auto"/>
          <w:sz w:val="24"/>
          <w:szCs w:val="24"/>
          <w:highlight w:val="none"/>
          <w:lang w:val="en-US" w:eastAsia="zh-CN"/>
        </w:rPr>
        <w:t>、中标人应规范作业。</w:t>
      </w:r>
      <w:r>
        <w:rPr>
          <w:rFonts w:hint="eastAsia" w:ascii="仿宋_GB2312" w:hAnsi="仿宋" w:eastAsia="仿宋_GB2312" w:cs="仿宋_GB2312"/>
          <w:b w:val="0"/>
          <w:bCs/>
          <w:color w:val="auto"/>
          <w:sz w:val="24"/>
          <w:szCs w:val="24"/>
          <w:highlight w:val="none"/>
          <w:lang w:val="en-US" w:eastAsia="zh-CN"/>
        </w:rPr>
        <w:t>工作</w:t>
      </w:r>
      <w:r>
        <w:rPr>
          <w:rFonts w:hint="default" w:ascii="仿宋_GB2312" w:hAnsi="仿宋" w:eastAsia="仿宋_GB2312" w:cs="仿宋_GB2312"/>
          <w:b w:val="0"/>
          <w:bCs/>
          <w:color w:val="auto"/>
          <w:sz w:val="24"/>
          <w:szCs w:val="24"/>
          <w:highlight w:val="none"/>
          <w:lang w:val="en-US" w:eastAsia="zh-CN"/>
        </w:rPr>
        <w:t>期内不做与</w:t>
      </w:r>
      <w:r>
        <w:rPr>
          <w:rFonts w:hint="eastAsia" w:ascii="仿宋_GB2312" w:hAnsi="仿宋" w:eastAsia="仿宋_GB2312" w:cs="仿宋_GB2312"/>
          <w:b w:val="0"/>
          <w:bCs/>
          <w:color w:val="auto"/>
          <w:sz w:val="24"/>
          <w:szCs w:val="24"/>
          <w:highlight w:val="none"/>
          <w:lang w:val="en-US" w:eastAsia="zh-CN"/>
        </w:rPr>
        <w:t>工作</w:t>
      </w:r>
      <w:r>
        <w:rPr>
          <w:rFonts w:hint="default" w:ascii="仿宋_GB2312" w:hAnsi="仿宋" w:eastAsia="仿宋_GB2312" w:cs="仿宋_GB2312"/>
          <w:b w:val="0"/>
          <w:bCs/>
          <w:color w:val="auto"/>
          <w:sz w:val="24"/>
          <w:szCs w:val="24"/>
          <w:highlight w:val="none"/>
          <w:lang w:val="en-US" w:eastAsia="zh-CN"/>
        </w:rPr>
        <w:t>无关的事；须遵守</w:t>
      </w:r>
      <w:r>
        <w:rPr>
          <w:rFonts w:hint="eastAsia" w:ascii="仿宋_GB2312" w:hAnsi="仿宋" w:eastAsia="仿宋_GB2312" w:cs="仿宋_GB2312"/>
          <w:b w:val="0"/>
          <w:bCs/>
          <w:color w:val="auto"/>
          <w:sz w:val="24"/>
          <w:szCs w:val="24"/>
          <w:highlight w:val="none"/>
          <w:lang w:val="en-US" w:eastAsia="zh-CN"/>
        </w:rPr>
        <w:t>街道</w:t>
      </w:r>
      <w:r>
        <w:rPr>
          <w:rFonts w:hint="default" w:ascii="仿宋_GB2312" w:hAnsi="仿宋" w:eastAsia="仿宋_GB2312" w:cs="仿宋_GB2312"/>
          <w:b w:val="0"/>
          <w:bCs/>
          <w:color w:val="auto"/>
          <w:sz w:val="24"/>
          <w:szCs w:val="24"/>
          <w:highlight w:val="none"/>
          <w:lang w:val="en-US" w:eastAsia="zh-CN"/>
        </w:rPr>
        <w:t>的规章制度，执行相应的工作要求。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仿宋_GB2312"/>
          <w:b w:val="0"/>
          <w:bCs/>
          <w:color w:val="auto"/>
          <w:sz w:val="24"/>
          <w:szCs w:val="24"/>
          <w:highlight w:val="none"/>
          <w:lang w:val="en-US" w:eastAsia="zh-CN"/>
        </w:rPr>
      </w:pPr>
      <w:r>
        <w:rPr>
          <w:rFonts w:hint="eastAsia" w:ascii="仿宋_GB2312" w:hAnsi="仿宋" w:eastAsia="仿宋_GB2312" w:cs="仿宋_GB2312"/>
          <w:b w:val="0"/>
          <w:bCs/>
          <w:color w:val="auto"/>
          <w:sz w:val="24"/>
          <w:szCs w:val="24"/>
          <w:highlight w:val="none"/>
          <w:lang w:val="en-US" w:eastAsia="zh-CN"/>
        </w:rPr>
        <w:t>6</w:t>
      </w:r>
      <w:r>
        <w:rPr>
          <w:rFonts w:hint="default" w:ascii="仿宋_GB2312" w:hAnsi="仿宋" w:eastAsia="仿宋_GB2312" w:cs="仿宋_GB2312"/>
          <w:b w:val="0"/>
          <w:bCs/>
          <w:color w:val="auto"/>
          <w:sz w:val="24"/>
          <w:szCs w:val="24"/>
          <w:highlight w:val="none"/>
          <w:lang w:val="en-US" w:eastAsia="zh-CN"/>
        </w:rPr>
        <w:t>、中标人必须采取切实有效措施保持</w:t>
      </w:r>
      <w:r>
        <w:rPr>
          <w:rFonts w:hint="eastAsia" w:ascii="仿宋_GB2312" w:hAnsi="仿宋" w:eastAsia="仿宋_GB2312" w:cs="仿宋_GB2312"/>
          <w:b w:val="0"/>
          <w:bCs/>
          <w:color w:val="auto"/>
          <w:sz w:val="24"/>
          <w:szCs w:val="24"/>
          <w:highlight w:val="none"/>
          <w:lang w:val="en-US" w:eastAsia="zh-CN"/>
        </w:rPr>
        <w:t>团队</w:t>
      </w:r>
      <w:r>
        <w:rPr>
          <w:rFonts w:hint="default" w:ascii="仿宋_GB2312" w:hAnsi="仿宋" w:eastAsia="仿宋_GB2312" w:cs="仿宋_GB2312"/>
          <w:b w:val="0"/>
          <w:bCs/>
          <w:color w:val="auto"/>
          <w:sz w:val="24"/>
          <w:szCs w:val="24"/>
          <w:highlight w:val="none"/>
          <w:lang w:val="en-US" w:eastAsia="zh-CN"/>
        </w:rPr>
        <w:t>的稳定。项目负责人</w:t>
      </w:r>
      <w:r>
        <w:rPr>
          <w:rFonts w:hint="eastAsia" w:ascii="仿宋_GB2312" w:hAnsi="仿宋" w:eastAsia="仿宋_GB2312" w:cs="仿宋_GB2312"/>
          <w:b w:val="0"/>
          <w:bCs/>
          <w:color w:val="auto"/>
          <w:sz w:val="24"/>
          <w:szCs w:val="24"/>
          <w:highlight w:val="none"/>
          <w:lang w:val="en-US" w:eastAsia="zh-CN"/>
        </w:rPr>
        <w:t>原则上不得更换，确需</w:t>
      </w:r>
      <w:r>
        <w:rPr>
          <w:rFonts w:hint="default" w:ascii="仿宋_GB2312" w:hAnsi="仿宋" w:eastAsia="仿宋_GB2312" w:cs="仿宋_GB2312"/>
          <w:b w:val="0"/>
          <w:bCs/>
          <w:color w:val="auto"/>
          <w:sz w:val="24"/>
          <w:szCs w:val="24"/>
          <w:highlight w:val="none"/>
          <w:lang w:val="en-US" w:eastAsia="zh-CN"/>
        </w:rPr>
        <w:t>更换</w:t>
      </w:r>
      <w:r>
        <w:rPr>
          <w:rFonts w:hint="eastAsia" w:ascii="仿宋_GB2312" w:hAnsi="仿宋" w:eastAsia="仿宋_GB2312" w:cs="仿宋_GB2312"/>
          <w:b w:val="0"/>
          <w:bCs/>
          <w:color w:val="auto"/>
          <w:sz w:val="24"/>
          <w:szCs w:val="24"/>
          <w:highlight w:val="none"/>
          <w:lang w:val="en-US" w:eastAsia="zh-CN"/>
        </w:rPr>
        <w:t>的</w:t>
      </w:r>
      <w:r>
        <w:rPr>
          <w:rFonts w:hint="default" w:ascii="仿宋_GB2312" w:hAnsi="仿宋" w:eastAsia="仿宋_GB2312" w:cs="仿宋_GB2312"/>
          <w:b w:val="0"/>
          <w:bCs/>
          <w:color w:val="auto"/>
          <w:sz w:val="24"/>
          <w:szCs w:val="24"/>
          <w:highlight w:val="none"/>
          <w:lang w:val="en-US" w:eastAsia="zh-CN"/>
        </w:rPr>
        <w:t>，应提前一个月以书面形式通知采购人</w:t>
      </w:r>
      <w:r>
        <w:rPr>
          <w:rFonts w:hint="eastAsia" w:ascii="仿宋_GB2312" w:hAnsi="仿宋" w:eastAsia="仿宋_GB2312" w:cs="仿宋_GB2312"/>
          <w:b w:val="0"/>
          <w:bCs/>
          <w:color w:val="auto"/>
          <w:sz w:val="24"/>
          <w:szCs w:val="24"/>
          <w:highlight w:val="none"/>
          <w:lang w:val="en-US" w:eastAsia="zh-CN"/>
        </w:rPr>
        <w:t>，经采购人同意后方可更换</w:t>
      </w:r>
      <w:r>
        <w:rPr>
          <w:rFonts w:hint="default" w:ascii="仿宋_GB2312" w:hAnsi="仿宋" w:eastAsia="仿宋_GB2312" w:cs="仿宋_GB2312"/>
          <w:b w:val="0"/>
          <w:bCs/>
          <w:color w:val="auto"/>
          <w:sz w:val="24"/>
          <w:szCs w:val="24"/>
          <w:highlight w:val="none"/>
          <w:lang w:val="en-US" w:eastAsia="zh-CN"/>
        </w:rPr>
        <w:t>，其他</w:t>
      </w:r>
      <w:r>
        <w:rPr>
          <w:rFonts w:hint="eastAsia" w:ascii="仿宋_GB2312" w:hAnsi="仿宋" w:eastAsia="仿宋_GB2312" w:cs="仿宋_GB2312"/>
          <w:b w:val="0"/>
          <w:bCs/>
          <w:color w:val="auto"/>
          <w:sz w:val="24"/>
          <w:szCs w:val="24"/>
          <w:highlight w:val="none"/>
          <w:lang w:val="en-US" w:eastAsia="zh-CN"/>
        </w:rPr>
        <w:t>成员</w:t>
      </w:r>
      <w:r>
        <w:rPr>
          <w:rFonts w:hint="default" w:ascii="仿宋_GB2312" w:hAnsi="仿宋" w:eastAsia="仿宋_GB2312" w:cs="仿宋_GB2312"/>
          <w:b w:val="0"/>
          <w:bCs/>
          <w:color w:val="auto"/>
          <w:sz w:val="24"/>
          <w:szCs w:val="24"/>
          <w:highlight w:val="none"/>
          <w:lang w:val="en-US" w:eastAsia="zh-CN"/>
        </w:rPr>
        <w:t>更换要提前</w:t>
      </w:r>
      <w:r>
        <w:rPr>
          <w:rFonts w:hint="eastAsia" w:ascii="仿宋_GB2312" w:hAnsi="仿宋" w:eastAsia="仿宋_GB2312" w:cs="仿宋_GB2312"/>
          <w:b w:val="0"/>
          <w:bCs/>
          <w:color w:val="auto"/>
          <w:sz w:val="24"/>
          <w:szCs w:val="24"/>
          <w:highlight w:val="none"/>
          <w:lang w:val="en-US" w:eastAsia="zh-CN"/>
        </w:rPr>
        <w:t>一周</w:t>
      </w:r>
      <w:r>
        <w:rPr>
          <w:rFonts w:hint="default" w:ascii="仿宋_GB2312" w:hAnsi="仿宋" w:eastAsia="仿宋_GB2312" w:cs="仿宋_GB2312"/>
          <w:b w:val="0"/>
          <w:bCs/>
          <w:color w:val="auto"/>
          <w:sz w:val="24"/>
          <w:szCs w:val="24"/>
          <w:highlight w:val="none"/>
          <w:lang w:val="en-US" w:eastAsia="zh-CN"/>
        </w:rPr>
        <w:t>告知采购人；确保服务质量不因人员变动而受影响</w:t>
      </w:r>
      <w:r>
        <w:rPr>
          <w:rFonts w:hint="eastAsia" w:ascii="仿宋_GB2312" w:hAnsi="仿宋" w:eastAsia="仿宋_GB2312" w:cs="仿宋_GB2312"/>
          <w:b w:val="0"/>
          <w:bCs/>
          <w:color w:val="auto"/>
          <w:sz w:val="24"/>
          <w:szCs w:val="24"/>
          <w:highlight w:val="none"/>
          <w:lang w:val="en-US" w:eastAsia="zh-CN"/>
        </w:rPr>
        <w:t>。</w:t>
      </w:r>
      <w:r>
        <w:rPr>
          <w:rFonts w:hint="default" w:ascii="仿宋_GB2312" w:hAnsi="仿宋" w:eastAsia="仿宋_GB2312" w:cs="仿宋_GB2312"/>
          <w:b w:val="0"/>
          <w:bCs/>
          <w:color w:val="auto"/>
          <w:sz w:val="24"/>
          <w:szCs w:val="24"/>
          <w:highlight w:val="none"/>
          <w:lang w:val="en-US" w:eastAsia="zh-CN"/>
        </w:rPr>
        <w:t>鉴于工作的特殊性，要求服务人员</w:t>
      </w:r>
      <w:r>
        <w:rPr>
          <w:rFonts w:hint="eastAsia" w:ascii="仿宋_GB2312" w:hAnsi="仿宋" w:eastAsia="仿宋_GB2312" w:cs="仿宋_GB2312"/>
          <w:b w:val="0"/>
          <w:bCs/>
          <w:color w:val="auto"/>
          <w:sz w:val="24"/>
          <w:szCs w:val="24"/>
          <w:highlight w:val="none"/>
          <w:lang w:val="en-US" w:eastAsia="zh-CN"/>
        </w:rPr>
        <w:t>服务期间总</w:t>
      </w:r>
      <w:r>
        <w:rPr>
          <w:rFonts w:hint="default" w:ascii="仿宋_GB2312" w:hAnsi="仿宋" w:eastAsia="仿宋_GB2312" w:cs="仿宋_GB2312"/>
          <w:b w:val="0"/>
          <w:bCs/>
          <w:color w:val="auto"/>
          <w:sz w:val="24"/>
          <w:szCs w:val="24"/>
          <w:highlight w:val="none"/>
          <w:lang w:val="en-US" w:eastAsia="zh-CN"/>
        </w:rPr>
        <w:t xml:space="preserve">变动率不得高于 </w:t>
      </w:r>
      <w:r>
        <w:rPr>
          <w:rFonts w:hint="eastAsia" w:ascii="仿宋_GB2312" w:hAnsi="仿宋" w:eastAsia="仿宋_GB2312" w:cs="仿宋_GB2312"/>
          <w:b w:val="0"/>
          <w:bCs/>
          <w:color w:val="auto"/>
          <w:sz w:val="24"/>
          <w:szCs w:val="24"/>
          <w:highlight w:val="none"/>
          <w:lang w:val="en-US" w:eastAsia="zh-CN"/>
        </w:rPr>
        <w:t>3</w:t>
      </w:r>
      <w:r>
        <w:rPr>
          <w:rFonts w:hint="default" w:ascii="仿宋_GB2312" w:hAnsi="仿宋" w:eastAsia="仿宋_GB2312" w:cs="仿宋_GB2312"/>
          <w:b w:val="0"/>
          <w:bCs/>
          <w:color w:val="auto"/>
          <w:sz w:val="24"/>
          <w:szCs w:val="24"/>
          <w:highlight w:val="none"/>
          <w:lang w:val="en-US" w:eastAsia="zh-CN"/>
        </w:rPr>
        <w:t>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仿宋_GB2312"/>
          <w:b w:val="0"/>
          <w:bCs/>
          <w:color w:val="auto"/>
          <w:sz w:val="24"/>
          <w:szCs w:val="24"/>
          <w:highlight w:val="none"/>
          <w:lang w:val="en-US" w:eastAsia="zh-CN"/>
        </w:rPr>
      </w:pPr>
      <w:r>
        <w:rPr>
          <w:rFonts w:hint="eastAsia" w:ascii="仿宋_GB2312" w:hAnsi="仿宋" w:eastAsia="仿宋_GB2312" w:cs="仿宋_GB2312"/>
          <w:b w:val="0"/>
          <w:bCs/>
          <w:color w:val="auto"/>
          <w:sz w:val="24"/>
          <w:szCs w:val="24"/>
          <w:highlight w:val="none"/>
          <w:lang w:val="en-US" w:eastAsia="zh-CN"/>
        </w:rPr>
        <w:t>7、中标人对采购人提供的所有资料信息，以及在技术服务过程中可能接触到的采购人及辖区内220余家企业方的技术、商业、经济等秘密，除非有法律和行政要求，中标人不得向任何第三方泄露，否则后果自负并承担相应的法律责任。</w:t>
      </w:r>
    </w:p>
    <w:p>
      <w:pPr>
        <w:spacing w:line="360" w:lineRule="auto"/>
        <w:ind w:firstLine="360" w:firstLineChars="150"/>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w:t>
      </w:r>
      <w:r>
        <w:rPr>
          <w:rFonts w:hint="eastAsia" w:ascii="仿宋_GB2312" w:hAnsi="仿宋" w:eastAsia="仿宋_GB2312" w:cs="仿宋_GB2312"/>
          <w:b w:val="0"/>
          <w:bCs/>
          <w:color w:val="auto"/>
          <w:sz w:val="24"/>
          <w:szCs w:val="24"/>
          <w:highlight w:val="none"/>
          <w:lang w:val="en-US" w:eastAsia="zh-CN"/>
        </w:rPr>
        <w:t>一</w:t>
      </w:r>
      <w:r>
        <w:rPr>
          <w:rFonts w:hint="eastAsia" w:ascii="仿宋_GB2312" w:hAnsi="仿宋" w:eastAsia="仿宋_GB2312" w:cs="仿宋_GB2312"/>
          <w:b w:val="0"/>
          <w:bCs/>
          <w:color w:val="auto"/>
          <w:sz w:val="24"/>
          <w:szCs w:val="24"/>
          <w:highlight w:val="none"/>
        </w:rPr>
        <w:t>）安全隐患排查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对辖区内</w:t>
      </w:r>
      <w:r>
        <w:rPr>
          <w:rFonts w:hint="eastAsia" w:ascii="仿宋_GB2312" w:hAnsi="仿宋" w:eastAsia="仿宋_GB2312" w:cs="仿宋_GB2312"/>
          <w:b w:val="0"/>
          <w:bCs/>
          <w:color w:val="auto"/>
          <w:sz w:val="24"/>
          <w:szCs w:val="24"/>
          <w:highlight w:val="none"/>
          <w:lang w:val="en-US" w:eastAsia="zh-CN"/>
        </w:rPr>
        <w:t>220</w:t>
      </w:r>
      <w:r>
        <w:rPr>
          <w:rFonts w:hint="eastAsia" w:ascii="仿宋_GB2312" w:hAnsi="仿宋" w:eastAsia="仿宋_GB2312" w:cs="仿宋_GB2312"/>
          <w:b w:val="0"/>
          <w:bCs/>
          <w:color w:val="auto"/>
          <w:sz w:val="24"/>
          <w:szCs w:val="24"/>
          <w:highlight w:val="none"/>
        </w:rPr>
        <w:t>余家企业</w:t>
      </w:r>
      <w:r>
        <w:rPr>
          <w:rFonts w:hint="eastAsia" w:ascii="仿宋_GB2312" w:hAnsi="仿宋" w:eastAsia="仿宋_GB2312" w:cs="仿宋_GB2312"/>
          <w:b w:val="0"/>
          <w:bCs/>
          <w:color w:val="auto"/>
          <w:sz w:val="24"/>
          <w:szCs w:val="24"/>
          <w:highlight w:val="none"/>
          <w:lang w:eastAsia="zh-CN"/>
        </w:rPr>
        <w:t>（服务期内，采购人可根据企业新建、关停等情况对企业名单作相应调整）</w:t>
      </w:r>
      <w:r>
        <w:rPr>
          <w:rFonts w:hint="eastAsia" w:ascii="仿宋_GB2312" w:hAnsi="仿宋" w:eastAsia="仿宋_GB2312" w:cs="仿宋_GB2312"/>
          <w:b w:val="0"/>
          <w:bCs/>
          <w:color w:val="auto"/>
          <w:sz w:val="24"/>
          <w:szCs w:val="24"/>
          <w:highlight w:val="none"/>
        </w:rPr>
        <w:t>进行一次全面摸底，进行体检式的安全隐患排查；并对所排查企业进行风险分级，分A、B、C、D(即红、橙、黄、蓝）四个等级，对不同等级企业实行不同的分级管控，具体检查频次如下：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仿宋_GB2312"/>
          <w:b w:val="0"/>
          <w:bCs/>
          <w:color w:val="auto"/>
          <w:sz w:val="24"/>
          <w:szCs w:val="24"/>
          <w:highlight w:val="none"/>
          <w:lang w:val="en-US" w:eastAsia="zh-CN"/>
        </w:rPr>
      </w:pPr>
      <w:r>
        <w:rPr>
          <w:rFonts w:hint="eastAsia" w:ascii="仿宋_GB2312" w:hAnsi="仿宋" w:eastAsia="仿宋_GB2312" w:cs="仿宋_GB2312"/>
          <w:b w:val="0"/>
          <w:bCs/>
          <w:color w:val="auto"/>
          <w:sz w:val="24"/>
          <w:szCs w:val="24"/>
          <w:highlight w:val="none"/>
        </w:rPr>
        <w:t>1、检查频次：A类企业每月不少于一次，B类企业每季度不少于一次，C、D类企业每半年不少于一次。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2、检查内容：</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应按照国家现行有关法律法规和规范标准，对被服务企业的总平面布局、平面布置、生产设施及工艺安全、作业安全、安全教育培训、风险识别告知、安全警示标志、危险化学品储存、隐患排查治理、劳动防护、应急救援及实操方案、立罐、水池等建构筑物的安全性、安全生产相关台账等内容开展全面体检式隐患排查、整改指导及整改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w:t>
      </w:r>
      <w:r>
        <w:rPr>
          <w:rFonts w:hint="eastAsia" w:ascii="仿宋_GB2312" w:hAnsi="仿宋" w:eastAsia="仿宋_GB2312" w:cs="仿宋_GB2312"/>
          <w:b w:val="0"/>
          <w:bCs/>
          <w:color w:val="auto"/>
          <w:sz w:val="24"/>
          <w:szCs w:val="24"/>
          <w:highlight w:val="none"/>
          <w:lang w:val="en-US" w:eastAsia="zh-CN"/>
        </w:rPr>
        <w:t>具体</w:t>
      </w:r>
      <w:r>
        <w:rPr>
          <w:rFonts w:hint="eastAsia" w:ascii="仿宋_GB2312" w:hAnsi="仿宋" w:eastAsia="仿宋_GB2312" w:cs="仿宋_GB2312"/>
          <w:b w:val="0"/>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3.1</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在实施检查前应提前制订详细的检查计划，包括检查组别、人员、时间、内容和标准，制定工作流程、检查结果反馈表等，建立健全检查责任制和检查过程质量控制程序，根据企业数量、特性等合理安排服务进程。检查计划需报应急管理部门备案后，方可组织实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3.2</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对服务企业开展安全检查，应根据企业规模、工艺特点和类型，▲每次检查至少安排2名专业的检查人员，必须</w:t>
      </w:r>
      <w:r>
        <w:rPr>
          <w:rFonts w:hint="eastAsia" w:ascii="仿宋_GB2312" w:hAnsi="仿宋" w:eastAsia="仿宋_GB2312" w:cs="仿宋_GB2312"/>
          <w:b w:val="0"/>
          <w:bCs/>
          <w:color w:val="auto"/>
          <w:sz w:val="24"/>
          <w:szCs w:val="24"/>
          <w:highlight w:val="none"/>
          <w:lang w:val="en-US" w:eastAsia="zh-CN"/>
        </w:rPr>
        <w:t>由</w:t>
      </w:r>
      <w:r>
        <w:rPr>
          <w:rFonts w:hint="eastAsia" w:ascii="仿宋_GB2312" w:hAnsi="仿宋" w:eastAsia="仿宋_GB2312" w:cs="仿宋_GB2312"/>
          <w:b w:val="0"/>
          <w:bCs/>
          <w:color w:val="auto"/>
          <w:sz w:val="24"/>
          <w:szCs w:val="24"/>
          <w:highlight w:val="none"/>
        </w:rPr>
        <w:t>具备注册安全工程师资质</w:t>
      </w:r>
      <w:r>
        <w:rPr>
          <w:rFonts w:hint="eastAsia" w:ascii="仿宋_GB2312" w:hAnsi="仿宋" w:eastAsia="仿宋_GB2312" w:cs="仿宋_GB2312"/>
          <w:b w:val="0"/>
          <w:bCs/>
          <w:color w:val="auto"/>
          <w:sz w:val="24"/>
          <w:szCs w:val="24"/>
          <w:highlight w:val="none"/>
          <w:lang w:val="en-US" w:eastAsia="zh-CN"/>
        </w:rPr>
        <w:t>人员带队</w:t>
      </w:r>
      <w:r>
        <w:rPr>
          <w:rFonts w:hint="eastAsia" w:ascii="仿宋_GB2312" w:hAnsi="仿宋" w:eastAsia="仿宋_GB2312" w:cs="仿宋_GB2312"/>
          <w:b w:val="0"/>
          <w:bCs/>
          <w:color w:val="auto"/>
          <w:sz w:val="24"/>
          <w:szCs w:val="24"/>
          <w:highlight w:val="none"/>
        </w:rPr>
        <w:t>，综合搭配化工、安全、设备、电气、消防以及其他方面的专家。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3.3</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对服务企业开展安全生产社会化服务时，需要响应杭州市数智城市建设趋势，采用智慧监管系统，</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需根据招标人要求，配置相应的系统软件，方便招标人随时查阅数据情况。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3.4</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对检查中发现的典型问题和隐患应用电子设备拍摄录像详细记录形成培训教学素材。每次检查发现的隐患应与企业书面交底，提出整改意见和</w:t>
      </w:r>
      <w:r>
        <w:rPr>
          <w:rFonts w:hint="eastAsia" w:ascii="仿宋_GB2312" w:hAnsi="仿宋" w:eastAsia="仿宋_GB2312" w:cs="仿宋_GB2312"/>
          <w:b w:val="0"/>
          <w:bCs/>
          <w:color w:val="auto"/>
          <w:sz w:val="24"/>
          <w:szCs w:val="24"/>
          <w:highlight w:val="none"/>
          <w:lang w:val="en-US" w:eastAsia="zh-CN"/>
        </w:rPr>
        <w:t>督促整改</w:t>
      </w:r>
      <w:r>
        <w:rPr>
          <w:rFonts w:hint="eastAsia" w:ascii="仿宋_GB2312" w:hAnsi="仿宋" w:eastAsia="仿宋_GB2312" w:cs="仿宋_GB2312"/>
          <w:b w:val="0"/>
          <w:bCs/>
          <w:color w:val="auto"/>
          <w:sz w:val="24"/>
          <w:szCs w:val="24"/>
          <w:highlight w:val="none"/>
        </w:rPr>
        <w:t>，并将检查记录表报送至</w:t>
      </w:r>
      <w:r>
        <w:rPr>
          <w:rFonts w:hint="eastAsia" w:ascii="仿宋_GB2312" w:hAnsi="仿宋" w:eastAsia="仿宋_GB2312" w:cs="仿宋_GB2312"/>
          <w:b w:val="0"/>
          <w:bCs/>
          <w:color w:val="auto"/>
          <w:sz w:val="24"/>
          <w:szCs w:val="24"/>
          <w:highlight w:val="none"/>
          <w:lang w:val="en-US" w:eastAsia="zh-CN"/>
        </w:rPr>
        <w:t>企业所属社区及</w:t>
      </w:r>
      <w:r>
        <w:rPr>
          <w:rFonts w:hint="eastAsia" w:ascii="仿宋_GB2312" w:hAnsi="仿宋" w:eastAsia="仿宋_GB2312" w:cs="仿宋_GB2312"/>
          <w:b w:val="0"/>
          <w:bCs/>
          <w:color w:val="auto"/>
          <w:sz w:val="24"/>
          <w:szCs w:val="24"/>
          <w:highlight w:val="none"/>
        </w:rPr>
        <w:t>应急管理部门。</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在季度检查计划完成后20日内应出具专门的《企业安全隐患排查报告》，由参与工作的相关专家签名，并加盖单位印章，报送应急管理部门。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在报送下一季度《企业安全隐患排查报告》时应复核被服务企业上一季度发现隐患整改落实情况，并在《企业安全隐患排查报告》中予以明确。安全中介机构在检查过程中发现被服务企业存在重大事故隐患的，应及时报告应急管理部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应建立本次服务企业档案台账，一企业一档案，本项目服务企业档案台账分以下内容：① 企业基础信息调查表；②每次现场隐患排查治理服务情况；③ 服务企业整改情况确认及前后整改图片。项目结束后将以上档案做成报告书，报送应急管理部门。并将企业基本信息、排查内容、隐患问题、整改确认情况录入工业安全信息化智慧监管系统，实现数字化智慧监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3.5</w:t>
      </w:r>
      <w:r>
        <w:rPr>
          <w:rFonts w:hint="eastAsia" w:ascii="仿宋_GB2312" w:hAnsi="仿宋" w:eastAsia="仿宋_GB2312" w:cs="仿宋_GB2312"/>
          <w:b w:val="0"/>
          <w:bCs/>
          <w:color w:val="auto"/>
          <w:sz w:val="24"/>
          <w:szCs w:val="24"/>
          <w:highlight w:val="none"/>
          <w:lang w:val="en-US" w:eastAsia="zh-CN"/>
        </w:rPr>
        <w:t>半年服务期后</w:t>
      </w:r>
      <w:r>
        <w:rPr>
          <w:rFonts w:hint="eastAsia" w:ascii="仿宋_GB2312" w:hAnsi="仿宋" w:eastAsia="仿宋_GB2312" w:cs="仿宋_GB2312"/>
          <w:b w:val="0"/>
          <w:bCs/>
          <w:color w:val="auto"/>
          <w:sz w:val="24"/>
          <w:szCs w:val="24"/>
          <w:highlight w:val="none"/>
        </w:rPr>
        <w:t>，应绘制区域安全风险四色分布电子地图，对所服务区域的安全生产状况进行综合分析，形成报告。总结经验，指出问题，提出合理化建议，为应急管理部门提供决策参考。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3.6</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开展安全检查要做到全方位、无死角、无遗漏。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3.7</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开展安全检查不得走过场，不得弄虚作假，不得隐瞒真实情况，对检查的真实性负法律责任。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3.8</w:t>
      </w:r>
      <w:r>
        <w:rPr>
          <w:rFonts w:hint="eastAsia" w:ascii="仿宋_GB2312" w:hAnsi="仿宋" w:eastAsia="仿宋_GB2312" w:cs="仿宋_GB2312"/>
          <w:b w:val="0"/>
          <w:bCs/>
          <w:color w:val="auto"/>
          <w:sz w:val="24"/>
          <w:szCs w:val="24"/>
          <w:highlight w:val="none"/>
          <w:lang w:val="en-US" w:eastAsia="zh-CN"/>
        </w:rPr>
        <w:t>中标人应根据采购人要求，</w:t>
      </w:r>
      <w:r>
        <w:rPr>
          <w:rFonts w:hint="eastAsia" w:ascii="仿宋_GB2312" w:hAnsi="仿宋" w:eastAsia="仿宋_GB2312" w:cs="仿宋_GB2312"/>
          <w:b w:val="0"/>
          <w:bCs/>
          <w:color w:val="auto"/>
          <w:sz w:val="24"/>
          <w:szCs w:val="24"/>
          <w:highlight w:val="none"/>
        </w:rPr>
        <w:t>开展</w:t>
      </w:r>
      <w:r>
        <w:rPr>
          <w:rFonts w:hint="eastAsia" w:ascii="仿宋_GB2312" w:hAnsi="仿宋" w:eastAsia="仿宋_GB2312" w:cs="仿宋_GB2312"/>
          <w:b w:val="0"/>
          <w:bCs/>
          <w:color w:val="auto"/>
          <w:sz w:val="24"/>
          <w:szCs w:val="24"/>
          <w:highlight w:val="none"/>
          <w:lang w:val="en-US" w:eastAsia="zh-CN"/>
        </w:rPr>
        <w:t>重点时间</w:t>
      </w:r>
      <w:r>
        <w:rPr>
          <w:rFonts w:hint="eastAsia" w:ascii="仿宋_GB2312" w:hAnsi="仿宋" w:eastAsia="仿宋_GB2312" w:cs="仿宋_GB2312"/>
          <w:b w:val="0"/>
          <w:bCs/>
          <w:color w:val="auto"/>
          <w:sz w:val="24"/>
          <w:szCs w:val="24"/>
          <w:highlight w:val="none"/>
        </w:rPr>
        <w:t>，</w:t>
      </w:r>
      <w:r>
        <w:rPr>
          <w:rFonts w:hint="eastAsia" w:ascii="仿宋_GB2312" w:hAnsi="仿宋" w:eastAsia="仿宋_GB2312" w:cs="仿宋_GB2312"/>
          <w:b w:val="0"/>
          <w:bCs/>
          <w:color w:val="auto"/>
          <w:sz w:val="24"/>
          <w:szCs w:val="24"/>
          <w:highlight w:val="none"/>
          <w:lang w:val="en-US" w:eastAsia="zh-CN"/>
        </w:rPr>
        <w:t>重点</w:t>
      </w:r>
      <w:r>
        <w:rPr>
          <w:rFonts w:hint="eastAsia" w:ascii="仿宋_GB2312" w:hAnsi="仿宋" w:eastAsia="仿宋_GB2312" w:cs="仿宋_GB2312"/>
          <w:b w:val="0"/>
          <w:bCs/>
          <w:color w:val="auto"/>
          <w:sz w:val="24"/>
          <w:szCs w:val="24"/>
          <w:highlight w:val="none"/>
        </w:rPr>
        <w:t>领域</w:t>
      </w:r>
      <w:r>
        <w:rPr>
          <w:rFonts w:hint="eastAsia" w:ascii="仿宋_GB2312" w:hAnsi="仿宋" w:eastAsia="仿宋_GB2312" w:cs="仿宋_GB2312"/>
          <w:b w:val="0"/>
          <w:bCs/>
          <w:color w:val="auto"/>
          <w:sz w:val="24"/>
          <w:szCs w:val="24"/>
          <w:highlight w:val="none"/>
          <w:lang w:eastAsia="zh-CN"/>
        </w:rPr>
        <w:t>，</w:t>
      </w:r>
      <w:r>
        <w:rPr>
          <w:rFonts w:hint="eastAsia" w:ascii="仿宋_GB2312" w:hAnsi="仿宋" w:eastAsia="仿宋_GB2312" w:cs="仿宋_GB2312"/>
          <w:b w:val="0"/>
          <w:bCs/>
          <w:color w:val="auto"/>
          <w:sz w:val="24"/>
          <w:szCs w:val="24"/>
          <w:highlight w:val="none"/>
          <w:lang w:val="en-US" w:eastAsia="zh-CN"/>
        </w:rPr>
        <w:t>重点行业</w:t>
      </w:r>
      <w:r>
        <w:rPr>
          <w:rFonts w:hint="eastAsia" w:ascii="仿宋_GB2312" w:hAnsi="仿宋" w:eastAsia="仿宋_GB2312" w:cs="仿宋_GB2312"/>
          <w:b w:val="0"/>
          <w:bCs/>
          <w:color w:val="auto"/>
          <w:sz w:val="24"/>
          <w:szCs w:val="24"/>
          <w:highlight w:val="none"/>
        </w:rPr>
        <w:t>等阶段性的各类</w:t>
      </w:r>
      <w:r>
        <w:rPr>
          <w:rFonts w:hint="eastAsia" w:ascii="仿宋_GB2312" w:hAnsi="仿宋" w:eastAsia="仿宋_GB2312" w:cs="仿宋_GB2312"/>
          <w:b w:val="0"/>
          <w:bCs/>
          <w:color w:val="auto"/>
          <w:sz w:val="24"/>
          <w:szCs w:val="24"/>
          <w:highlight w:val="none"/>
          <w:lang w:val="en-US" w:eastAsia="zh-CN"/>
        </w:rPr>
        <w:t>专项</w:t>
      </w:r>
      <w:r>
        <w:rPr>
          <w:rFonts w:hint="eastAsia" w:ascii="仿宋_GB2312" w:hAnsi="仿宋" w:eastAsia="仿宋_GB2312" w:cs="仿宋_GB2312"/>
          <w:b w:val="0"/>
          <w:bCs/>
          <w:color w:val="auto"/>
          <w:sz w:val="24"/>
          <w:szCs w:val="24"/>
          <w:highlight w:val="none"/>
        </w:rPr>
        <w:t>检查工作；督促企业加强隐患整改，确保闭环。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3.9需自备巡查汽车</w:t>
      </w:r>
      <w:r>
        <w:rPr>
          <w:rFonts w:hint="eastAsia" w:ascii="仿宋_GB2312" w:hAnsi="仿宋" w:eastAsia="仿宋_GB2312" w:cs="仿宋_GB2312"/>
          <w:b w:val="0"/>
          <w:bCs/>
          <w:color w:val="auto"/>
          <w:sz w:val="24"/>
          <w:szCs w:val="24"/>
          <w:highlight w:val="none"/>
          <w:lang w:val="en-US" w:eastAsia="zh-CN"/>
        </w:rPr>
        <w:t>六</w:t>
      </w:r>
      <w:r>
        <w:rPr>
          <w:rFonts w:hint="eastAsia" w:ascii="仿宋_GB2312" w:hAnsi="仿宋" w:eastAsia="仿宋_GB2312" w:cs="仿宋_GB2312"/>
          <w:b w:val="0"/>
          <w:bCs/>
          <w:color w:val="auto"/>
          <w:sz w:val="24"/>
          <w:szCs w:val="24"/>
          <w:highlight w:val="none"/>
        </w:rPr>
        <w:t>辆</w:t>
      </w:r>
      <w:r>
        <w:rPr>
          <w:rFonts w:hint="eastAsia" w:ascii="仿宋_GB2312" w:hAnsi="仿宋" w:eastAsia="仿宋_GB2312" w:cs="仿宋_GB2312"/>
          <w:b w:val="0"/>
          <w:bCs/>
          <w:color w:val="auto"/>
          <w:sz w:val="24"/>
          <w:szCs w:val="24"/>
          <w:highlight w:val="none"/>
          <w:lang w:eastAsia="zh-CN"/>
        </w:rPr>
        <w:t>（</w:t>
      </w:r>
      <w:r>
        <w:rPr>
          <w:rFonts w:hint="eastAsia" w:ascii="仿宋_GB2312" w:hAnsi="仿宋" w:eastAsia="仿宋_GB2312" w:cs="仿宋_GB2312"/>
          <w:b w:val="0"/>
          <w:bCs/>
          <w:color w:val="auto"/>
          <w:sz w:val="24"/>
          <w:szCs w:val="24"/>
          <w:highlight w:val="none"/>
          <w:lang w:val="en-US" w:eastAsia="zh-CN"/>
        </w:rPr>
        <w:t>其中一辆要求全新购置，购置费用不低于十万元</w:t>
      </w:r>
      <w:r>
        <w:rPr>
          <w:rFonts w:hint="eastAsia" w:ascii="仿宋_GB2312" w:hAnsi="仿宋" w:eastAsia="仿宋_GB2312" w:cs="仿宋_GB2312"/>
          <w:b w:val="0"/>
          <w:bCs/>
          <w:color w:val="auto"/>
          <w:sz w:val="24"/>
          <w:szCs w:val="24"/>
          <w:highlight w:val="none"/>
          <w:lang w:eastAsia="zh-CN"/>
        </w:rPr>
        <w:t>）</w:t>
      </w:r>
      <w:r>
        <w:rPr>
          <w:rFonts w:hint="eastAsia" w:ascii="仿宋_GB2312" w:hAnsi="仿宋" w:eastAsia="仿宋_GB2312" w:cs="仿宋_GB2312"/>
          <w:b w:val="0"/>
          <w:bCs/>
          <w:color w:val="auto"/>
          <w:sz w:val="24"/>
          <w:szCs w:val="24"/>
          <w:highlight w:val="none"/>
        </w:rPr>
        <w:t>，单兵执法仪</w:t>
      </w:r>
      <w:r>
        <w:rPr>
          <w:rFonts w:hint="eastAsia" w:ascii="仿宋_GB2312" w:hAnsi="仿宋" w:eastAsia="仿宋_GB2312" w:cs="仿宋_GB2312"/>
          <w:b w:val="0"/>
          <w:bCs/>
          <w:color w:val="auto"/>
          <w:sz w:val="24"/>
          <w:szCs w:val="24"/>
          <w:highlight w:val="none"/>
          <w:lang w:val="en-US" w:eastAsia="zh-CN"/>
        </w:rPr>
        <w:t>10</w:t>
      </w:r>
      <w:r>
        <w:rPr>
          <w:rFonts w:hint="eastAsia" w:ascii="仿宋_GB2312" w:hAnsi="仿宋" w:eastAsia="仿宋_GB2312" w:cs="仿宋_GB2312"/>
          <w:b w:val="0"/>
          <w:bCs/>
          <w:color w:val="auto"/>
          <w:sz w:val="24"/>
          <w:szCs w:val="24"/>
          <w:highlight w:val="none"/>
        </w:rPr>
        <w:t>台，笔记本电脑</w:t>
      </w:r>
      <w:r>
        <w:rPr>
          <w:rFonts w:hint="eastAsia" w:ascii="仿宋_GB2312" w:hAnsi="仿宋" w:eastAsia="仿宋_GB2312" w:cs="仿宋_GB2312"/>
          <w:b w:val="0"/>
          <w:bCs/>
          <w:color w:val="auto"/>
          <w:sz w:val="24"/>
          <w:szCs w:val="24"/>
          <w:highlight w:val="none"/>
          <w:lang w:val="en-US" w:eastAsia="zh-CN"/>
        </w:rPr>
        <w:t>10</w:t>
      </w:r>
      <w:r>
        <w:rPr>
          <w:rFonts w:hint="eastAsia" w:ascii="仿宋_GB2312" w:hAnsi="仿宋" w:eastAsia="仿宋_GB2312" w:cs="仿宋_GB2312"/>
          <w:b w:val="0"/>
          <w:bCs/>
          <w:color w:val="auto"/>
          <w:sz w:val="24"/>
          <w:szCs w:val="24"/>
          <w:highlight w:val="none"/>
        </w:rPr>
        <w:t>台，其他开展服务工作所必要的设备，用于常驻安全生产日常服务。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3.10完成临时交办的工作任务。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4、在合同服务期间，</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应配合街道组织开展各类员工安全教育培训工作，应把企业员工安全教育培训计划纳入服务合同范围之内，需对所有企业进行一年不少于两次的统一安全教育培训。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5、</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应随时为被服务企业及街道提供安全生产领域的安全技术咨询服务，包括隐患治理的技术指导、许可证申请辅导等。需要服务人员到场的，</w:t>
      </w:r>
      <w:r>
        <w:rPr>
          <w:rFonts w:hint="eastAsia" w:ascii="仿宋_GB2312" w:hAnsi="仿宋" w:eastAsia="仿宋_GB2312" w:cs="仿宋_GB2312"/>
          <w:b w:val="0"/>
          <w:bCs/>
          <w:color w:val="auto"/>
          <w:sz w:val="24"/>
          <w:szCs w:val="24"/>
          <w:highlight w:val="none"/>
          <w:lang w:val="en-US" w:eastAsia="zh-CN"/>
        </w:rPr>
        <w:t>中标人</w:t>
      </w:r>
      <w:r>
        <w:rPr>
          <w:rFonts w:hint="eastAsia" w:ascii="仿宋_GB2312" w:hAnsi="仿宋" w:eastAsia="仿宋_GB2312" w:cs="仿宋_GB2312"/>
          <w:b w:val="0"/>
          <w:bCs/>
          <w:color w:val="auto"/>
          <w:sz w:val="24"/>
          <w:szCs w:val="24"/>
          <w:highlight w:val="none"/>
        </w:rPr>
        <w:t>应在企业及街道提出服务要求的2小时内派遣服务人员到场服务。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6、排查员外出检查配备单兵设备，设备会自动传输实时检查画面到工业安全信息化智慧监管系统，同时记录当天排查人员的行程轨迹。</w:t>
      </w:r>
    </w:p>
    <w:p>
      <w:pPr>
        <w:spacing w:line="360" w:lineRule="auto"/>
        <w:ind w:firstLine="120" w:firstLineChars="50"/>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（二）临时重点安全检查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仿宋_GB2312"/>
          <w:b w:val="0"/>
          <w:bCs/>
          <w:color w:val="auto"/>
          <w:sz w:val="24"/>
          <w:szCs w:val="24"/>
          <w:highlight w:val="none"/>
        </w:rPr>
      </w:pPr>
      <w:r>
        <w:rPr>
          <w:rFonts w:hint="eastAsia" w:ascii="仿宋_GB2312" w:hAnsi="仿宋" w:eastAsia="仿宋_GB2312" w:cs="仿宋_GB2312"/>
          <w:b w:val="0"/>
          <w:bCs/>
          <w:color w:val="auto"/>
          <w:sz w:val="24"/>
          <w:szCs w:val="24"/>
          <w:highlight w:val="none"/>
        </w:rPr>
        <w:t>根据上级指示精神及季节性、节假日特点，安排技术专家协助应急管理部门开展各项临时重点安全检查，出具书面检查意见。此项工作不定具体时间，不限次数和服务对象，根据实际需要临时安排检查。</w:t>
      </w:r>
    </w:p>
    <w:p>
      <w:pPr>
        <w:widowControl/>
        <w:tabs>
          <w:tab w:val="left" w:pos="1212"/>
          <w:tab w:val="left" w:pos="3888"/>
        </w:tabs>
        <w:snapToGrid w:val="0"/>
        <w:spacing w:line="360" w:lineRule="auto"/>
        <w:jc w:val="left"/>
        <w:rPr>
          <w:rFonts w:ascii="仿宋" w:hAnsi="仿宋" w:eastAsia="仿宋" w:cs="仿宋"/>
          <w:b/>
          <w:bCs/>
          <w:kern w:val="0"/>
          <w:sz w:val="24"/>
          <w:szCs w:val="20"/>
        </w:rPr>
      </w:pPr>
      <w:r>
        <w:rPr>
          <w:rFonts w:hint="eastAsia" w:ascii="仿宋" w:hAnsi="仿宋" w:eastAsia="仿宋" w:cs="仿宋"/>
          <w:b/>
          <w:bCs/>
          <w:kern w:val="0"/>
          <w:sz w:val="24"/>
          <w:szCs w:val="20"/>
          <w:lang w:val="en-US" w:eastAsia="zh-CN"/>
        </w:rPr>
        <w:t>四</w:t>
      </w:r>
      <w:r>
        <w:rPr>
          <w:rFonts w:hint="eastAsia" w:ascii="仿宋" w:hAnsi="仿宋" w:eastAsia="仿宋" w:cs="仿宋"/>
          <w:b/>
          <w:bCs/>
          <w:kern w:val="0"/>
          <w:sz w:val="24"/>
          <w:szCs w:val="20"/>
        </w:rPr>
        <w:t>、其他要求</w:t>
      </w:r>
    </w:p>
    <w:p>
      <w:pPr>
        <w:widowControl/>
        <w:tabs>
          <w:tab w:val="left" w:pos="1212"/>
          <w:tab w:val="left" w:pos="3888"/>
        </w:tabs>
        <w:snapToGrid w:val="0"/>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rPr>
        <w:t>1、投标人应考虑企业自身实力、经验及项目实施过程中的各种因素，根据采购要求，详细说明所能提供的各项具体服务内容，自主确定报价，实行</w:t>
      </w:r>
      <w:r>
        <w:rPr>
          <w:rFonts w:hint="eastAsia" w:ascii="仿宋" w:hAnsi="仿宋" w:eastAsia="仿宋" w:cs="仿宋"/>
          <w:kern w:val="0"/>
          <w:sz w:val="24"/>
          <w:szCs w:val="20"/>
          <w:lang w:val="en-US" w:eastAsia="zh-CN"/>
        </w:rPr>
        <w:t>总价</w:t>
      </w:r>
      <w:r>
        <w:rPr>
          <w:rFonts w:hint="eastAsia" w:ascii="仿宋" w:hAnsi="仿宋" w:eastAsia="仿宋" w:cs="仿宋"/>
          <w:kern w:val="0"/>
          <w:sz w:val="24"/>
          <w:szCs w:val="20"/>
        </w:rPr>
        <w:t>包干</w:t>
      </w:r>
      <w:r>
        <w:rPr>
          <w:rFonts w:hint="eastAsia" w:ascii="仿宋" w:hAnsi="仿宋" w:eastAsia="仿宋" w:cs="仿宋"/>
          <w:kern w:val="0"/>
          <w:sz w:val="24"/>
          <w:szCs w:val="20"/>
          <w:highlight w:val="none"/>
        </w:rPr>
        <w:t>。</w:t>
      </w:r>
    </w:p>
    <w:p>
      <w:pPr>
        <w:widowControl/>
        <w:tabs>
          <w:tab w:val="left" w:pos="1212"/>
          <w:tab w:val="left" w:pos="3888"/>
        </w:tabs>
        <w:snapToGrid w:val="0"/>
        <w:spacing w:line="360" w:lineRule="auto"/>
        <w:ind w:firstLine="420"/>
        <w:jc w:val="left"/>
        <w:rPr>
          <w:rFonts w:ascii="仿宋" w:hAnsi="仿宋" w:eastAsia="仿宋" w:cs="仿宋"/>
          <w:kern w:val="0"/>
          <w:sz w:val="24"/>
          <w:szCs w:val="20"/>
          <w:highlight w:val="none"/>
        </w:rPr>
      </w:pPr>
      <w:r>
        <w:rPr>
          <w:rFonts w:hint="eastAsia" w:ascii="仿宋" w:hAnsi="仿宋" w:eastAsia="仿宋" w:cs="仿宋"/>
          <w:kern w:val="0"/>
          <w:sz w:val="24"/>
          <w:szCs w:val="20"/>
        </w:rPr>
        <w:t>2、投标人的报价应包括为完成本项目服务可能发生的全部费用及投标人的利润和应交纳的税金等（包括人员工资、</w:t>
      </w:r>
      <w:r>
        <w:rPr>
          <w:rFonts w:hint="eastAsia" w:ascii="仿宋" w:hAnsi="仿宋" w:eastAsia="仿宋" w:cs="仿宋"/>
          <w:kern w:val="0"/>
          <w:sz w:val="24"/>
        </w:rPr>
        <w:t>交通工具</w:t>
      </w:r>
      <w:r>
        <w:rPr>
          <w:rFonts w:hint="eastAsia" w:ascii="仿宋" w:hAnsi="仿宋" w:eastAsia="仿宋" w:cs="仿宋"/>
          <w:kern w:val="0"/>
          <w:sz w:val="24"/>
          <w:szCs w:val="20"/>
        </w:rPr>
        <w:t>费用、各种社会保险、</w:t>
      </w:r>
      <w:r>
        <w:rPr>
          <w:rFonts w:hint="eastAsia" w:ascii="仿宋" w:hAnsi="仿宋" w:eastAsia="仿宋" w:cs="仿宋"/>
          <w:kern w:val="0"/>
          <w:sz w:val="24"/>
          <w:szCs w:val="20"/>
          <w:highlight w:val="none"/>
          <w:lang w:val="en-US" w:eastAsia="zh-CN"/>
        </w:rPr>
        <w:t>意外伤害保险、</w:t>
      </w:r>
      <w:r>
        <w:rPr>
          <w:rFonts w:hint="eastAsia" w:ascii="仿宋" w:hAnsi="仿宋" w:eastAsia="仿宋" w:cs="仿宋"/>
          <w:kern w:val="0"/>
          <w:sz w:val="24"/>
          <w:szCs w:val="20"/>
          <w:highlight w:val="none"/>
        </w:rPr>
        <w:t>人员食宿与交通、办公费等）。投标人对合同内容的费用、质量、安全、文明服务等实行全面承包。</w:t>
      </w:r>
    </w:p>
    <w:p>
      <w:pPr>
        <w:widowControl/>
        <w:tabs>
          <w:tab w:val="left" w:pos="1212"/>
          <w:tab w:val="left" w:pos="3888"/>
        </w:tabs>
        <w:snapToGrid w:val="0"/>
        <w:spacing w:line="360" w:lineRule="auto"/>
        <w:ind w:firstLine="420"/>
        <w:jc w:val="left"/>
        <w:rPr>
          <w:rFonts w:ascii="仿宋" w:hAnsi="仿宋" w:eastAsia="仿宋" w:cs="仿宋"/>
          <w:kern w:val="0"/>
          <w:sz w:val="24"/>
          <w:szCs w:val="20"/>
          <w:highlight w:val="yellow"/>
        </w:rPr>
      </w:pPr>
      <w:bookmarkStart w:id="27" w:name="_Hlk101289826"/>
      <w:r>
        <w:rPr>
          <w:rFonts w:hint="eastAsia" w:ascii="仿宋" w:hAnsi="仿宋" w:eastAsia="仿宋" w:cs="仿宋"/>
          <w:kern w:val="0"/>
          <w:sz w:val="24"/>
          <w:highlight w:val="none"/>
          <w:lang w:val="en-US" w:eastAsia="zh-CN" w:bidi="ar"/>
        </w:rPr>
        <w:t>3</w:t>
      </w:r>
      <w:r>
        <w:rPr>
          <w:rFonts w:hint="eastAsia" w:ascii="仿宋" w:hAnsi="仿宋" w:eastAsia="仿宋" w:cs="仿宋"/>
          <w:kern w:val="0"/>
          <w:sz w:val="24"/>
          <w:highlight w:val="none"/>
          <w:lang w:bidi="ar"/>
        </w:rPr>
        <w:t>、根据浙江省与杭州市相关文件规定，并结合本项目具体情况，投标人为服务人员缴纳基本社会保险，并承担企业承担部分（基本养老保险、基本医疗保险、失业保险、工伤保险、生育保险</w:t>
      </w:r>
      <w:r>
        <w:rPr>
          <w:rFonts w:hint="eastAsia" w:ascii="仿宋" w:hAnsi="仿宋" w:eastAsia="仿宋" w:cs="仿宋"/>
          <w:kern w:val="0"/>
          <w:sz w:val="24"/>
          <w:highlight w:val="none"/>
          <w:lang w:val="en-US" w:eastAsia="zh-CN" w:bidi="ar"/>
        </w:rPr>
        <w:t>等</w:t>
      </w:r>
      <w:r>
        <w:rPr>
          <w:rFonts w:hint="eastAsia" w:ascii="仿宋" w:hAnsi="仿宋" w:eastAsia="仿宋" w:cs="仿宋"/>
          <w:kern w:val="0"/>
          <w:sz w:val="24"/>
          <w:lang w:bidi="ar"/>
        </w:rPr>
        <w:t>）。</w:t>
      </w:r>
    </w:p>
    <w:p>
      <w:pPr>
        <w:widowControl/>
        <w:tabs>
          <w:tab w:val="left" w:pos="1212"/>
          <w:tab w:val="left" w:pos="3888"/>
        </w:tabs>
        <w:snapToGrid w:val="0"/>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lang w:val="en-US" w:eastAsia="zh-CN"/>
        </w:rPr>
        <w:t>4</w:t>
      </w:r>
      <w:r>
        <w:rPr>
          <w:rFonts w:hint="eastAsia" w:ascii="仿宋" w:hAnsi="仿宋" w:eastAsia="仿宋" w:cs="仿宋"/>
          <w:kern w:val="0"/>
          <w:sz w:val="24"/>
          <w:szCs w:val="20"/>
        </w:rPr>
        <w:t>.高温补贴、人身意外险由中标人按相关规定支付。</w:t>
      </w:r>
      <w:bookmarkEnd w:id="27"/>
    </w:p>
    <w:p>
      <w:pPr>
        <w:widowControl/>
        <w:tabs>
          <w:tab w:val="left" w:pos="1212"/>
          <w:tab w:val="left" w:pos="3888"/>
        </w:tabs>
        <w:snapToGrid w:val="0"/>
        <w:spacing w:line="360" w:lineRule="auto"/>
        <w:jc w:val="left"/>
        <w:rPr>
          <w:rFonts w:ascii="仿宋" w:hAnsi="仿宋" w:eastAsia="仿宋" w:cs="仿宋"/>
          <w:b/>
          <w:bCs/>
          <w:kern w:val="0"/>
          <w:sz w:val="24"/>
          <w:szCs w:val="20"/>
          <w:lang w:val="zh-CN"/>
        </w:rPr>
      </w:pPr>
      <w:r>
        <w:rPr>
          <w:rFonts w:hint="eastAsia" w:ascii="仿宋" w:hAnsi="仿宋" w:eastAsia="仿宋" w:cs="仿宋"/>
          <w:b/>
          <w:bCs/>
          <w:kern w:val="0"/>
          <w:sz w:val="24"/>
          <w:szCs w:val="20"/>
          <w:lang w:val="en-US" w:eastAsia="zh-CN"/>
        </w:rPr>
        <w:t>五</w:t>
      </w:r>
      <w:r>
        <w:rPr>
          <w:rFonts w:hint="eastAsia" w:ascii="仿宋" w:hAnsi="仿宋" w:eastAsia="仿宋" w:cs="仿宋"/>
          <w:b/>
          <w:bCs/>
          <w:kern w:val="0"/>
          <w:sz w:val="24"/>
          <w:szCs w:val="20"/>
        </w:rPr>
        <w:t>、</w:t>
      </w:r>
      <w:r>
        <w:rPr>
          <w:rFonts w:hint="eastAsia" w:ascii="仿宋" w:hAnsi="仿宋" w:eastAsia="仿宋" w:cs="仿宋"/>
          <w:b/>
          <w:bCs/>
          <w:kern w:val="0"/>
          <w:sz w:val="24"/>
          <w:szCs w:val="20"/>
          <w:lang w:val="zh-CN"/>
        </w:rPr>
        <w:t>合同执行约束</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r>
        <w:rPr>
          <w:rFonts w:hint="eastAsia" w:ascii="仿宋" w:hAnsi="仿宋" w:eastAsia="仿宋" w:cs="仿宋"/>
          <w:kern w:val="0"/>
          <w:sz w:val="24"/>
          <w:szCs w:val="20"/>
        </w:rPr>
        <w:t>采购人可以不定期组织检查根据考核要求对中标人服务质量进行考核，中标人</w:t>
      </w:r>
      <w:r>
        <w:rPr>
          <w:rFonts w:hint="eastAsia" w:ascii="仿宋" w:hAnsi="仿宋" w:eastAsia="仿宋" w:cs="仿宋"/>
          <w:kern w:val="0"/>
          <w:sz w:val="24"/>
          <w:szCs w:val="20"/>
          <w:lang w:val="zh-CN"/>
        </w:rPr>
        <w:t>须无条件接受</w:t>
      </w:r>
      <w:r>
        <w:rPr>
          <w:rFonts w:hint="eastAsia" w:ascii="仿宋" w:hAnsi="仿宋" w:eastAsia="仿宋" w:cs="仿宋"/>
          <w:kern w:val="0"/>
          <w:sz w:val="24"/>
          <w:szCs w:val="20"/>
        </w:rPr>
        <w:t>采购人</w:t>
      </w:r>
      <w:r>
        <w:rPr>
          <w:rFonts w:hint="eastAsia" w:ascii="仿宋" w:hAnsi="仿宋" w:eastAsia="仿宋" w:cs="仿宋"/>
          <w:kern w:val="0"/>
          <w:sz w:val="24"/>
          <w:szCs w:val="20"/>
          <w:lang w:val="zh-CN"/>
        </w:rPr>
        <w:t>的检查，采购人有权根据考核结果对</w:t>
      </w:r>
      <w:r>
        <w:rPr>
          <w:rFonts w:hint="eastAsia" w:ascii="仿宋" w:hAnsi="仿宋" w:eastAsia="仿宋" w:cs="仿宋"/>
          <w:kern w:val="0"/>
          <w:sz w:val="24"/>
          <w:szCs w:val="20"/>
        </w:rPr>
        <w:t>中标人</w:t>
      </w:r>
      <w:r>
        <w:rPr>
          <w:rFonts w:hint="eastAsia" w:ascii="仿宋" w:hAnsi="仿宋" w:eastAsia="仿宋" w:cs="仿宋"/>
          <w:kern w:val="0"/>
          <w:sz w:val="24"/>
          <w:szCs w:val="20"/>
          <w:lang w:val="zh-CN"/>
        </w:rPr>
        <w:t>进行处罚。</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（一）考核方法</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采用</w:t>
      </w:r>
      <w:r>
        <w:rPr>
          <w:rFonts w:hint="eastAsia" w:ascii="仿宋" w:hAnsi="仿宋" w:eastAsia="仿宋" w:cs="仿宋"/>
          <w:kern w:val="0"/>
          <w:sz w:val="24"/>
          <w:szCs w:val="20"/>
          <w:highlight w:val="none"/>
          <w:lang w:val="en-US" w:eastAsia="zh-CN"/>
        </w:rPr>
        <w:t>年度</w:t>
      </w:r>
      <w:r>
        <w:rPr>
          <w:rFonts w:hint="eastAsia" w:ascii="仿宋" w:hAnsi="仿宋" w:eastAsia="仿宋" w:cs="仿宋"/>
          <w:kern w:val="0"/>
          <w:sz w:val="24"/>
          <w:szCs w:val="20"/>
          <w:highlight w:val="none"/>
          <w:lang w:val="zh-CN"/>
        </w:rPr>
        <w:t>考核的方式。具体考核评分表见附表1。</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（二）考核结果</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r>
        <w:rPr>
          <w:rFonts w:hint="eastAsia" w:ascii="仿宋" w:hAnsi="仿宋" w:eastAsia="仿宋" w:cs="仿宋"/>
          <w:kern w:val="0"/>
          <w:sz w:val="24"/>
          <w:szCs w:val="20"/>
          <w:highlight w:val="none"/>
          <w:lang w:val="zh-CN"/>
        </w:rPr>
        <w:t>结合</w:t>
      </w:r>
      <w:r>
        <w:rPr>
          <w:rFonts w:hint="eastAsia" w:ascii="仿宋_GB2312" w:hAnsi="仿宋" w:eastAsia="仿宋_GB2312" w:cs="仿宋_GB2312"/>
          <w:b w:val="0"/>
          <w:bCs/>
          <w:color w:val="auto"/>
          <w:sz w:val="24"/>
          <w:szCs w:val="24"/>
          <w:highlight w:val="none"/>
          <w:lang w:val="en-US" w:eastAsia="zh-CN"/>
        </w:rPr>
        <w:t>中标人</w:t>
      </w:r>
      <w:r>
        <w:rPr>
          <w:rFonts w:hint="eastAsia" w:ascii="仿宋" w:hAnsi="仿宋" w:eastAsia="仿宋" w:cs="仿宋"/>
          <w:kern w:val="0"/>
          <w:sz w:val="24"/>
          <w:szCs w:val="20"/>
          <w:highlight w:val="none"/>
          <w:lang w:val="zh-CN"/>
        </w:rPr>
        <w:t>服务数量、质量及服务实际效果，最后根据</w:t>
      </w:r>
      <w:r>
        <w:rPr>
          <w:rFonts w:hint="eastAsia" w:ascii="仿宋" w:hAnsi="仿宋" w:eastAsia="仿宋" w:cs="仿宋"/>
          <w:kern w:val="0"/>
          <w:sz w:val="24"/>
          <w:szCs w:val="20"/>
          <w:highlight w:val="none"/>
          <w:lang w:val="en-US" w:eastAsia="zh-CN"/>
        </w:rPr>
        <w:t>年度</w:t>
      </w:r>
      <w:r>
        <w:rPr>
          <w:rFonts w:hint="eastAsia" w:ascii="仿宋" w:hAnsi="仿宋" w:eastAsia="仿宋" w:cs="仿宋"/>
          <w:kern w:val="0"/>
          <w:sz w:val="24"/>
          <w:szCs w:val="20"/>
          <w:highlight w:val="none"/>
          <w:lang w:val="zh-CN"/>
        </w:rPr>
        <w:t>实际</w:t>
      </w:r>
      <w:r>
        <w:rPr>
          <w:rFonts w:hint="eastAsia" w:ascii="仿宋" w:hAnsi="仿宋" w:eastAsia="仿宋" w:cs="仿宋"/>
          <w:kern w:val="0"/>
          <w:sz w:val="24"/>
          <w:szCs w:val="20"/>
          <w:lang w:val="zh-CN"/>
        </w:rPr>
        <w:t>考核得分，按照下表中的付款比例进行付款兑现。实际付款金额 = 项目</w:t>
      </w:r>
      <w:r>
        <w:rPr>
          <w:rFonts w:hint="eastAsia" w:ascii="仿宋" w:hAnsi="仿宋" w:eastAsia="仿宋" w:cs="仿宋"/>
          <w:kern w:val="0"/>
          <w:sz w:val="24"/>
          <w:szCs w:val="20"/>
          <w:lang w:val="en-US" w:eastAsia="zh-CN"/>
        </w:rPr>
        <w:t>当年</w:t>
      </w:r>
      <w:r>
        <w:rPr>
          <w:rFonts w:hint="eastAsia" w:ascii="仿宋" w:hAnsi="仿宋" w:eastAsia="仿宋" w:cs="仿宋"/>
          <w:kern w:val="0"/>
          <w:sz w:val="24"/>
          <w:szCs w:val="20"/>
          <w:lang w:val="zh-CN"/>
        </w:rPr>
        <w:t>金额数X付款比例。</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考核得分与付款比例一览表</w:t>
      </w:r>
    </w:p>
    <w:tbl>
      <w:tblPr>
        <w:tblStyle w:val="6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41"/>
        <w:gridCol w:w="1268"/>
        <w:gridCol w:w="1222"/>
        <w:gridCol w:w="1366"/>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考核得分</w:t>
            </w:r>
          </w:p>
        </w:tc>
        <w:tc>
          <w:tcPr>
            <w:tcW w:w="1841"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90分（含）以上</w:t>
            </w:r>
          </w:p>
        </w:tc>
        <w:tc>
          <w:tcPr>
            <w:tcW w:w="1268"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80～89分</w:t>
            </w:r>
          </w:p>
        </w:tc>
        <w:tc>
          <w:tcPr>
            <w:tcW w:w="1222"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70～79分</w:t>
            </w:r>
          </w:p>
        </w:tc>
        <w:tc>
          <w:tcPr>
            <w:tcW w:w="1366"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60～69分</w:t>
            </w:r>
          </w:p>
        </w:tc>
        <w:tc>
          <w:tcPr>
            <w:tcW w:w="1839"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59</w:t>
            </w:r>
            <w:r>
              <w:rPr>
                <w:rFonts w:hint="eastAsia" w:ascii="仿宋" w:hAnsi="仿宋" w:eastAsia="仿宋" w:cs="仿宋"/>
                <w:kern w:val="0"/>
                <w:sz w:val="24"/>
                <w:szCs w:val="20"/>
                <w:highlight w:val="none"/>
                <w:lang w:val="zh-CN"/>
              </w:rPr>
              <w:t>分</w:t>
            </w:r>
            <w:r>
              <w:rPr>
                <w:rFonts w:hint="eastAsia" w:ascii="仿宋" w:hAnsi="仿宋" w:eastAsia="仿宋" w:cs="仿宋"/>
                <w:kern w:val="0"/>
                <w:sz w:val="24"/>
                <w:szCs w:val="20"/>
                <w:highlight w:val="none"/>
                <w:lang w:val="en-US" w:eastAsia="zh-CN"/>
              </w:rPr>
              <w:t>（含）以下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付款比例</w:t>
            </w:r>
          </w:p>
        </w:tc>
        <w:tc>
          <w:tcPr>
            <w:tcW w:w="1841"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全额付款</w:t>
            </w:r>
          </w:p>
        </w:tc>
        <w:tc>
          <w:tcPr>
            <w:tcW w:w="1268"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九折付款</w:t>
            </w:r>
          </w:p>
        </w:tc>
        <w:tc>
          <w:tcPr>
            <w:tcW w:w="1222"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zh-CN"/>
              </w:rPr>
              <w:t>八折付款</w:t>
            </w:r>
          </w:p>
        </w:tc>
        <w:tc>
          <w:tcPr>
            <w:tcW w:w="1366"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kern w:val="0"/>
                <w:sz w:val="24"/>
                <w:szCs w:val="20"/>
                <w:highlight w:val="none"/>
                <w:lang w:val="en-US" w:eastAsia="zh-CN"/>
              </w:rPr>
              <w:t>五</w:t>
            </w:r>
            <w:r>
              <w:rPr>
                <w:rFonts w:hint="eastAsia" w:ascii="仿宋" w:hAnsi="仿宋" w:eastAsia="仿宋" w:cs="仿宋"/>
                <w:kern w:val="0"/>
                <w:sz w:val="24"/>
                <w:szCs w:val="20"/>
                <w:highlight w:val="none"/>
                <w:lang w:val="zh-CN"/>
              </w:rPr>
              <w:t>折付款</w:t>
            </w:r>
          </w:p>
        </w:tc>
        <w:tc>
          <w:tcPr>
            <w:tcW w:w="1839" w:type="dxa"/>
            <w:noWrap w:val="0"/>
            <w:vAlign w:val="center"/>
          </w:tcPr>
          <w:p>
            <w:pPr>
              <w:keepNext w:val="0"/>
              <w:keepLines w:val="0"/>
              <w:widowControl/>
              <w:suppressLineNumbers w:val="0"/>
              <w:tabs>
                <w:tab w:val="left" w:pos="1212"/>
                <w:tab w:val="left" w:pos="3888"/>
              </w:tabs>
              <w:snapToGrid w:val="0"/>
              <w:spacing w:before="0" w:beforeAutospacing="0" w:after="0" w:afterAutospacing="0" w:line="360" w:lineRule="auto"/>
              <w:ind w:left="0" w:right="0"/>
              <w:jc w:val="left"/>
              <w:rPr>
                <w:rFonts w:hint="eastAsia" w:ascii="仿宋" w:hAnsi="仿宋" w:eastAsia="仿宋" w:cs="仿宋"/>
                <w:kern w:val="0"/>
                <w:sz w:val="24"/>
                <w:szCs w:val="20"/>
                <w:highlight w:val="none"/>
                <w:lang w:val="zh-CN"/>
              </w:rPr>
            </w:pPr>
            <w:r>
              <w:rPr>
                <w:rFonts w:hint="eastAsia" w:ascii="仿宋" w:hAnsi="仿宋" w:eastAsia="仿宋" w:cs="仿宋"/>
                <w:color w:val="000000"/>
                <w:sz w:val="24"/>
                <w:highlight w:val="none"/>
              </w:rPr>
              <w:t>不予</w:t>
            </w:r>
            <w:r>
              <w:rPr>
                <w:rFonts w:hint="eastAsia" w:ascii="仿宋" w:hAnsi="仿宋" w:eastAsia="仿宋" w:cs="仿宋"/>
                <w:kern w:val="0"/>
                <w:sz w:val="24"/>
                <w:szCs w:val="20"/>
                <w:highlight w:val="none"/>
                <w:lang w:val="zh-CN"/>
              </w:rPr>
              <w:t>付款</w:t>
            </w:r>
          </w:p>
        </w:tc>
      </w:tr>
    </w:tbl>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r>
        <w:rPr>
          <w:rFonts w:hint="eastAsia" w:ascii="仿宋" w:hAnsi="仿宋" w:eastAsia="仿宋" w:cs="仿宋"/>
          <w:kern w:val="0"/>
          <w:sz w:val="24"/>
          <w:szCs w:val="20"/>
          <w:highlight w:val="none"/>
          <w:lang w:val="zh-CN"/>
        </w:rPr>
        <w:t>（</w:t>
      </w:r>
      <w:r>
        <w:rPr>
          <w:rFonts w:hint="eastAsia" w:ascii="仿宋" w:hAnsi="仿宋" w:eastAsia="仿宋" w:cs="仿宋"/>
          <w:kern w:val="0"/>
          <w:sz w:val="24"/>
          <w:szCs w:val="20"/>
          <w:highlight w:val="none"/>
          <w:lang w:val="en-US" w:eastAsia="zh-CN"/>
        </w:rPr>
        <w:t>三</w:t>
      </w:r>
      <w:r>
        <w:rPr>
          <w:rFonts w:hint="eastAsia" w:ascii="仿宋" w:hAnsi="仿宋" w:eastAsia="仿宋" w:cs="仿宋"/>
          <w:kern w:val="0"/>
          <w:sz w:val="24"/>
          <w:szCs w:val="20"/>
          <w:highlight w:val="none"/>
          <w:lang w:val="zh-CN"/>
        </w:rPr>
        <w:t>）一</w:t>
      </w:r>
      <w:r>
        <w:rPr>
          <w:rFonts w:hint="eastAsia" w:ascii="仿宋" w:hAnsi="仿宋" w:eastAsia="仿宋" w:cs="仿宋"/>
          <w:kern w:val="0"/>
          <w:sz w:val="24"/>
          <w:szCs w:val="20"/>
          <w:lang w:val="zh-CN"/>
        </w:rPr>
        <w:t>票否决情况</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发现安全中介机构违反国家咨询服务相关规定，弄虚作假、出具虚假检查报告、泄漏企业技术密秘等行为，一经查实确认，全额扣除被服务企业当年服务费用，并报有关部门按《安全生产法》第八十九条进行处理。</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zh-CN"/>
        </w:rPr>
      </w:pPr>
    </w:p>
    <w:p>
      <w:pPr>
        <w:pStyle w:val="2"/>
        <w:rPr>
          <w:rFonts w:hint="eastAsia" w:ascii="仿宋" w:hAnsi="仿宋" w:eastAsia="仿宋" w:cs="仿宋"/>
          <w:kern w:val="0"/>
          <w:sz w:val="24"/>
          <w:szCs w:val="20"/>
          <w:lang w:val="zh-CN"/>
        </w:rPr>
      </w:pPr>
    </w:p>
    <w:p>
      <w:pPr>
        <w:rPr>
          <w:rFonts w:hint="eastAsia" w:ascii="仿宋" w:hAnsi="仿宋" w:eastAsia="仿宋" w:cs="仿宋"/>
          <w:kern w:val="0"/>
          <w:sz w:val="24"/>
          <w:szCs w:val="20"/>
          <w:lang w:val="zh-CN"/>
        </w:rPr>
      </w:pPr>
    </w:p>
    <w:p>
      <w:pPr>
        <w:pStyle w:val="2"/>
        <w:rPr>
          <w:rFonts w:hint="eastAsia" w:ascii="仿宋" w:hAnsi="仿宋" w:eastAsia="仿宋" w:cs="仿宋"/>
          <w:kern w:val="0"/>
          <w:sz w:val="24"/>
          <w:szCs w:val="20"/>
          <w:lang w:val="zh-CN"/>
        </w:rPr>
      </w:pPr>
    </w:p>
    <w:p>
      <w:pPr>
        <w:rPr>
          <w:rFonts w:hint="eastAsia" w:ascii="仿宋" w:hAnsi="仿宋" w:eastAsia="仿宋" w:cs="仿宋"/>
          <w:kern w:val="0"/>
          <w:sz w:val="24"/>
          <w:szCs w:val="20"/>
          <w:lang w:val="zh-CN"/>
        </w:rPr>
      </w:pPr>
    </w:p>
    <w:p>
      <w:pPr>
        <w:pStyle w:val="2"/>
        <w:rPr>
          <w:rFonts w:hint="eastAsia" w:ascii="仿宋" w:hAnsi="仿宋" w:eastAsia="仿宋" w:cs="仿宋"/>
          <w:kern w:val="0"/>
          <w:sz w:val="24"/>
          <w:szCs w:val="20"/>
          <w:lang w:val="zh-CN"/>
        </w:rPr>
      </w:pPr>
    </w:p>
    <w:p>
      <w:pPr>
        <w:rPr>
          <w:rFonts w:hint="eastAsia" w:ascii="仿宋" w:hAnsi="仿宋" w:eastAsia="仿宋" w:cs="仿宋"/>
          <w:kern w:val="0"/>
          <w:sz w:val="24"/>
          <w:szCs w:val="20"/>
          <w:lang w:val="zh-CN"/>
        </w:rPr>
      </w:pPr>
    </w:p>
    <w:p>
      <w:pPr>
        <w:pStyle w:val="2"/>
        <w:rPr>
          <w:rFonts w:hint="eastAsia" w:ascii="仿宋" w:hAnsi="仿宋" w:eastAsia="仿宋" w:cs="仿宋"/>
          <w:kern w:val="0"/>
          <w:sz w:val="24"/>
          <w:szCs w:val="20"/>
          <w:lang w:val="zh-CN"/>
        </w:rPr>
      </w:pPr>
    </w:p>
    <w:p>
      <w:pPr>
        <w:rPr>
          <w:rFonts w:hint="eastAsia" w:ascii="仿宋" w:hAnsi="仿宋" w:eastAsia="仿宋" w:cs="仿宋"/>
          <w:kern w:val="0"/>
          <w:sz w:val="24"/>
          <w:szCs w:val="20"/>
          <w:lang w:val="zh-CN"/>
        </w:rPr>
      </w:pPr>
    </w:p>
    <w:p>
      <w:pPr>
        <w:pStyle w:val="2"/>
        <w:rPr>
          <w:rFonts w:hint="eastAsia" w:ascii="仿宋" w:hAnsi="仿宋" w:eastAsia="仿宋" w:cs="仿宋"/>
          <w:kern w:val="0"/>
          <w:sz w:val="24"/>
          <w:szCs w:val="20"/>
          <w:lang w:val="zh-CN"/>
        </w:rPr>
      </w:pPr>
    </w:p>
    <w:p>
      <w:pPr>
        <w:rPr>
          <w:rFonts w:hint="eastAsia" w:ascii="仿宋" w:hAnsi="仿宋" w:eastAsia="仿宋" w:cs="仿宋"/>
          <w:kern w:val="0"/>
          <w:sz w:val="24"/>
          <w:szCs w:val="20"/>
          <w:lang w:val="zh-CN"/>
        </w:rPr>
      </w:pPr>
    </w:p>
    <w:p>
      <w:pPr>
        <w:pStyle w:val="2"/>
        <w:rPr>
          <w:rFonts w:hint="eastAsia" w:ascii="仿宋" w:hAnsi="仿宋" w:eastAsia="仿宋" w:cs="仿宋"/>
          <w:kern w:val="0"/>
          <w:sz w:val="24"/>
          <w:szCs w:val="20"/>
          <w:lang w:val="zh-CN"/>
        </w:rPr>
      </w:pPr>
    </w:p>
    <w:p>
      <w:pPr>
        <w:rPr>
          <w:rFonts w:hint="eastAsia" w:ascii="仿宋" w:hAnsi="仿宋" w:eastAsia="仿宋" w:cs="仿宋"/>
          <w:kern w:val="0"/>
          <w:sz w:val="24"/>
          <w:szCs w:val="20"/>
          <w:lang w:val="zh-CN"/>
        </w:rPr>
      </w:pPr>
    </w:p>
    <w:p>
      <w:pPr>
        <w:rPr>
          <w:rFonts w:hint="eastAsia"/>
          <w:lang w:val="zh-CN"/>
        </w:rPr>
        <w:sectPr>
          <w:pgSz w:w="11906" w:h="16838"/>
          <w:pgMar w:top="1247" w:right="1247" w:bottom="1247" w:left="1247" w:header="851" w:footer="992" w:gutter="0"/>
          <w:cols w:space="720" w:num="1"/>
          <w:docGrid w:type="lines" w:linePitch="312" w:charSpace="0"/>
        </w:sectPr>
      </w:pPr>
    </w:p>
    <w:p>
      <w:pPr>
        <w:widowControl/>
        <w:shd w:val="clear" w:color="auto" w:fill="FFFFFF"/>
        <w:rPr>
          <w:rFonts w:ascii="宋体" w:hAnsi="宋体"/>
          <w:sz w:val="28"/>
          <w:szCs w:val="28"/>
        </w:rPr>
      </w:pPr>
      <w:r>
        <w:rPr>
          <w:rFonts w:hint="eastAsia" w:ascii="宋体" w:hAnsi="宋体"/>
          <w:sz w:val="28"/>
          <w:szCs w:val="28"/>
        </w:rPr>
        <w:t>附表1：</w:t>
      </w:r>
    </w:p>
    <w:p>
      <w:pPr>
        <w:widowControl/>
        <w:shd w:val="clear" w:color="auto" w:fill="FFFFFF"/>
        <w:jc w:val="center"/>
        <w:rPr>
          <w:rFonts w:ascii="宋体" w:hAnsi="宋体" w:cs="宋体"/>
          <w:b/>
          <w:kern w:val="0"/>
          <w:sz w:val="36"/>
          <w:szCs w:val="36"/>
        </w:rPr>
      </w:pPr>
      <w:r>
        <w:rPr>
          <w:rFonts w:ascii="宋体" w:hAnsi="宋体" w:cs="宋体"/>
          <w:b/>
          <w:kern w:val="0"/>
          <w:sz w:val="36"/>
          <w:szCs w:val="36"/>
        </w:rPr>
        <w:t>安全中介机构</w:t>
      </w:r>
      <w:r>
        <w:rPr>
          <w:rFonts w:hint="eastAsia" w:ascii="宋体" w:hAnsi="宋体" w:cs="宋体"/>
          <w:b/>
          <w:kern w:val="0"/>
          <w:sz w:val="36"/>
          <w:szCs w:val="36"/>
        </w:rPr>
        <w:t>服务质量综合</w:t>
      </w:r>
      <w:r>
        <w:rPr>
          <w:rFonts w:ascii="宋体" w:hAnsi="宋体" w:cs="宋体"/>
          <w:b/>
          <w:kern w:val="0"/>
          <w:sz w:val="36"/>
          <w:szCs w:val="36"/>
        </w:rPr>
        <w:t>考评细则</w:t>
      </w:r>
    </w:p>
    <w:p>
      <w:pPr>
        <w:widowControl/>
        <w:spacing w:line="432" w:lineRule="auto"/>
        <w:rPr>
          <w:rFonts w:ascii="宋体" w:hAnsi="宋体" w:cs="宋体"/>
          <w:kern w:val="0"/>
          <w:sz w:val="28"/>
          <w:szCs w:val="28"/>
        </w:rPr>
      </w:pPr>
      <w:r>
        <w:rPr>
          <w:rFonts w:hint="eastAsia" w:ascii="宋体" w:hAnsi="宋体" w:cs="宋体"/>
          <w:kern w:val="0"/>
          <w:sz w:val="28"/>
          <w:szCs w:val="28"/>
        </w:rPr>
        <w:t>被测评对象：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62"/>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406"/>
        <w:gridCol w:w="3863"/>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7"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b/>
                <w:sz w:val="24"/>
                <w:szCs w:val="22"/>
              </w:rPr>
            </w:pPr>
            <w:r>
              <w:rPr>
                <w:rFonts w:hint="eastAsia" w:ascii="宋体" w:hAnsi="宋体"/>
                <w:b/>
                <w:sz w:val="24"/>
                <w:szCs w:val="22"/>
              </w:rPr>
              <w:t>项目</w:t>
            </w:r>
          </w:p>
        </w:tc>
        <w:tc>
          <w:tcPr>
            <w:tcW w:w="9406"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b/>
                <w:sz w:val="24"/>
                <w:szCs w:val="22"/>
              </w:rPr>
            </w:pPr>
            <w:r>
              <w:rPr>
                <w:rFonts w:hint="eastAsia" w:ascii="宋体" w:hAnsi="宋体"/>
                <w:b/>
                <w:sz w:val="24"/>
                <w:szCs w:val="22"/>
              </w:rPr>
              <w:t>标准内容和要求</w:t>
            </w:r>
          </w:p>
        </w:tc>
        <w:tc>
          <w:tcPr>
            <w:tcW w:w="3863"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b/>
                <w:sz w:val="24"/>
                <w:szCs w:val="22"/>
              </w:rPr>
            </w:pPr>
            <w:r>
              <w:rPr>
                <w:rFonts w:hint="eastAsia" w:ascii="宋体" w:hAnsi="宋体"/>
                <w:b/>
                <w:sz w:val="24"/>
                <w:szCs w:val="22"/>
              </w:rPr>
              <w:t>评分标准</w:t>
            </w:r>
          </w:p>
        </w:tc>
        <w:tc>
          <w:tcPr>
            <w:tcW w:w="564"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b/>
                <w:sz w:val="24"/>
                <w:szCs w:val="22"/>
              </w:rPr>
            </w:pPr>
            <w:r>
              <w:rPr>
                <w:rFonts w:hint="eastAsia" w:ascii="宋体" w:hAnsi="宋体"/>
                <w:b/>
                <w:sz w:val="24"/>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27"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机</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构</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建</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设</w:t>
            </w:r>
          </w:p>
          <w:p>
            <w:pPr>
              <w:keepNext w:val="0"/>
              <w:keepLines w:val="0"/>
              <w:suppressLineNumbers w:val="0"/>
              <w:spacing w:before="0" w:beforeAutospacing="0" w:after="0" w:afterAutospacing="0" w:line="320" w:lineRule="exact"/>
              <w:ind w:left="0" w:right="0"/>
              <w:jc w:val="center"/>
              <w:rPr>
                <w:rFonts w:hint="default" w:ascii="宋体" w:hAnsi="宋体"/>
                <w:spacing w:val="-20"/>
                <w:szCs w:val="21"/>
              </w:rPr>
            </w:pPr>
            <w:r>
              <w:rPr>
                <w:rFonts w:hint="eastAsia" w:ascii="宋体" w:hAnsi="宋体"/>
                <w:spacing w:val="-20"/>
                <w:szCs w:val="21"/>
              </w:rPr>
              <w:t>（20分）</w:t>
            </w: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对派驻人员的技术交底、安全教育情况</w:t>
            </w:r>
            <w:r>
              <w:rPr>
                <w:rFonts w:hint="eastAsia" w:ascii="宋体" w:hAnsi="宋体"/>
                <w:szCs w:val="21"/>
                <w:highlight w:val="none"/>
              </w:rPr>
              <w:t>(4分)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szCs w:val="21"/>
                <w:lang w:val="en-US" w:eastAsia="zh-CN"/>
              </w:rPr>
            </w:pPr>
            <w:r>
              <w:rPr>
                <w:rFonts w:hint="eastAsia" w:ascii="宋体" w:hAnsi="宋体"/>
                <w:szCs w:val="21"/>
              </w:rPr>
              <w:t>未能提供</w:t>
            </w:r>
            <w:r>
              <w:rPr>
                <w:rFonts w:hint="eastAsia" w:ascii="宋体" w:hAnsi="宋体"/>
                <w:szCs w:val="21"/>
                <w:lang w:val="en-US" w:eastAsia="zh-CN"/>
              </w:rPr>
              <w:t>的、无可行性的</w:t>
            </w:r>
            <w:r>
              <w:rPr>
                <w:rFonts w:hint="eastAsia" w:ascii="宋体" w:hAnsi="宋体"/>
                <w:szCs w:val="21"/>
              </w:rPr>
              <w:t>扣4分</w:t>
            </w:r>
            <w:r>
              <w:rPr>
                <w:rFonts w:hint="eastAsia" w:ascii="宋体" w:hAnsi="宋体"/>
                <w:szCs w:val="21"/>
                <w:lang w:eastAsia="zh-CN"/>
              </w:rPr>
              <w:t>，</w:t>
            </w:r>
            <w:r>
              <w:rPr>
                <w:rFonts w:hint="eastAsia" w:ascii="宋体" w:hAnsi="宋体"/>
                <w:szCs w:val="21"/>
                <w:lang w:val="en-US" w:eastAsia="zh-CN"/>
              </w:rPr>
              <w:t>不完善、不全面、没有针对性的扣2分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派驻人员符合性情况</w:t>
            </w:r>
            <w:r>
              <w:rPr>
                <w:rFonts w:hint="eastAsia" w:ascii="宋体" w:hAnsi="宋体"/>
                <w:szCs w:val="21"/>
                <w:highlight w:val="none"/>
              </w:rPr>
              <w:t>(4分)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lang w:val="en-US" w:eastAsia="zh-CN"/>
              </w:rPr>
              <w:t>派驻人员严格按标书内人员配置，每发现1人不符扣1分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派驻人员到位情况</w:t>
            </w:r>
            <w:r>
              <w:rPr>
                <w:rFonts w:hint="eastAsia" w:ascii="宋体" w:hAnsi="宋体"/>
                <w:szCs w:val="21"/>
                <w:highlight w:val="none"/>
              </w:rPr>
              <w:t>及必要的办公设备、车辆</w:t>
            </w:r>
            <w:r>
              <w:rPr>
                <w:rFonts w:hint="eastAsia" w:ascii="宋体" w:hAnsi="宋体"/>
                <w:szCs w:val="21"/>
                <w:highlight w:val="none"/>
                <w:lang w:val="en-US" w:eastAsia="zh-CN"/>
              </w:rPr>
              <w:t>等</w:t>
            </w:r>
            <w:r>
              <w:rPr>
                <w:rFonts w:hint="eastAsia" w:ascii="宋体" w:hAnsi="宋体"/>
                <w:szCs w:val="21"/>
                <w:highlight w:val="none"/>
              </w:rPr>
              <w:t>（4分）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szCs w:val="21"/>
                <w:lang w:val="en-US" w:eastAsia="zh-CN"/>
              </w:rPr>
            </w:pPr>
            <w:r>
              <w:rPr>
                <w:rFonts w:hint="eastAsia" w:ascii="宋体" w:hAnsi="宋体"/>
                <w:szCs w:val="21"/>
              </w:rPr>
              <w:t>实际运作不正常，人员、设备不到位、不完好，</w:t>
            </w:r>
            <w:r>
              <w:rPr>
                <w:rFonts w:hint="eastAsia" w:ascii="宋体" w:hAnsi="宋体"/>
                <w:szCs w:val="21"/>
                <w:lang w:val="en-US" w:eastAsia="zh-CN"/>
              </w:rPr>
              <w:t>每发现一次扣1分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b/>
                <w:szCs w:val="21"/>
              </w:rPr>
            </w:pPr>
          </w:p>
          <w:p>
            <w:pPr>
              <w:keepNext w:val="0"/>
              <w:keepLines w:val="0"/>
              <w:suppressLineNumbers w:val="0"/>
              <w:spacing w:before="0" w:beforeAutospacing="0" w:after="0" w:afterAutospacing="0" w:line="320" w:lineRule="exact"/>
              <w:ind w:left="0" w:right="0"/>
              <w:jc w:val="center"/>
              <w:rPr>
                <w:rFonts w:hint="default" w:ascii="宋体" w:hAnsi="宋体"/>
                <w:b/>
                <w:szCs w:val="21"/>
              </w:rPr>
            </w:pPr>
          </w:p>
          <w:p>
            <w:pPr>
              <w:keepNext w:val="0"/>
              <w:keepLines w:val="0"/>
              <w:suppressLineNumbers w:val="0"/>
              <w:spacing w:before="0" w:beforeAutospacing="0" w:after="0" w:afterAutospacing="0" w:line="320" w:lineRule="exact"/>
              <w:ind w:left="0" w:right="0"/>
              <w:jc w:val="center"/>
              <w:rPr>
                <w:rFonts w:hint="default" w:ascii="宋体" w:hAnsi="宋体"/>
                <w:b/>
                <w:szCs w:val="21"/>
              </w:rPr>
            </w:pPr>
          </w:p>
          <w:p>
            <w:pPr>
              <w:keepNext w:val="0"/>
              <w:keepLines w:val="0"/>
              <w:suppressLineNumbers w:val="0"/>
              <w:spacing w:before="0" w:beforeAutospacing="0" w:after="0" w:afterAutospacing="0" w:line="320" w:lineRule="exact"/>
              <w:ind w:left="0" w:right="0"/>
              <w:jc w:val="center"/>
              <w:rPr>
                <w:rFonts w:hint="default" w:ascii="宋体" w:hAnsi="宋体"/>
                <w:b/>
                <w:szCs w:val="21"/>
              </w:rPr>
            </w:pPr>
            <w:r>
              <w:rPr>
                <w:rFonts w:hint="eastAsia" w:ascii="宋体" w:hAnsi="宋体"/>
                <w:b/>
                <w:szCs w:val="21"/>
              </w:rPr>
              <w:t>、</w:t>
            </w:r>
          </w:p>
          <w:p>
            <w:pPr>
              <w:keepNext w:val="0"/>
              <w:keepLines w:val="0"/>
              <w:suppressLineNumbers w:val="0"/>
              <w:spacing w:before="0" w:beforeAutospacing="0" w:after="0" w:afterAutospacing="0" w:line="320" w:lineRule="exact"/>
              <w:ind w:left="0" w:right="0"/>
              <w:jc w:val="center"/>
              <w:rPr>
                <w:rFonts w:hint="default" w:ascii="宋体" w:hAnsi="宋体"/>
                <w:b/>
                <w:szCs w:val="21"/>
              </w:rPr>
            </w:pPr>
          </w:p>
          <w:p>
            <w:pPr>
              <w:keepNext w:val="0"/>
              <w:keepLines w:val="0"/>
              <w:suppressLineNumbers w:val="0"/>
              <w:spacing w:before="0" w:beforeAutospacing="0" w:after="0" w:afterAutospacing="0" w:line="320" w:lineRule="exact"/>
              <w:ind w:left="0" w:right="0"/>
              <w:jc w:val="center"/>
              <w:rPr>
                <w:rFonts w:hint="default" w:ascii="宋体" w:hAnsi="宋体"/>
                <w:b/>
                <w:szCs w:val="21"/>
              </w:rPr>
            </w:pPr>
          </w:p>
          <w:p>
            <w:pPr>
              <w:keepNext w:val="0"/>
              <w:keepLines w:val="0"/>
              <w:suppressLineNumbers w:val="0"/>
              <w:spacing w:before="0" w:beforeAutospacing="0" w:after="0" w:afterAutospacing="0" w:line="320" w:lineRule="exact"/>
              <w:ind w:left="0" w:right="0"/>
              <w:jc w:val="center"/>
              <w:rPr>
                <w:rFonts w:hint="default" w:ascii="宋体" w:hAnsi="宋体"/>
                <w:b/>
                <w:szCs w:val="21"/>
              </w:rPr>
            </w:pPr>
          </w:p>
          <w:p>
            <w:pPr>
              <w:keepNext w:val="0"/>
              <w:keepLines w:val="0"/>
              <w:suppressLineNumbers w:val="0"/>
              <w:spacing w:before="0" w:beforeAutospacing="0" w:after="0" w:afterAutospacing="0" w:line="320" w:lineRule="exact"/>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服务团队的稳定性，要求服务期间服务人员总变动率不得高于 30%</w:t>
            </w:r>
            <w:r>
              <w:rPr>
                <w:rFonts w:hint="eastAsia" w:ascii="宋体" w:hAnsi="宋体"/>
                <w:szCs w:val="21"/>
                <w:highlight w:val="none"/>
              </w:rPr>
              <w:t>（4分）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lang w:val="en-US"/>
              </w:rPr>
            </w:pPr>
            <w:r>
              <w:rPr>
                <w:rFonts w:hint="eastAsia" w:ascii="宋体" w:hAnsi="宋体"/>
                <w:szCs w:val="21"/>
                <w:lang w:val="en-US" w:eastAsia="zh-CN"/>
              </w:rPr>
              <w:t>超出30%的扣4分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5、建立检查服务工作制度，有相应的操作流程或服务指导书(4分)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未能提供</w:t>
            </w:r>
            <w:r>
              <w:rPr>
                <w:rFonts w:hint="eastAsia" w:ascii="宋体" w:hAnsi="宋体"/>
                <w:szCs w:val="21"/>
                <w:lang w:val="en-US" w:eastAsia="zh-CN"/>
              </w:rPr>
              <w:t>的、无可行性的</w:t>
            </w:r>
            <w:r>
              <w:rPr>
                <w:rFonts w:hint="eastAsia" w:ascii="宋体" w:hAnsi="宋体"/>
                <w:szCs w:val="21"/>
              </w:rPr>
              <w:t>扣4分</w:t>
            </w:r>
            <w:r>
              <w:rPr>
                <w:rFonts w:hint="eastAsia" w:ascii="宋体" w:hAnsi="宋体"/>
                <w:szCs w:val="21"/>
                <w:lang w:eastAsia="zh-CN"/>
              </w:rPr>
              <w:t>，</w:t>
            </w:r>
            <w:r>
              <w:rPr>
                <w:rFonts w:hint="eastAsia" w:ascii="宋体" w:hAnsi="宋体"/>
                <w:szCs w:val="21"/>
                <w:lang w:val="en-US" w:eastAsia="zh-CN"/>
              </w:rPr>
              <w:t>不完善、不全面、没有针对性的扣2分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7"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规</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范</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服</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务</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pacing w:val="-20"/>
                <w:szCs w:val="21"/>
              </w:rPr>
              <w:t>（30分）</w:t>
            </w: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1、检查服务前应制订详细的检查工作计划，并报主管应急管理部门审核同意后实施 (4分)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少1次扣1分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highlight w:val="none"/>
              </w:rPr>
            </w:pPr>
            <w:r>
              <w:rPr>
                <w:rFonts w:hint="eastAsia" w:ascii="宋体" w:hAnsi="宋体"/>
                <w:szCs w:val="21"/>
                <w:highlight w:val="none"/>
              </w:rPr>
              <w:t>2、每次检查应至少配备2名具备相关专业能力的专家</w:t>
            </w:r>
            <w:r>
              <w:rPr>
                <w:rFonts w:hint="eastAsia" w:ascii="宋体" w:hAnsi="宋体"/>
                <w:szCs w:val="21"/>
                <w:highlight w:val="none"/>
                <w:lang w:val="en-US" w:eastAsia="zh-CN"/>
              </w:rPr>
              <w:t>并由注册安全工程师带队</w:t>
            </w:r>
            <w:r>
              <w:rPr>
                <w:rFonts w:hint="eastAsia" w:ascii="宋体" w:hAnsi="宋体"/>
                <w:szCs w:val="21"/>
                <w:highlight w:val="none"/>
              </w:rPr>
              <w:t>，每家企业检查及反馈时间不得少于规定时间。（4分）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未配备足够数量人员，发现一次扣1分；检查及反馈时间不足，每发现一次扣1分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3、按照服务合同规定的服务次数及内容，开展安全技术服务活动，并对其承担的服务业务的真实性、客观性、科学性、准确性负责。(4分)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未做到1次扣1分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4、对被服务企业安全生产状况进行全面安全风险和隐患排查，并形成书面检查服务报告(10分)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重大隐患未排查到位的，1处扣1分；无书面报告或书面报告不完善的，1次扣1分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5、按规定要求对被服务企业、网格员等相关人员进行安全生产培训，建立健全培训档案(4分)</w:t>
            </w:r>
          </w:p>
        </w:tc>
        <w:tc>
          <w:tcPr>
            <w:tcW w:w="3863"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次数、学时数不足，1次扣1分；培训档案不完整，扣1分</w:t>
            </w:r>
          </w:p>
        </w:tc>
        <w:tc>
          <w:tcPr>
            <w:tcW w:w="564" w:type="dxa"/>
            <w:noWrap w:val="0"/>
            <w:vAlign w:val="top"/>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6、检查服务人员应严格遵守企业各项规章制度。（4分）</w:t>
            </w:r>
          </w:p>
        </w:tc>
        <w:tc>
          <w:tcPr>
            <w:tcW w:w="3863"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lang w:val="en-US" w:eastAsia="zh-CN"/>
              </w:rPr>
              <w:t>每发生</w:t>
            </w:r>
            <w:r>
              <w:rPr>
                <w:rFonts w:hint="eastAsia" w:ascii="宋体" w:hAnsi="宋体"/>
                <w:szCs w:val="21"/>
              </w:rPr>
              <w:t>1次扣1分</w:t>
            </w:r>
          </w:p>
        </w:tc>
        <w:tc>
          <w:tcPr>
            <w:tcW w:w="564" w:type="dxa"/>
            <w:noWrap w:val="0"/>
            <w:vAlign w:val="top"/>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7"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服</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务</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监</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督</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pacing w:val="-20"/>
                <w:szCs w:val="21"/>
              </w:rPr>
              <w:t>（20分）</w:t>
            </w:r>
          </w:p>
        </w:tc>
        <w:tc>
          <w:tcPr>
            <w:tcW w:w="9406"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1、对于重大安全隐患，企业未在应急管理部门规定时限内整改到位或采取有效防范措施的，安全中介机构应及时将有关情况书面告知应急管理部门(3分)</w:t>
            </w:r>
          </w:p>
        </w:tc>
        <w:tc>
          <w:tcPr>
            <w:tcW w:w="3863"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lang w:val="en-US" w:eastAsia="zh-CN"/>
              </w:rPr>
              <w:t>每发生</w:t>
            </w:r>
            <w:r>
              <w:rPr>
                <w:rFonts w:hint="eastAsia" w:ascii="宋体" w:hAnsi="宋体"/>
                <w:szCs w:val="21"/>
              </w:rPr>
              <w:t>1次扣1分</w:t>
            </w:r>
          </w:p>
        </w:tc>
        <w:tc>
          <w:tcPr>
            <w:tcW w:w="564" w:type="dxa"/>
            <w:noWrap w:val="0"/>
            <w:vAlign w:val="top"/>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2、安全检查资料、现场勘查记录、影像资料及有关证明应及时归档，不得外泄。按照应急管理部门要求及时报送各类检查报告及相关资料(4分)</w:t>
            </w:r>
          </w:p>
        </w:tc>
        <w:tc>
          <w:tcPr>
            <w:tcW w:w="3863"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缺1次，扣1分</w:t>
            </w:r>
          </w:p>
        </w:tc>
        <w:tc>
          <w:tcPr>
            <w:tcW w:w="564" w:type="dxa"/>
            <w:noWrap w:val="0"/>
            <w:vAlign w:val="top"/>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3、因服务态度不好、工作方法方式粗暴被服务企业投诉反映，经核实属实的(3分)</w:t>
            </w:r>
          </w:p>
        </w:tc>
        <w:tc>
          <w:tcPr>
            <w:tcW w:w="3863"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核实1次，扣1分</w:t>
            </w:r>
          </w:p>
        </w:tc>
        <w:tc>
          <w:tcPr>
            <w:tcW w:w="564" w:type="dxa"/>
            <w:noWrap w:val="0"/>
            <w:vAlign w:val="top"/>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4、安全中介机构必须依法经营服务，不得假借政府部门及其工作人员名义或采取不正当手段获取利益，不得借机推销产品或服务，杜绝商业贿赂及其他经济违法行为。被举报存在违法违规行为，并经查证属实的(10分)</w:t>
            </w:r>
          </w:p>
        </w:tc>
        <w:tc>
          <w:tcPr>
            <w:tcW w:w="3863" w:type="dxa"/>
            <w:noWrap w:val="0"/>
            <w:vAlign w:val="center"/>
          </w:tcPr>
          <w:p>
            <w:pPr>
              <w:keepNext w:val="0"/>
              <w:keepLines w:val="0"/>
              <w:suppressLineNumbers w:val="0"/>
              <w:spacing w:before="0" w:beforeAutospacing="0" w:after="0" w:afterAutospacing="0" w:line="280" w:lineRule="exact"/>
              <w:ind w:left="0" w:right="0"/>
              <w:rPr>
                <w:rFonts w:hint="default" w:ascii="宋体" w:hAnsi="宋体"/>
                <w:szCs w:val="21"/>
              </w:rPr>
            </w:pPr>
            <w:r>
              <w:rPr>
                <w:rFonts w:hint="eastAsia" w:ascii="宋体" w:hAnsi="宋体"/>
                <w:szCs w:val="21"/>
              </w:rPr>
              <w:t>查实1次，扣10分。情节严重的，终止合同，另行处理。</w:t>
            </w:r>
          </w:p>
        </w:tc>
        <w:tc>
          <w:tcPr>
            <w:tcW w:w="564" w:type="dxa"/>
            <w:noWrap w:val="0"/>
            <w:vAlign w:val="top"/>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7"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服</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务</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效</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zCs w:val="21"/>
              </w:rPr>
              <w:t xml:space="preserve">果 </w:t>
            </w:r>
          </w:p>
          <w:p>
            <w:pPr>
              <w:keepNext w:val="0"/>
              <w:keepLines w:val="0"/>
              <w:suppressLineNumbers w:val="0"/>
              <w:spacing w:before="0" w:beforeAutospacing="0" w:after="0" w:afterAutospacing="0" w:line="320" w:lineRule="exact"/>
              <w:ind w:left="0" w:right="0"/>
              <w:jc w:val="center"/>
              <w:rPr>
                <w:rFonts w:hint="default" w:ascii="宋体" w:hAnsi="宋体"/>
                <w:szCs w:val="21"/>
              </w:rPr>
            </w:pPr>
            <w:r>
              <w:rPr>
                <w:rFonts w:hint="eastAsia" w:ascii="宋体" w:hAnsi="宋体"/>
                <w:spacing w:val="-20"/>
                <w:szCs w:val="21"/>
              </w:rPr>
              <w:t>（30分）</w:t>
            </w: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1、按服务合同要求完成服务内容(10分)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在合同规定时限内未完成服务内容的，缺1项，扣1分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2、被服务的企业安全绩效提升改善成效明显(10分)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企业安全绩效水平提升改善不明显的，酌情扣1-6分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c>
          <w:tcPr>
            <w:tcW w:w="9406"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3、被服务企业在上级部门组织的各类安全检查中，发现存在固有重大安全隐患的（10分）</w:t>
            </w:r>
          </w:p>
        </w:tc>
        <w:tc>
          <w:tcPr>
            <w:tcW w:w="3863" w:type="dxa"/>
            <w:noWrap w:val="0"/>
            <w:vAlign w:val="center"/>
          </w:tcPr>
          <w:p>
            <w:pPr>
              <w:keepNext w:val="0"/>
              <w:keepLines w:val="0"/>
              <w:suppressLineNumbers w:val="0"/>
              <w:spacing w:before="0" w:beforeAutospacing="0" w:after="0" w:afterAutospacing="0" w:line="320" w:lineRule="exact"/>
              <w:ind w:left="0" w:right="0"/>
              <w:rPr>
                <w:rFonts w:hint="default" w:ascii="宋体" w:hAnsi="宋体"/>
                <w:szCs w:val="21"/>
              </w:rPr>
            </w:pPr>
            <w:r>
              <w:rPr>
                <w:rFonts w:hint="eastAsia" w:ascii="宋体" w:hAnsi="宋体"/>
                <w:szCs w:val="21"/>
              </w:rPr>
              <w:t>发现1家，扣2分</w:t>
            </w:r>
          </w:p>
        </w:tc>
        <w:tc>
          <w:tcPr>
            <w:tcW w:w="564" w:type="dxa"/>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560" w:type="dxa"/>
            <w:gridSpan w:val="4"/>
            <w:noWrap w:val="0"/>
            <w:vAlign w:val="center"/>
          </w:tcPr>
          <w:p>
            <w:pPr>
              <w:keepNext w:val="0"/>
              <w:keepLines w:val="0"/>
              <w:suppressLineNumbers w:val="0"/>
              <w:spacing w:before="0" w:beforeAutospacing="0" w:after="0" w:afterAutospacing="0" w:line="320" w:lineRule="exact"/>
              <w:ind w:left="0" w:right="0"/>
              <w:rPr>
                <w:rFonts w:hint="default" w:ascii="宋体" w:hAnsi="宋体"/>
                <w:b/>
                <w:sz w:val="24"/>
                <w:szCs w:val="22"/>
              </w:rPr>
            </w:pPr>
          </w:p>
          <w:p>
            <w:pPr>
              <w:keepNext w:val="0"/>
              <w:keepLines w:val="0"/>
              <w:suppressLineNumbers w:val="0"/>
              <w:spacing w:before="0" w:beforeAutospacing="0" w:after="0" w:afterAutospacing="0" w:line="320" w:lineRule="exact"/>
              <w:ind w:left="0" w:right="0"/>
              <w:rPr>
                <w:rFonts w:hint="default" w:ascii="宋体" w:hAnsi="宋体"/>
                <w:b/>
                <w:sz w:val="24"/>
                <w:szCs w:val="22"/>
              </w:rPr>
            </w:pPr>
          </w:p>
          <w:p>
            <w:pPr>
              <w:keepNext w:val="0"/>
              <w:keepLines w:val="0"/>
              <w:suppressLineNumbers w:val="0"/>
              <w:spacing w:before="0" w:beforeAutospacing="0" w:after="0" w:afterAutospacing="0" w:line="320" w:lineRule="exact"/>
              <w:ind w:left="0" w:right="0"/>
              <w:rPr>
                <w:rFonts w:hint="default" w:ascii="宋体" w:hAnsi="宋体"/>
                <w:b/>
                <w:sz w:val="24"/>
                <w:szCs w:val="22"/>
              </w:rPr>
            </w:pPr>
          </w:p>
          <w:p>
            <w:pPr>
              <w:keepNext w:val="0"/>
              <w:keepLines w:val="0"/>
              <w:suppressLineNumbers w:val="0"/>
              <w:spacing w:before="0" w:beforeAutospacing="0" w:after="0" w:afterAutospacing="0" w:line="320" w:lineRule="exact"/>
              <w:ind w:left="0" w:right="0"/>
              <w:rPr>
                <w:rFonts w:hint="default" w:ascii="宋体" w:hAnsi="宋体"/>
                <w:b/>
                <w:sz w:val="24"/>
                <w:szCs w:val="22"/>
              </w:rPr>
            </w:pPr>
            <w:r>
              <w:rPr>
                <w:rFonts w:hint="eastAsia" w:ascii="宋体" w:hAnsi="宋体"/>
                <w:b/>
                <w:sz w:val="24"/>
                <w:szCs w:val="22"/>
              </w:rPr>
              <w:t>考评人签名：</w:t>
            </w:r>
            <w:r>
              <w:rPr>
                <w:rFonts w:hint="eastAsia" w:ascii="宋体" w:hAnsi="宋体"/>
                <w:sz w:val="24"/>
                <w:szCs w:val="22"/>
                <w:u w:val="single"/>
              </w:rPr>
              <w:t xml:space="preserve">                                             </w:t>
            </w:r>
            <w:r>
              <w:rPr>
                <w:rFonts w:hint="eastAsia" w:ascii="宋体" w:hAnsi="宋体"/>
                <w:sz w:val="24"/>
                <w:szCs w:val="22"/>
              </w:rPr>
              <w:t xml:space="preserve">      </w:t>
            </w:r>
            <w:r>
              <w:rPr>
                <w:rFonts w:hint="eastAsia" w:ascii="宋体" w:hAnsi="宋体"/>
                <w:b/>
                <w:sz w:val="24"/>
                <w:szCs w:val="22"/>
              </w:rPr>
              <w:t>考评合计得分：</w:t>
            </w:r>
            <w:r>
              <w:rPr>
                <w:rFonts w:hint="eastAsia" w:ascii="宋体" w:hAnsi="宋体"/>
                <w:b/>
                <w:sz w:val="24"/>
                <w:szCs w:val="22"/>
                <w:u w:val="single"/>
              </w:rPr>
              <w:t xml:space="preserve">            </w:t>
            </w:r>
            <w:r>
              <w:rPr>
                <w:rFonts w:hint="eastAsia" w:ascii="宋体" w:hAnsi="宋体"/>
                <w:b/>
                <w:sz w:val="24"/>
                <w:szCs w:val="22"/>
              </w:rPr>
              <w:t xml:space="preserve">     考评日期：</w:t>
            </w:r>
            <w:r>
              <w:rPr>
                <w:rFonts w:hint="eastAsia" w:ascii="宋体" w:hAnsi="宋体"/>
                <w:b/>
                <w:sz w:val="24"/>
                <w:szCs w:val="22"/>
                <w:u w:val="single"/>
              </w:rPr>
              <w:t xml:space="preserve">               </w:t>
            </w:r>
            <w:r>
              <w:rPr>
                <w:rFonts w:hint="eastAsia" w:ascii="宋体" w:hAnsi="宋体"/>
                <w:b/>
                <w:sz w:val="24"/>
                <w:szCs w:val="22"/>
              </w:rPr>
              <w:t xml:space="preserve">   </w:t>
            </w:r>
            <w:r>
              <w:rPr>
                <w:rFonts w:hint="eastAsia" w:ascii="宋体" w:hAnsi="宋体"/>
                <w:sz w:val="24"/>
                <w:szCs w:val="22"/>
              </w:rPr>
              <w:t xml:space="preserve">   </w:t>
            </w:r>
          </w:p>
        </w:tc>
      </w:tr>
    </w:tbl>
    <w:p>
      <w:pPr>
        <w:spacing w:line="400" w:lineRule="exact"/>
        <w:rPr>
          <w:rFonts w:ascii="宋体" w:hAnsi="宋体"/>
          <w:sz w:val="24"/>
          <w:szCs w:val="22"/>
        </w:rPr>
      </w:pPr>
    </w:p>
    <w:p>
      <w:pPr>
        <w:spacing w:line="400" w:lineRule="exact"/>
        <w:rPr>
          <w:rFonts w:ascii="宋体" w:hAnsi="宋体"/>
          <w:sz w:val="24"/>
          <w:szCs w:val="22"/>
        </w:rPr>
      </w:pPr>
      <w:r>
        <w:rPr>
          <w:rFonts w:hint="eastAsia" w:ascii="宋体" w:hAnsi="宋体"/>
          <w:b/>
          <w:sz w:val="24"/>
          <w:szCs w:val="22"/>
        </w:rPr>
        <w:t>注：</w:t>
      </w:r>
      <w:r>
        <w:rPr>
          <w:rFonts w:hint="eastAsia" w:ascii="宋体" w:hAnsi="宋体"/>
          <w:sz w:val="24"/>
          <w:szCs w:val="22"/>
        </w:rPr>
        <w:t>1、安全中介机构服务质量考评共分机构建设、规范服务、服务监督、服务效果四大类；</w:t>
      </w:r>
    </w:p>
    <w:p>
      <w:pPr>
        <w:spacing w:line="400" w:lineRule="exact"/>
        <w:ind w:firstLine="480" w:firstLineChars="200"/>
        <w:rPr>
          <w:rFonts w:ascii="宋体" w:hAnsi="宋体"/>
          <w:sz w:val="24"/>
          <w:szCs w:val="22"/>
        </w:rPr>
        <w:sectPr>
          <w:pgSz w:w="16838" w:h="11906" w:orient="landscape"/>
          <w:pgMar w:top="1247" w:right="1247" w:bottom="1247" w:left="1247" w:header="851" w:footer="992" w:gutter="0"/>
          <w:cols w:space="720" w:num="1"/>
          <w:docGrid w:type="lines" w:linePitch="312" w:charSpace="0"/>
        </w:sectPr>
      </w:pPr>
      <w:r>
        <w:rPr>
          <w:rFonts w:hint="eastAsia" w:ascii="宋体" w:hAnsi="宋体"/>
          <w:sz w:val="24"/>
          <w:szCs w:val="22"/>
        </w:rPr>
        <w:t>2、考评按照规定的项目评分，各项目分扣完即止，不计负分；</w:t>
      </w:r>
    </w:p>
    <w:p>
      <w:pPr>
        <w:pStyle w:val="4"/>
        <w:keepNext/>
        <w:keepLines/>
        <w:pageBreakBefore w:val="0"/>
        <w:widowControl w:val="0"/>
        <w:kinsoku/>
        <w:wordWrap/>
        <w:overflowPunct/>
        <w:topLinePunct w:val="0"/>
        <w:autoSpaceDE/>
        <w:autoSpaceDN/>
        <w:bidi w:val="0"/>
        <w:adjustRightInd/>
        <w:snapToGrid/>
        <w:textAlignment w:val="auto"/>
        <w:rPr>
          <w:rFonts w:hint="default" w:ascii="仿宋_GB2312" w:hAnsi="仿宋" w:eastAsia="仿宋_GB2312" w:cs="仿宋_GB2312"/>
          <w:b w:val="0"/>
          <w:bCs/>
          <w:color w:val="auto"/>
          <w:kern w:val="2"/>
          <w:sz w:val="24"/>
          <w:szCs w:val="24"/>
          <w:highlight w:val="none"/>
          <w:lang w:val="en-US" w:eastAsia="zh-CN" w:bidi="ar-SA"/>
        </w:rPr>
      </w:pPr>
      <w:r>
        <w:rPr>
          <w:rFonts w:hint="eastAsia" w:cs="仿宋_GB2312"/>
          <w:b/>
          <w:bCs w:val="0"/>
          <w:color w:val="auto"/>
          <w:kern w:val="2"/>
          <w:sz w:val="24"/>
          <w:szCs w:val="24"/>
          <w:highlight w:val="none"/>
          <w:lang w:val="en-US" w:eastAsia="zh-CN" w:bidi="ar-SA"/>
        </w:rPr>
        <w:t>六、培训</w:t>
      </w:r>
    </w:p>
    <w:p>
      <w:pPr>
        <w:pStyle w:val="4"/>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cs="仿宋_GB2312"/>
          <w:b/>
          <w:bCs w:val="0"/>
          <w:color w:val="auto"/>
          <w:kern w:val="2"/>
          <w:sz w:val="24"/>
          <w:szCs w:val="24"/>
          <w:highlight w:val="none"/>
          <w:lang w:val="en-US" w:eastAsia="zh-CN" w:bidi="ar-SA"/>
        </w:rPr>
      </w:pPr>
      <w:r>
        <w:rPr>
          <w:rFonts w:hint="eastAsia" w:ascii="仿宋_GB2312" w:hAnsi="仿宋" w:eastAsia="仿宋_GB2312" w:cs="仿宋_GB2312"/>
          <w:b w:val="0"/>
          <w:bCs/>
          <w:color w:val="auto"/>
          <w:kern w:val="2"/>
          <w:sz w:val="24"/>
          <w:szCs w:val="24"/>
          <w:highlight w:val="none"/>
          <w:lang w:val="en-US" w:eastAsia="zh-CN" w:bidi="ar-SA"/>
        </w:rPr>
        <w:t>每季度对</w:t>
      </w:r>
      <w:r>
        <w:rPr>
          <w:rFonts w:hint="eastAsia" w:cs="仿宋_GB2312"/>
          <w:b w:val="0"/>
          <w:bCs/>
          <w:color w:val="auto"/>
          <w:kern w:val="2"/>
          <w:sz w:val="24"/>
          <w:szCs w:val="24"/>
          <w:highlight w:val="none"/>
          <w:lang w:val="en-US" w:eastAsia="zh-CN" w:bidi="ar-SA"/>
        </w:rPr>
        <w:t>辖区内220余家</w:t>
      </w:r>
      <w:r>
        <w:rPr>
          <w:rFonts w:hint="eastAsia" w:ascii="仿宋_GB2312" w:hAnsi="仿宋" w:eastAsia="仿宋_GB2312" w:cs="仿宋_GB2312"/>
          <w:b w:val="0"/>
          <w:bCs/>
          <w:color w:val="auto"/>
          <w:kern w:val="2"/>
          <w:sz w:val="24"/>
          <w:szCs w:val="24"/>
          <w:highlight w:val="none"/>
          <w:lang w:val="en-US" w:eastAsia="zh-CN" w:bidi="ar-SA"/>
        </w:rPr>
        <w:t>企业开展</w:t>
      </w:r>
      <w:r>
        <w:rPr>
          <w:rFonts w:hint="eastAsia" w:cs="仿宋_GB2312"/>
          <w:b w:val="0"/>
          <w:bCs/>
          <w:color w:val="auto"/>
          <w:kern w:val="2"/>
          <w:sz w:val="24"/>
          <w:szCs w:val="24"/>
          <w:highlight w:val="none"/>
          <w:lang w:val="en-US" w:eastAsia="zh-CN" w:bidi="ar-SA"/>
        </w:rPr>
        <w:t>不少于1次安全生产</w:t>
      </w:r>
      <w:r>
        <w:rPr>
          <w:rFonts w:hint="eastAsia" w:ascii="仿宋_GB2312" w:hAnsi="仿宋" w:eastAsia="仿宋_GB2312" w:cs="仿宋_GB2312"/>
          <w:b w:val="0"/>
          <w:bCs/>
          <w:color w:val="auto"/>
          <w:kern w:val="2"/>
          <w:sz w:val="24"/>
          <w:szCs w:val="24"/>
          <w:highlight w:val="none"/>
          <w:lang w:val="en-US" w:eastAsia="zh-CN" w:bidi="ar-SA"/>
        </w:rPr>
        <w:t>培训及演练</w:t>
      </w:r>
      <w:r>
        <w:rPr>
          <w:rFonts w:hint="eastAsia" w:cs="仿宋_GB2312"/>
          <w:b w:val="0"/>
          <w:bCs/>
          <w:color w:val="auto"/>
          <w:kern w:val="2"/>
          <w:sz w:val="24"/>
          <w:szCs w:val="24"/>
          <w:highlight w:val="none"/>
          <w:lang w:val="en-US" w:eastAsia="zh-CN" w:bidi="ar-SA"/>
        </w:rPr>
        <w:t>。</w:t>
      </w:r>
    </w:p>
    <w:p>
      <w:pPr>
        <w:pStyle w:val="4"/>
        <w:keepNext/>
        <w:keepLines/>
        <w:pageBreakBefore w:val="0"/>
        <w:widowControl w:val="0"/>
        <w:kinsoku/>
        <w:wordWrap/>
        <w:overflowPunct/>
        <w:topLinePunct w:val="0"/>
        <w:autoSpaceDE/>
        <w:autoSpaceDN/>
        <w:bidi w:val="0"/>
        <w:adjustRightInd/>
        <w:snapToGrid/>
        <w:textAlignment w:val="auto"/>
        <w:rPr>
          <w:rFonts w:hint="default" w:ascii="仿宋_GB2312" w:hAnsi="仿宋" w:eastAsia="仿宋_GB2312" w:cs="仿宋_GB2312"/>
          <w:b w:val="0"/>
          <w:bCs/>
          <w:color w:val="auto"/>
          <w:kern w:val="2"/>
          <w:sz w:val="24"/>
          <w:szCs w:val="24"/>
          <w:highlight w:val="none"/>
          <w:lang w:val="en-US" w:eastAsia="zh-CN" w:bidi="ar-SA"/>
        </w:rPr>
      </w:pPr>
      <w:r>
        <w:rPr>
          <w:rFonts w:hint="eastAsia" w:cs="仿宋_GB2312"/>
          <w:b/>
          <w:bCs w:val="0"/>
          <w:color w:val="auto"/>
          <w:kern w:val="2"/>
          <w:sz w:val="24"/>
          <w:szCs w:val="24"/>
          <w:highlight w:val="none"/>
          <w:lang w:val="en-US" w:eastAsia="zh-CN" w:bidi="ar-SA"/>
        </w:rPr>
        <w:t>七、服务期限</w:t>
      </w:r>
    </w:p>
    <w:p>
      <w:pPr>
        <w:pStyle w:val="4"/>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仿宋" w:eastAsia="仿宋_GB2312" w:cs="仿宋_GB2312"/>
          <w:b w:val="0"/>
          <w:bCs/>
          <w:color w:val="auto"/>
          <w:kern w:val="2"/>
          <w:sz w:val="24"/>
          <w:szCs w:val="24"/>
          <w:highlight w:val="none"/>
          <w:lang w:val="en-US" w:eastAsia="zh-CN" w:bidi="ar-SA"/>
        </w:rPr>
      </w:pPr>
      <w:r>
        <w:rPr>
          <w:rFonts w:hint="eastAsia" w:ascii="仿宋_GB2312" w:hAnsi="仿宋" w:eastAsia="仿宋_GB2312" w:cs="仿宋_GB2312"/>
          <w:b w:val="0"/>
          <w:bCs/>
          <w:color w:val="auto"/>
          <w:kern w:val="2"/>
          <w:sz w:val="24"/>
          <w:szCs w:val="24"/>
          <w:highlight w:val="none"/>
          <w:lang w:val="en-US" w:eastAsia="zh-CN" w:bidi="ar-SA"/>
        </w:rPr>
        <w:t>本项目服务期限：</w:t>
      </w:r>
      <w:r>
        <w:rPr>
          <w:rFonts w:hint="eastAsia" w:cs="仿宋_GB2312"/>
          <w:b w:val="0"/>
          <w:bCs/>
          <w:color w:val="auto"/>
          <w:kern w:val="2"/>
          <w:sz w:val="24"/>
          <w:szCs w:val="24"/>
          <w:highlight w:val="none"/>
          <w:lang w:val="en-US" w:eastAsia="zh-CN" w:bidi="ar-SA"/>
        </w:rPr>
        <w:t>两</w:t>
      </w:r>
      <w:r>
        <w:rPr>
          <w:rFonts w:hint="eastAsia" w:ascii="仿宋_GB2312" w:hAnsi="仿宋" w:eastAsia="仿宋_GB2312" w:cs="仿宋_GB2312"/>
          <w:b w:val="0"/>
          <w:bCs/>
          <w:color w:val="auto"/>
          <w:kern w:val="2"/>
          <w:sz w:val="24"/>
          <w:szCs w:val="24"/>
          <w:highlight w:val="none"/>
          <w:lang w:val="en-US" w:eastAsia="zh-CN" w:bidi="ar-SA"/>
        </w:rPr>
        <w:t>年（具体起始时间以承包合同约定为准）。</w:t>
      </w:r>
    </w:p>
    <w:p>
      <w:pPr>
        <w:widowControl/>
        <w:tabs>
          <w:tab w:val="left" w:pos="1212"/>
          <w:tab w:val="left" w:pos="3888"/>
        </w:tabs>
        <w:snapToGrid w:val="0"/>
        <w:spacing w:line="360" w:lineRule="auto"/>
        <w:jc w:val="left"/>
        <w:rPr>
          <w:rFonts w:hint="eastAsia" w:ascii="仿宋" w:hAnsi="仿宋" w:eastAsia="仿宋" w:cs="仿宋"/>
          <w:b/>
          <w:bCs/>
          <w:kern w:val="0"/>
          <w:sz w:val="24"/>
          <w:szCs w:val="20"/>
          <w:highlight w:val="none"/>
          <w:lang w:val="en-US" w:eastAsia="zh-CN"/>
        </w:rPr>
      </w:pPr>
      <w:r>
        <w:rPr>
          <w:rFonts w:hint="eastAsia" w:ascii="仿宋" w:hAnsi="仿宋" w:eastAsia="仿宋" w:cs="仿宋"/>
          <w:b/>
          <w:bCs/>
          <w:kern w:val="0"/>
          <w:sz w:val="24"/>
          <w:szCs w:val="20"/>
          <w:highlight w:val="none"/>
          <w:lang w:val="en-US" w:eastAsia="zh-CN"/>
        </w:rPr>
        <w:t>八、付款方式</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highlight w:val="yellow"/>
          <w:lang w:val="en-US" w:eastAsia="zh-CN"/>
        </w:rPr>
      </w:pPr>
      <w:r>
        <w:rPr>
          <w:rFonts w:hint="eastAsia" w:ascii="仿宋" w:hAnsi="仿宋" w:eastAsia="仿宋" w:cs="仿宋"/>
          <w:kern w:val="0"/>
          <w:sz w:val="24"/>
          <w:szCs w:val="20"/>
          <w:highlight w:val="none"/>
          <w:lang w:val="en-US" w:eastAsia="zh-CN"/>
        </w:rPr>
        <w:t>中标人向采购人缴纳合同价的1%作为履约保证金；中标人缴纳履约保证金后，自合同生效且具备实施条件后7个工作日内，采购人向中标人支付年度合同款的30%作为预付款，</w:t>
      </w:r>
      <w:r>
        <w:rPr>
          <w:rFonts w:hint="eastAsia" w:ascii="仿宋_GB2312" w:hAnsi="仿宋_GB2312" w:eastAsia="仿宋" w:cs="仿宋_GB2312"/>
          <w:bCs/>
          <w:color w:val="auto"/>
          <w:sz w:val="24"/>
          <w:szCs w:val="24"/>
          <w:highlight w:val="none"/>
          <w:lang w:val="en-US" w:eastAsia="zh-CN"/>
        </w:rPr>
        <w:t>服务周期满一年后根据年度考核情况支付剩余的70%年度合同款（考核扣除的除外）；第二年服务期开始的一个月内支付</w:t>
      </w:r>
      <w:r>
        <w:rPr>
          <w:rFonts w:hint="eastAsia" w:ascii="仿宋" w:hAnsi="仿宋" w:eastAsia="仿宋" w:cs="仿宋"/>
          <w:kern w:val="0"/>
          <w:sz w:val="24"/>
          <w:szCs w:val="20"/>
          <w:highlight w:val="none"/>
          <w:lang w:val="en-US" w:eastAsia="zh-CN"/>
        </w:rPr>
        <w:t>年度合同款的30%作为预付款，第</w:t>
      </w:r>
      <w:r>
        <w:rPr>
          <w:rFonts w:hint="eastAsia" w:ascii="仿宋_GB2312" w:hAnsi="仿宋_GB2312" w:eastAsia="仿宋" w:cs="仿宋_GB2312"/>
          <w:bCs/>
          <w:color w:val="auto"/>
          <w:sz w:val="24"/>
          <w:szCs w:val="24"/>
          <w:highlight w:val="none"/>
          <w:lang w:val="en-US" w:eastAsia="zh-CN"/>
        </w:rPr>
        <w:t>二年服务期满后经履约验收并根据年度考核情况支付剩余的70%年度合同款（考核扣除的除外）。</w:t>
      </w:r>
      <w:r>
        <w:rPr>
          <w:rFonts w:hint="eastAsia" w:ascii="仿宋" w:hAnsi="仿宋" w:eastAsia="仿宋" w:cs="仿宋"/>
          <w:kern w:val="0"/>
          <w:sz w:val="24"/>
          <w:szCs w:val="20"/>
          <w:highlight w:val="none"/>
          <w:lang w:val="en-US" w:eastAsia="zh-CN"/>
        </w:rPr>
        <w:t>服务期结束且权利义务清算完毕后，采购人无息退还剩余全部履约保证金。</w:t>
      </w:r>
    </w:p>
    <w:p>
      <w:pPr>
        <w:widowControl/>
        <w:tabs>
          <w:tab w:val="left" w:pos="1212"/>
          <w:tab w:val="left" w:pos="3888"/>
        </w:tabs>
        <w:snapToGrid w:val="0"/>
        <w:spacing w:line="360" w:lineRule="auto"/>
        <w:ind w:firstLine="420"/>
        <w:jc w:val="left"/>
        <w:rPr>
          <w:rFonts w:hint="eastAsia" w:ascii="仿宋" w:hAnsi="仿宋" w:eastAsia="仿宋" w:cs="仿宋"/>
          <w:kern w:val="0"/>
          <w:sz w:val="24"/>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ascii="仿宋" w:hAnsi="仿宋" w:eastAsia="仿宋" w:cs="仿宋_GB2312"/>
          <w:b/>
          <w:color w:val="auto"/>
          <w:sz w:val="36"/>
          <w:szCs w:val="36"/>
          <w:highlight w:val="none"/>
        </w:rPr>
      </w:pPr>
      <w:r>
        <w:rPr>
          <w:rFonts w:hint="eastAsia" w:ascii="仿宋_GB2312" w:hAnsi="仿宋" w:eastAsia="仿宋_GB2312" w:cs="仿宋_GB2312"/>
          <w:b w:val="0"/>
          <w:bCs/>
          <w:color w:val="auto"/>
          <w:sz w:val="24"/>
          <w:szCs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14436"/>
      <w:bookmarkEnd w:id="28"/>
      <w:bookmarkStart w:id="29" w:name="_Toc184310288"/>
      <w:bookmarkEnd w:id="29"/>
      <w:bookmarkStart w:id="30" w:name="_Toc184308082"/>
      <w:bookmarkEnd w:id="30"/>
      <w:bookmarkStart w:id="31" w:name="_Toc184312067"/>
      <w:bookmarkEnd w:id="31"/>
      <w:bookmarkStart w:id="32" w:name="_Toc184310285"/>
      <w:bookmarkEnd w:id="32"/>
      <w:bookmarkStart w:id="33" w:name="_Toc184312104"/>
      <w:bookmarkEnd w:id="33"/>
      <w:bookmarkStart w:id="34" w:name="_Toc184313270"/>
      <w:bookmarkEnd w:id="34"/>
      <w:bookmarkStart w:id="35" w:name="_Toc184312128"/>
      <w:bookmarkEnd w:id="35"/>
      <w:bookmarkStart w:id="36" w:name="_Toc184314441"/>
      <w:bookmarkEnd w:id="36"/>
      <w:bookmarkStart w:id="37" w:name="_Toc184314480"/>
      <w:bookmarkEnd w:id="37"/>
      <w:bookmarkStart w:id="38" w:name="_Toc184314476"/>
      <w:bookmarkEnd w:id="38"/>
      <w:bookmarkStart w:id="39" w:name="_Toc184314460"/>
      <w:bookmarkEnd w:id="39"/>
      <w:bookmarkStart w:id="40" w:name="_Toc184310332"/>
      <w:bookmarkEnd w:id="40"/>
      <w:bookmarkStart w:id="41" w:name="_Toc184313253"/>
      <w:bookmarkEnd w:id="41"/>
      <w:bookmarkStart w:id="42" w:name="_Toc184308097"/>
      <w:bookmarkEnd w:id="42"/>
      <w:bookmarkStart w:id="43" w:name="_Toc184310289"/>
      <w:bookmarkEnd w:id="43"/>
      <w:bookmarkStart w:id="44" w:name="_Toc184312114"/>
      <w:bookmarkEnd w:id="44"/>
      <w:bookmarkStart w:id="45" w:name="_Toc184313276"/>
      <w:bookmarkEnd w:id="45"/>
      <w:bookmarkStart w:id="46" w:name="_Toc184313247"/>
      <w:bookmarkEnd w:id="46"/>
      <w:bookmarkStart w:id="47" w:name="_Toc184314473"/>
      <w:bookmarkEnd w:id="47"/>
      <w:bookmarkStart w:id="48" w:name="_Toc184313243"/>
      <w:bookmarkEnd w:id="48"/>
      <w:bookmarkStart w:id="49" w:name="_Toc184313268"/>
      <w:bookmarkEnd w:id="49"/>
      <w:bookmarkStart w:id="50" w:name="_Toc184308091"/>
      <w:bookmarkEnd w:id="50"/>
      <w:bookmarkStart w:id="51" w:name="_Toc184312118"/>
      <w:bookmarkEnd w:id="51"/>
      <w:bookmarkStart w:id="52" w:name="_Toc184314427"/>
      <w:bookmarkEnd w:id="52"/>
      <w:bookmarkStart w:id="53" w:name="_Toc184308070"/>
      <w:bookmarkEnd w:id="53"/>
      <w:bookmarkStart w:id="54" w:name="_Toc184310294"/>
      <w:bookmarkEnd w:id="54"/>
      <w:bookmarkStart w:id="55" w:name="_Toc184310291"/>
      <w:bookmarkEnd w:id="55"/>
      <w:bookmarkStart w:id="56" w:name="_Toc184313259"/>
      <w:bookmarkEnd w:id="56"/>
      <w:bookmarkStart w:id="57" w:name="_Toc184314481"/>
      <w:bookmarkEnd w:id="57"/>
      <w:bookmarkStart w:id="58" w:name="_Toc184308047"/>
      <w:bookmarkEnd w:id="58"/>
      <w:bookmarkStart w:id="59" w:name="_Toc184308061"/>
      <w:bookmarkEnd w:id="59"/>
      <w:bookmarkStart w:id="60" w:name="_Toc184312076"/>
      <w:bookmarkEnd w:id="60"/>
      <w:bookmarkStart w:id="61" w:name="_Toc184314461"/>
      <w:bookmarkEnd w:id="61"/>
      <w:bookmarkStart w:id="62" w:name="_Toc184310293"/>
      <w:bookmarkEnd w:id="62"/>
      <w:bookmarkStart w:id="63" w:name="_Toc184310322"/>
      <w:bookmarkEnd w:id="63"/>
      <w:bookmarkStart w:id="64" w:name="_Toc184312071"/>
      <w:bookmarkEnd w:id="64"/>
      <w:bookmarkStart w:id="65" w:name="_Toc184313264"/>
      <w:bookmarkEnd w:id="65"/>
      <w:bookmarkStart w:id="66" w:name="_Toc184310283"/>
      <w:bookmarkEnd w:id="66"/>
      <w:bookmarkStart w:id="67" w:name="_Toc184312088"/>
      <w:bookmarkEnd w:id="67"/>
      <w:bookmarkStart w:id="68" w:name="_Toc184310324"/>
      <w:bookmarkEnd w:id="68"/>
      <w:bookmarkStart w:id="69" w:name="_Toc184314418"/>
      <w:bookmarkEnd w:id="69"/>
      <w:bookmarkStart w:id="70" w:name="_Toc184310277"/>
      <w:bookmarkEnd w:id="70"/>
      <w:bookmarkStart w:id="71" w:name="_Toc184313240"/>
      <w:bookmarkEnd w:id="71"/>
      <w:bookmarkStart w:id="72" w:name="_Toc184310301"/>
      <w:bookmarkEnd w:id="72"/>
      <w:bookmarkStart w:id="73" w:name="_Toc184310278"/>
      <w:bookmarkEnd w:id="73"/>
      <w:bookmarkStart w:id="74" w:name="_Toc184312127"/>
      <w:bookmarkEnd w:id="74"/>
      <w:bookmarkStart w:id="75" w:name="_Toc184308083"/>
      <w:bookmarkEnd w:id="75"/>
      <w:bookmarkStart w:id="76" w:name="_Toc184308067"/>
      <w:bookmarkEnd w:id="76"/>
      <w:bookmarkStart w:id="77" w:name="_Toc184308048"/>
      <w:bookmarkEnd w:id="77"/>
      <w:bookmarkStart w:id="78" w:name="_Toc184312074"/>
      <w:bookmarkEnd w:id="78"/>
      <w:bookmarkStart w:id="79" w:name="_Toc184312089"/>
      <w:bookmarkEnd w:id="79"/>
      <w:bookmarkStart w:id="80" w:name="_Toc184310284"/>
      <w:bookmarkEnd w:id="80"/>
      <w:bookmarkStart w:id="81" w:name="_Toc184314442"/>
      <w:bookmarkEnd w:id="81"/>
      <w:bookmarkStart w:id="82" w:name="_Toc184314464"/>
      <w:bookmarkEnd w:id="82"/>
      <w:bookmarkStart w:id="83" w:name="_Toc184310287"/>
      <w:bookmarkEnd w:id="83"/>
      <w:bookmarkStart w:id="84" w:name="_Toc184314423"/>
      <w:bookmarkEnd w:id="84"/>
      <w:bookmarkStart w:id="85" w:name="_Toc184312083"/>
      <w:bookmarkEnd w:id="85"/>
      <w:bookmarkStart w:id="86" w:name="_Toc184312095"/>
      <w:bookmarkEnd w:id="86"/>
      <w:bookmarkStart w:id="87" w:name="_Toc184312108"/>
      <w:bookmarkEnd w:id="87"/>
      <w:bookmarkStart w:id="88" w:name="_Toc184310320"/>
      <w:bookmarkEnd w:id="88"/>
      <w:bookmarkStart w:id="89" w:name="_Toc184310308"/>
      <w:bookmarkEnd w:id="89"/>
      <w:bookmarkStart w:id="90" w:name="_Toc184308081"/>
      <w:bookmarkEnd w:id="90"/>
      <w:bookmarkStart w:id="91" w:name="_Toc184308094"/>
      <w:bookmarkEnd w:id="91"/>
      <w:bookmarkStart w:id="92" w:name="_Toc184312123"/>
      <w:bookmarkEnd w:id="92"/>
      <w:bookmarkStart w:id="93" w:name="_Toc184308051"/>
      <w:bookmarkEnd w:id="93"/>
      <w:bookmarkStart w:id="94" w:name="_Toc184312119"/>
      <w:bookmarkEnd w:id="94"/>
      <w:bookmarkStart w:id="95" w:name="_Toc184308103"/>
      <w:bookmarkEnd w:id="95"/>
      <w:bookmarkStart w:id="96" w:name="_Toc184312107"/>
      <w:bookmarkEnd w:id="96"/>
      <w:bookmarkStart w:id="97" w:name="_Toc184314467"/>
      <w:bookmarkEnd w:id="97"/>
      <w:bookmarkStart w:id="98" w:name="_Toc184310307"/>
      <w:bookmarkEnd w:id="98"/>
      <w:bookmarkStart w:id="99" w:name="_Toc184308060"/>
      <w:bookmarkEnd w:id="99"/>
      <w:bookmarkStart w:id="100" w:name="_Toc184313267"/>
      <w:bookmarkEnd w:id="100"/>
      <w:bookmarkStart w:id="101" w:name="_Toc184314431"/>
      <w:bookmarkEnd w:id="101"/>
      <w:bookmarkStart w:id="102" w:name="_Toc184308093"/>
      <w:bookmarkEnd w:id="102"/>
      <w:bookmarkStart w:id="103" w:name="_Toc184308039"/>
      <w:bookmarkEnd w:id="103"/>
      <w:bookmarkStart w:id="104" w:name="_Toc184308045"/>
      <w:bookmarkEnd w:id="104"/>
      <w:bookmarkStart w:id="105" w:name="_Toc184310282"/>
      <w:bookmarkEnd w:id="105"/>
      <w:bookmarkStart w:id="106" w:name="_Toc184313286"/>
      <w:bookmarkEnd w:id="106"/>
      <w:bookmarkStart w:id="107" w:name="_Toc184314449"/>
      <w:bookmarkEnd w:id="107"/>
      <w:bookmarkStart w:id="108" w:name="_Toc184314451"/>
      <w:bookmarkEnd w:id="108"/>
      <w:bookmarkStart w:id="109" w:name="_Toc184313255"/>
      <w:bookmarkEnd w:id="109"/>
      <w:bookmarkStart w:id="110" w:name="_Toc184310281"/>
      <w:bookmarkEnd w:id="110"/>
      <w:bookmarkStart w:id="111" w:name="_Toc184314434"/>
      <w:bookmarkEnd w:id="111"/>
      <w:bookmarkStart w:id="112" w:name="_Toc184310329"/>
      <w:bookmarkEnd w:id="112"/>
      <w:bookmarkStart w:id="113" w:name="_Toc184308104"/>
      <w:bookmarkEnd w:id="113"/>
      <w:bookmarkStart w:id="114" w:name="_Toc184313249"/>
      <w:bookmarkEnd w:id="114"/>
      <w:bookmarkStart w:id="115" w:name="_Toc184308036"/>
      <w:bookmarkEnd w:id="115"/>
      <w:bookmarkStart w:id="116" w:name="_Toc184308077"/>
      <w:bookmarkEnd w:id="116"/>
      <w:bookmarkStart w:id="117" w:name="_Toc184314479"/>
      <w:bookmarkEnd w:id="117"/>
      <w:bookmarkStart w:id="118" w:name="_Toc184314477"/>
      <w:bookmarkEnd w:id="118"/>
      <w:bookmarkStart w:id="119" w:name="_Toc184310295"/>
      <w:bookmarkEnd w:id="119"/>
      <w:bookmarkStart w:id="120" w:name="_Toc184310313"/>
      <w:bookmarkEnd w:id="120"/>
      <w:bookmarkStart w:id="121" w:name="_Toc184310310"/>
      <w:bookmarkEnd w:id="121"/>
      <w:bookmarkStart w:id="122" w:name="_Toc184313266"/>
      <w:bookmarkEnd w:id="122"/>
      <w:bookmarkStart w:id="123" w:name="_Toc184312136"/>
      <w:bookmarkEnd w:id="123"/>
      <w:bookmarkStart w:id="124" w:name="_Toc184308108"/>
      <w:bookmarkEnd w:id="124"/>
      <w:bookmarkStart w:id="125" w:name="_Toc184314478"/>
      <w:bookmarkEnd w:id="125"/>
      <w:bookmarkStart w:id="126" w:name="_Toc184313238"/>
      <w:bookmarkEnd w:id="126"/>
      <w:bookmarkStart w:id="127" w:name="_Toc184313309"/>
      <w:bookmarkEnd w:id="127"/>
      <w:bookmarkStart w:id="128" w:name="_Toc184314414"/>
      <w:bookmarkEnd w:id="128"/>
      <w:bookmarkStart w:id="129" w:name="_Toc184314424"/>
      <w:bookmarkEnd w:id="129"/>
      <w:bookmarkStart w:id="130" w:name="_Toc184314435"/>
      <w:bookmarkEnd w:id="130"/>
      <w:bookmarkStart w:id="131" w:name="_Toc184312125"/>
      <w:bookmarkEnd w:id="131"/>
      <w:bookmarkStart w:id="132" w:name="_Toc184313280"/>
      <w:bookmarkEnd w:id="132"/>
      <w:bookmarkStart w:id="133" w:name="_Toc184308106"/>
      <w:bookmarkEnd w:id="133"/>
      <w:bookmarkStart w:id="134" w:name="_Toc184312135"/>
      <w:bookmarkEnd w:id="134"/>
      <w:bookmarkStart w:id="135" w:name="_Toc184308062"/>
      <w:bookmarkEnd w:id="135"/>
      <w:bookmarkStart w:id="136" w:name="_Toc184314430"/>
      <w:bookmarkEnd w:id="136"/>
      <w:bookmarkStart w:id="137" w:name="_Toc184312126"/>
      <w:bookmarkEnd w:id="137"/>
      <w:bookmarkStart w:id="138" w:name="_Toc184312086"/>
      <w:bookmarkEnd w:id="138"/>
      <w:bookmarkStart w:id="139" w:name="_Toc184310300"/>
      <w:bookmarkEnd w:id="139"/>
      <w:bookmarkStart w:id="140" w:name="_Toc184310280"/>
      <w:bookmarkEnd w:id="140"/>
      <w:bookmarkStart w:id="141" w:name="_Toc184312096"/>
      <w:bookmarkEnd w:id="141"/>
      <w:bookmarkStart w:id="142" w:name="_Toc184308080"/>
      <w:bookmarkEnd w:id="142"/>
      <w:bookmarkStart w:id="143" w:name="_Toc184308068"/>
      <w:bookmarkEnd w:id="143"/>
      <w:bookmarkStart w:id="144" w:name="_Toc184313303"/>
      <w:bookmarkEnd w:id="144"/>
      <w:bookmarkStart w:id="145" w:name="_Toc184308040"/>
      <w:bookmarkEnd w:id="145"/>
      <w:bookmarkStart w:id="146" w:name="_Toc184314444"/>
      <w:bookmarkEnd w:id="146"/>
      <w:bookmarkStart w:id="147" w:name="_Toc184313300"/>
      <w:bookmarkEnd w:id="147"/>
      <w:bookmarkStart w:id="148" w:name="_Toc184312093"/>
      <w:bookmarkEnd w:id="148"/>
      <w:bookmarkStart w:id="149" w:name="_Toc184308075"/>
      <w:bookmarkEnd w:id="149"/>
      <w:bookmarkStart w:id="150" w:name="_Toc184312103"/>
      <w:bookmarkEnd w:id="150"/>
      <w:bookmarkStart w:id="151" w:name="_Toc184313297"/>
      <w:bookmarkEnd w:id="151"/>
      <w:bookmarkStart w:id="152" w:name="_Toc184314482"/>
      <w:bookmarkEnd w:id="152"/>
      <w:bookmarkStart w:id="153" w:name="_Toc184314455"/>
      <w:bookmarkEnd w:id="153"/>
      <w:bookmarkStart w:id="154" w:name="_Toc184314426"/>
      <w:bookmarkEnd w:id="154"/>
      <w:bookmarkStart w:id="155" w:name="_Toc184313248"/>
      <w:bookmarkEnd w:id="155"/>
      <w:bookmarkStart w:id="156" w:name="_Toc184308049"/>
      <w:bookmarkEnd w:id="156"/>
      <w:bookmarkStart w:id="157" w:name="_Toc184314459"/>
      <w:bookmarkEnd w:id="157"/>
      <w:bookmarkStart w:id="158" w:name="_Toc184310305"/>
      <w:bookmarkEnd w:id="158"/>
      <w:bookmarkStart w:id="159" w:name="_Toc184314458"/>
      <w:bookmarkEnd w:id="159"/>
      <w:bookmarkStart w:id="160" w:name="_Toc184310344"/>
      <w:bookmarkEnd w:id="160"/>
      <w:bookmarkStart w:id="161" w:name="_Toc184308078"/>
      <w:bookmarkEnd w:id="161"/>
      <w:bookmarkStart w:id="162" w:name="_Toc184313265"/>
      <w:bookmarkEnd w:id="162"/>
      <w:bookmarkStart w:id="163" w:name="_Toc184314448"/>
      <w:bookmarkEnd w:id="163"/>
      <w:bookmarkStart w:id="164" w:name="_Toc184310303"/>
      <w:bookmarkEnd w:id="164"/>
      <w:bookmarkStart w:id="165" w:name="_Toc184308099"/>
      <w:bookmarkEnd w:id="165"/>
      <w:bookmarkStart w:id="166" w:name="_Toc184313275"/>
      <w:bookmarkEnd w:id="166"/>
      <w:bookmarkStart w:id="167" w:name="_Toc184308053"/>
      <w:bookmarkEnd w:id="167"/>
      <w:bookmarkStart w:id="168" w:name="_Toc184314428"/>
      <w:bookmarkEnd w:id="168"/>
      <w:bookmarkStart w:id="169" w:name="_Toc184314439"/>
      <w:bookmarkEnd w:id="169"/>
      <w:bookmarkStart w:id="170" w:name="_Toc184312098"/>
      <w:bookmarkEnd w:id="170"/>
      <w:bookmarkStart w:id="171" w:name="_Toc184308092"/>
      <w:bookmarkEnd w:id="171"/>
      <w:bookmarkStart w:id="172" w:name="_Toc184314415"/>
      <w:bookmarkEnd w:id="172"/>
      <w:bookmarkStart w:id="173" w:name="_Toc184312138"/>
      <w:bookmarkEnd w:id="173"/>
      <w:bookmarkStart w:id="174" w:name="_Toc184314412"/>
      <w:bookmarkEnd w:id="174"/>
      <w:bookmarkStart w:id="175" w:name="_Toc184313304"/>
      <w:bookmarkEnd w:id="175"/>
      <w:bookmarkStart w:id="176" w:name="_Toc184308101"/>
      <w:bookmarkEnd w:id="176"/>
      <w:bookmarkStart w:id="177" w:name="_Toc184310296"/>
      <w:bookmarkEnd w:id="177"/>
      <w:bookmarkStart w:id="178" w:name="_Toc184312099"/>
      <w:bookmarkEnd w:id="178"/>
      <w:bookmarkStart w:id="179" w:name="_Toc184308107"/>
      <w:bookmarkEnd w:id="179"/>
      <w:bookmarkStart w:id="180" w:name="_Toc184313294"/>
      <w:bookmarkEnd w:id="180"/>
      <w:bookmarkStart w:id="181" w:name="_Toc184308052"/>
      <w:bookmarkEnd w:id="181"/>
      <w:bookmarkStart w:id="182" w:name="_Toc184314420"/>
      <w:bookmarkEnd w:id="182"/>
      <w:bookmarkStart w:id="183" w:name="_Toc184310290"/>
      <w:bookmarkEnd w:id="183"/>
      <w:bookmarkStart w:id="184" w:name="_Toc184310318"/>
      <w:bookmarkEnd w:id="184"/>
      <w:bookmarkStart w:id="185" w:name="_Toc184308057"/>
      <w:bookmarkEnd w:id="185"/>
      <w:bookmarkStart w:id="186" w:name="_Toc184314429"/>
      <w:bookmarkEnd w:id="186"/>
      <w:bookmarkStart w:id="187" w:name="_Toc184314469"/>
      <w:bookmarkEnd w:id="187"/>
      <w:bookmarkStart w:id="188" w:name="_Toc184314419"/>
      <w:bookmarkEnd w:id="188"/>
      <w:bookmarkStart w:id="189" w:name="_Toc184308058"/>
      <w:bookmarkEnd w:id="189"/>
      <w:bookmarkStart w:id="190" w:name="_Toc184313293"/>
      <w:bookmarkEnd w:id="190"/>
      <w:bookmarkStart w:id="191" w:name="_Toc184313241"/>
      <w:bookmarkEnd w:id="191"/>
      <w:bookmarkStart w:id="192" w:name="_Toc184312112"/>
      <w:bookmarkEnd w:id="192"/>
      <w:bookmarkStart w:id="193" w:name="_Toc184313279"/>
      <w:bookmarkEnd w:id="193"/>
      <w:bookmarkStart w:id="194" w:name="_Toc184308095"/>
      <w:bookmarkEnd w:id="194"/>
      <w:bookmarkStart w:id="195" w:name="_Toc184314475"/>
      <w:bookmarkEnd w:id="195"/>
      <w:bookmarkStart w:id="196" w:name="_Toc184313256"/>
      <w:bookmarkEnd w:id="196"/>
      <w:bookmarkStart w:id="197" w:name="_Toc184310331"/>
      <w:bookmarkEnd w:id="197"/>
      <w:bookmarkStart w:id="198" w:name="_Toc184313277"/>
      <w:bookmarkEnd w:id="198"/>
      <w:bookmarkStart w:id="199" w:name="_Toc184310325"/>
      <w:bookmarkEnd w:id="199"/>
      <w:bookmarkStart w:id="200" w:name="_Toc184314466"/>
      <w:bookmarkEnd w:id="200"/>
      <w:bookmarkStart w:id="201" w:name="_Toc184313246"/>
      <w:bookmarkEnd w:id="201"/>
      <w:bookmarkStart w:id="202" w:name="_Toc184312113"/>
      <w:bookmarkEnd w:id="202"/>
      <w:bookmarkStart w:id="203" w:name="_Toc184313305"/>
      <w:bookmarkEnd w:id="203"/>
      <w:bookmarkStart w:id="204" w:name="_Toc184310275"/>
      <w:bookmarkEnd w:id="204"/>
      <w:bookmarkStart w:id="205" w:name="_Toc184313262"/>
      <w:bookmarkEnd w:id="205"/>
      <w:bookmarkStart w:id="206" w:name="_Toc184308089"/>
      <w:bookmarkEnd w:id="206"/>
      <w:bookmarkStart w:id="207" w:name="_Toc184310315"/>
      <w:bookmarkEnd w:id="207"/>
      <w:bookmarkStart w:id="208" w:name="_Toc184313261"/>
      <w:bookmarkEnd w:id="208"/>
      <w:bookmarkStart w:id="209" w:name="_Toc184310304"/>
      <w:bookmarkEnd w:id="209"/>
      <w:bookmarkStart w:id="210" w:name="_Toc184313289"/>
      <w:bookmarkEnd w:id="210"/>
      <w:bookmarkStart w:id="211" w:name="_Toc184310274"/>
      <w:bookmarkEnd w:id="211"/>
      <w:bookmarkStart w:id="212" w:name="_Toc184314438"/>
      <w:bookmarkEnd w:id="212"/>
      <w:bookmarkStart w:id="213" w:name="_Toc184312075"/>
      <w:bookmarkEnd w:id="213"/>
      <w:bookmarkStart w:id="214" w:name="_Toc184310311"/>
      <w:bookmarkEnd w:id="214"/>
      <w:bookmarkStart w:id="215" w:name="_Toc184312105"/>
      <w:bookmarkEnd w:id="215"/>
      <w:bookmarkStart w:id="216" w:name="_Toc184308098"/>
      <w:bookmarkEnd w:id="216"/>
      <w:bookmarkStart w:id="217" w:name="_Toc184314432"/>
      <w:bookmarkEnd w:id="217"/>
      <w:bookmarkStart w:id="218" w:name="_Toc184310306"/>
      <w:bookmarkEnd w:id="218"/>
      <w:bookmarkStart w:id="219" w:name="_Toc184312120"/>
      <w:bookmarkEnd w:id="219"/>
      <w:bookmarkStart w:id="220" w:name="_Toc184310312"/>
      <w:bookmarkEnd w:id="220"/>
      <w:bookmarkStart w:id="221" w:name="_Toc184313308"/>
      <w:bookmarkEnd w:id="221"/>
      <w:bookmarkStart w:id="222" w:name="_Toc184310342"/>
      <w:bookmarkEnd w:id="222"/>
      <w:bookmarkStart w:id="223" w:name="_Toc184312130"/>
      <w:bookmarkEnd w:id="223"/>
      <w:bookmarkStart w:id="224" w:name="_Toc184313284"/>
      <w:bookmarkEnd w:id="224"/>
      <w:bookmarkStart w:id="225" w:name="_Toc184313299"/>
      <w:bookmarkEnd w:id="225"/>
      <w:bookmarkStart w:id="226" w:name="_Toc184313252"/>
      <w:bookmarkEnd w:id="226"/>
      <w:bookmarkStart w:id="227" w:name="_Toc184310333"/>
      <w:bookmarkEnd w:id="227"/>
      <w:bookmarkStart w:id="228" w:name="_Toc184310292"/>
      <w:bookmarkEnd w:id="228"/>
      <w:bookmarkStart w:id="229" w:name="_Toc184313306"/>
      <w:bookmarkEnd w:id="229"/>
      <w:bookmarkStart w:id="230" w:name="_Toc184312072"/>
      <w:bookmarkEnd w:id="230"/>
      <w:bookmarkStart w:id="231" w:name="_Toc184314472"/>
      <w:bookmarkEnd w:id="231"/>
      <w:bookmarkStart w:id="232" w:name="_Toc184310316"/>
      <w:bookmarkEnd w:id="232"/>
      <w:bookmarkStart w:id="233" w:name="_Toc184312084"/>
      <w:bookmarkEnd w:id="233"/>
      <w:bookmarkStart w:id="234" w:name="_Toc184314463"/>
      <w:bookmarkEnd w:id="234"/>
      <w:bookmarkStart w:id="235" w:name="_Toc184310297"/>
      <w:bookmarkEnd w:id="235"/>
      <w:bookmarkStart w:id="236" w:name="_Toc184312134"/>
      <w:bookmarkEnd w:id="236"/>
      <w:bookmarkStart w:id="237" w:name="_Toc184310279"/>
      <w:bookmarkEnd w:id="237"/>
      <w:bookmarkStart w:id="238" w:name="_Toc184308102"/>
      <w:bookmarkEnd w:id="238"/>
      <w:bookmarkStart w:id="239" w:name="_Toc184312097"/>
      <w:bookmarkEnd w:id="239"/>
      <w:bookmarkStart w:id="240" w:name="_Toc184312122"/>
      <w:bookmarkEnd w:id="240"/>
      <w:bookmarkStart w:id="241" w:name="_Toc184308050"/>
      <w:bookmarkEnd w:id="241"/>
      <w:bookmarkStart w:id="242" w:name="_Toc184308044"/>
      <w:bookmarkEnd w:id="242"/>
      <w:bookmarkStart w:id="243" w:name="_Toc184314437"/>
      <w:bookmarkEnd w:id="243"/>
      <w:bookmarkStart w:id="244" w:name="_Toc184313283"/>
      <w:bookmarkEnd w:id="244"/>
      <w:bookmarkStart w:id="245" w:name="_Toc184312133"/>
      <w:bookmarkEnd w:id="245"/>
      <w:bookmarkStart w:id="246" w:name="_Toc184313282"/>
      <w:bookmarkEnd w:id="246"/>
      <w:bookmarkStart w:id="247" w:name="_Toc184310323"/>
      <w:bookmarkEnd w:id="247"/>
      <w:bookmarkStart w:id="248" w:name="_Toc184310317"/>
      <w:bookmarkEnd w:id="248"/>
      <w:bookmarkStart w:id="249" w:name="_Toc184308069"/>
      <w:bookmarkEnd w:id="249"/>
      <w:bookmarkStart w:id="250" w:name="_Toc184313258"/>
      <w:bookmarkEnd w:id="250"/>
      <w:bookmarkStart w:id="251" w:name="_Toc184312080"/>
      <w:bookmarkEnd w:id="251"/>
      <w:bookmarkStart w:id="252" w:name="_Toc184312121"/>
      <w:bookmarkEnd w:id="252"/>
      <w:bookmarkStart w:id="253" w:name="_Toc184308038"/>
      <w:bookmarkEnd w:id="253"/>
      <w:bookmarkStart w:id="254" w:name="_Toc184312116"/>
      <w:bookmarkEnd w:id="254"/>
      <w:bookmarkStart w:id="255" w:name="_Toc184314410"/>
      <w:bookmarkEnd w:id="255"/>
      <w:bookmarkStart w:id="256" w:name="_Toc184314416"/>
      <w:bookmarkEnd w:id="256"/>
      <w:bookmarkStart w:id="257" w:name="_Toc184308090"/>
      <w:bookmarkEnd w:id="257"/>
      <w:bookmarkStart w:id="258" w:name="_Toc184314425"/>
      <w:bookmarkEnd w:id="258"/>
      <w:bookmarkStart w:id="259" w:name="_Toc184314417"/>
      <w:bookmarkEnd w:id="259"/>
      <w:bookmarkStart w:id="260" w:name="_Toc184313302"/>
      <w:bookmarkEnd w:id="260"/>
      <w:bookmarkStart w:id="261" w:name="_Toc184310337"/>
      <w:bookmarkEnd w:id="261"/>
      <w:bookmarkStart w:id="262" w:name="_Toc184312069"/>
      <w:bookmarkEnd w:id="262"/>
      <w:bookmarkStart w:id="263" w:name="_Toc184312091"/>
      <w:bookmarkEnd w:id="263"/>
      <w:bookmarkStart w:id="264" w:name="_Toc184308065"/>
      <w:bookmarkEnd w:id="264"/>
      <w:bookmarkStart w:id="265" w:name="_Toc184308066"/>
      <w:bookmarkEnd w:id="265"/>
      <w:bookmarkStart w:id="266" w:name="_Toc184310314"/>
      <w:bookmarkEnd w:id="266"/>
      <w:bookmarkStart w:id="267" w:name="_Toc184313244"/>
      <w:bookmarkEnd w:id="267"/>
      <w:bookmarkStart w:id="268" w:name="_Toc184314413"/>
      <w:bookmarkEnd w:id="268"/>
      <w:bookmarkStart w:id="269" w:name="_Toc184308055"/>
      <w:bookmarkEnd w:id="269"/>
      <w:bookmarkStart w:id="270" w:name="_Toc184313269"/>
      <w:bookmarkEnd w:id="270"/>
      <w:bookmarkStart w:id="271" w:name="_Toc184313307"/>
      <w:bookmarkEnd w:id="271"/>
      <w:bookmarkStart w:id="272" w:name="_Toc184313250"/>
      <w:bookmarkEnd w:id="272"/>
      <w:bookmarkStart w:id="273" w:name="_Toc184312115"/>
      <w:bookmarkEnd w:id="273"/>
      <w:bookmarkStart w:id="274" w:name="_Toc184312106"/>
      <w:bookmarkEnd w:id="274"/>
      <w:bookmarkStart w:id="275" w:name="_Toc184314453"/>
      <w:bookmarkEnd w:id="275"/>
      <w:bookmarkStart w:id="276" w:name="_Toc184314470"/>
      <w:bookmarkEnd w:id="276"/>
      <w:bookmarkStart w:id="277" w:name="_Toc184310276"/>
      <w:bookmarkEnd w:id="277"/>
      <w:bookmarkStart w:id="278" w:name="_Toc184314433"/>
      <w:bookmarkEnd w:id="278"/>
      <w:bookmarkStart w:id="279" w:name="_Toc184314462"/>
      <w:bookmarkEnd w:id="279"/>
      <w:bookmarkStart w:id="280" w:name="_Toc184308046"/>
      <w:bookmarkEnd w:id="280"/>
      <w:bookmarkStart w:id="281" w:name="_Toc184310343"/>
      <w:bookmarkEnd w:id="281"/>
      <w:bookmarkStart w:id="282" w:name="_Toc184314447"/>
      <w:bookmarkEnd w:id="282"/>
      <w:bookmarkStart w:id="283" w:name="_Toc184312082"/>
      <w:bookmarkEnd w:id="283"/>
      <w:bookmarkStart w:id="284" w:name="_Toc184308071"/>
      <w:bookmarkEnd w:id="284"/>
      <w:bookmarkStart w:id="285" w:name="_Toc184310298"/>
      <w:bookmarkEnd w:id="285"/>
      <w:bookmarkStart w:id="286" w:name="_Toc184312092"/>
      <w:bookmarkEnd w:id="286"/>
      <w:bookmarkStart w:id="287" w:name="_Toc184308100"/>
      <w:bookmarkEnd w:id="287"/>
      <w:bookmarkStart w:id="288" w:name="_Toc184314411"/>
      <w:bookmarkEnd w:id="288"/>
      <w:bookmarkStart w:id="289" w:name="_Toc184313245"/>
      <w:bookmarkEnd w:id="289"/>
      <w:bookmarkStart w:id="290" w:name="_Toc184310341"/>
      <w:bookmarkEnd w:id="290"/>
      <w:bookmarkStart w:id="291" w:name="_Toc184310340"/>
      <w:bookmarkEnd w:id="291"/>
      <w:bookmarkStart w:id="292" w:name="_Toc184313278"/>
      <w:bookmarkEnd w:id="292"/>
      <w:bookmarkStart w:id="293" w:name="_Toc184312131"/>
      <w:bookmarkEnd w:id="293"/>
      <w:bookmarkStart w:id="294" w:name="_Toc184310330"/>
      <w:bookmarkEnd w:id="294"/>
      <w:bookmarkStart w:id="295" w:name="_Toc184308084"/>
      <w:bookmarkEnd w:id="295"/>
      <w:bookmarkStart w:id="296" w:name="_Toc184312085"/>
      <w:bookmarkEnd w:id="296"/>
      <w:bookmarkStart w:id="297" w:name="_Toc184312109"/>
      <w:bookmarkEnd w:id="297"/>
      <w:bookmarkStart w:id="298" w:name="_Toc184314474"/>
      <w:bookmarkEnd w:id="298"/>
      <w:bookmarkStart w:id="299" w:name="_Toc184310327"/>
      <w:bookmarkEnd w:id="299"/>
      <w:bookmarkStart w:id="300" w:name="_Toc184314456"/>
      <w:bookmarkEnd w:id="300"/>
      <w:bookmarkStart w:id="301" w:name="_Toc184313288"/>
      <w:bookmarkEnd w:id="301"/>
      <w:bookmarkStart w:id="302" w:name="_Toc184313272"/>
      <w:bookmarkEnd w:id="302"/>
      <w:bookmarkStart w:id="303" w:name="_Toc184313260"/>
      <w:bookmarkEnd w:id="303"/>
      <w:bookmarkStart w:id="304" w:name="_Toc184310335"/>
      <w:bookmarkEnd w:id="304"/>
      <w:bookmarkStart w:id="305" w:name="_Toc184313254"/>
      <w:bookmarkEnd w:id="305"/>
      <w:bookmarkStart w:id="306" w:name="_Toc184308059"/>
      <w:bookmarkEnd w:id="306"/>
      <w:bookmarkStart w:id="307" w:name="_Toc184310338"/>
      <w:bookmarkEnd w:id="307"/>
      <w:bookmarkStart w:id="308" w:name="_Toc184312100"/>
      <w:bookmarkEnd w:id="308"/>
      <w:bookmarkStart w:id="309" w:name="_Toc184312077"/>
      <w:bookmarkEnd w:id="309"/>
      <w:bookmarkStart w:id="310" w:name="_Toc184313310"/>
      <w:bookmarkEnd w:id="310"/>
      <w:bookmarkStart w:id="311" w:name="_Toc184310273"/>
      <w:bookmarkEnd w:id="311"/>
      <w:bookmarkStart w:id="312" w:name="_Toc184312139"/>
      <w:bookmarkEnd w:id="312"/>
      <w:bookmarkStart w:id="313" w:name="_Toc184313251"/>
      <w:bookmarkEnd w:id="313"/>
      <w:bookmarkStart w:id="314" w:name="_Toc184310326"/>
      <w:bookmarkEnd w:id="314"/>
      <w:bookmarkStart w:id="315" w:name="_Toc184313273"/>
      <w:bookmarkEnd w:id="315"/>
      <w:bookmarkStart w:id="316" w:name="_Toc184313298"/>
      <w:bookmarkEnd w:id="316"/>
      <w:bookmarkStart w:id="317" w:name="_Toc184314446"/>
      <w:bookmarkEnd w:id="317"/>
      <w:bookmarkStart w:id="318" w:name="_Toc184308037"/>
      <w:bookmarkEnd w:id="318"/>
      <w:bookmarkStart w:id="319" w:name="_Toc184313296"/>
      <w:bookmarkEnd w:id="319"/>
      <w:bookmarkStart w:id="320" w:name="_Toc184313290"/>
      <w:bookmarkEnd w:id="320"/>
      <w:bookmarkStart w:id="321" w:name="_Toc184312073"/>
      <w:bookmarkEnd w:id="321"/>
      <w:bookmarkStart w:id="322" w:name="_Toc184310302"/>
      <w:bookmarkEnd w:id="322"/>
      <w:bookmarkStart w:id="323" w:name="_Toc184314454"/>
      <w:bookmarkEnd w:id="323"/>
      <w:bookmarkStart w:id="324" w:name="_Toc184310334"/>
      <w:bookmarkEnd w:id="324"/>
      <w:bookmarkStart w:id="325" w:name="_Toc184308088"/>
      <w:bookmarkEnd w:id="325"/>
      <w:bookmarkStart w:id="326" w:name="_Toc184310328"/>
      <w:bookmarkEnd w:id="326"/>
      <w:bookmarkStart w:id="327" w:name="_Toc184308063"/>
      <w:bookmarkEnd w:id="327"/>
      <w:bookmarkStart w:id="328" w:name="_Toc184312081"/>
      <w:bookmarkEnd w:id="328"/>
      <w:bookmarkStart w:id="329" w:name="_Toc184308086"/>
      <w:bookmarkEnd w:id="329"/>
      <w:bookmarkStart w:id="330" w:name="_Toc184312102"/>
      <w:bookmarkEnd w:id="330"/>
      <w:bookmarkStart w:id="331" w:name="_Toc184314440"/>
      <w:bookmarkEnd w:id="331"/>
      <w:bookmarkStart w:id="332" w:name="_Toc184312094"/>
      <w:bookmarkEnd w:id="332"/>
      <w:bookmarkStart w:id="333" w:name="_Toc184310336"/>
      <w:bookmarkEnd w:id="333"/>
      <w:bookmarkStart w:id="334" w:name="_Toc184313242"/>
      <w:bookmarkEnd w:id="334"/>
      <w:bookmarkStart w:id="335" w:name="_Toc184313301"/>
      <w:bookmarkEnd w:id="335"/>
      <w:bookmarkStart w:id="336" w:name="_Toc184310272"/>
      <w:bookmarkEnd w:id="336"/>
      <w:bookmarkStart w:id="337" w:name="_Toc184308041"/>
      <w:bookmarkEnd w:id="337"/>
      <w:bookmarkStart w:id="338" w:name="_Toc184314450"/>
      <w:bookmarkEnd w:id="338"/>
      <w:bookmarkStart w:id="339" w:name="_Toc184308096"/>
      <w:bookmarkEnd w:id="339"/>
      <w:bookmarkStart w:id="340" w:name="_Toc184313292"/>
      <w:bookmarkEnd w:id="340"/>
      <w:bookmarkStart w:id="341" w:name="_Toc184313281"/>
      <w:bookmarkEnd w:id="341"/>
      <w:bookmarkStart w:id="342" w:name="_Toc184312129"/>
      <w:bookmarkEnd w:id="342"/>
      <w:bookmarkStart w:id="343" w:name="_Toc184312079"/>
      <w:bookmarkEnd w:id="343"/>
      <w:bookmarkStart w:id="344" w:name="_Toc184312111"/>
      <w:bookmarkEnd w:id="344"/>
      <w:bookmarkStart w:id="345" w:name="_Toc184308054"/>
      <w:bookmarkEnd w:id="345"/>
      <w:bookmarkStart w:id="346" w:name="_Toc184308073"/>
      <w:bookmarkEnd w:id="346"/>
      <w:bookmarkStart w:id="347" w:name="_Toc184312132"/>
      <w:bookmarkEnd w:id="347"/>
      <w:bookmarkStart w:id="348" w:name="_Toc184312078"/>
      <w:bookmarkEnd w:id="348"/>
      <w:bookmarkStart w:id="349" w:name="_Toc184313263"/>
      <w:bookmarkEnd w:id="349"/>
      <w:bookmarkStart w:id="350" w:name="_Toc184308064"/>
      <w:bookmarkEnd w:id="350"/>
      <w:bookmarkStart w:id="351" w:name="_Toc184312068"/>
      <w:bookmarkEnd w:id="351"/>
      <w:bookmarkStart w:id="352" w:name="_Toc184310309"/>
      <w:bookmarkEnd w:id="352"/>
      <w:bookmarkStart w:id="353" w:name="_Toc184314452"/>
      <w:bookmarkEnd w:id="353"/>
      <w:bookmarkStart w:id="354" w:name="_Toc184314422"/>
      <w:bookmarkEnd w:id="354"/>
      <w:bookmarkStart w:id="355" w:name="_Toc184308042"/>
      <w:bookmarkEnd w:id="355"/>
      <w:bookmarkStart w:id="356" w:name="_Toc184310339"/>
      <w:bookmarkEnd w:id="356"/>
      <w:bookmarkStart w:id="357" w:name="_Toc184314445"/>
      <w:bookmarkEnd w:id="357"/>
      <w:bookmarkStart w:id="358" w:name="_Toc184310319"/>
      <w:bookmarkEnd w:id="358"/>
      <w:bookmarkStart w:id="359" w:name="_Toc184312117"/>
      <w:bookmarkEnd w:id="359"/>
      <w:bookmarkStart w:id="360" w:name="_Toc184312110"/>
      <w:bookmarkEnd w:id="360"/>
      <w:bookmarkStart w:id="361" w:name="_Toc184314468"/>
      <w:bookmarkEnd w:id="361"/>
      <w:bookmarkStart w:id="362" w:name="_Toc184308076"/>
      <w:bookmarkEnd w:id="362"/>
      <w:bookmarkStart w:id="363" w:name="_Toc184308072"/>
      <w:bookmarkEnd w:id="363"/>
      <w:bookmarkStart w:id="364" w:name="_Toc184312087"/>
      <w:bookmarkEnd w:id="364"/>
      <w:bookmarkStart w:id="365" w:name="_Toc184314421"/>
      <w:bookmarkEnd w:id="365"/>
      <w:bookmarkStart w:id="366" w:name="_Toc184310286"/>
      <w:bookmarkEnd w:id="366"/>
      <w:bookmarkStart w:id="367" w:name="_Toc184312101"/>
      <w:bookmarkEnd w:id="367"/>
      <w:bookmarkStart w:id="368" w:name="_Toc184313285"/>
      <w:bookmarkEnd w:id="368"/>
      <w:bookmarkStart w:id="369" w:name="_Toc184313257"/>
      <w:bookmarkEnd w:id="369"/>
      <w:bookmarkStart w:id="370" w:name="_Toc184313239"/>
      <w:bookmarkEnd w:id="370"/>
      <w:bookmarkStart w:id="371" w:name="_Toc184314465"/>
      <w:bookmarkEnd w:id="371"/>
      <w:bookmarkStart w:id="372" w:name="_Toc184312070"/>
      <w:bookmarkEnd w:id="372"/>
      <w:bookmarkStart w:id="373" w:name="_Toc184313274"/>
      <w:bookmarkEnd w:id="373"/>
      <w:bookmarkStart w:id="374" w:name="_Toc184310299"/>
      <w:bookmarkEnd w:id="374"/>
      <w:bookmarkStart w:id="375" w:name="_Toc184313291"/>
      <w:bookmarkEnd w:id="375"/>
      <w:bookmarkStart w:id="376" w:name="_Toc184313271"/>
      <w:bookmarkEnd w:id="376"/>
      <w:bookmarkStart w:id="377" w:name="_Toc184308085"/>
      <w:bookmarkEnd w:id="377"/>
      <w:bookmarkStart w:id="378" w:name="_Toc184308105"/>
      <w:bookmarkEnd w:id="378"/>
      <w:bookmarkStart w:id="379" w:name="_Toc184308043"/>
      <w:bookmarkEnd w:id="379"/>
      <w:bookmarkStart w:id="380" w:name="_Toc184312124"/>
      <w:bookmarkEnd w:id="380"/>
      <w:bookmarkStart w:id="381" w:name="_Toc184310321"/>
      <w:bookmarkEnd w:id="381"/>
      <w:bookmarkStart w:id="382" w:name="_Toc184312137"/>
      <w:bookmarkEnd w:id="382"/>
      <w:bookmarkStart w:id="383" w:name="_Toc184308087"/>
      <w:bookmarkEnd w:id="383"/>
      <w:bookmarkStart w:id="384" w:name="_Toc184314443"/>
      <w:bookmarkEnd w:id="384"/>
      <w:bookmarkStart w:id="385" w:name="_Toc184314471"/>
      <w:bookmarkEnd w:id="385"/>
      <w:bookmarkStart w:id="386" w:name="_Toc184313295"/>
      <w:bookmarkEnd w:id="386"/>
      <w:bookmarkStart w:id="387" w:name="_Toc184308079"/>
      <w:bookmarkEnd w:id="387"/>
      <w:bookmarkStart w:id="388" w:name="_Toc184308074"/>
      <w:bookmarkEnd w:id="388"/>
      <w:bookmarkStart w:id="389" w:name="_Toc184308056"/>
      <w:bookmarkEnd w:id="389"/>
      <w:bookmarkStart w:id="390" w:name="_Toc184314457"/>
      <w:bookmarkEnd w:id="390"/>
      <w:bookmarkStart w:id="391" w:name="_Toc184312090"/>
      <w:bookmarkEnd w:id="391"/>
      <w:bookmarkStart w:id="392" w:name="_Toc184313287"/>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ascii="Arial" w:hAnsi="Arial" w:cs="Arial"/>
          <w:color w:val="auto"/>
          <w:sz w:val="20"/>
          <w:szCs w:val="20"/>
          <w:highlight w:val="none"/>
          <w:shd w:val="clear" w:color="auto" w:fill="FFFFFF"/>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Spec="center" w:tblpY="126"/>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6900"/>
        <w:gridCol w:w="59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rPr>
            </w:pPr>
            <w:bookmarkStart w:id="393" w:name="_Hlk101371488"/>
            <w:r>
              <w:rPr>
                <w:rFonts w:hint="eastAsia" w:ascii="仿宋" w:hAnsi="仿宋" w:eastAsia="仿宋" w:cs="仿宋_GB2312"/>
                <w:sz w:val="24"/>
              </w:rPr>
              <w:t>序号</w:t>
            </w:r>
          </w:p>
        </w:tc>
        <w:tc>
          <w:tcPr>
            <w:tcW w:w="78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1560" w:firstLineChars="650"/>
              <w:jc w:val="center"/>
              <w:outlineLvl w:val="0"/>
              <w:rPr>
                <w:rFonts w:hint="default" w:ascii="仿宋" w:hAnsi="仿宋" w:eastAsia="仿宋" w:cs="仿宋_GB2312"/>
                <w:sz w:val="24"/>
              </w:rPr>
            </w:pPr>
            <w:r>
              <w:rPr>
                <w:rFonts w:hint="eastAsia" w:ascii="仿宋" w:hAnsi="仿宋" w:eastAsia="仿宋" w:cs="仿宋_GB2312"/>
                <w:sz w:val="24"/>
              </w:rPr>
              <w:t>评标标准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r>
              <w:rPr>
                <w:rFonts w:hint="eastAsia" w:ascii="仿宋" w:hAnsi="仿宋" w:eastAsia="仿宋" w:cs="仿宋_GB2312"/>
                <w:sz w:val="24"/>
              </w:rPr>
              <w:t>权重</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0"/>
              <w:rPr>
                <w:rFonts w:hint="default" w:ascii="仿宋" w:hAnsi="仿宋" w:eastAsia="仿宋" w:cs="仿宋_GB2312"/>
                <w:sz w:val="24"/>
              </w:rPr>
            </w:pPr>
            <w:r>
              <w:rPr>
                <w:rFonts w:hint="eastAsia" w:ascii="仿宋" w:hAnsi="仿宋" w:eastAsia="仿宋" w:cs="仿宋_GB2312"/>
                <w:sz w:val="24"/>
              </w:rPr>
              <w:t>投标文件中评标标准相应的商务技术资料目录</w:t>
            </w:r>
            <w:r>
              <w:rPr>
                <w:rFonts w:hint="default" w:ascii="Calibri" w:hAnsi="Calibri" w:eastAsia="仿宋" w:cs="Calibri"/>
                <w:sz w:val="24"/>
                <w:shd w:val="clear" w:color="auto" w:fill="FFFFFF"/>
              </w:rPr>
              <w:t> </w:t>
            </w:r>
            <w:r>
              <w:rPr>
                <w:rFonts w:hint="eastAsia"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038"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r>
              <w:rPr>
                <w:rFonts w:hint="eastAsia" w:ascii="仿宋" w:hAnsi="仿宋" w:eastAsia="仿宋" w:cs="仿宋_GB2312"/>
                <w:sz w:val="24"/>
              </w:rPr>
              <w:t>资信部分(</w:t>
            </w:r>
            <w:r>
              <w:rPr>
                <w:rFonts w:hint="eastAsia" w:ascii="仿宋" w:hAnsi="仿宋" w:eastAsia="仿宋" w:cs="仿宋_GB2312"/>
                <w:sz w:val="24"/>
                <w:lang w:val="en-US" w:eastAsia="zh-CN"/>
              </w:rPr>
              <w:t>15</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eastAsia" w:ascii="仿宋" w:hAnsi="仿宋" w:eastAsia="仿宋" w:cs="仿宋_GB2312"/>
                <w:sz w:val="24"/>
              </w:rPr>
            </w:pPr>
            <w:r>
              <w:rPr>
                <w:rFonts w:hint="eastAsia" w:ascii="仿宋" w:hAnsi="仿宋" w:eastAsia="仿宋" w:cs="仿宋_GB2312"/>
                <w:sz w:val="24"/>
              </w:rPr>
              <w:t>1</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投标人证书</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投标人具备有效的质量管理体系认证、环境管理体系认证、职业健康与安全管理体系认证的，以上均满足得3分，不满足不得分，本条最高的3分。</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投标人具备有效的培训管理体系认证证书、信息安全管理体系认证证书、信息技术服务管理体系认证证书的，以上均满足得3分，不满足不得分，本条最高得3分</w:t>
            </w:r>
            <w:r>
              <w:rPr>
                <w:rFonts w:hint="eastAsia" w:ascii="仿宋" w:hAnsi="仿宋" w:eastAsia="仿宋" w:cs="仿宋_GB2312"/>
                <w:sz w:val="24"/>
                <w:highlight w:val="none"/>
              </w:rPr>
              <w:t>。</w:t>
            </w:r>
          </w:p>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rPr>
            </w:pPr>
            <w:r>
              <w:rPr>
                <w:rFonts w:hint="eastAsia" w:ascii="仿宋" w:hAnsi="仿宋" w:eastAsia="仿宋" w:cs="仿宋_GB2312"/>
                <w:sz w:val="24"/>
                <w:highlight w:val="none"/>
              </w:rPr>
              <w:t>（投标文件中提供认证证书复印件和</w:t>
            </w:r>
            <w:r>
              <w:rPr>
                <w:rFonts w:hint="eastAsia" w:ascii="仿宋" w:hAnsi="仿宋" w:eastAsia="仿宋" w:cs="仿宋_GB2312"/>
                <w:b/>
                <w:bCs/>
                <w:sz w:val="24"/>
                <w:highlight w:val="none"/>
              </w:rPr>
              <w:t>国家认证认可监督管理委员会官网截图</w:t>
            </w:r>
            <w:r>
              <w:rPr>
                <w:rFonts w:hint="eastAsia" w:ascii="仿宋" w:hAnsi="仿宋" w:eastAsia="仿宋" w:cs="仿宋_GB2312"/>
                <w:sz w:val="24"/>
                <w:highlight w:val="none"/>
              </w:rPr>
              <w:t>并加盖公章，</w:t>
            </w:r>
            <w:r>
              <w:rPr>
                <w:rFonts w:hint="eastAsia" w:ascii="仿宋" w:hAnsi="仿宋" w:eastAsia="仿宋" w:cs="仿宋_GB2312"/>
                <w:sz w:val="24"/>
                <w:highlight w:val="none"/>
                <w:lang w:val="en-US" w:eastAsia="zh-CN"/>
              </w:rPr>
              <w:t>证书需在有效期内，</w:t>
            </w:r>
            <w:r>
              <w:rPr>
                <w:rFonts w:hint="eastAsia" w:ascii="仿宋" w:hAnsi="仿宋" w:eastAsia="仿宋" w:cs="仿宋"/>
                <w:sz w:val="24"/>
                <w:highlight w:val="none"/>
              </w:rPr>
              <w:t>不提供不得分）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rPr>
            </w:pPr>
            <w:r>
              <w:rPr>
                <w:rFonts w:hint="eastAsia" w:ascii="仿宋" w:hAnsi="仿宋" w:eastAsia="仿宋" w:cs="仿宋_GB2312"/>
                <w:sz w:val="24"/>
                <w:lang w:val="en-US" w:eastAsia="zh-CN"/>
              </w:rPr>
              <w:t>投标人业绩</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rPr>
            </w:pPr>
            <w:r>
              <w:rPr>
                <w:rFonts w:hint="eastAsia" w:ascii="仿宋" w:hAnsi="仿宋" w:eastAsia="仿宋" w:cs="仿宋_GB2312"/>
                <w:sz w:val="24"/>
                <w:highlight w:val="none"/>
              </w:rPr>
              <w:t>投标人自2019年</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月1日（以合同签订时间为准）以来承接过的类似（</w:t>
            </w:r>
            <w:r>
              <w:rPr>
                <w:rFonts w:hint="eastAsia" w:ascii="仿宋" w:hAnsi="仿宋" w:eastAsia="仿宋" w:cs="仿宋"/>
                <w:sz w:val="24"/>
                <w:highlight w:val="none"/>
                <w:lang w:bidi="ar"/>
              </w:rPr>
              <w:t>政府单位</w:t>
            </w:r>
            <w:r>
              <w:rPr>
                <w:rFonts w:hint="eastAsia" w:ascii="仿宋" w:hAnsi="仿宋" w:eastAsia="仿宋" w:cs="仿宋_GB2312"/>
                <w:sz w:val="24"/>
                <w:highlight w:val="none"/>
              </w:rPr>
              <w:t>安全生产社会化服务）项目。每提供1个，得0.25分，最高得1分，未提供的不得分（投标文件中提供合同复印件，不提供不得分）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r>
              <w:rPr>
                <w:rFonts w:hint="eastAsia" w:ascii="仿宋" w:hAnsi="仿宋" w:eastAsia="仿宋" w:cs="仿宋_GB2312"/>
                <w:sz w:val="24"/>
              </w:rPr>
              <w:t>1</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投标人备案情况</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rPr>
              <w:t>投标人在浙江省应急管理厅社会化服务机构管理系统上登记备案，浙江省应急厅评定的安全生产社会化服务机构C级或以上单位；以上全满足得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分，不满足不得分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本条最高得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分。（投标文件中提供相关证明材料）</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4</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投标人开发著作</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投标人提供一个自主研发的与本项目服务相匹配的安全智慧监管系统软件。获得由国家版权局颁发的本</w:t>
            </w:r>
            <w:r>
              <w:rPr>
                <w:rFonts w:hint="eastAsia" w:ascii="仿宋" w:hAnsi="仿宋" w:eastAsia="仿宋" w:cs="仿宋_GB2312"/>
                <w:sz w:val="24"/>
                <w:highlight w:val="none"/>
              </w:rPr>
              <w:t>软件</w:t>
            </w:r>
            <w:r>
              <w:rPr>
                <w:rFonts w:hint="eastAsia" w:ascii="仿宋" w:hAnsi="仿宋" w:eastAsia="仿宋" w:cs="仿宋_GB2312"/>
                <w:sz w:val="24"/>
                <w:highlight w:val="none"/>
                <w:lang w:eastAsia="zh-CN"/>
              </w:rPr>
              <w:t>的</w:t>
            </w:r>
            <w:r>
              <w:rPr>
                <w:rFonts w:hint="eastAsia" w:ascii="仿宋" w:hAnsi="仿宋" w:eastAsia="仿宋" w:cs="仿宋_GB2312"/>
                <w:sz w:val="24"/>
                <w:highlight w:val="none"/>
              </w:rPr>
              <w:t>著作权证书</w:t>
            </w:r>
            <w:r>
              <w:rPr>
                <w:rFonts w:hint="eastAsia" w:ascii="仿宋" w:hAnsi="仿宋" w:eastAsia="仿宋" w:cs="仿宋_GB2312"/>
                <w:sz w:val="24"/>
                <w:highlight w:val="none"/>
                <w:lang w:eastAsia="zh-CN"/>
              </w:rPr>
              <w:t>的</w:t>
            </w:r>
            <w:r>
              <w:rPr>
                <w:rFonts w:hint="eastAsia" w:ascii="仿宋" w:hAnsi="仿宋" w:eastAsia="仿宋" w:cs="仿宋_GB2312"/>
                <w:sz w:val="24"/>
                <w:highlight w:val="none"/>
              </w:rPr>
              <w:t>每个得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分，最高得</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提供相应证书原件或证书扫描件</w:t>
            </w:r>
            <w:r>
              <w:rPr>
                <w:rFonts w:hint="eastAsia" w:ascii="仿宋" w:hAnsi="仿宋" w:eastAsia="仿宋" w:cs="仿宋_GB2312"/>
                <w:sz w:val="24"/>
                <w:highlight w:val="none"/>
                <w:lang w:val="en-US" w:eastAsia="zh-CN"/>
              </w:rPr>
              <w:t>,</w:t>
            </w:r>
            <w:r>
              <w:rPr>
                <w:rFonts w:hint="eastAsia" w:ascii="仿宋" w:hAnsi="仿宋" w:eastAsia="仿宋" w:cs="仿宋_GB2312"/>
                <w:sz w:val="24"/>
                <w:highlight w:val="none"/>
              </w:rPr>
              <w:t>不提供不得分）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946" w:type="dxa"/>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left"/>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投标人团队</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投标人拟派团队（含项目负责人）：</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派驻安全技术人员不少于10人，其中取得中级及以上注册安全工程师的不少于5人，少于等于5人的本条不得分。五人以上每增加一名中级及以上注册安全工程师加0.5分，本条满分2.5分。</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投标人派驻人员中每增加一名国家级安全专家库成员的加1分，每增加一名省级安全专家库成员的加0.5分，同一名成员按高计取，不能重复得分，本条满分1.5分。</w:t>
            </w:r>
          </w:p>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rPr>
            </w:pPr>
            <w:r>
              <w:rPr>
                <w:rFonts w:hint="eastAsia" w:ascii="仿宋" w:hAnsi="仿宋" w:eastAsia="仿宋" w:cs="仿宋_GB2312"/>
                <w:sz w:val="24"/>
                <w:highlight w:val="none"/>
              </w:rPr>
              <w:t>（投标文件中提供近3个月的社会保险证明(若有内退或退休返聘技术人员，需提供返聘协议和返聘技术人员的商业保险证明复印件）、证书复印件</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安全专家库成员需提供聘用证书或其他相关证明材料（例如网页截图等）</w:t>
            </w:r>
            <w:r>
              <w:rPr>
                <w:rFonts w:hint="eastAsia" w:ascii="仿宋" w:hAnsi="仿宋" w:eastAsia="仿宋" w:cs="仿宋_GB2312"/>
                <w:sz w:val="24"/>
                <w:highlight w:val="none"/>
              </w:rPr>
              <w:t>，不提供不得分）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4</w:t>
            </w:r>
            <w:bookmarkStart w:id="399" w:name="_GoBack"/>
            <w:bookmarkEnd w:id="399"/>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038"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r>
              <w:rPr>
                <w:rFonts w:hint="eastAsia" w:ascii="仿宋" w:hAnsi="仿宋" w:eastAsia="仿宋" w:cs="仿宋_GB2312"/>
                <w:sz w:val="24"/>
              </w:rPr>
              <w:t>技术部分（</w:t>
            </w:r>
            <w:r>
              <w:rPr>
                <w:rFonts w:hint="eastAsia" w:ascii="仿宋" w:hAnsi="仿宋" w:eastAsia="仿宋" w:cs="仿宋_GB2312"/>
                <w:sz w:val="24"/>
                <w:lang w:val="en-US" w:eastAsia="zh-CN"/>
              </w:rPr>
              <w:t>75</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946"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前期</w:t>
            </w:r>
          </w:p>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准备</w:t>
            </w:r>
          </w:p>
        </w:tc>
        <w:tc>
          <w:tcPr>
            <w:tcW w:w="6900"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sz w:val="24"/>
                <w:highlight w:val="none"/>
                <w:lang w:bidi="ar"/>
              </w:rPr>
            </w:pPr>
            <w:r>
              <w:rPr>
                <w:rFonts w:hint="eastAsia" w:ascii="仿宋" w:hAnsi="仿宋" w:eastAsia="仿宋" w:cs="仿宋"/>
                <w:sz w:val="24"/>
                <w:highlight w:val="none"/>
                <w:lang w:val="en-US" w:eastAsia="zh-CN" w:bidi="ar"/>
              </w:rPr>
              <w:t>对</w:t>
            </w:r>
            <w:r>
              <w:rPr>
                <w:rFonts w:hint="eastAsia" w:ascii="仿宋" w:hAnsi="仿宋" w:eastAsia="仿宋" w:cs="仿宋"/>
                <w:sz w:val="24"/>
                <w:highlight w:val="none"/>
                <w:lang w:bidi="ar"/>
              </w:rPr>
              <w:t>投标人</w:t>
            </w:r>
            <w:r>
              <w:rPr>
                <w:rFonts w:hint="eastAsia" w:ascii="仿宋" w:hAnsi="仿宋" w:eastAsia="仿宋" w:cs="仿宋"/>
                <w:sz w:val="24"/>
                <w:highlight w:val="none"/>
                <w:lang w:val="en-US" w:eastAsia="zh-CN" w:bidi="ar"/>
              </w:rPr>
              <w:t>拟派驻人员的职责分工情况，</w:t>
            </w:r>
            <w:r>
              <w:rPr>
                <w:rFonts w:hint="eastAsia" w:ascii="仿宋_GB2312" w:hAnsi="仿宋" w:eastAsia="仿宋_GB2312" w:cs="仿宋_GB2312"/>
                <w:b w:val="0"/>
                <w:bCs/>
                <w:color w:val="auto"/>
                <w:sz w:val="24"/>
                <w:szCs w:val="24"/>
                <w:highlight w:val="none"/>
                <w:lang w:val="en-US" w:eastAsia="zh-CN"/>
              </w:rPr>
              <w:t>岗前安全教育及技术交底方案情况及人员专业综合搭配情况，为派驻人员购买人身意外伤害保险承诺情况综合进行打分</w:t>
            </w:r>
            <w:r>
              <w:rPr>
                <w:rFonts w:hint="eastAsia" w:ascii="仿宋" w:hAnsi="仿宋" w:eastAsia="仿宋" w:cs="仿宋"/>
                <w:sz w:val="24"/>
                <w:highlight w:val="none"/>
                <w:lang w:bidi="ar"/>
              </w:rPr>
              <w:t>。方案合理，符合采购需求，针对性强的得</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bidi="ar"/>
              </w:rPr>
              <w:t>分；方案基本可行、符合采购需求，针对性较强的得</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
                <w:sz w:val="24"/>
                <w:highlight w:val="none"/>
                <w:lang w:val="en-US" w:eastAsia="zh-CN" w:bidi="ar"/>
              </w:rPr>
              <w:t>2</w:t>
            </w:r>
            <w:r>
              <w:rPr>
                <w:rFonts w:hint="eastAsia" w:ascii="仿宋" w:hAnsi="仿宋" w:eastAsia="仿宋" w:cs="仿宋"/>
                <w:sz w:val="24"/>
                <w:highlight w:val="none"/>
                <w:lang w:bidi="ar"/>
              </w:rPr>
              <w:t>分；方案一般，基本符合采购需求，针对性一般的得</w:t>
            </w:r>
            <w:r>
              <w:rPr>
                <w:rFonts w:hint="eastAsia" w:ascii="仿宋" w:hAnsi="仿宋" w:eastAsia="仿宋" w:cs="仿宋"/>
                <w:sz w:val="24"/>
                <w:highlight w:val="none"/>
                <w:lang w:val="en-US" w:eastAsia="zh-CN" w:bidi="ar"/>
              </w:rPr>
              <w:t>1</w:t>
            </w:r>
            <w:r>
              <w:rPr>
                <w:rFonts w:hint="eastAsia" w:ascii="仿宋" w:hAnsi="仿宋" w:eastAsia="仿宋" w:cs="仿宋"/>
                <w:sz w:val="24"/>
                <w:highlight w:val="none"/>
                <w:lang w:bidi="ar"/>
              </w:rPr>
              <w:t>分；方案不完整、不符合采购需求，没有针对性的不得分。</w:t>
            </w:r>
          </w:p>
        </w:tc>
        <w:tc>
          <w:tcPr>
            <w:tcW w:w="597"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1649"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7</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highlight w:val="none"/>
              </w:rPr>
            </w:pPr>
            <w:r>
              <w:rPr>
                <w:rFonts w:hint="eastAsia" w:ascii="仿宋" w:hAnsi="仿宋" w:eastAsia="仿宋" w:cs="仿宋_GB2312"/>
                <w:sz w:val="24"/>
                <w:highlight w:val="none"/>
                <w:lang w:val="en-US" w:eastAsia="zh-CN"/>
              </w:rPr>
              <w:t>总体</w:t>
            </w:r>
            <w:r>
              <w:rPr>
                <w:rFonts w:hint="eastAsia" w:ascii="仿宋" w:hAnsi="仿宋" w:eastAsia="仿宋" w:cs="仿宋_GB2312"/>
                <w:sz w:val="24"/>
                <w:highlight w:val="none"/>
              </w:rPr>
              <w:t>服务方案</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highlight w:val="none"/>
              </w:rPr>
            </w:pPr>
            <w:r>
              <w:rPr>
                <w:rFonts w:hint="eastAsia" w:ascii="仿宋" w:hAnsi="仿宋" w:eastAsia="仿宋" w:cs="仿宋_GB2312"/>
                <w:sz w:val="24"/>
                <w:highlight w:val="none"/>
              </w:rPr>
              <w:t>根据投标人提供的本项目总体</w:t>
            </w:r>
            <w:r>
              <w:rPr>
                <w:rFonts w:hint="eastAsia" w:ascii="仿宋" w:hAnsi="仿宋" w:eastAsia="仿宋" w:cs="仿宋_GB2312"/>
                <w:sz w:val="24"/>
                <w:highlight w:val="none"/>
                <w:lang w:val="en-US" w:eastAsia="zh-CN"/>
              </w:rPr>
              <w:t>工作计划</w:t>
            </w:r>
            <w:r>
              <w:rPr>
                <w:rFonts w:hint="eastAsia" w:ascii="仿宋" w:hAnsi="仿宋" w:eastAsia="仿宋" w:cs="仿宋_GB2312"/>
                <w:sz w:val="24"/>
                <w:highlight w:val="none"/>
              </w:rPr>
              <w:t>(0-</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分)，风险分级管控方案(0-</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分)，隐患排查治理</w:t>
            </w:r>
            <w:r>
              <w:rPr>
                <w:rFonts w:hint="eastAsia" w:ascii="仿宋" w:hAnsi="仿宋" w:eastAsia="仿宋" w:cs="仿宋_GB2312"/>
                <w:sz w:val="24"/>
                <w:highlight w:val="none"/>
                <w:lang w:val="en-US" w:eastAsia="zh-CN"/>
              </w:rPr>
              <w:t>及隐患闭环机制</w:t>
            </w:r>
            <w:r>
              <w:rPr>
                <w:rFonts w:hint="eastAsia" w:ascii="仿宋" w:hAnsi="仿宋" w:eastAsia="仿宋" w:cs="仿宋_GB2312"/>
                <w:sz w:val="24"/>
                <w:highlight w:val="none"/>
              </w:rPr>
              <w:t>方案(0-</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w:t>
            </w:r>
            <w:r>
              <w:rPr>
                <w:rFonts w:hint="eastAsia" w:ascii="仿宋" w:hAnsi="仿宋" w:eastAsia="仿宋" w:cs="仿宋_GB2312"/>
                <w:sz w:val="24"/>
                <w:highlight w:val="none"/>
                <w:lang w:val="en-US" w:eastAsia="zh-CN"/>
              </w:rPr>
              <w:t>为辖区内企业提供安全培训教育及安全技术咨询服务</w:t>
            </w:r>
            <w:r>
              <w:rPr>
                <w:rFonts w:hint="eastAsia" w:ascii="仿宋" w:hAnsi="仿宋" w:eastAsia="仿宋" w:cs="仿宋_GB2312"/>
                <w:sz w:val="24"/>
                <w:highlight w:val="none"/>
              </w:rPr>
              <w:t>方案(0-</w:t>
            </w: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rPr>
              <w:t>分)的完整性、合理性进行打分。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8</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highlight w:val="none"/>
              </w:rPr>
            </w:pPr>
            <w:r>
              <w:rPr>
                <w:rFonts w:hint="eastAsia" w:ascii="仿宋" w:hAnsi="仿宋" w:eastAsia="仿宋" w:cs="仿宋_GB2312"/>
                <w:sz w:val="24"/>
                <w:highlight w:val="none"/>
              </w:rPr>
              <w:t>质量管理</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highlight w:val="none"/>
              </w:rPr>
            </w:pPr>
            <w:r>
              <w:rPr>
                <w:rFonts w:hint="eastAsia" w:ascii="仿宋" w:hAnsi="仿宋" w:eastAsia="仿宋" w:cs="仿宋_GB2312"/>
                <w:sz w:val="24"/>
                <w:highlight w:val="none"/>
              </w:rPr>
              <w:t>投标人针对本项目提供服务质量保障方案（</w:t>
            </w:r>
            <w:r>
              <w:rPr>
                <w:rFonts w:hint="eastAsia" w:ascii="仿宋" w:hAnsi="仿宋" w:eastAsia="仿宋" w:cs="仿宋_GB2312"/>
                <w:sz w:val="24"/>
                <w:highlight w:val="none"/>
                <w:lang w:val="en-US" w:eastAsia="zh-CN"/>
              </w:rPr>
              <w:t>包</w:t>
            </w:r>
            <w:r>
              <w:rPr>
                <w:rFonts w:hint="eastAsia" w:ascii="仿宋" w:hAnsi="仿宋" w:eastAsia="仿宋" w:cs="仿宋_GB2312"/>
                <w:sz w:val="24"/>
                <w:highlight w:val="none"/>
              </w:rPr>
              <w:t>括</w:t>
            </w:r>
            <w:r>
              <w:rPr>
                <w:rFonts w:hint="eastAsia" w:ascii="仿宋" w:hAnsi="仿宋" w:eastAsia="仿宋" w:cs="仿宋_GB2312"/>
                <w:sz w:val="24"/>
                <w:highlight w:val="none"/>
                <w:lang w:val="en-US" w:eastAsia="zh-CN"/>
              </w:rPr>
              <w:t>制度保障、</w:t>
            </w:r>
            <w:r>
              <w:rPr>
                <w:rFonts w:hint="eastAsia" w:ascii="仿宋" w:hAnsi="仿宋" w:eastAsia="仿宋" w:cs="仿宋_GB2312"/>
                <w:sz w:val="24"/>
                <w:highlight w:val="none"/>
              </w:rPr>
              <w:t>管理保障、人员供应保障、人员稳定保障、</w:t>
            </w:r>
            <w:r>
              <w:rPr>
                <w:rFonts w:hint="eastAsia" w:ascii="仿宋" w:hAnsi="仿宋" w:eastAsia="仿宋" w:cs="仿宋_GB2312"/>
                <w:sz w:val="24"/>
                <w:highlight w:val="none"/>
                <w:lang w:val="en-US" w:eastAsia="zh-CN"/>
              </w:rPr>
              <w:t>合理安排服务进度、</w:t>
            </w:r>
            <w:r>
              <w:rPr>
                <w:rFonts w:hint="eastAsia" w:ascii="仿宋" w:hAnsi="仿宋" w:eastAsia="仿宋" w:cs="仿宋_GB2312"/>
                <w:sz w:val="24"/>
                <w:highlight w:val="none"/>
              </w:rPr>
              <w:t>监督检查</w:t>
            </w:r>
            <w:r>
              <w:rPr>
                <w:rFonts w:hint="eastAsia" w:ascii="仿宋" w:hAnsi="仿宋" w:eastAsia="仿宋" w:cs="仿宋_GB2312"/>
                <w:sz w:val="24"/>
                <w:highlight w:val="none"/>
                <w:lang w:val="en-US" w:eastAsia="zh-CN"/>
              </w:rPr>
              <w:t>重点</w:t>
            </w:r>
            <w:r>
              <w:rPr>
                <w:rFonts w:hint="eastAsia" w:ascii="仿宋" w:hAnsi="仿宋" w:eastAsia="仿宋" w:cs="仿宋_GB2312"/>
                <w:sz w:val="24"/>
                <w:highlight w:val="none"/>
              </w:rPr>
              <w:t>等）。根据提供的方案内容进行评分。</w:t>
            </w:r>
            <w:r>
              <w:rPr>
                <w:rFonts w:hint="eastAsia" w:ascii="仿宋" w:hAnsi="仿宋" w:eastAsia="仿宋" w:cs="仿宋"/>
                <w:sz w:val="24"/>
                <w:highlight w:val="none"/>
                <w:lang w:bidi="ar"/>
              </w:rPr>
              <w:t>方案合理，符合采购需求，针对性强的得</w:t>
            </w:r>
            <w:r>
              <w:rPr>
                <w:rFonts w:hint="eastAsia" w:ascii="仿宋" w:hAnsi="仿宋" w:eastAsia="仿宋" w:cs="仿宋"/>
                <w:sz w:val="24"/>
                <w:highlight w:val="none"/>
                <w:lang w:val="en-US" w:eastAsia="zh-CN" w:bidi="ar"/>
              </w:rPr>
              <w:t>5</w:t>
            </w:r>
            <w:r>
              <w:rPr>
                <w:rFonts w:hint="eastAsia" w:ascii="仿宋" w:hAnsi="仿宋" w:eastAsia="仿宋" w:cs="仿宋"/>
                <w:sz w:val="24"/>
                <w:highlight w:val="none"/>
                <w:lang w:bidi="ar"/>
              </w:rPr>
              <w:t>分；方案基本可行、符合采购需求，针对性较强的得</w:t>
            </w:r>
            <w:r>
              <w:rPr>
                <w:rFonts w:hint="eastAsia" w:ascii="仿宋" w:hAnsi="仿宋" w:eastAsia="仿宋" w:cs="仿宋"/>
                <w:sz w:val="24"/>
                <w:highlight w:val="none"/>
                <w:lang w:val="en-US" w:eastAsia="zh-CN" w:bidi="ar"/>
              </w:rPr>
              <w:t>4</w:t>
            </w:r>
            <w:r>
              <w:rPr>
                <w:rFonts w:hint="eastAsia" w:ascii="仿宋" w:hAnsi="仿宋" w:eastAsia="仿宋" w:cs="仿宋"/>
                <w:sz w:val="24"/>
                <w:highlight w:val="none"/>
                <w:lang w:bidi="ar"/>
              </w:rPr>
              <w:t>分；方案一般，基本符合采购需求，针对性一般的得</w:t>
            </w:r>
            <w:r>
              <w:rPr>
                <w:rFonts w:hint="eastAsia" w:ascii="仿宋" w:hAnsi="仿宋" w:eastAsia="仿宋" w:cs="仿宋"/>
                <w:sz w:val="24"/>
                <w:highlight w:val="none"/>
                <w:lang w:val="en-US" w:eastAsia="zh-CN" w:bidi="ar"/>
              </w:rPr>
              <w:t>2</w:t>
            </w:r>
            <w:r>
              <w:rPr>
                <w:rFonts w:hint="eastAsia" w:ascii="仿宋" w:hAnsi="仿宋" w:eastAsia="仿宋" w:cs="仿宋"/>
                <w:sz w:val="24"/>
                <w:highlight w:val="none"/>
                <w:lang w:bidi="ar"/>
              </w:rPr>
              <w:t>分；方案不完整、不符合采购需求，没有针对性的不得分。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r>
              <w:rPr>
                <w:rFonts w:hint="eastAsia" w:ascii="仿宋" w:hAnsi="仿宋" w:eastAsia="仿宋" w:cs="仿宋_GB2312"/>
                <w:sz w:val="24"/>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highlight w:val="none"/>
              </w:rPr>
            </w:pPr>
            <w:r>
              <w:rPr>
                <w:rFonts w:hint="eastAsia" w:ascii="仿宋" w:hAnsi="仿宋" w:eastAsia="仿宋" w:cs="仿宋_GB2312"/>
                <w:sz w:val="24"/>
                <w:highlight w:val="none"/>
              </w:rPr>
              <w:t>专项工作方案</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根据投标人提供的指导企业开展安全风险普查方案(0-3分)，企业储存使用危化品情况，特种设备使用登记情况排摸方案(0-3分)，指导企业开展应急预案</w:t>
            </w:r>
            <w:r>
              <w:rPr>
                <w:rFonts w:hint="eastAsia" w:ascii="仿宋" w:hAnsi="仿宋" w:eastAsia="仿宋" w:cs="仿宋_GB2312"/>
                <w:sz w:val="24"/>
                <w:highlight w:val="none"/>
                <w:lang w:val="en-US" w:eastAsia="zh-CN"/>
              </w:rPr>
              <w:t>演练</w:t>
            </w:r>
            <w:r>
              <w:rPr>
                <w:rFonts w:hint="eastAsia" w:ascii="仿宋" w:hAnsi="仿宋" w:eastAsia="仿宋" w:cs="仿宋_GB2312"/>
                <w:sz w:val="24"/>
                <w:highlight w:val="none"/>
              </w:rPr>
              <w:t>和现场处置措施编制工作方案(0-3分)，专项</w:t>
            </w:r>
            <w:r>
              <w:rPr>
                <w:rFonts w:hint="eastAsia" w:ascii="仿宋" w:hAnsi="仿宋" w:eastAsia="仿宋" w:cs="仿宋_GB2312"/>
                <w:sz w:val="24"/>
                <w:highlight w:val="none"/>
                <w:lang w:val="en-US" w:eastAsia="zh-CN"/>
              </w:rPr>
              <w:t>及重点</w:t>
            </w:r>
            <w:r>
              <w:rPr>
                <w:rFonts w:hint="eastAsia" w:ascii="仿宋" w:hAnsi="仿宋" w:eastAsia="仿宋" w:cs="仿宋_GB2312"/>
                <w:sz w:val="24"/>
                <w:highlight w:val="none"/>
              </w:rPr>
              <w:t>整治工作检查方案(0-3分)，协助区应急管理局安全生产执法人员完成检查任务方案(0-3分)，供应商服务工作遵循的相关法律法规、技术规范和标准、</w:t>
            </w:r>
            <w:r>
              <w:rPr>
                <w:rFonts w:hint="eastAsia" w:ascii="仿宋" w:hAnsi="仿宋" w:eastAsia="仿宋" w:cs="仿宋_GB2312"/>
                <w:sz w:val="24"/>
                <w:highlight w:val="none"/>
                <w:lang w:val="en-US" w:eastAsia="zh-CN"/>
              </w:rPr>
              <w:t>与上级主管部门的专项对接及报送方案</w:t>
            </w:r>
            <w:r>
              <w:rPr>
                <w:rFonts w:hint="eastAsia" w:ascii="仿宋" w:hAnsi="仿宋" w:eastAsia="仿宋" w:cs="仿宋_GB2312"/>
                <w:sz w:val="24"/>
                <w:highlight w:val="none"/>
              </w:rPr>
              <w:t>(0-3分)进行打分</w:t>
            </w:r>
            <w:r>
              <w:rPr>
                <w:rFonts w:hint="eastAsia" w:ascii="仿宋" w:hAnsi="仿宋" w:eastAsia="仿宋" w:cs="仿宋_GB2312"/>
                <w:sz w:val="24"/>
                <w:highlight w:val="none"/>
                <w:lang w:eastAsia="zh-CN"/>
              </w:rPr>
              <w:t>。</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18</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档案归档</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rPr>
              <w:t>投标人针对本项目的检查档案管理方案</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包括</w:t>
            </w:r>
            <w:r>
              <w:rPr>
                <w:rFonts w:hint="eastAsia" w:ascii="仿宋_GB2312" w:hAnsi="仿宋" w:eastAsia="仿宋_GB2312" w:cs="仿宋_GB2312"/>
                <w:b w:val="0"/>
                <w:bCs/>
                <w:color w:val="auto"/>
                <w:sz w:val="24"/>
                <w:szCs w:val="24"/>
                <w:highlight w:val="none"/>
              </w:rPr>
              <w:t>企业安全隐患排查报告</w:t>
            </w:r>
            <w:r>
              <w:rPr>
                <w:rFonts w:hint="eastAsia" w:ascii="仿宋_GB2312" w:hAnsi="仿宋" w:eastAsia="仿宋_GB2312" w:cs="仿宋_GB2312"/>
                <w:b w:val="0"/>
                <w:bCs/>
                <w:color w:val="auto"/>
                <w:sz w:val="24"/>
                <w:szCs w:val="24"/>
                <w:highlight w:val="none"/>
                <w:lang w:eastAsia="zh-CN"/>
              </w:rPr>
              <w:t>、</w:t>
            </w:r>
            <w:r>
              <w:rPr>
                <w:rFonts w:hint="eastAsia" w:ascii="仿宋_GB2312" w:hAnsi="仿宋" w:eastAsia="仿宋_GB2312" w:cs="仿宋_GB2312"/>
                <w:b w:val="0"/>
                <w:bCs/>
                <w:color w:val="auto"/>
                <w:sz w:val="24"/>
                <w:szCs w:val="24"/>
                <w:highlight w:val="none"/>
              </w:rPr>
              <w:t>安全风险四色分布电子地图，</w:t>
            </w:r>
            <w:r>
              <w:rPr>
                <w:rFonts w:hint="eastAsia" w:ascii="仿宋_GB2312" w:hAnsi="仿宋" w:eastAsia="仿宋_GB2312" w:cs="仿宋_GB2312"/>
                <w:b w:val="0"/>
                <w:bCs/>
                <w:color w:val="auto"/>
                <w:sz w:val="24"/>
                <w:szCs w:val="24"/>
                <w:highlight w:val="none"/>
                <w:lang w:val="en-US" w:eastAsia="zh-CN"/>
              </w:rPr>
              <w:t>被检查</w:t>
            </w:r>
            <w:r>
              <w:rPr>
                <w:rFonts w:hint="eastAsia" w:ascii="仿宋_GB2312" w:hAnsi="仿宋" w:eastAsia="仿宋_GB2312" w:cs="仿宋_GB2312"/>
                <w:b w:val="0"/>
                <w:bCs/>
                <w:color w:val="auto"/>
                <w:sz w:val="24"/>
                <w:szCs w:val="24"/>
                <w:highlight w:val="none"/>
              </w:rPr>
              <w:t>企业</w:t>
            </w:r>
            <w:r>
              <w:rPr>
                <w:rFonts w:hint="eastAsia" w:ascii="仿宋_GB2312" w:hAnsi="仿宋" w:eastAsia="仿宋_GB2312" w:cs="仿宋_GB2312"/>
                <w:b w:val="0"/>
                <w:bCs/>
                <w:color w:val="auto"/>
                <w:sz w:val="24"/>
                <w:szCs w:val="24"/>
                <w:highlight w:val="none"/>
                <w:lang w:val="en-US" w:eastAsia="zh-CN"/>
              </w:rPr>
              <w:t>的</w:t>
            </w:r>
            <w:r>
              <w:rPr>
                <w:rFonts w:hint="eastAsia" w:ascii="仿宋_GB2312" w:hAnsi="仿宋" w:eastAsia="仿宋_GB2312" w:cs="仿宋_GB2312"/>
                <w:b w:val="0"/>
                <w:bCs/>
                <w:color w:val="auto"/>
                <w:sz w:val="24"/>
                <w:szCs w:val="24"/>
                <w:highlight w:val="none"/>
              </w:rPr>
              <w:t>一企一档</w:t>
            </w:r>
            <w:r>
              <w:rPr>
                <w:rFonts w:hint="eastAsia" w:ascii="仿宋_GB2312" w:hAnsi="仿宋" w:eastAsia="仿宋_GB2312" w:cs="仿宋_GB2312"/>
                <w:b w:val="0"/>
                <w:bCs/>
                <w:color w:val="auto"/>
                <w:sz w:val="24"/>
                <w:szCs w:val="24"/>
                <w:highlight w:val="none"/>
                <w:lang w:val="en-US" w:eastAsia="zh-CN"/>
              </w:rPr>
              <w:t>等</w:t>
            </w:r>
            <w:r>
              <w:rPr>
                <w:rFonts w:hint="eastAsia" w:ascii="仿宋" w:hAnsi="仿宋" w:eastAsia="仿宋" w:cs="仿宋_GB2312"/>
                <w:sz w:val="24"/>
                <w:highlight w:val="none"/>
                <w:lang w:eastAsia="zh-CN"/>
              </w:rPr>
              <w:t>）进行打分</w:t>
            </w:r>
            <w:r>
              <w:rPr>
                <w:rFonts w:hint="eastAsia" w:ascii="仿宋" w:hAnsi="仿宋" w:eastAsia="仿宋" w:cs="仿宋_GB2312"/>
                <w:sz w:val="24"/>
                <w:highlight w:val="none"/>
              </w:rPr>
              <w:t>。</w:t>
            </w:r>
            <w:r>
              <w:rPr>
                <w:rFonts w:hint="eastAsia" w:ascii="仿宋" w:hAnsi="仿宋" w:eastAsia="仿宋" w:cs="仿宋"/>
                <w:sz w:val="24"/>
                <w:highlight w:val="none"/>
                <w:lang w:bidi="ar"/>
              </w:rPr>
              <w:t>方案合理，符合采购需求，针对性强的得5分；方案基本可行、符合采购需求，针对性较强的得4分；方案一般，基本符合采购需求，针对性一般的得2分；方案不完整、不符合采购需求，没有针对性的不得分。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硬件设备</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rPr>
              <w:t>投标人硬件支撑（提供与工作相关的</w:t>
            </w:r>
            <w:r>
              <w:rPr>
                <w:rFonts w:hint="eastAsia" w:ascii="仿宋" w:hAnsi="仿宋" w:eastAsia="仿宋" w:cs="仿宋_GB2312"/>
                <w:sz w:val="24"/>
                <w:highlight w:val="none"/>
                <w:lang w:val="en-US" w:eastAsia="zh-CN"/>
              </w:rPr>
              <w:t>安全生产排查工具、单兵执法仪、交通工具、办公</w:t>
            </w:r>
            <w:r>
              <w:rPr>
                <w:rFonts w:hint="eastAsia" w:ascii="仿宋" w:hAnsi="仿宋" w:eastAsia="仿宋" w:cs="仿宋_GB2312"/>
                <w:sz w:val="24"/>
                <w:highlight w:val="none"/>
              </w:rPr>
              <w:t>设备等）</w:t>
            </w:r>
            <w:r>
              <w:rPr>
                <w:rFonts w:hint="eastAsia" w:ascii="仿宋" w:hAnsi="仿宋" w:eastAsia="仿宋" w:cs="仿宋_GB2312"/>
                <w:sz w:val="24"/>
                <w:highlight w:val="none"/>
                <w:lang w:val="en-US" w:eastAsia="zh-CN"/>
              </w:rPr>
              <w:t>进行打分</w:t>
            </w:r>
            <w:r>
              <w:rPr>
                <w:rFonts w:hint="eastAsia" w:ascii="仿宋" w:hAnsi="仿宋" w:eastAsia="仿宋" w:cs="仿宋_GB2312"/>
                <w:sz w:val="24"/>
                <w:highlight w:val="none"/>
              </w:rPr>
              <w:t>。</w:t>
            </w:r>
            <w:r>
              <w:rPr>
                <w:rFonts w:hint="eastAsia" w:ascii="仿宋" w:hAnsi="仿宋" w:eastAsia="仿宋" w:cs="仿宋"/>
                <w:sz w:val="24"/>
                <w:highlight w:val="none"/>
                <w:lang w:bidi="ar"/>
              </w:rPr>
              <w:t>硬件支撑</w:t>
            </w:r>
            <w:r>
              <w:rPr>
                <w:rFonts w:hint="eastAsia" w:ascii="仿宋" w:hAnsi="仿宋" w:eastAsia="仿宋" w:cs="仿宋"/>
                <w:sz w:val="24"/>
                <w:highlight w:val="none"/>
                <w:lang w:val="en-US" w:eastAsia="zh-CN" w:bidi="ar"/>
              </w:rPr>
              <w:t>合理</w:t>
            </w:r>
            <w:r>
              <w:rPr>
                <w:rFonts w:hint="eastAsia" w:ascii="仿宋" w:hAnsi="仿宋" w:eastAsia="仿宋" w:cs="仿宋"/>
                <w:sz w:val="24"/>
                <w:highlight w:val="none"/>
                <w:lang w:bidi="ar"/>
              </w:rPr>
              <w:t>，符合采购需求，针对性强的得5分；硬件支撑可行、符合采购需求，针对性较强的得4分；硬件支撑一般，基本符合采购需求，针对性一般的得2分；硬件支撑不</w:t>
            </w:r>
            <w:r>
              <w:rPr>
                <w:rFonts w:hint="eastAsia" w:ascii="仿宋" w:hAnsi="仿宋" w:eastAsia="仿宋" w:cs="仿宋"/>
                <w:sz w:val="24"/>
                <w:highlight w:val="none"/>
                <w:lang w:val="en-US" w:eastAsia="zh-CN" w:bidi="ar"/>
              </w:rPr>
              <w:t>足</w:t>
            </w:r>
            <w:r>
              <w:rPr>
                <w:rFonts w:hint="eastAsia" w:ascii="仿宋" w:hAnsi="仿宋" w:eastAsia="仿宋" w:cs="仿宋"/>
                <w:sz w:val="24"/>
                <w:highlight w:val="none"/>
                <w:lang w:bidi="ar"/>
              </w:rPr>
              <w:t>、不符合采购需求，没有针对性的不得分。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highlight w:val="none"/>
              </w:rPr>
            </w:pPr>
            <w:r>
              <w:rPr>
                <w:rFonts w:hint="eastAsia" w:ascii="仿宋" w:hAnsi="仿宋" w:eastAsia="仿宋" w:cs="仿宋"/>
                <w:kern w:val="2"/>
                <w:sz w:val="24"/>
                <w:szCs w:val="24"/>
                <w:highlight w:val="none"/>
                <w:lang w:val="en-US" w:eastAsia="zh-CN" w:bidi="ar"/>
              </w:rPr>
              <w:t>信息保密</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rPr>
              <w:t>提供严格具体安全可行的信息保密方案</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rPr>
              <w:t>措施</w:t>
            </w:r>
            <w:r>
              <w:rPr>
                <w:rFonts w:hint="eastAsia" w:ascii="仿宋" w:hAnsi="仿宋" w:eastAsia="仿宋" w:cs="仿宋_GB2312"/>
                <w:sz w:val="24"/>
                <w:highlight w:val="none"/>
                <w:lang w:val="en-US" w:eastAsia="zh-CN"/>
              </w:rPr>
              <w:t>与承诺</w:t>
            </w:r>
            <w:r>
              <w:rPr>
                <w:rFonts w:hint="eastAsia" w:ascii="仿宋" w:hAnsi="仿宋" w:eastAsia="仿宋" w:cs="仿宋_GB2312"/>
                <w:sz w:val="24"/>
                <w:highlight w:val="none"/>
              </w:rPr>
              <w:t>，进行打分。</w:t>
            </w:r>
            <w:r>
              <w:rPr>
                <w:rFonts w:hint="eastAsia" w:ascii="仿宋" w:hAnsi="仿宋" w:eastAsia="仿宋" w:cs="仿宋"/>
                <w:sz w:val="24"/>
                <w:highlight w:val="none"/>
                <w:lang w:bidi="ar"/>
              </w:rPr>
              <w:t>方案合理，符合采购需求，针对性强的得5分；方案基本可行、符合采购需求，针对性较强的得4分；方案一般，基本符合采购需求，针对性一般的得2分；方案不完整、不符合采购需求，没有针对性的不得分。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预防措施</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highlight w:val="none"/>
              </w:rPr>
            </w:pPr>
            <w:r>
              <w:rPr>
                <w:rFonts w:hint="eastAsia" w:ascii="仿宋" w:hAnsi="仿宋" w:eastAsia="仿宋" w:cs="仿宋_GB2312"/>
                <w:sz w:val="24"/>
                <w:highlight w:val="none"/>
              </w:rPr>
              <w:t>提供防止人员意外情况或重大过失的预防方案、人员替补力量及方案，根据方案的周密性、可行性等情况进行评分。</w:t>
            </w:r>
            <w:r>
              <w:rPr>
                <w:rFonts w:hint="eastAsia" w:ascii="仿宋" w:hAnsi="仿宋" w:eastAsia="仿宋" w:cs="仿宋"/>
                <w:sz w:val="24"/>
                <w:highlight w:val="none"/>
                <w:lang w:bidi="ar"/>
              </w:rPr>
              <w:t>方案合理，符合采购需求，针对性强的得5分；方案基本可行、符合采购需求，针对性较强的得4分；方案一般，基本符合采购需求，针对性一般的得2分；方案不完整、不符合采购需求，没有针对性的不得分。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特色服务</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highlight w:val="none"/>
              </w:rPr>
            </w:pPr>
            <w:r>
              <w:rPr>
                <w:rFonts w:hint="eastAsia" w:ascii="仿宋" w:hAnsi="仿宋" w:eastAsia="仿宋" w:cs="仿宋_GB2312"/>
                <w:sz w:val="24"/>
                <w:highlight w:val="none"/>
              </w:rPr>
              <w:t>投标人针对本项目提供其他特色服务和响应措施等情况。根据提供的方案内容进行评分。</w:t>
            </w:r>
            <w:r>
              <w:rPr>
                <w:rFonts w:hint="eastAsia" w:ascii="仿宋" w:hAnsi="仿宋" w:eastAsia="仿宋" w:cs="仿宋"/>
                <w:sz w:val="24"/>
                <w:highlight w:val="none"/>
                <w:lang w:bidi="ar"/>
              </w:rPr>
              <w:t>方案合理，符合采购需求，针对性强的得</w:t>
            </w:r>
            <w:r>
              <w:rPr>
                <w:rFonts w:hint="eastAsia" w:ascii="仿宋" w:hAnsi="仿宋" w:eastAsia="仿宋" w:cs="仿宋"/>
                <w:sz w:val="24"/>
                <w:highlight w:val="none"/>
                <w:lang w:val="en-US" w:eastAsia="zh-CN" w:bidi="ar"/>
              </w:rPr>
              <w:t>4</w:t>
            </w:r>
            <w:r>
              <w:rPr>
                <w:rFonts w:hint="eastAsia" w:ascii="仿宋" w:hAnsi="仿宋" w:eastAsia="仿宋" w:cs="仿宋"/>
                <w:sz w:val="24"/>
                <w:highlight w:val="none"/>
                <w:lang w:bidi="ar"/>
              </w:rPr>
              <w:t>分；方案基本可行、符合采购需求，针对性较强的得</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bidi="ar"/>
              </w:rPr>
              <w:t>分；方案一般，基本符合采购需求，针对性一般的得2分；方案不完整、不符合采购需求，没有针对性的不得分。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4</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15</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合理化建议</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highlight w:val="none"/>
              </w:rPr>
            </w:pPr>
            <w:r>
              <w:rPr>
                <w:rFonts w:hint="eastAsia" w:ascii="仿宋" w:hAnsi="仿宋" w:eastAsia="仿宋" w:cs="仿宋_GB2312"/>
                <w:sz w:val="24"/>
                <w:highlight w:val="none"/>
              </w:rPr>
              <w:t>投标人对本项目是否有相应合理化建议。根据提供的方案内容进行评分。</w:t>
            </w:r>
            <w:r>
              <w:rPr>
                <w:rFonts w:hint="eastAsia" w:ascii="仿宋" w:hAnsi="仿宋" w:eastAsia="仿宋" w:cs="仿宋"/>
                <w:sz w:val="24"/>
                <w:highlight w:val="none"/>
                <w:lang w:bidi="ar"/>
              </w:rPr>
              <w:t>方案合理，符合采购需求，针对性强的得</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bidi="ar"/>
              </w:rPr>
              <w:t>分；方案基本可行、符合采购需求，针对性较强的得</w:t>
            </w:r>
            <w:r>
              <w:rPr>
                <w:rFonts w:hint="eastAsia" w:ascii="仿宋" w:hAnsi="仿宋" w:eastAsia="仿宋" w:cs="仿宋"/>
                <w:sz w:val="24"/>
                <w:highlight w:val="none"/>
                <w:lang w:val="en-US" w:eastAsia="zh-CN" w:bidi="ar"/>
              </w:rPr>
              <w:t>2</w:t>
            </w:r>
            <w:r>
              <w:rPr>
                <w:rFonts w:hint="eastAsia" w:ascii="仿宋" w:hAnsi="仿宋" w:eastAsia="仿宋" w:cs="仿宋"/>
                <w:sz w:val="24"/>
                <w:highlight w:val="none"/>
                <w:lang w:bidi="ar"/>
              </w:rPr>
              <w:t>分；方案一般，基本符合采购需求，针对性一般的得</w:t>
            </w:r>
            <w:r>
              <w:rPr>
                <w:rFonts w:hint="eastAsia" w:ascii="仿宋" w:hAnsi="仿宋" w:eastAsia="仿宋" w:cs="仿宋"/>
                <w:sz w:val="24"/>
                <w:highlight w:val="none"/>
                <w:lang w:val="en-US" w:eastAsia="zh-CN" w:bidi="ar"/>
              </w:rPr>
              <w:t>1</w:t>
            </w:r>
            <w:r>
              <w:rPr>
                <w:rFonts w:hint="eastAsia" w:ascii="仿宋" w:hAnsi="仿宋" w:eastAsia="仿宋" w:cs="仿宋"/>
                <w:sz w:val="24"/>
                <w:highlight w:val="none"/>
                <w:lang w:bidi="ar"/>
              </w:rPr>
              <w:t>分；方案不完整、不符合采购需求，没有针对性的不得分。</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16</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系统</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投标人提供一个自主研发的与本项目服务相匹配的安全智慧监管系统（平台），以及该系统对应的以投标人为著作权人的软件著作权登记证书原件或证书扫描件，系统需具备以下基本模块：</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1、一企一档</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2、风险管控</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3、隐患排查治理</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4、安全码</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5、应急管理</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6、教育培训（含考试题库）</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7、安全智库</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8、移动端监管小程序（含隐患“随手拍”）</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9、安全数据驾驶舱</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以上模块全部满足的得5分，不满足不得分，本条满分5分，非投标人自主研发的安全生产智慧监管系统（平台）不得分。</w:t>
            </w:r>
          </w:p>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（请投标人根据上诉要求模块，配合文字及图片说明在投标文件中体现）</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highlight w:val="none"/>
                <w:lang w:val="en-US" w:eastAsia="zh-CN"/>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360" w:firstLineChars="15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17</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演示</w:t>
            </w: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lang w:val="en-US"/>
              </w:rPr>
            </w:pPr>
            <w:r>
              <w:rPr>
                <w:rFonts w:hint="eastAsia" w:ascii="仿宋" w:hAnsi="仿宋" w:eastAsia="仿宋" w:cs="仿宋_GB2312"/>
                <w:sz w:val="24"/>
                <w:highlight w:val="none"/>
              </w:rPr>
              <w:t>投标人针对本项目提供的智慧监管系统（平台）进行方案讲解演示，时间不超过10分钟</w:t>
            </w:r>
            <w:r>
              <w:rPr>
                <w:rFonts w:hint="eastAsia" w:ascii="仿宋" w:hAnsi="仿宋" w:eastAsia="仿宋" w:cs="仿宋_GB2312"/>
                <w:sz w:val="24"/>
                <w:highlight w:val="none"/>
                <w:lang w:val="en-US" w:eastAsia="zh-CN"/>
              </w:rPr>
              <w:t>。依据投标人演示符合程度进行综合评分</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演示</w:t>
            </w:r>
            <w:r>
              <w:rPr>
                <w:rFonts w:hint="eastAsia" w:ascii="仿宋" w:hAnsi="仿宋" w:eastAsia="仿宋" w:cs="仿宋"/>
                <w:sz w:val="24"/>
                <w:highlight w:val="none"/>
                <w:lang w:eastAsia="zh-CN" w:bidi="ar"/>
              </w:rPr>
              <w:t>方案合理，符合采购需求，针对性强的得</w:t>
            </w:r>
            <w:r>
              <w:rPr>
                <w:rFonts w:hint="eastAsia" w:ascii="仿宋" w:hAnsi="仿宋" w:eastAsia="仿宋" w:cs="仿宋"/>
                <w:sz w:val="24"/>
                <w:highlight w:val="none"/>
                <w:lang w:val="en-US" w:eastAsia="zh-CN" w:bidi="ar"/>
              </w:rPr>
              <w:t>4-5</w:t>
            </w:r>
            <w:r>
              <w:rPr>
                <w:rFonts w:hint="eastAsia" w:ascii="仿宋" w:hAnsi="仿宋" w:eastAsia="仿宋" w:cs="仿宋"/>
                <w:sz w:val="24"/>
                <w:highlight w:val="none"/>
                <w:lang w:eastAsia="zh-CN" w:bidi="ar"/>
              </w:rPr>
              <w:t>分；</w:t>
            </w:r>
            <w:r>
              <w:rPr>
                <w:rFonts w:hint="eastAsia" w:ascii="仿宋" w:hAnsi="仿宋" w:eastAsia="仿宋" w:cs="仿宋"/>
                <w:sz w:val="24"/>
                <w:highlight w:val="none"/>
                <w:lang w:val="en-US" w:eastAsia="zh-CN" w:bidi="ar"/>
              </w:rPr>
              <w:t>演示</w:t>
            </w:r>
            <w:r>
              <w:rPr>
                <w:rFonts w:hint="eastAsia" w:ascii="仿宋" w:hAnsi="仿宋" w:eastAsia="仿宋" w:cs="仿宋"/>
                <w:sz w:val="24"/>
                <w:highlight w:val="none"/>
                <w:lang w:eastAsia="zh-CN" w:bidi="ar"/>
              </w:rPr>
              <w:t>方案基本可行、符合采购需求，针对性较强的得</w:t>
            </w:r>
            <w:r>
              <w:rPr>
                <w:rFonts w:hint="eastAsia" w:ascii="仿宋" w:hAnsi="仿宋" w:eastAsia="仿宋" w:cs="仿宋"/>
                <w:sz w:val="24"/>
                <w:highlight w:val="none"/>
                <w:lang w:val="en-US" w:eastAsia="zh-CN" w:bidi="ar"/>
              </w:rPr>
              <w:t>2-3.9</w:t>
            </w:r>
            <w:r>
              <w:rPr>
                <w:rFonts w:hint="eastAsia" w:ascii="仿宋" w:hAnsi="仿宋" w:eastAsia="仿宋" w:cs="仿宋"/>
                <w:sz w:val="24"/>
                <w:highlight w:val="none"/>
                <w:lang w:eastAsia="zh-CN" w:bidi="ar"/>
              </w:rPr>
              <w:t>分；</w:t>
            </w:r>
            <w:r>
              <w:rPr>
                <w:rFonts w:hint="eastAsia" w:ascii="仿宋" w:hAnsi="仿宋" w:eastAsia="仿宋" w:cs="仿宋"/>
                <w:sz w:val="24"/>
                <w:highlight w:val="none"/>
                <w:lang w:val="en-US" w:eastAsia="zh-CN" w:bidi="ar"/>
              </w:rPr>
              <w:t>演示</w:t>
            </w:r>
            <w:r>
              <w:rPr>
                <w:rFonts w:hint="eastAsia" w:ascii="仿宋" w:hAnsi="仿宋" w:eastAsia="仿宋" w:cs="仿宋"/>
                <w:sz w:val="24"/>
                <w:highlight w:val="none"/>
                <w:lang w:eastAsia="zh-CN" w:bidi="ar"/>
              </w:rPr>
              <w:t>方案一般，基本符合采购需求，针对性一般的得</w:t>
            </w:r>
            <w:r>
              <w:rPr>
                <w:rFonts w:hint="eastAsia" w:ascii="仿宋" w:hAnsi="仿宋" w:eastAsia="仿宋" w:cs="仿宋"/>
                <w:sz w:val="24"/>
                <w:highlight w:val="none"/>
                <w:lang w:val="en-US" w:eastAsia="zh-CN" w:bidi="ar"/>
              </w:rPr>
              <w:t>0-1.9</w:t>
            </w:r>
            <w:r>
              <w:rPr>
                <w:rFonts w:hint="eastAsia" w:ascii="仿宋" w:hAnsi="仿宋" w:eastAsia="仿宋" w:cs="仿宋"/>
                <w:sz w:val="24"/>
                <w:highlight w:val="none"/>
                <w:lang w:eastAsia="zh-CN" w:bidi="ar"/>
              </w:rPr>
              <w:t>分</w:t>
            </w:r>
            <w:r>
              <w:rPr>
                <w:rFonts w:hint="eastAsia" w:ascii="仿宋" w:hAnsi="仿宋" w:eastAsia="仿宋" w:cs="仿宋"/>
                <w:sz w:val="24"/>
                <w:highlight w:val="none"/>
                <w:lang w:val="en-US" w:eastAsia="zh-CN" w:bidi="ar"/>
              </w:rPr>
              <w:t>.</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lang w:val="en-US" w:eastAsia="zh-CN"/>
              </w:rPr>
            </w:pPr>
            <w:r>
              <w:rPr>
                <w:rFonts w:hint="eastAsia" w:ascii="仿宋" w:hAnsi="仿宋" w:eastAsia="仿宋" w:cs="仿宋_GB2312"/>
                <w:sz w:val="24"/>
                <w:highlight w:val="none"/>
                <w:lang w:val="en-US" w:eastAsia="zh-CN"/>
              </w:rPr>
              <w:t>5</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_GB2312"/>
                <w:sz w:val="24"/>
              </w:rPr>
            </w:pPr>
          </w:p>
        </w:tc>
        <w:tc>
          <w:tcPr>
            <w:tcW w:w="1009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cs="仿宋_GB2312"/>
                <w:sz w:val="24"/>
              </w:rPr>
              <w:t>商务部分（10）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firstLine="240" w:firstLineChars="100"/>
              <w:jc w:val="both"/>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18</w:t>
            </w:r>
          </w:p>
        </w:tc>
        <w:tc>
          <w:tcPr>
            <w:tcW w:w="94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default" w:ascii="仿宋" w:hAnsi="仿宋" w:eastAsia="仿宋" w:cs="仿宋_GB2312"/>
                <w:sz w:val="24"/>
              </w:rPr>
            </w:pPr>
          </w:p>
        </w:tc>
        <w:tc>
          <w:tcPr>
            <w:tcW w:w="69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有效投标报价的最低价作为评标基准价，其最低报价为满分；按［投标报价得分=（评标基准价/投标报价）*</w:t>
            </w:r>
            <w:r>
              <w:rPr>
                <w:rFonts w:hint="eastAsia" w:ascii="仿宋" w:hAnsi="仿宋" w:eastAsia="仿宋" w:cs="仿宋_GB2312"/>
                <w:sz w:val="24"/>
                <w:lang w:val="en-US" w:eastAsia="zh-CN"/>
              </w:rPr>
              <w:t>1</w:t>
            </w:r>
            <w:r>
              <w:rPr>
                <w:rFonts w:hint="eastAsia" w:ascii="仿宋" w:hAnsi="仿宋" w:eastAsia="仿宋" w:cs="仿宋_GB2312"/>
                <w:sz w:val="24"/>
              </w:rPr>
              <w:t>0］的计算公式计算。</w:t>
            </w:r>
          </w:p>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_GB2312"/>
                <w:sz w:val="24"/>
              </w:rPr>
            </w:pPr>
            <w:r>
              <w:rPr>
                <w:rFonts w:hint="eastAsia" w:ascii="仿宋" w:hAnsi="仿宋" w:eastAsia="仿宋" w:cs="仿宋_GB2312"/>
                <w:sz w:val="24"/>
              </w:rPr>
              <w:t>评标过程中，不得去掉报价中的最高报价和最低报价。</w:t>
            </w:r>
          </w:p>
          <w:p>
            <w:pPr>
              <w:keepNext w:val="0"/>
              <w:keepLines w:val="0"/>
              <w:suppressLineNumbers w:val="0"/>
              <w:spacing w:before="0" w:beforeAutospacing="0" w:after="0" w:afterAutospacing="0" w:line="360" w:lineRule="auto"/>
              <w:ind w:left="0" w:right="0"/>
              <w:jc w:val="center"/>
              <w:outlineLvl w:val="0"/>
              <w:rPr>
                <w:rFonts w:hint="default" w:ascii="仿宋" w:hAnsi="仿宋" w:eastAsia="仿宋"/>
                <w:sz w:val="24"/>
              </w:rPr>
            </w:pPr>
            <w:r>
              <w:rPr>
                <w:rFonts w:hint="eastAsia" w:ascii="仿宋" w:hAnsi="仿宋" w:eastAsia="仿宋" w:cs="仿宋_GB2312"/>
                <w:sz w:val="24"/>
              </w:rPr>
              <w:t>因落实政府采购政策需要进行价格调整的，以调整后的价格计算评标基准价和投标报价。</w:t>
            </w:r>
          </w:p>
        </w:tc>
        <w:tc>
          <w:tcPr>
            <w:tcW w:w="5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_GB2312"/>
                <w:sz w:val="24"/>
              </w:rPr>
            </w:pPr>
            <w:r>
              <w:rPr>
                <w:rFonts w:hint="eastAsia" w:ascii="仿宋" w:hAnsi="仿宋" w:eastAsia="仿宋" w:cs="仿宋_GB2312"/>
                <w:sz w:val="24"/>
              </w:rPr>
              <w:t>/</w:t>
            </w:r>
          </w:p>
        </w:tc>
      </w:tr>
      <w:bookmarkEnd w:id="393"/>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adjustRightInd/>
        <w:snapToGrid w:val="0"/>
        <w:spacing w:before="190" w:beforeLines="50" w:after="190" w:afterLines="50"/>
        <w:jc w:val="center"/>
        <w:rPr>
          <w:rFonts w:hint="eastAsia" w:ascii="仿宋" w:hAnsi="仿宋" w:eastAsia="仿宋" w:cs="仿宋"/>
          <w:b/>
          <w:sz w:val="32"/>
          <w:szCs w:val="32"/>
          <w:lang w:val="zh-CN"/>
        </w:rPr>
      </w:pPr>
      <w:r>
        <w:rPr>
          <w:rFonts w:hint="eastAsia" w:ascii="仿宋" w:hAnsi="仿宋" w:eastAsia="仿宋" w:cs="仿宋"/>
          <w:b/>
          <w:sz w:val="30"/>
        </w:rPr>
        <w:t>服务</w:t>
      </w:r>
      <w:r>
        <w:rPr>
          <w:rFonts w:hint="eastAsia" w:ascii="仿宋" w:hAnsi="仿宋" w:eastAsia="仿宋" w:cs="仿宋"/>
          <w:b/>
          <w:sz w:val="32"/>
          <w:szCs w:val="32"/>
          <w:lang w:val="zh-CN"/>
        </w:rPr>
        <w:t>合同</w:t>
      </w:r>
    </w:p>
    <w:p>
      <w:pPr>
        <w:adjustRightInd w:val="0"/>
        <w:snapToGrid w:val="0"/>
        <w:spacing w:line="360" w:lineRule="auto"/>
        <w:ind w:firstLine="422" w:firstLineChars="200"/>
        <w:rPr>
          <w:rFonts w:hint="eastAsia" w:ascii="仿宋" w:hAnsi="仿宋" w:eastAsia="仿宋" w:cs="仿宋"/>
          <w:b/>
          <w:szCs w:val="21"/>
        </w:rPr>
      </w:pPr>
    </w:p>
    <w:p>
      <w:pPr>
        <w:tabs>
          <w:tab w:val="left" w:pos="1980"/>
        </w:tabs>
        <w:adjustRightInd/>
        <w:rPr>
          <w:rFonts w:hint="eastAsia" w:ascii="仿宋" w:hAnsi="仿宋" w:eastAsia="仿宋" w:cs="仿宋"/>
          <w:sz w:val="32"/>
          <w:szCs w:val="44"/>
        </w:rPr>
      </w:pPr>
    </w:p>
    <w:p>
      <w:pPr>
        <w:tabs>
          <w:tab w:val="left" w:pos="1980"/>
        </w:tabs>
        <w:adjustRightInd/>
        <w:ind w:firstLine="643" w:firstLineChars="200"/>
        <w:rPr>
          <w:rFonts w:hint="eastAsia" w:ascii="仿宋" w:hAnsi="仿宋" w:eastAsia="仿宋" w:cs="仿宋"/>
          <w:b/>
          <w:sz w:val="32"/>
          <w:szCs w:val="48"/>
        </w:rPr>
      </w:pPr>
    </w:p>
    <w:p>
      <w:pPr>
        <w:tabs>
          <w:tab w:val="left" w:pos="1980"/>
        </w:tabs>
        <w:adjustRightInd/>
        <w:ind w:firstLine="643" w:firstLineChars="200"/>
        <w:rPr>
          <w:rFonts w:hint="eastAsia" w:ascii="仿宋" w:hAnsi="仿宋" w:eastAsia="仿宋" w:cs="仿宋"/>
          <w:b/>
          <w:sz w:val="32"/>
          <w:szCs w:val="48"/>
        </w:rPr>
      </w:pPr>
      <w:r>
        <w:rPr>
          <w:rFonts w:hint="eastAsia" w:ascii="仿宋" w:hAnsi="仿宋" w:eastAsia="仿宋" w:cs="仿宋"/>
          <w:b/>
          <w:sz w:val="32"/>
          <w:szCs w:val="48"/>
        </w:rPr>
        <w:t>项目名称：</w:t>
      </w:r>
      <w:r>
        <w:rPr>
          <w:rFonts w:hint="eastAsia" w:ascii="仿宋" w:hAnsi="仿宋" w:eastAsia="仿宋" w:cs="仿宋"/>
          <w:b/>
          <w:sz w:val="32"/>
          <w:szCs w:val="48"/>
          <w:u w:val="single"/>
        </w:rPr>
        <w:t xml:space="preserve">                              </w:t>
      </w:r>
    </w:p>
    <w:p>
      <w:pPr>
        <w:adjustRightInd/>
        <w:rPr>
          <w:rFonts w:hint="eastAsia" w:ascii="仿宋" w:hAnsi="仿宋" w:eastAsia="仿宋" w:cs="仿宋"/>
          <w:b/>
          <w:sz w:val="32"/>
          <w:szCs w:val="48"/>
        </w:rPr>
      </w:pPr>
    </w:p>
    <w:p>
      <w:pPr>
        <w:adjustRightInd/>
        <w:ind w:firstLine="643" w:firstLineChars="200"/>
        <w:rPr>
          <w:rFonts w:hint="eastAsia" w:ascii="仿宋" w:hAnsi="仿宋" w:eastAsia="仿宋" w:cs="仿宋"/>
          <w:b/>
          <w:sz w:val="32"/>
          <w:szCs w:val="48"/>
          <w:u w:val="single"/>
        </w:rPr>
      </w:pPr>
      <w:r>
        <w:rPr>
          <w:rFonts w:hint="eastAsia" w:ascii="仿宋" w:hAnsi="仿宋" w:eastAsia="仿宋" w:cs="仿宋"/>
          <w:b/>
          <w:sz w:val="32"/>
          <w:szCs w:val="48"/>
        </w:rPr>
        <w:t>委 托 方：</w:t>
      </w:r>
      <w:r>
        <w:rPr>
          <w:rFonts w:hint="eastAsia" w:ascii="仿宋" w:hAnsi="仿宋" w:eastAsia="仿宋" w:cs="仿宋"/>
          <w:b/>
          <w:sz w:val="32"/>
          <w:szCs w:val="48"/>
          <w:u w:val="single"/>
        </w:rPr>
        <w:t xml:space="preserve">                             </w:t>
      </w:r>
    </w:p>
    <w:p>
      <w:pPr>
        <w:adjustRightInd/>
        <w:rPr>
          <w:rFonts w:hint="eastAsia" w:ascii="仿宋" w:hAnsi="仿宋" w:eastAsia="仿宋" w:cs="仿宋"/>
          <w:b/>
          <w:sz w:val="32"/>
          <w:szCs w:val="48"/>
        </w:rPr>
      </w:pPr>
    </w:p>
    <w:p>
      <w:pPr>
        <w:adjustRightInd/>
        <w:ind w:firstLine="643" w:firstLineChars="200"/>
        <w:rPr>
          <w:rFonts w:hint="eastAsia" w:ascii="仿宋" w:hAnsi="仿宋" w:eastAsia="仿宋" w:cs="仿宋"/>
          <w:sz w:val="36"/>
          <w:szCs w:val="36"/>
          <w:u w:val="single"/>
        </w:rPr>
      </w:pPr>
      <w:r>
        <w:rPr>
          <w:rFonts w:hint="eastAsia" w:ascii="仿宋" w:hAnsi="仿宋" w:eastAsia="仿宋" w:cs="仿宋"/>
          <w:b/>
          <w:sz w:val="32"/>
          <w:szCs w:val="48"/>
        </w:rPr>
        <w:t>受 托 方：</w:t>
      </w:r>
      <w:r>
        <w:rPr>
          <w:rFonts w:hint="eastAsia" w:ascii="仿宋" w:hAnsi="仿宋" w:eastAsia="仿宋" w:cs="仿宋"/>
          <w:b/>
          <w:sz w:val="32"/>
          <w:szCs w:val="48"/>
          <w:u w:val="single"/>
        </w:rPr>
        <w:t xml:space="preserve">                             </w:t>
      </w:r>
    </w:p>
    <w:p>
      <w:pPr>
        <w:adjustRightInd/>
        <w:rPr>
          <w:rFonts w:hint="eastAsia" w:ascii="仿宋" w:hAnsi="仿宋" w:eastAsia="仿宋" w:cs="仿宋"/>
          <w:sz w:val="36"/>
          <w:szCs w:val="36"/>
        </w:rPr>
      </w:pPr>
    </w:p>
    <w:p>
      <w:pPr>
        <w:adjustRightInd/>
        <w:ind w:firstLine="643" w:firstLineChars="200"/>
        <w:rPr>
          <w:rFonts w:hint="eastAsia" w:ascii="仿宋" w:hAnsi="仿宋" w:eastAsia="仿宋" w:cs="仿宋"/>
          <w:sz w:val="36"/>
          <w:szCs w:val="36"/>
        </w:rPr>
      </w:pPr>
      <w:r>
        <w:rPr>
          <w:rFonts w:hint="eastAsia" w:ascii="仿宋" w:hAnsi="仿宋" w:eastAsia="仿宋" w:cs="仿宋"/>
          <w:b/>
          <w:sz w:val="32"/>
          <w:szCs w:val="48"/>
        </w:rPr>
        <w:t xml:space="preserve">签约日期：     </w:t>
      </w:r>
      <w:r>
        <w:rPr>
          <w:rFonts w:hint="eastAsia" w:ascii="仿宋" w:hAnsi="仿宋" w:eastAsia="仿宋" w:cs="仿宋"/>
          <w:b/>
          <w:sz w:val="32"/>
          <w:szCs w:val="48"/>
          <w:u w:val="single"/>
        </w:rPr>
        <w:t xml:space="preserve">      </w:t>
      </w:r>
      <w:r>
        <w:rPr>
          <w:rFonts w:hint="eastAsia" w:ascii="仿宋" w:hAnsi="仿宋" w:eastAsia="仿宋" w:cs="仿宋"/>
          <w:b/>
          <w:sz w:val="32"/>
          <w:szCs w:val="48"/>
        </w:rPr>
        <w:t>年</w:t>
      </w:r>
      <w:r>
        <w:rPr>
          <w:rFonts w:hint="eastAsia" w:ascii="仿宋" w:hAnsi="仿宋" w:eastAsia="仿宋" w:cs="仿宋"/>
          <w:b/>
          <w:sz w:val="32"/>
          <w:szCs w:val="48"/>
          <w:u w:val="single"/>
        </w:rPr>
        <w:t xml:space="preserve">     </w:t>
      </w:r>
      <w:r>
        <w:rPr>
          <w:rFonts w:hint="eastAsia" w:ascii="仿宋" w:hAnsi="仿宋" w:eastAsia="仿宋" w:cs="仿宋"/>
          <w:b/>
          <w:sz w:val="32"/>
          <w:szCs w:val="48"/>
        </w:rPr>
        <w:t>月</w:t>
      </w:r>
      <w:r>
        <w:rPr>
          <w:rFonts w:hint="eastAsia" w:ascii="仿宋" w:hAnsi="仿宋" w:eastAsia="仿宋" w:cs="仿宋"/>
          <w:b/>
          <w:sz w:val="32"/>
          <w:szCs w:val="48"/>
          <w:u w:val="single"/>
        </w:rPr>
        <w:t xml:space="preserve">     </w:t>
      </w:r>
      <w:r>
        <w:rPr>
          <w:rFonts w:hint="eastAsia" w:ascii="仿宋" w:hAnsi="仿宋" w:eastAsia="仿宋" w:cs="仿宋"/>
          <w:b/>
          <w:sz w:val="32"/>
          <w:szCs w:val="48"/>
        </w:rPr>
        <w:t>日</w:t>
      </w:r>
    </w:p>
    <w:p>
      <w:pPr>
        <w:adjustRightInd/>
        <w:rPr>
          <w:rFonts w:hint="eastAsia" w:ascii="仿宋" w:hAnsi="仿宋" w:eastAsia="仿宋" w:cs="仿宋"/>
        </w:rPr>
      </w:pPr>
      <w:r>
        <w:rPr>
          <w:rFonts w:hint="eastAsia" w:ascii="仿宋" w:hAnsi="仿宋" w:eastAsia="仿宋" w:cs="仿宋"/>
        </w:rPr>
        <w:br w:type="page"/>
      </w:r>
    </w:p>
    <w:tbl>
      <w:tblPr>
        <w:tblStyle w:val="62"/>
        <w:tblW w:w="9832" w:type="dxa"/>
        <w:tblInd w:w="0" w:type="dxa"/>
        <w:tblLayout w:type="fixed"/>
        <w:tblCellMar>
          <w:top w:w="0" w:type="dxa"/>
          <w:left w:w="108" w:type="dxa"/>
          <w:bottom w:w="0" w:type="dxa"/>
          <w:right w:w="108" w:type="dxa"/>
        </w:tblCellMar>
      </w:tblPr>
      <w:tblGrid>
        <w:gridCol w:w="1542"/>
        <w:gridCol w:w="236"/>
        <w:gridCol w:w="8054"/>
      </w:tblGrid>
      <w:tr>
        <w:tblPrEx>
          <w:tblCellMar>
            <w:top w:w="0" w:type="dxa"/>
            <w:left w:w="108" w:type="dxa"/>
            <w:bottom w:w="0" w:type="dxa"/>
            <w:right w:w="108" w:type="dxa"/>
          </w:tblCellMar>
        </w:tblPrEx>
        <w:trPr>
          <w:cantSplit/>
        </w:trPr>
        <w:tc>
          <w:tcPr>
            <w:tcW w:w="1542" w:type="dxa"/>
            <w:noWrap w:val="0"/>
            <w:vAlign w:val="bottom"/>
          </w:tcPr>
          <w:p>
            <w:pPr>
              <w:keepNext w:val="0"/>
              <w:keepLines w:val="0"/>
              <w:pageBreakBefore w:val="0"/>
              <w:widowControl w:val="0"/>
              <w:suppressLineNumbers w:val="0"/>
              <w:kinsoku/>
              <w:wordWrap/>
              <w:overflowPunct/>
              <w:topLinePunct w:val="0"/>
              <w:bidi w:val="0"/>
              <w:adjustRightInd/>
              <w:snapToGrid/>
              <w:spacing w:before="190" w:beforeLines="50" w:beforeAutospacing="0" w:after="0" w:afterAutospacing="0" w:line="360" w:lineRule="auto"/>
              <w:ind w:left="-57" w:right="-57"/>
              <w:textAlignment w:val="auto"/>
              <w:rPr>
                <w:rFonts w:hint="eastAsia" w:ascii="仿宋" w:hAnsi="仿宋" w:eastAsia="仿宋" w:cs="仿宋"/>
                <w:b/>
                <w:szCs w:val="21"/>
              </w:rPr>
            </w:pPr>
            <w:r>
              <w:rPr>
                <w:rFonts w:hint="eastAsia" w:ascii="仿宋" w:hAnsi="仿宋" w:eastAsia="仿宋" w:cs="仿宋"/>
                <w:b/>
                <w:szCs w:val="21"/>
              </w:rPr>
              <w:t>甲方(委托方)</w:t>
            </w:r>
          </w:p>
        </w:tc>
        <w:tc>
          <w:tcPr>
            <w:tcW w:w="236" w:type="dxa"/>
            <w:noWrap w:val="0"/>
            <w:vAlign w:val="bottom"/>
          </w:tcPr>
          <w:p>
            <w:pPr>
              <w:keepNext w:val="0"/>
              <w:keepLines w:val="0"/>
              <w:pageBreakBefore w:val="0"/>
              <w:widowControl w:val="0"/>
              <w:suppressLineNumbers w:val="0"/>
              <w:kinsoku/>
              <w:wordWrap/>
              <w:overflowPunct/>
              <w:topLinePunct w:val="0"/>
              <w:bidi w:val="0"/>
              <w:adjustRightInd/>
              <w:snapToGrid/>
              <w:spacing w:before="190" w:beforeLines="50" w:beforeAutospacing="0" w:after="0" w:afterAutospacing="0" w:line="360" w:lineRule="auto"/>
              <w:ind w:left="0" w:right="-57"/>
              <w:textAlignment w:val="auto"/>
              <w:rPr>
                <w:rFonts w:hint="eastAsia" w:ascii="仿宋" w:hAnsi="仿宋" w:eastAsia="仿宋" w:cs="仿宋"/>
                <w:szCs w:val="21"/>
              </w:rPr>
            </w:pPr>
            <w:r>
              <w:rPr>
                <w:rFonts w:hint="eastAsia" w:ascii="仿宋" w:hAnsi="仿宋" w:eastAsia="仿宋" w:cs="仿宋"/>
                <w:szCs w:val="21"/>
              </w:rPr>
              <w:t>：</w:t>
            </w:r>
          </w:p>
        </w:tc>
        <w:tc>
          <w:tcPr>
            <w:tcW w:w="8054" w:type="dxa"/>
            <w:tcBorders>
              <w:left w:val="nil"/>
              <w:bottom w:val="single" w:color="auto" w:sz="4" w:space="0"/>
            </w:tcBorders>
            <w:noWrap w:val="0"/>
            <w:vAlign w:val="bottom"/>
          </w:tcPr>
          <w:p>
            <w:pPr>
              <w:keepNext w:val="0"/>
              <w:keepLines w:val="0"/>
              <w:pageBreakBefore w:val="0"/>
              <w:widowControl w:val="0"/>
              <w:suppressLineNumbers w:val="0"/>
              <w:kinsoku/>
              <w:wordWrap/>
              <w:overflowPunct/>
              <w:topLinePunct w:val="0"/>
              <w:bidi w:val="0"/>
              <w:adjustRightInd/>
              <w:snapToGrid/>
              <w:spacing w:before="190" w:beforeLines="50" w:beforeAutospacing="0" w:after="0" w:afterAutospacing="0" w:line="360" w:lineRule="auto"/>
              <w:ind w:left="-57" w:leftChars="-27" w:right="-57" w:firstLine="205" w:firstLineChars="98"/>
              <w:textAlignment w:val="auto"/>
              <w:rPr>
                <w:rFonts w:hint="eastAsia" w:ascii="仿宋" w:hAnsi="仿宋" w:eastAsia="仿宋" w:cs="仿宋"/>
                <w:szCs w:val="21"/>
              </w:rPr>
            </w:pPr>
          </w:p>
        </w:tc>
      </w:tr>
      <w:tr>
        <w:tblPrEx>
          <w:tblCellMar>
            <w:top w:w="0" w:type="dxa"/>
            <w:left w:w="108" w:type="dxa"/>
            <w:bottom w:w="0" w:type="dxa"/>
            <w:right w:w="108" w:type="dxa"/>
          </w:tblCellMar>
        </w:tblPrEx>
        <w:trPr>
          <w:cantSplit/>
        </w:trPr>
        <w:tc>
          <w:tcPr>
            <w:tcW w:w="1542" w:type="dxa"/>
            <w:tcBorders>
              <w:top w:val="single" w:color="auto" w:sz="4" w:space="0"/>
            </w:tcBorders>
            <w:noWrap w:val="0"/>
            <w:vAlign w:val="bottom"/>
          </w:tcPr>
          <w:p>
            <w:pPr>
              <w:keepNext w:val="0"/>
              <w:keepLines w:val="0"/>
              <w:pageBreakBefore w:val="0"/>
              <w:widowControl w:val="0"/>
              <w:suppressLineNumbers w:val="0"/>
              <w:kinsoku/>
              <w:wordWrap/>
              <w:overflowPunct/>
              <w:topLinePunct w:val="0"/>
              <w:bidi w:val="0"/>
              <w:adjustRightInd/>
              <w:snapToGrid/>
              <w:spacing w:before="190" w:beforeLines="50" w:beforeAutospacing="0" w:after="0" w:afterAutospacing="0" w:line="360" w:lineRule="auto"/>
              <w:ind w:left="-57" w:right="-57"/>
              <w:jc w:val="distribute"/>
              <w:textAlignment w:val="auto"/>
              <w:rPr>
                <w:rFonts w:hint="eastAsia" w:ascii="仿宋" w:hAnsi="仿宋" w:eastAsia="仿宋" w:cs="仿宋"/>
                <w:b/>
                <w:szCs w:val="21"/>
              </w:rPr>
            </w:pPr>
            <w:r>
              <w:rPr>
                <w:rFonts w:hint="eastAsia" w:ascii="仿宋" w:hAnsi="仿宋" w:eastAsia="仿宋" w:cs="仿宋"/>
                <w:b/>
                <w:szCs w:val="21"/>
              </w:rPr>
              <w:t>乙方(</w:t>
            </w:r>
            <w:r>
              <w:rPr>
                <w:rFonts w:hint="eastAsia" w:ascii="仿宋" w:hAnsi="仿宋" w:eastAsia="仿宋" w:cs="仿宋"/>
                <w:b/>
                <w:szCs w:val="21"/>
                <w:lang w:val="en-US" w:eastAsia="zh-CN"/>
              </w:rPr>
              <w:t>受托</w:t>
            </w:r>
            <w:r>
              <w:rPr>
                <w:rFonts w:hint="eastAsia" w:ascii="仿宋" w:hAnsi="仿宋" w:eastAsia="仿宋" w:cs="仿宋"/>
                <w:b/>
                <w:szCs w:val="21"/>
              </w:rPr>
              <w:t>方)</w:t>
            </w:r>
          </w:p>
        </w:tc>
        <w:tc>
          <w:tcPr>
            <w:tcW w:w="236" w:type="dxa"/>
            <w:tcBorders>
              <w:top w:val="single" w:color="auto" w:sz="4" w:space="0"/>
            </w:tcBorders>
            <w:noWrap w:val="0"/>
            <w:vAlign w:val="bottom"/>
          </w:tcPr>
          <w:p>
            <w:pPr>
              <w:keepNext w:val="0"/>
              <w:keepLines w:val="0"/>
              <w:pageBreakBefore w:val="0"/>
              <w:widowControl w:val="0"/>
              <w:suppressLineNumbers w:val="0"/>
              <w:kinsoku/>
              <w:wordWrap/>
              <w:overflowPunct/>
              <w:topLinePunct w:val="0"/>
              <w:bidi w:val="0"/>
              <w:adjustRightInd/>
              <w:snapToGrid/>
              <w:spacing w:before="190" w:beforeLines="50" w:beforeAutospacing="0" w:after="0" w:afterAutospacing="0" w:line="360" w:lineRule="auto"/>
              <w:ind w:left="0" w:right="-57"/>
              <w:textAlignment w:val="auto"/>
              <w:rPr>
                <w:rFonts w:hint="eastAsia" w:ascii="仿宋" w:hAnsi="仿宋" w:eastAsia="仿宋" w:cs="仿宋"/>
                <w:szCs w:val="21"/>
              </w:rPr>
            </w:pPr>
            <w:r>
              <w:rPr>
                <w:rFonts w:hint="eastAsia" w:ascii="仿宋" w:hAnsi="仿宋" w:eastAsia="仿宋" w:cs="仿宋"/>
                <w:szCs w:val="21"/>
              </w:rPr>
              <w:t>：</w:t>
            </w:r>
          </w:p>
        </w:tc>
        <w:tc>
          <w:tcPr>
            <w:tcW w:w="8054" w:type="dxa"/>
            <w:tcBorders>
              <w:top w:val="single" w:color="auto" w:sz="4" w:space="0"/>
              <w:left w:val="nil"/>
              <w:bottom w:val="single" w:color="auto" w:sz="4" w:space="0"/>
            </w:tcBorders>
            <w:noWrap w:val="0"/>
            <w:vAlign w:val="bottom"/>
          </w:tcPr>
          <w:p>
            <w:pPr>
              <w:keepNext w:val="0"/>
              <w:keepLines w:val="0"/>
              <w:pageBreakBefore w:val="0"/>
              <w:widowControl w:val="0"/>
              <w:suppressLineNumbers w:val="0"/>
              <w:kinsoku/>
              <w:wordWrap/>
              <w:overflowPunct/>
              <w:topLinePunct w:val="0"/>
              <w:bidi w:val="0"/>
              <w:adjustRightInd/>
              <w:snapToGrid/>
              <w:spacing w:before="190" w:beforeLines="50" w:beforeAutospacing="0" w:after="0" w:afterAutospacing="0" w:line="360" w:lineRule="auto"/>
              <w:ind w:left="0" w:right="-57"/>
              <w:textAlignment w:val="auto"/>
              <w:rPr>
                <w:rFonts w:hint="eastAsia" w:ascii="仿宋" w:hAnsi="仿宋" w:eastAsia="仿宋" w:cs="仿宋"/>
                <w:szCs w:val="21"/>
              </w:rPr>
            </w:pPr>
            <w:r>
              <w:rPr>
                <w:rFonts w:hint="eastAsia" w:ascii="仿宋" w:hAnsi="仿宋" w:eastAsia="仿宋" w:cs="仿宋"/>
                <w:szCs w:val="21"/>
              </w:rPr>
              <w:t xml:space="preserve"> </w:t>
            </w:r>
          </w:p>
        </w:tc>
      </w:tr>
    </w:tbl>
    <w:p>
      <w:pPr>
        <w:keepNext w:val="0"/>
        <w:keepLines w:val="0"/>
        <w:pageBreakBefore w:val="0"/>
        <w:widowControl w:val="0"/>
        <w:kinsoku/>
        <w:wordWrap/>
        <w:overflowPunct/>
        <w:topLinePunct w:val="0"/>
        <w:bidi w:val="0"/>
        <w:adjustRightInd/>
        <w:snapToGrid/>
        <w:spacing w:before="190" w:beforeLines="50" w:line="36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甲方委托乙方就以下项目：</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b/>
          <w:szCs w:val="21"/>
          <w:u w:val="single"/>
        </w:rPr>
        <w:t xml:space="preserve">                   </w:t>
      </w:r>
      <w:r>
        <w:rPr>
          <w:rFonts w:hint="eastAsia" w:ascii="仿宋" w:hAnsi="仿宋" w:eastAsia="仿宋" w:cs="仿宋"/>
          <w:szCs w:val="21"/>
          <w:u w:val="single"/>
        </w:rPr>
        <w:t xml:space="preserve">         </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szCs w:val="21"/>
        </w:rPr>
      </w:pPr>
      <w:r>
        <w:rPr>
          <w:rFonts w:hint="eastAsia" w:ascii="仿宋" w:hAnsi="仿宋" w:eastAsia="仿宋" w:cs="仿宋"/>
          <w:szCs w:val="21"/>
        </w:rPr>
        <w:t>进行专项技术服务。双方经过平等协商，在真实、充分地表达各自意愿的基础上，根据《中华人民共和国民法典》的规定，达成如下协议， 并由双方共同恪守。</w:t>
      </w:r>
    </w:p>
    <w:p>
      <w:pPr>
        <w:pStyle w:val="2"/>
        <w:numPr>
          <w:ilvl w:val="0"/>
          <w:numId w:val="0"/>
        </w:numPr>
        <w:ind w:leftChars="0"/>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一、项目概况</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4"/>
          <w:szCs w:val="24"/>
          <w:highlight w:val="none"/>
        </w:rPr>
      </w:pPr>
      <w:r>
        <w:rPr>
          <w:rFonts w:hint="eastAsia"/>
          <w:lang w:val="en-US" w:eastAsia="zh-CN"/>
        </w:rPr>
        <w:t xml:space="preserve"> </w:t>
      </w:r>
      <w:r>
        <w:rPr>
          <w:rFonts w:hint="eastAsia" w:ascii="仿宋_GB2312" w:hAnsi="仿宋" w:eastAsia="仿宋_GB2312" w:cs="仿宋_GB2312"/>
          <w:b w:val="0"/>
          <w:bCs/>
          <w:color w:val="auto"/>
          <w:sz w:val="21"/>
          <w:szCs w:val="21"/>
          <w:highlight w:val="none"/>
        </w:rPr>
        <w:t>为改善街道企业的安全生产环境，从源头上遏制和减少安全生产隐患，推动社会力量参与支持安全生产工作，通过排查、整改指导、整改确认等安全技术服务控制和减少安全事故。坚持“安全第一、预防为主、综合治理、失职追责”的方针，贯彻落实中央提出的安全发展理念，通过网格化管理企业。</w:t>
      </w:r>
    </w:p>
    <w:p>
      <w:pPr>
        <w:pStyle w:val="2"/>
        <w:numPr>
          <w:ilvl w:val="0"/>
          <w:numId w:val="0"/>
        </w:numPr>
        <w:ind w:leftChars="0"/>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二、服务范围及有关要求</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eastAsia="仿宋_GB2312"/>
          <w:b w:val="0"/>
          <w:bCs/>
          <w:sz w:val="21"/>
          <w:szCs w:val="21"/>
          <w:lang w:val="en-US" w:eastAsia="zh-CN"/>
        </w:rPr>
      </w:pPr>
      <w:r>
        <w:rPr>
          <w:rFonts w:hint="eastAsia" w:ascii="仿宋" w:hAnsi="仿宋" w:eastAsia="仿宋" w:cs="仿宋"/>
          <w:b/>
          <w:bCs/>
          <w:kern w:val="2"/>
          <w:sz w:val="21"/>
          <w:szCs w:val="21"/>
          <w:lang w:val="en-US" w:eastAsia="zh-CN" w:bidi="ar-SA"/>
        </w:rPr>
        <w:t xml:space="preserve">    </w:t>
      </w:r>
      <w:r>
        <w:rPr>
          <w:rFonts w:hint="eastAsia" w:ascii="仿宋_GB2312" w:hAnsi="仿宋" w:eastAsia="仿宋_GB2312" w:cs="仿宋_GB2312"/>
          <w:b w:val="0"/>
          <w:bCs/>
          <w:color w:val="auto"/>
          <w:sz w:val="21"/>
          <w:szCs w:val="21"/>
          <w:highlight w:val="none"/>
        </w:rPr>
        <w:t>1、</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派驻</w:t>
      </w:r>
      <w:r>
        <w:rPr>
          <w:rFonts w:hint="eastAsia" w:ascii="仿宋_GB2312" w:hAnsi="仿宋" w:eastAsia="仿宋_GB2312" w:cs="仿宋_GB2312"/>
          <w:b w:val="0"/>
          <w:bCs/>
          <w:color w:val="auto"/>
          <w:sz w:val="21"/>
          <w:szCs w:val="21"/>
          <w:highlight w:val="none"/>
          <w:lang w:val="en-US" w:eastAsia="zh-CN"/>
        </w:rPr>
        <w:t>不少于</w:t>
      </w:r>
      <w:r>
        <w:rPr>
          <w:rFonts w:hint="eastAsia" w:ascii="仿宋_GB2312" w:hAnsi="仿宋" w:eastAsia="仿宋_GB2312" w:cs="仿宋_GB2312"/>
          <w:b w:val="0"/>
          <w:bCs/>
          <w:color w:val="auto"/>
          <w:sz w:val="21"/>
          <w:szCs w:val="21"/>
          <w:highlight w:val="none"/>
        </w:rPr>
        <w:t>1</w:t>
      </w:r>
      <w:r>
        <w:rPr>
          <w:rFonts w:hint="eastAsia" w:ascii="仿宋_GB2312" w:hAnsi="仿宋" w:eastAsia="仿宋_GB2312" w:cs="仿宋_GB2312"/>
          <w:b w:val="0"/>
          <w:bCs/>
          <w:color w:val="auto"/>
          <w:sz w:val="21"/>
          <w:szCs w:val="21"/>
          <w:highlight w:val="none"/>
          <w:lang w:val="en-US" w:eastAsia="zh-CN"/>
        </w:rPr>
        <w:t>0</w:t>
      </w:r>
      <w:r>
        <w:rPr>
          <w:rFonts w:hint="eastAsia" w:ascii="仿宋_GB2312" w:hAnsi="仿宋" w:eastAsia="仿宋_GB2312" w:cs="仿宋_GB2312"/>
          <w:b w:val="0"/>
          <w:bCs/>
          <w:color w:val="auto"/>
          <w:sz w:val="21"/>
          <w:szCs w:val="21"/>
          <w:highlight w:val="none"/>
        </w:rPr>
        <w:t>名专家</w:t>
      </w:r>
      <w:r>
        <w:rPr>
          <w:rFonts w:hint="eastAsia" w:ascii="仿宋_GB2312" w:hAnsi="仿宋" w:eastAsia="仿宋_GB2312" w:cs="仿宋_GB2312"/>
          <w:b w:val="0"/>
          <w:bCs/>
          <w:color w:val="auto"/>
          <w:sz w:val="21"/>
          <w:szCs w:val="21"/>
          <w:highlight w:val="none"/>
          <w:lang w:eastAsia="zh-CN"/>
        </w:rPr>
        <w:t>，</w:t>
      </w:r>
      <w:r>
        <w:rPr>
          <w:rFonts w:hint="eastAsia" w:ascii="仿宋_GB2312" w:hAnsi="仿宋" w:eastAsia="仿宋_GB2312" w:cs="仿宋_GB2312"/>
          <w:b w:val="0"/>
          <w:bCs/>
          <w:color w:val="auto"/>
          <w:sz w:val="21"/>
          <w:szCs w:val="21"/>
          <w:highlight w:val="none"/>
          <w:lang w:val="en-US" w:eastAsia="zh-CN"/>
        </w:rPr>
        <w:t>下沙街道辖区约50平方千米范围内，重点包含220余家工业企业及特种设备、有限空间、危化品企业等其他重点行业的安全生产环境分5个网格开展巡查监管</w:t>
      </w:r>
      <w:r>
        <w:rPr>
          <w:rFonts w:hint="eastAsia" w:ascii="仿宋_GB2312" w:hAnsi="仿宋" w:eastAsia="仿宋_GB2312" w:cs="仿宋_GB2312"/>
          <w:b w:val="0"/>
          <w:bCs/>
          <w:color w:val="auto"/>
          <w:sz w:val="21"/>
          <w:szCs w:val="21"/>
          <w:highlight w:val="none"/>
        </w:rPr>
        <w:t>。其中项目负责人要求：取得中级及以上注册安全工程师及以上证书</w:t>
      </w:r>
      <w:r>
        <w:rPr>
          <w:rFonts w:hint="eastAsia" w:ascii="仿宋_GB2312" w:hAnsi="仿宋" w:eastAsia="仿宋_GB2312" w:cs="仿宋_GB2312"/>
          <w:b w:val="0"/>
          <w:bCs/>
          <w:color w:val="auto"/>
          <w:sz w:val="21"/>
          <w:szCs w:val="21"/>
          <w:highlight w:val="none"/>
          <w:lang w:val="en-US" w:eastAsia="zh-CN"/>
        </w:rPr>
        <w:t>;团队成员（包含项目负责人）要求：至少5人取得中级及以上注册安全工程师及以上证书，</w:t>
      </w:r>
      <w:r>
        <w:rPr>
          <w:rFonts w:hint="eastAsia" w:ascii="仿宋_GB2312" w:hAnsi="仿宋" w:eastAsia="仿宋_GB2312" w:cs="仿宋_GB2312"/>
          <w:b w:val="0"/>
          <w:bCs/>
          <w:color w:val="auto"/>
          <w:sz w:val="21"/>
          <w:szCs w:val="21"/>
          <w:highlight w:val="none"/>
        </w:rPr>
        <w:t>2年以上从业经验，熟悉电脑各项表格操作。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2、</w:t>
      </w:r>
      <w:r>
        <w:rPr>
          <w:rFonts w:hint="eastAsia" w:ascii="仿宋_GB2312" w:hAnsi="仿宋" w:eastAsia="仿宋_GB2312" w:cs="仿宋_GB2312"/>
          <w:b w:val="0"/>
          <w:bCs/>
          <w:color w:val="auto"/>
          <w:sz w:val="21"/>
          <w:szCs w:val="21"/>
          <w:highlight w:val="none"/>
          <w:lang w:val="en-US" w:eastAsia="zh-CN"/>
        </w:rPr>
        <w:t>乙方需对</w:t>
      </w:r>
      <w:r>
        <w:rPr>
          <w:rFonts w:hint="eastAsia" w:ascii="仿宋_GB2312" w:hAnsi="仿宋" w:eastAsia="仿宋_GB2312" w:cs="仿宋_GB2312"/>
          <w:b w:val="0"/>
          <w:bCs/>
          <w:color w:val="auto"/>
          <w:sz w:val="21"/>
          <w:szCs w:val="21"/>
          <w:highlight w:val="none"/>
        </w:rPr>
        <w:t>派驻人员</w:t>
      </w:r>
      <w:r>
        <w:rPr>
          <w:rFonts w:hint="eastAsia" w:ascii="仿宋_GB2312" w:hAnsi="仿宋" w:eastAsia="仿宋_GB2312" w:cs="仿宋_GB2312"/>
          <w:b w:val="0"/>
          <w:bCs/>
          <w:color w:val="auto"/>
          <w:sz w:val="21"/>
          <w:szCs w:val="21"/>
          <w:highlight w:val="none"/>
          <w:lang w:val="en-US" w:eastAsia="zh-CN"/>
        </w:rPr>
        <w:t>进行岗前安全教育和技术交底，并为派驻人员购买人身意外伤害保险，</w:t>
      </w:r>
      <w:r>
        <w:rPr>
          <w:rFonts w:hint="eastAsia" w:ascii="仿宋_GB2312" w:hAnsi="仿宋" w:eastAsia="仿宋_GB2312" w:cs="仿宋_GB2312"/>
          <w:b w:val="0"/>
          <w:bCs/>
          <w:color w:val="auto"/>
          <w:sz w:val="21"/>
          <w:szCs w:val="21"/>
          <w:highlight w:val="none"/>
        </w:rPr>
        <w:t>在日常工作中发生的意外伤害均由中标人自行承担相关责任。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lang w:eastAsia="zh-CN"/>
        </w:rPr>
      </w:pPr>
      <w:r>
        <w:rPr>
          <w:rFonts w:hint="eastAsia" w:ascii="仿宋_GB2312" w:hAnsi="仿宋" w:eastAsia="仿宋_GB2312" w:cs="仿宋_GB2312"/>
          <w:b w:val="0"/>
          <w:bCs/>
          <w:color w:val="auto"/>
          <w:sz w:val="21"/>
          <w:szCs w:val="21"/>
          <w:highlight w:val="none"/>
        </w:rPr>
        <w:t>3、办公场地由甲方提供，</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自行解决派驻人员</w:t>
      </w:r>
      <w:r>
        <w:rPr>
          <w:rFonts w:hint="eastAsia" w:ascii="仿宋_GB2312" w:hAnsi="仿宋" w:eastAsia="仿宋_GB2312" w:cs="仿宋_GB2312"/>
          <w:b w:val="0"/>
          <w:bCs/>
          <w:color w:val="auto"/>
          <w:sz w:val="21"/>
          <w:szCs w:val="21"/>
          <w:highlight w:val="none"/>
          <w:lang w:val="en-US" w:eastAsia="zh-CN"/>
        </w:rPr>
        <w:t>的餐饮</w:t>
      </w:r>
      <w:r>
        <w:rPr>
          <w:rFonts w:hint="eastAsia" w:ascii="仿宋_GB2312" w:hAnsi="仿宋" w:eastAsia="仿宋_GB2312" w:cs="仿宋_GB2312"/>
          <w:b w:val="0"/>
          <w:bCs/>
          <w:color w:val="auto"/>
          <w:sz w:val="21"/>
          <w:szCs w:val="21"/>
          <w:highlight w:val="none"/>
        </w:rPr>
        <w:t>、后勤、</w:t>
      </w:r>
      <w:r>
        <w:rPr>
          <w:rFonts w:hint="eastAsia" w:ascii="仿宋_GB2312" w:hAnsi="仿宋" w:eastAsia="仿宋_GB2312" w:cs="仿宋_GB2312"/>
          <w:b w:val="0"/>
          <w:bCs/>
          <w:color w:val="auto"/>
          <w:sz w:val="21"/>
          <w:szCs w:val="21"/>
          <w:highlight w:val="none"/>
          <w:lang w:val="en-US" w:eastAsia="zh-CN"/>
        </w:rPr>
        <w:t>办公家具及用品、巡查装备</w:t>
      </w:r>
      <w:r>
        <w:rPr>
          <w:rFonts w:hint="eastAsia" w:ascii="仿宋_GB2312" w:hAnsi="仿宋" w:eastAsia="仿宋_GB2312" w:cs="仿宋_GB2312"/>
          <w:b w:val="0"/>
          <w:bCs/>
          <w:color w:val="auto"/>
          <w:sz w:val="21"/>
          <w:szCs w:val="21"/>
          <w:highlight w:val="none"/>
        </w:rPr>
        <w:t>等</w:t>
      </w:r>
      <w:r>
        <w:rPr>
          <w:rFonts w:hint="eastAsia" w:ascii="仿宋_GB2312" w:hAnsi="仿宋" w:eastAsia="仿宋_GB2312" w:cs="仿宋_GB2312"/>
          <w:b w:val="0"/>
          <w:bCs/>
          <w:color w:val="auto"/>
          <w:sz w:val="21"/>
          <w:szCs w:val="21"/>
          <w:highlight w:val="none"/>
          <w:lang w:val="en-US" w:eastAsia="zh-CN"/>
        </w:rPr>
        <w:t>一系列开展日常工作所需设施、设备</w:t>
      </w:r>
      <w:r>
        <w:rPr>
          <w:rFonts w:hint="eastAsia" w:ascii="仿宋_GB2312" w:hAnsi="仿宋" w:eastAsia="仿宋_GB2312" w:cs="仿宋_GB2312"/>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lang w:val="en-US" w:eastAsia="zh-CN"/>
        </w:rPr>
      </w:pPr>
      <w:r>
        <w:rPr>
          <w:rFonts w:hint="eastAsia" w:ascii="仿宋_GB2312" w:hAnsi="仿宋" w:eastAsia="仿宋_GB2312" w:cs="仿宋_GB2312"/>
          <w:b w:val="0"/>
          <w:bCs/>
          <w:color w:val="auto"/>
          <w:sz w:val="21"/>
          <w:szCs w:val="21"/>
          <w:highlight w:val="none"/>
          <w:lang w:val="en-US" w:eastAsia="zh-CN"/>
        </w:rPr>
        <w:t>4、乙方</w:t>
      </w:r>
      <w:r>
        <w:rPr>
          <w:rFonts w:hint="eastAsia" w:ascii="仿宋_GB2312" w:hAnsi="仿宋" w:eastAsia="仿宋_GB2312" w:cs="仿宋_GB2312"/>
          <w:b w:val="0"/>
          <w:bCs/>
          <w:color w:val="auto"/>
          <w:sz w:val="21"/>
          <w:szCs w:val="21"/>
          <w:highlight w:val="none"/>
        </w:rPr>
        <w:t>自备巡查汽车</w:t>
      </w:r>
      <w:r>
        <w:rPr>
          <w:rFonts w:hint="eastAsia" w:ascii="仿宋_GB2312" w:hAnsi="仿宋" w:eastAsia="仿宋_GB2312" w:cs="仿宋_GB2312"/>
          <w:b w:val="0"/>
          <w:bCs/>
          <w:color w:val="auto"/>
          <w:sz w:val="21"/>
          <w:szCs w:val="21"/>
          <w:highlight w:val="none"/>
          <w:lang w:val="en-US" w:eastAsia="zh-CN"/>
        </w:rPr>
        <w:t>六</w:t>
      </w:r>
      <w:r>
        <w:rPr>
          <w:rFonts w:hint="eastAsia" w:ascii="仿宋_GB2312" w:hAnsi="仿宋" w:eastAsia="仿宋_GB2312" w:cs="仿宋_GB2312"/>
          <w:b w:val="0"/>
          <w:bCs/>
          <w:color w:val="auto"/>
          <w:sz w:val="21"/>
          <w:szCs w:val="21"/>
          <w:highlight w:val="none"/>
        </w:rPr>
        <w:t>辆</w:t>
      </w:r>
      <w:r>
        <w:rPr>
          <w:rFonts w:hint="eastAsia" w:ascii="仿宋_GB2312" w:hAnsi="仿宋" w:eastAsia="仿宋_GB2312" w:cs="仿宋_GB2312"/>
          <w:b w:val="0"/>
          <w:bCs/>
          <w:color w:val="auto"/>
          <w:sz w:val="21"/>
          <w:szCs w:val="21"/>
          <w:highlight w:val="none"/>
          <w:lang w:eastAsia="zh-CN"/>
        </w:rPr>
        <w:t>（</w:t>
      </w:r>
      <w:r>
        <w:rPr>
          <w:rFonts w:hint="eastAsia" w:ascii="仿宋_GB2312" w:hAnsi="仿宋" w:eastAsia="仿宋_GB2312" w:cs="仿宋_GB2312"/>
          <w:b w:val="0"/>
          <w:bCs/>
          <w:color w:val="auto"/>
          <w:sz w:val="21"/>
          <w:szCs w:val="21"/>
          <w:highlight w:val="none"/>
          <w:lang w:val="en-US" w:eastAsia="zh-CN"/>
        </w:rPr>
        <w:t>其中一辆要求全新购置，购置费用不低于十万元</w:t>
      </w:r>
      <w:r>
        <w:rPr>
          <w:rFonts w:hint="eastAsia" w:ascii="仿宋_GB2312" w:hAnsi="仿宋" w:eastAsia="仿宋_GB2312" w:cs="仿宋_GB2312"/>
          <w:b w:val="0"/>
          <w:bCs/>
          <w:color w:val="auto"/>
          <w:sz w:val="21"/>
          <w:szCs w:val="21"/>
          <w:highlight w:val="none"/>
          <w:lang w:eastAsia="zh-CN"/>
        </w:rPr>
        <w:t>）</w:t>
      </w:r>
      <w:r>
        <w:rPr>
          <w:rFonts w:hint="eastAsia" w:ascii="仿宋_GB2312" w:hAnsi="仿宋" w:eastAsia="仿宋_GB2312" w:cs="仿宋_GB2312"/>
          <w:b w:val="0"/>
          <w:bCs/>
          <w:color w:val="auto"/>
          <w:sz w:val="21"/>
          <w:szCs w:val="21"/>
          <w:highlight w:val="none"/>
        </w:rPr>
        <w:t>，单兵执法仪</w:t>
      </w:r>
      <w:r>
        <w:rPr>
          <w:rFonts w:hint="eastAsia" w:ascii="仿宋_GB2312" w:hAnsi="仿宋" w:eastAsia="仿宋_GB2312" w:cs="仿宋_GB2312"/>
          <w:b w:val="0"/>
          <w:bCs/>
          <w:color w:val="auto"/>
          <w:sz w:val="21"/>
          <w:szCs w:val="21"/>
          <w:highlight w:val="none"/>
          <w:lang w:val="en-US" w:eastAsia="zh-CN"/>
        </w:rPr>
        <w:t>5</w:t>
      </w:r>
      <w:r>
        <w:rPr>
          <w:rFonts w:hint="eastAsia" w:ascii="仿宋_GB2312" w:hAnsi="仿宋" w:eastAsia="仿宋_GB2312" w:cs="仿宋_GB2312"/>
          <w:b w:val="0"/>
          <w:bCs/>
          <w:color w:val="auto"/>
          <w:sz w:val="21"/>
          <w:szCs w:val="21"/>
          <w:highlight w:val="none"/>
        </w:rPr>
        <w:t>台，笔记本电脑</w:t>
      </w:r>
      <w:r>
        <w:rPr>
          <w:rFonts w:hint="eastAsia" w:ascii="仿宋_GB2312" w:hAnsi="仿宋" w:eastAsia="仿宋_GB2312" w:cs="仿宋_GB2312"/>
          <w:b w:val="0"/>
          <w:bCs/>
          <w:color w:val="auto"/>
          <w:sz w:val="21"/>
          <w:szCs w:val="21"/>
          <w:highlight w:val="none"/>
          <w:lang w:val="en-US" w:eastAsia="zh-CN"/>
        </w:rPr>
        <w:t>10</w:t>
      </w:r>
      <w:r>
        <w:rPr>
          <w:rFonts w:hint="eastAsia" w:ascii="仿宋_GB2312" w:hAnsi="仿宋" w:eastAsia="仿宋_GB2312" w:cs="仿宋_GB2312"/>
          <w:b w:val="0"/>
          <w:bCs/>
          <w:color w:val="auto"/>
          <w:sz w:val="21"/>
          <w:szCs w:val="21"/>
          <w:highlight w:val="none"/>
        </w:rPr>
        <w:t>台</w:t>
      </w:r>
      <w:r>
        <w:rPr>
          <w:rFonts w:hint="eastAsia" w:ascii="仿宋_GB2312" w:hAnsi="仿宋" w:eastAsia="仿宋_GB2312" w:cs="仿宋_GB2312"/>
          <w:b w:val="0"/>
          <w:bCs/>
          <w:color w:val="auto"/>
          <w:sz w:val="21"/>
          <w:szCs w:val="21"/>
          <w:highlight w:val="none"/>
          <w:lang w:val="en-US" w:eastAsia="zh-CN"/>
        </w:rPr>
        <w:t>，交通工具产生的一系列费用均由乙方自行承担。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仿宋_GB2312" w:hAnsi="仿宋" w:eastAsia="仿宋_GB2312" w:cs="仿宋_GB2312"/>
          <w:b w:val="0"/>
          <w:bCs/>
          <w:color w:val="auto"/>
          <w:sz w:val="21"/>
          <w:szCs w:val="21"/>
          <w:highlight w:val="none"/>
          <w:lang w:val="en-US" w:eastAsia="zh-CN"/>
        </w:rPr>
      </w:pPr>
      <w:r>
        <w:rPr>
          <w:rFonts w:hint="eastAsia" w:ascii="仿宋_GB2312" w:hAnsi="仿宋" w:eastAsia="仿宋_GB2312" w:cs="仿宋_GB2312"/>
          <w:b w:val="0"/>
          <w:bCs/>
          <w:color w:val="auto"/>
          <w:sz w:val="21"/>
          <w:szCs w:val="21"/>
          <w:highlight w:val="none"/>
          <w:lang w:val="en-US" w:eastAsia="zh-CN"/>
        </w:rPr>
        <w:t>5</w:t>
      </w:r>
      <w:r>
        <w:rPr>
          <w:rFonts w:hint="default" w:ascii="仿宋_GB2312" w:hAnsi="仿宋" w:eastAsia="仿宋_GB2312" w:cs="仿宋_GB2312"/>
          <w:b w:val="0"/>
          <w:bCs/>
          <w:color w:val="auto"/>
          <w:sz w:val="21"/>
          <w:szCs w:val="21"/>
          <w:highlight w:val="none"/>
          <w:lang w:val="en-US" w:eastAsia="zh-CN"/>
        </w:rPr>
        <w:t>、</w:t>
      </w:r>
      <w:r>
        <w:rPr>
          <w:rFonts w:hint="eastAsia" w:ascii="仿宋_GB2312" w:hAnsi="仿宋" w:eastAsia="仿宋_GB2312" w:cs="仿宋_GB2312"/>
          <w:b w:val="0"/>
          <w:bCs/>
          <w:color w:val="auto"/>
          <w:sz w:val="21"/>
          <w:szCs w:val="21"/>
          <w:highlight w:val="none"/>
          <w:lang w:val="en-US" w:eastAsia="zh-CN"/>
        </w:rPr>
        <w:t>乙方</w:t>
      </w:r>
      <w:r>
        <w:rPr>
          <w:rFonts w:hint="default" w:ascii="仿宋_GB2312" w:hAnsi="仿宋" w:eastAsia="仿宋_GB2312" w:cs="仿宋_GB2312"/>
          <w:b w:val="0"/>
          <w:bCs/>
          <w:color w:val="auto"/>
          <w:sz w:val="21"/>
          <w:szCs w:val="21"/>
          <w:highlight w:val="none"/>
          <w:lang w:val="en-US" w:eastAsia="zh-CN"/>
        </w:rPr>
        <w:t>应规范作业。</w:t>
      </w:r>
      <w:r>
        <w:rPr>
          <w:rFonts w:hint="eastAsia" w:ascii="仿宋_GB2312" w:hAnsi="仿宋" w:eastAsia="仿宋_GB2312" w:cs="仿宋_GB2312"/>
          <w:b w:val="0"/>
          <w:bCs/>
          <w:color w:val="auto"/>
          <w:sz w:val="21"/>
          <w:szCs w:val="21"/>
          <w:highlight w:val="none"/>
          <w:lang w:val="en-US" w:eastAsia="zh-CN"/>
        </w:rPr>
        <w:t>工作</w:t>
      </w:r>
      <w:r>
        <w:rPr>
          <w:rFonts w:hint="default" w:ascii="仿宋_GB2312" w:hAnsi="仿宋" w:eastAsia="仿宋_GB2312" w:cs="仿宋_GB2312"/>
          <w:b w:val="0"/>
          <w:bCs/>
          <w:color w:val="auto"/>
          <w:sz w:val="21"/>
          <w:szCs w:val="21"/>
          <w:highlight w:val="none"/>
          <w:lang w:val="en-US" w:eastAsia="zh-CN"/>
        </w:rPr>
        <w:t>期内不做与</w:t>
      </w:r>
      <w:r>
        <w:rPr>
          <w:rFonts w:hint="eastAsia" w:ascii="仿宋_GB2312" w:hAnsi="仿宋" w:eastAsia="仿宋_GB2312" w:cs="仿宋_GB2312"/>
          <w:b w:val="0"/>
          <w:bCs/>
          <w:color w:val="auto"/>
          <w:sz w:val="21"/>
          <w:szCs w:val="21"/>
          <w:highlight w:val="none"/>
          <w:lang w:val="en-US" w:eastAsia="zh-CN"/>
        </w:rPr>
        <w:t>工作</w:t>
      </w:r>
      <w:r>
        <w:rPr>
          <w:rFonts w:hint="default" w:ascii="仿宋_GB2312" w:hAnsi="仿宋" w:eastAsia="仿宋_GB2312" w:cs="仿宋_GB2312"/>
          <w:b w:val="0"/>
          <w:bCs/>
          <w:color w:val="auto"/>
          <w:sz w:val="21"/>
          <w:szCs w:val="21"/>
          <w:highlight w:val="none"/>
          <w:lang w:val="en-US" w:eastAsia="zh-CN"/>
        </w:rPr>
        <w:t>无关的事；须遵守</w:t>
      </w:r>
      <w:r>
        <w:rPr>
          <w:rFonts w:hint="eastAsia" w:ascii="仿宋_GB2312" w:hAnsi="仿宋" w:eastAsia="仿宋_GB2312" w:cs="仿宋_GB2312"/>
          <w:b w:val="0"/>
          <w:bCs/>
          <w:color w:val="auto"/>
          <w:sz w:val="21"/>
          <w:szCs w:val="21"/>
          <w:highlight w:val="none"/>
          <w:lang w:val="en-US" w:eastAsia="zh-CN"/>
        </w:rPr>
        <w:t>街道</w:t>
      </w:r>
      <w:r>
        <w:rPr>
          <w:rFonts w:hint="default" w:ascii="仿宋_GB2312" w:hAnsi="仿宋" w:eastAsia="仿宋_GB2312" w:cs="仿宋_GB2312"/>
          <w:b w:val="0"/>
          <w:bCs/>
          <w:color w:val="auto"/>
          <w:sz w:val="21"/>
          <w:szCs w:val="21"/>
          <w:highlight w:val="none"/>
          <w:lang w:val="en-US" w:eastAsia="zh-CN"/>
        </w:rPr>
        <w:t>的规章制度，执行相应的工作要求。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仿宋_GB2312" w:hAnsi="仿宋" w:eastAsia="仿宋_GB2312" w:cs="仿宋_GB2312"/>
          <w:b w:val="0"/>
          <w:bCs/>
          <w:color w:val="auto"/>
          <w:sz w:val="21"/>
          <w:szCs w:val="21"/>
          <w:highlight w:val="none"/>
          <w:lang w:val="en-US" w:eastAsia="zh-CN"/>
        </w:rPr>
      </w:pPr>
      <w:r>
        <w:rPr>
          <w:rFonts w:hint="eastAsia" w:ascii="仿宋_GB2312" w:hAnsi="仿宋" w:eastAsia="仿宋_GB2312" w:cs="仿宋_GB2312"/>
          <w:b w:val="0"/>
          <w:bCs/>
          <w:color w:val="auto"/>
          <w:sz w:val="21"/>
          <w:szCs w:val="21"/>
          <w:highlight w:val="none"/>
          <w:lang w:val="en-US" w:eastAsia="zh-CN"/>
        </w:rPr>
        <w:t>6</w:t>
      </w:r>
      <w:r>
        <w:rPr>
          <w:rFonts w:hint="default" w:ascii="仿宋_GB2312" w:hAnsi="仿宋" w:eastAsia="仿宋_GB2312" w:cs="仿宋_GB2312"/>
          <w:b w:val="0"/>
          <w:bCs/>
          <w:color w:val="auto"/>
          <w:sz w:val="21"/>
          <w:szCs w:val="21"/>
          <w:highlight w:val="none"/>
          <w:lang w:val="en-US" w:eastAsia="zh-CN"/>
        </w:rPr>
        <w:t>、</w:t>
      </w:r>
      <w:r>
        <w:rPr>
          <w:rFonts w:hint="eastAsia" w:ascii="仿宋_GB2312" w:hAnsi="仿宋" w:eastAsia="仿宋_GB2312" w:cs="仿宋_GB2312"/>
          <w:b w:val="0"/>
          <w:bCs/>
          <w:color w:val="auto"/>
          <w:sz w:val="21"/>
          <w:szCs w:val="21"/>
          <w:highlight w:val="none"/>
          <w:lang w:val="en-US" w:eastAsia="zh-CN"/>
        </w:rPr>
        <w:t>乙方</w:t>
      </w:r>
      <w:r>
        <w:rPr>
          <w:rFonts w:hint="default" w:ascii="仿宋_GB2312" w:hAnsi="仿宋" w:eastAsia="仿宋_GB2312" w:cs="仿宋_GB2312"/>
          <w:b w:val="0"/>
          <w:bCs/>
          <w:color w:val="auto"/>
          <w:sz w:val="21"/>
          <w:szCs w:val="21"/>
          <w:highlight w:val="none"/>
          <w:lang w:val="en-US" w:eastAsia="zh-CN"/>
        </w:rPr>
        <w:t>必须采取切实有效措施保持</w:t>
      </w:r>
      <w:r>
        <w:rPr>
          <w:rFonts w:hint="eastAsia" w:ascii="仿宋_GB2312" w:hAnsi="仿宋" w:eastAsia="仿宋_GB2312" w:cs="仿宋_GB2312"/>
          <w:b w:val="0"/>
          <w:bCs/>
          <w:color w:val="auto"/>
          <w:sz w:val="21"/>
          <w:szCs w:val="21"/>
          <w:highlight w:val="none"/>
          <w:lang w:val="en-US" w:eastAsia="zh-CN"/>
        </w:rPr>
        <w:t>团队</w:t>
      </w:r>
      <w:r>
        <w:rPr>
          <w:rFonts w:hint="default" w:ascii="仿宋_GB2312" w:hAnsi="仿宋" w:eastAsia="仿宋_GB2312" w:cs="仿宋_GB2312"/>
          <w:b w:val="0"/>
          <w:bCs/>
          <w:color w:val="auto"/>
          <w:sz w:val="21"/>
          <w:szCs w:val="21"/>
          <w:highlight w:val="none"/>
          <w:lang w:val="en-US" w:eastAsia="zh-CN"/>
        </w:rPr>
        <w:t>的稳定。项目负责人</w:t>
      </w:r>
      <w:r>
        <w:rPr>
          <w:rFonts w:hint="eastAsia" w:ascii="仿宋_GB2312" w:hAnsi="仿宋" w:eastAsia="仿宋_GB2312" w:cs="仿宋_GB2312"/>
          <w:b w:val="0"/>
          <w:bCs/>
          <w:color w:val="auto"/>
          <w:sz w:val="21"/>
          <w:szCs w:val="21"/>
          <w:highlight w:val="none"/>
          <w:lang w:val="en-US" w:eastAsia="zh-CN"/>
        </w:rPr>
        <w:t>原则上不得更换，确需</w:t>
      </w:r>
      <w:r>
        <w:rPr>
          <w:rFonts w:hint="default" w:ascii="仿宋_GB2312" w:hAnsi="仿宋" w:eastAsia="仿宋_GB2312" w:cs="仿宋_GB2312"/>
          <w:b w:val="0"/>
          <w:bCs/>
          <w:color w:val="auto"/>
          <w:sz w:val="21"/>
          <w:szCs w:val="21"/>
          <w:highlight w:val="none"/>
          <w:lang w:val="en-US" w:eastAsia="zh-CN"/>
        </w:rPr>
        <w:t>更换</w:t>
      </w:r>
      <w:r>
        <w:rPr>
          <w:rFonts w:hint="eastAsia" w:ascii="仿宋_GB2312" w:hAnsi="仿宋" w:eastAsia="仿宋_GB2312" w:cs="仿宋_GB2312"/>
          <w:b w:val="0"/>
          <w:bCs/>
          <w:color w:val="auto"/>
          <w:sz w:val="21"/>
          <w:szCs w:val="21"/>
          <w:highlight w:val="none"/>
          <w:lang w:val="en-US" w:eastAsia="zh-CN"/>
        </w:rPr>
        <w:t>的</w:t>
      </w:r>
      <w:r>
        <w:rPr>
          <w:rFonts w:hint="default" w:ascii="仿宋_GB2312" w:hAnsi="仿宋" w:eastAsia="仿宋_GB2312" w:cs="仿宋_GB2312"/>
          <w:b w:val="0"/>
          <w:bCs/>
          <w:color w:val="auto"/>
          <w:sz w:val="21"/>
          <w:szCs w:val="21"/>
          <w:highlight w:val="none"/>
          <w:lang w:val="en-US" w:eastAsia="zh-CN"/>
        </w:rPr>
        <w:t>，应提前一个月以书面形式通知</w:t>
      </w:r>
      <w:r>
        <w:rPr>
          <w:rFonts w:hint="eastAsia" w:ascii="仿宋_GB2312" w:hAnsi="仿宋" w:eastAsia="仿宋_GB2312" w:cs="仿宋_GB2312"/>
          <w:b w:val="0"/>
          <w:bCs/>
          <w:color w:val="auto"/>
          <w:sz w:val="21"/>
          <w:szCs w:val="21"/>
          <w:highlight w:val="none"/>
          <w:lang w:val="en-US" w:eastAsia="zh-CN"/>
        </w:rPr>
        <w:t>甲方，经甲方同意后方可更换</w:t>
      </w:r>
      <w:r>
        <w:rPr>
          <w:rFonts w:hint="default" w:ascii="仿宋_GB2312" w:hAnsi="仿宋" w:eastAsia="仿宋_GB2312" w:cs="仿宋_GB2312"/>
          <w:b w:val="0"/>
          <w:bCs/>
          <w:color w:val="auto"/>
          <w:sz w:val="21"/>
          <w:szCs w:val="21"/>
          <w:highlight w:val="none"/>
          <w:lang w:val="en-US" w:eastAsia="zh-CN"/>
        </w:rPr>
        <w:t>，其他</w:t>
      </w:r>
      <w:r>
        <w:rPr>
          <w:rFonts w:hint="eastAsia" w:ascii="仿宋_GB2312" w:hAnsi="仿宋" w:eastAsia="仿宋_GB2312" w:cs="仿宋_GB2312"/>
          <w:b w:val="0"/>
          <w:bCs/>
          <w:color w:val="auto"/>
          <w:sz w:val="21"/>
          <w:szCs w:val="21"/>
          <w:highlight w:val="none"/>
          <w:lang w:val="en-US" w:eastAsia="zh-CN"/>
        </w:rPr>
        <w:t>成员</w:t>
      </w:r>
      <w:r>
        <w:rPr>
          <w:rFonts w:hint="default" w:ascii="仿宋_GB2312" w:hAnsi="仿宋" w:eastAsia="仿宋_GB2312" w:cs="仿宋_GB2312"/>
          <w:b w:val="0"/>
          <w:bCs/>
          <w:color w:val="auto"/>
          <w:sz w:val="21"/>
          <w:szCs w:val="21"/>
          <w:highlight w:val="none"/>
          <w:lang w:val="en-US" w:eastAsia="zh-CN"/>
        </w:rPr>
        <w:t>更换要提前</w:t>
      </w:r>
      <w:r>
        <w:rPr>
          <w:rFonts w:hint="eastAsia" w:ascii="仿宋_GB2312" w:hAnsi="仿宋" w:eastAsia="仿宋_GB2312" w:cs="仿宋_GB2312"/>
          <w:b w:val="0"/>
          <w:bCs/>
          <w:color w:val="auto"/>
          <w:sz w:val="21"/>
          <w:szCs w:val="21"/>
          <w:highlight w:val="none"/>
          <w:lang w:val="en-US" w:eastAsia="zh-CN"/>
        </w:rPr>
        <w:t>一周</w:t>
      </w:r>
      <w:r>
        <w:rPr>
          <w:rFonts w:hint="default" w:ascii="仿宋_GB2312" w:hAnsi="仿宋" w:eastAsia="仿宋_GB2312" w:cs="仿宋_GB2312"/>
          <w:b w:val="0"/>
          <w:bCs/>
          <w:color w:val="auto"/>
          <w:sz w:val="21"/>
          <w:szCs w:val="21"/>
          <w:highlight w:val="none"/>
          <w:lang w:val="en-US" w:eastAsia="zh-CN"/>
        </w:rPr>
        <w:t>告知</w:t>
      </w:r>
      <w:r>
        <w:rPr>
          <w:rFonts w:hint="eastAsia" w:ascii="仿宋_GB2312" w:hAnsi="仿宋" w:eastAsia="仿宋_GB2312" w:cs="仿宋_GB2312"/>
          <w:b w:val="0"/>
          <w:bCs/>
          <w:color w:val="auto"/>
          <w:sz w:val="21"/>
          <w:szCs w:val="21"/>
          <w:highlight w:val="none"/>
          <w:lang w:val="en-US" w:eastAsia="zh-CN"/>
        </w:rPr>
        <w:t>甲方</w:t>
      </w:r>
      <w:r>
        <w:rPr>
          <w:rFonts w:hint="default" w:ascii="仿宋_GB2312" w:hAnsi="仿宋" w:eastAsia="仿宋_GB2312" w:cs="仿宋_GB2312"/>
          <w:b w:val="0"/>
          <w:bCs/>
          <w:color w:val="auto"/>
          <w:sz w:val="21"/>
          <w:szCs w:val="21"/>
          <w:highlight w:val="none"/>
          <w:lang w:val="en-US" w:eastAsia="zh-CN"/>
        </w:rPr>
        <w:t>；确保服务质量不因人员变动而受影响</w:t>
      </w:r>
      <w:r>
        <w:rPr>
          <w:rFonts w:hint="eastAsia" w:ascii="仿宋_GB2312" w:hAnsi="仿宋" w:eastAsia="仿宋_GB2312" w:cs="仿宋_GB2312"/>
          <w:b w:val="0"/>
          <w:bCs/>
          <w:color w:val="auto"/>
          <w:sz w:val="21"/>
          <w:szCs w:val="21"/>
          <w:highlight w:val="none"/>
          <w:lang w:val="en-US" w:eastAsia="zh-CN"/>
        </w:rPr>
        <w:t>。</w:t>
      </w:r>
      <w:r>
        <w:rPr>
          <w:rFonts w:hint="default" w:ascii="仿宋_GB2312" w:hAnsi="仿宋" w:eastAsia="仿宋_GB2312" w:cs="仿宋_GB2312"/>
          <w:b w:val="0"/>
          <w:bCs/>
          <w:color w:val="auto"/>
          <w:sz w:val="21"/>
          <w:szCs w:val="21"/>
          <w:highlight w:val="none"/>
          <w:lang w:val="en-US" w:eastAsia="zh-CN"/>
        </w:rPr>
        <w:t>鉴于工作的特殊性，要求服务人员</w:t>
      </w:r>
      <w:r>
        <w:rPr>
          <w:rFonts w:hint="eastAsia" w:ascii="仿宋_GB2312" w:hAnsi="仿宋" w:eastAsia="仿宋_GB2312" w:cs="仿宋_GB2312"/>
          <w:b w:val="0"/>
          <w:bCs/>
          <w:color w:val="auto"/>
          <w:sz w:val="21"/>
          <w:szCs w:val="21"/>
          <w:highlight w:val="none"/>
          <w:lang w:val="en-US" w:eastAsia="zh-CN"/>
        </w:rPr>
        <w:t>服务期间总</w:t>
      </w:r>
      <w:r>
        <w:rPr>
          <w:rFonts w:hint="default" w:ascii="仿宋_GB2312" w:hAnsi="仿宋" w:eastAsia="仿宋_GB2312" w:cs="仿宋_GB2312"/>
          <w:b w:val="0"/>
          <w:bCs/>
          <w:color w:val="auto"/>
          <w:sz w:val="21"/>
          <w:szCs w:val="21"/>
          <w:highlight w:val="none"/>
          <w:lang w:val="en-US" w:eastAsia="zh-CN"/>
        </w:rPr>
        <w:t xml:space="preserve">变动率不得高于 </w:t>
      </w:r>
      <w:r>
        <w:rPr>
          <w:rFonts w:hint="eastAsia" w:ascii="仿宋_GB2312" w:hAnsi="仿宋" w:eastAsia="仿宋_GB2312" w:cs="仿宋_GB2312"/>
          <w:b w:val="0"/>
          <w:bCs/>
          <w:color w:val="auto"/>
          <w:sz w:val="21"/>
          <w:szCs w:val="21"/>
          <w:highlight w:val="none"/>
          <w:lang w:val="en-US" w:eastAsia="zh-CN"/>
        </w:rPr>
        <w:t>3</w:t>
      </w:r>
      <w:r>
        <w:rPr>
          <w:rFonts w:hint="default" w:ascii="仿宋_GB2312" w:hAnsi="仿宋" w:eastAsia="仿宋_GB2312" w:cs="仿宋_GB2312"/>
          <w:b w:val="0"/>
          <w:bCs/>
          <w:color w:val="auto"/>
          <w:sz w:val="21"/>
          <w:szCs w:val="21"/>
          <w:highlight w:val="none"/>
          <w:lang w:val="en-US" w:eastAsia="zh-CN"/>
        </w:rPr>
        <w:t>0%。</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仿宋_GB2312" w:hAnsi="仿宋" w:eastAsia="仿宋_GB2312" w:cs="仿宋_GB2312"/>
          <w:b w:val="0"/>
          <w:bCs/>
          <w:color w:val="auto"/>
          <w:sz w:val="21"/>
          <w:szCs w:val="21"/>
          <w:highlight w:val="none"/>
          <w:lang w:val="en-US" w:eastAsia="zh-CN"/>
        </w:rPr>
      </w:pPr>
      <w:r>
        <w:rPr>
          <w:rFonts w:hint="default" w:ascii="仿宋_GB2312" w:hAnsi="仿宋" w:eastAsia="仿宋_GB2312" w:cs="仿宋_GB2312"/>
          <w:b w:val="0"/>
          <w:bCs/>
          <w:color w:val="auto"/>
          <w:sz w:val="21"/>
          <w:szCs w:val="21"/>
          <w:highlight w:val="none"/>
          <w:lang w:val="en-US" w:eastAsia="zh-CN"/>
        </w:rPr>
        <w:t>7、中标人对采购人提供的所有资料信息，以及在技术服务过程中可能接触到的采购人及辖区内220余家企业方的技术、商业、经济等秘密，除非有法律和行政要求，中标人不得向任何第三方泄露，否则后果自负并承担相应的法律责任。</w:t>
      </w:r>
    </w:p>
    <w:p>
      <w:pPr>
        <w:keepNext w:val="0"/>
        <w:keepLines w:val="0"/>
        <w:pageBreakBefore w:val="0"/>
        <w:widowControl w:val="0"/>
        <w:kinsoku/>
        <w:wordWrap/>
        <w:overflowPunct/>
        <w:topLinePunct w:val="0"/>
        <w:bidi w:val="0"/>
        <w:adjustRightInd/>
        <w:snapToGrid/>
        <w:spacing w:before="190" w:beforeLines="50" w:line="360" w:lineRule="auto"/>
        <w:textAlignment w:val="auto"/>
        <w:rPr>
          <w:rFonts w:hint="default" w:ascii="仿宋" w:hAnsi="仿宋" w:eastAsia="仿宋" w:cs="仿宋"/>
          <w:b/>
          <w:bCs/>
          <w:szCs w:val="21"/>
          <w:lang w:val="en-US"/>
        </w:rPr>
      </w:pPr>
      <w:r>
        <w:rPr>
          <w:rFonts w:hint="eastAsia" w:ascii="仿宋" w:hAnsi="仿宋" w:eastAsia="仿宋" w:cs="仿宋"/>
          <w:b/>
          <w:bCs/>
          <w:szCs w:val="21"/>
          <w:lang w:val="en-US" w:eastAsia="zh-CN"/>
        </w:rPr>
        <w:t>三、服务内容及有关要求</w:t>
      </w:r>
    </w:p>
    <w:p>
      <w:pPr>
        <w:spacing w:line="360" w:lineRule="auto"/>
        <w:ind w:firstLine="315" w:firstLineChars="150"/>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w:t>
      </w:r>
      <w:r>
        <w:rPr>
          <w:rFonts w:hint="eastAsia" w:ascii="仿宋_GB2312" w:hAnsi="仿宋" w:eastAsia="仿宋_GB2312" w:cs="仿宋_GB2312"/>
          <w:b w:val="0"/>
          <w:bCs/>
          <w:color w:val="auto"/>
          <w:sz w:val="21"/>
          <w:szCs w:val="21"/>
          <w:highlight w:val="none"/>
          <w:lang w:val="en-US" w:eastAsia="zh-CN"/>
        </w:rPr>
        <w:t>一</w:t>
      </w:r>
      <w:r>
        <w:rPr>
          <w:rFonts w:hint="eastAsia" w:ascii="仿宋_GB2312" w:hAnsi="仿宋" w:eastAsia="仿宋_GB2312" w:cs="仿宋_GB2312"/>
          <w:b w:val="0"/>
          <w:bCs/>
          <w:color w:val="auto"/>
          <w:sz w:val="21"/>
          <w:szCs w:val="21"/>
          <w:highlight w:val="none"/>
        </w:rPr>
        <w:t>）安全隐患排查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对辖区内</w:t>
      </w:r>
      <w:r>
        <w:rPr>
          <w:rFonts w:hint="eastAsia" w:ascii="仿宋_GB2312" w:hAnsi="仿宋" w:eastAsia="仿宋_GB2312" w:cs="仿宋_GB2312"/>
          <w:b w:val="0"/>
          <w:bCs/>
          <w:color w:val="auto"/>
          <w:sz w:val="21"/>
          <w:szCs w:val="21"/>
          <w:highlight w:val="none"/>
          <w:lang w:val="en-US" w:eastAsia="zh-CN"/>
        </w:rPr>
        <w:t>220</w:t>
      </w:r>
      <w:r>
        <w:rPr>
          <w:rFonts w:hint="eastAsia" w:ascii="仿宋_GB2312" w:hAnsi="仿宋" w:eastAsia="仿宋_GB2312" w:cs="仿宋_GB2312"/>
          <w:b w:val="0"/>
          <w:bCs/>
          <w:color w:val="auto"/>
          <w:sz w:val="21"/>
          <w:szCs w:val="21"/>
          <w:highlight w:val="none"/>
        </w:rPr>
        <w:t>余家企业</w:t>
      </w:r>
      <w:r>
        <w:rPr>
          <w:rFonts w:hint="eastAsia" w:ascii="仿宋_GB2312" w:hAnsi="仿宋" w:eastAsia="仿宋_GB2312" w:cs="仿宋_GB2312"/>
          <w:b w:val="0"/>
          <w:bCs/>
          <w:color w:val="auto"/>
          <w:sz w:val="21"/>
          <w:szCs w:val="21"/>
          <w:highlight w:val="none"/>
          <w:lang w:eastAsia="zh-CN"/>
        </w:rPr>
        <w:t>（服务期内，</w:t>
      </w:r>
      <w:r>
        <w:rPr>
          <w:rFonts w:hint="eastAsia" w:ascii="仿宋_GB2312" w:hAnsi="仿宋" w:eastAsia="仿宋_GB2312" w:cs="仿宋_GB2312"/>
          <w:b w:val="0"/>
          <w:bCs/>
          <w:color w:val="auto"/>
          <w:sz w:val="21"/>
          <w:szCs w:val="21"/>
          <w:highlight w:val="none"/>
          <w:lang w:val="en-US" w:eastAsia="zh-CN"/>
        </w:rPr>
        <w:t>甲方</w:t>
      </w:r>
      <w:r>
        <w:rPr>
          <w:rFonts w:hint="eastAsia" w:ascii="仿宋_GB2312" w:hAnsi="仿宋" w:eastAsia="仿宋_GB2312" w:cs="仿宋_GB2312"/>
          <w:b w:val="0"/>
          <w:bCs/>
          <w:color w:val="auto"/>
          <w:sz w:val="21"/>
          <w:szCs w:val="21"/>
          <w:highlight w:val="none"/>
          <w:lang w:eastAsia="zh-CN"/>
        </w:rPr>
        <w:t>可根据企业新建、关停等情况对企业名单作相应调整）</w:t>
      </w:r>
      <w:r>
        <w:rPr>
          <w:rFonts w:hint="eastAsia" w:ascii="仿宋_GB2312" w:hAnsi="仿宋" w:eastAsia="仿宋_GB2312" w:cs="仿宋_GB2312"/>
          <w:b w:val="0"/>
          <w:bCs/>
          <w:color w:val="auto"/>
          <w:sz w:val="21"/>
          <w:szCs w:val="21"/>
          <w:highlight w:val="none"/>
        </w:rPr>
        <w:t>进行一次全面摸底，进行体检式的安全隐患排查；并对所排查企业进行风险分级，分A、B、C、D(即红、橙、黄、蓝）四个等级，对不同等级企业实行不同的分级管控，具体检查频次如下：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仿宋_GB2312" w:hAnsi="仿宋" w:eastAsia="仿宋_GB2312" w:cs="仿宋_GB2312"/>
          <w:b w:val="0"/>
          <w:bCs/>
          <w:color w:val="auto"/>
          <w:sz w:val="21"/>
          <w:szCs w:val="21"/>
          <w:highlight w:val="none"/>
          <w:lang w:val="en-US" w:eastAsia="zh-CN"/>
        </w:rPr>
      </w:pPr>
      <w:r>
        <w:rPr>
          <w:rFonts w:hint="eastAsia" w:ascii="仿宋_GB2312" w:hAnsi="仿宋" w:eastAsia="仿宋_GB2312" w:cs="仿宋_GB2312"/>
          <w:b w:val="0"/>
          <w:bCs/>
          <w:color w:val="auto"/>
          <w:sz w:val="21"/>
          <w:szCs w:val="21"/>
          <w:highlight w:val="none"/>
        </w:rPr>
        <w:t>1、检查频次：A类企业每月不少于一次，B类企业每季度不少于一次，C、D类企业每半年不少于一次。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2、检查内容：</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应按照国家现行有关法律法规和规范标准，对被服务企业的总平面布局、平面布置、生产设施及工艺安全、作业安全、安全教育培训、风险识别告知、安全警示标志、危险化学品储存、隐患排查治理、劳动防护、应急救援及实操方案、立罐、水池等建构筑物的安全性、安全生产相关台账等内容开展全面体检式隐患排查、整改指导及整改确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w:t>
      </w:r>
      <w:r>
        <w:rPr>
          <w:rFonts w:hint="eastAsia" w:ascii="仿宋_GB2312" w:hAnsi="仿宋" w:eastAsia="仿宋_GB2312" w:cs="仿宋_GB2312"/>
          <w:b w:val="0"/>
          <w:bCs/>
          <w:color w:val="auto"/>
          <w:sz w:val="21"/>
          <w:szCs w:val="21"/>
          <w:highlight w:val="none"/>
          <w:lang w:val="en-US" w:eastAsia="zh-CN"/>
        </w:rPr>
        <w:t>具体</w:t>
      </w:r>
      <w:r>
        <w:rPr>
          <w:rFonts w:hint="eastAsia" w:ascii="仿宋_GB2312" w:hAnsi="仿宋" w:eastAsia="仿宋_GB2312" w:cs="仿宋_GB2312"/>
          <w:b w:val="0"/>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3.1</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在实施检查前应提前制订详细的检查计划，包括检查组别、人员、时间、内容和标准，制定工作流程、检查结果反馈表等，建立健全检查责任制和检查过程质量控制程序，根据企业数量、特性等合理安排服务进程。检查计划需报应急管理部门备案后，方可组织实施。</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3.2</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对服务企业开展安全检查，应根据企业规模、工艺特点和类型，▲每次检查至少安排2名专业的检查人员，必须</w:t>
      </w:r>
      <w:r>
        <w:rPr>
          <w:rFonts w:hint="eastAsia" w:ascii="仿宋_GB2312" w:hAnsi="仿宋" w:eastAsia="仿宋_GB2312" w:cs="仿宋_GB2312"/>
          <w:b w:val="0"/>
          <w:bCs/>
          <w:color w:val="auto"/>
          <w:sz w:val="21"/>
          <w:szCs w:val="21"/>
          <w:highlight w:val="none"/>
          <w:lang w:val="en-US" w:eastAsia="zh-CN"/>
        </w:rPr>
        <w:t>由</w:t>
      </w:r>
      <w:r>
        <w:rPr>
          <w:rFonts w:hint="eastAsia" w:ascii="仿宋_GB2312" w:hAnsi="仿宋" w:eastAsia="仿宋_GB2312" w:cs="仿宋_GB2312"/>
          <w:b w:val="0"/>
          <w:bCs/>
          <w:color w:val="auto"/>
          <w:sz w:val="21"/>
          <w:szCs w:val="21"/>
          <w:highlight w:val="none"/>
        </w:rPr>
        <w:t>具备注册安全工程师资质</w:t>
      </w:r>
      <w:r>
        <w:rPr>
          <w:rFonts w:hint="eastAsia" w:ascii="仿宋_GB2312" w:hAnsi="仿宋" w:eastAsia="仿宋_GB2312" w:cs="仿宋_GB2312"/>
          <w:b w:val="0"/>
          <w:bCs/>
          <w:color w:val="auto"/>
          <w:sz w:val="21"/>
          <w:szCs w:val="21"/>
          <w:highlight w:val="none"/>
          <w:lang w:val="en-US" w:eastAsia="zh-CN"/>
        </w:rPr>
        <w:t>人员带队</w:t>
      </w:r>
      <w:r>
        <w:rPr>
          <w:rFonts w:hint="eastAsia" w:ascii="仿宋_GB2312" w:hAnsi="仿宋" w:eastAsia="仿宋_GB2312" w:cs="仿宋_GB2312"/>
          <w:b w:val="0"/>
          <w:bCs/>
          <w:color w:val="auto"/>
          <w:sz w:val="21"/>
          <w:szCs w:val="21"/>
          <w:highlight w:val="none"/>
        </w:rPr>
        <w:t>，综合搭配化工、安全、设备、电气、消防以及其他方面的专家。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3.3</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对服务企业开展安全生产社会化服务时，需要响应杭州市数智城市建设趋势，采用智慧监管系统，</w:t>
      </w:r>
      <w:r>
        <w:rPr>
          <w:rFonts w:hint="eastAsia" w:ascii="仿宋_GB2312" w:hAnsi="仿宋" w:eastAsia="仿宋_GB2312" w:cs="仿宋_GB2312"/>
          <w:b w:val="0"/>
          <w:bCs/>
          <w:color w:val="auto"/>
          <w:sz w:val="21"/>
          <w:szCs w:val="21"/>
          <w:highlight w:val="none"/>
          <w:lang w:val="en-US" w:eastAsia="zh-CN"/>
        </w:rPr>
        <w:t>所有检查记录、台账、数据等同步录入系统</w:t>
      </w:r>
      <w:r>
        <w:rPr>
          <w:rFonts w:hint="eastAsia" w:ascii="仿宋_GB2312" w:hAnsi="仿宋" w:eastAsia="仿宋_GB2312" w:cs="仿宋_GB2312"/>
          <w:b w:val="0"/>
          <w:bCs/>
          <w:color w:val="auto"/>
          <w:sz w:val="21"/>
          <w:szCs w:val="21"/>
          <w:highlight w:val="none"/>
        </w:rPr>
        <w:t>，方便</w:t>
      </w:r>
      <w:r>
        <w:rPr>
          <w:rFonts w:hint="eastAsia" w:ascii="仿宋_GB2312" w:hAnsi="仿宋" w:eastAsia="仿宋_GB2312" w:cs="仿宋_GB2312"/>
          <w:b w:val="0"/>
          <w:bCs/>
          <w:color w:val="auto"/>
          <w:sz w:val="21"/>
          <w:szCs w:val="21"/>
          <w:highlight w:val="none"/>
          <w:lang w:val="en-US" w:eastAsia="zh-CN"/>
        </w:rPr>
        <w:t>甲方</w:t>
      </w:r>
      <w:r>
        <w:rPr>
          <w:rFonts w:hint="eastAsia" w:ascii="仿宋_GB2312" w:hAnsi="仿宋" w:eastAsia="仿宋_GB2312" w:cs="仿宋_GB2312"/>
          <w:b w:val="0"/>
          <w:bCs/>
          <w:color w:val="auto"/>
          <w:sz w:val="21"/>
          <w:szCs w:val="21"/>
          <w:highlight w:val="none"/>
        </w:rPr>
        <w:t>随时查阅数据情况。</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3.4</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对检查中发现的典型问题和隐患应用电子设备拍摄录像详细记录形成培训教学素材。每次检查发现的隐患应与企业书面交底，提出整改意见和</w:t>
      </w:r>
      <w:r>
        <w:rPr>
          <w:rFonts w:hint="eastAsia" w:ascii="仿宋_GB2312" w:hAnsi="仿宋" w:eastAsia="仿宋_GB2312" w:cs="仿宋_GB2312"/>
          <w:b w:val="0"/>
          <w:bCs/>
          <w:color w:val="auto"/>
          <w:sz w:val="21"/>
          <w:szCs w:val="21"/>
          <w:highlight w:val="none"/>
          <w:lang w:val="en-US" w:eastAsia="zh-CN"/>
        </w:rPr>
        <w:t>督促整改</w:t>
      </w:r>
      <w:r>
        <w:rPr>
          <w:rFonts w:hint="eastAsia" w:ascii="仿宋_GB2312" w:hAnsi="仿宋" w:eastAsia="仿宋_GB2312" w:cs="仿宋_GB2312"/>
          <w:b w:val="0"/>
          <w:bCs/>
          <w:color w:val="auto"/>
          <w:sz w:val="21"/>
          <w:szCs w:val="21"/>
          <w:highlight w:val="none"/>
        </w:rPr>
        <w:t>，并将检查记录表报送至</w:t>
      </w:r>
      <w:r>
        <w:rPr>
          <w:rFonts w:hint="eastAsia" w:ascii="仿宋_GB2312" w:hAnsi="仿宋" w:eastAsia="仿宋_GB2312" w:cs="仿宋_GB2312"/>
          <w:b w:val="0"/>
          <w:bCs/>
          <w:color w:val="auto"/>
          <w:sz w:val="21"/>
          <w:szCs w:val="21"/>
          <w:highlight w:val="none"/>
          <w:lang w:val="en-US" w:eastAsia="zh-CN"/>
        </w:rPr>
        <w:t>企业所属社区及</w:t>
      </w:r>
      <w:r>
        <w:rPr>
          <w:rFonts w:hint="eastAsia" w:ascii="仿宋_GB2312" w:hAnsi="仿宋" w:eastAsia="仿宋_GB2312" w:cs="仿宋_GB2312"/>
          <w:b w:val="0"/>
          <w:bCs/>
          <w:color w:val="auto"/>
          <w:sz w:val="21"/>
          <w:szCs w:val="21"/>
          <w:highlight w:val="none"/>
        </w:rPr>
        <w:t>应急管理部门。</w:t>
      </w:r>
      <w:r>
        <w:rPr>
          <w:rFonts w:hint="eastAsia" w:ascii="仿宋_GB2312" w:hAnsi="仿宋" w:eastAsia="仿宋_GB2312" w:cs="仿宋_GB2312"/>
          <w:b w:val="0"/>
          <w:bCs/>
          <w:color w:val="auto"/>
          <w:sz w:val="21"/>
          <w:szCs w:val="21"/>
          <w:highlight w:val="none"/>
          <w:lang w:val="en-US" w:eastAsia="zh-CN"/>
        </w:rPr>
        <w:t>中标人</w:t>
      </w:r>
      <w:r>
        <w:rPr>
          <w:rFonts w:hint="eastAsia" w:ascii="仿宋_GB2312" w:hAnsi="仿宋" w:eastAsia="仿宋_GB2312" w:cs="仿宋_GB2312"/>
          <w:b w:val="0"/>
          <w:bCs/>
          <w:color w:val="auto"/>
          <w:sz w:val="21"/>
          <w:szCs w:val="21"/>
          <w:highlight w:val="none"/>
        </w:rPr>
        <w:t>在季度检查计划完成后20日内应出具专门的《企业安全隐患排查报告》，由参与工作的相关专家签名，并加盖单位印章，报送应急管理部门。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在报送下一季度《企业安全隐患排查报告》时应复核被服务企业上一季度发现隐患整改落实情况，并在《企业安全隐患排查报告》中予以明确。</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在检查过程中发现被服务企业存在重大事故隐患的，应及时报告应急管理部门。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应建立本次服务企业档案台账，一企业一档案，本项目服务企业档案台账分以下内容：① 企业基础信息调查表；②每次现场隐患排查治理服务情况；③ 服务企业整改情况确认及前后整改图片。项目结束后将以上档案做成报告书，报送应急管理部门。并将企业基本信息、排查内容、隐患问题、整改确认情况录入工业安全信息化智慧监管系统，实现数字化智慧监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3.5</w:t>
      </w:r>
      <w:r>
        <w:rPr>
          <w:rFonts w:hint="eastAsia" w:ascii="仿宋_GB2312" w:hAnsi="仿宋" w:eastAsia="仿宋_GB2312" w:cs="仿宋_GB2312"/>
          <w:b w:val="0"/>
          <w:bCs/>
          <w:color w:val="auto"/>
          <w:sz w:val="21"/>
          <w:szCs w:val="21"/>
          <w:highlight w:val="none"/>
          <w:lang w:val="en-US" w:eastAsia="zh-CN"/>
        </w:rPr>
        <w:t>一年</w:t>
      </w:r>
      <w:r>
        <w:rPr>
          <w:rFonts w:hint="eastAsia" w:ascii="仿宋_GB2312" w:hAnsi="仿宋" w:eastAsia="仿宋_GB2312" w:cs="仿宋_GB2312"/>
          <w:b w:val="0"/>
          <w:bCs/>
          <w:color w:val="auto"/>
          <w:sz w:val="21"/>
          <w:szCs w:val="21"/>
          <w:highlight w:val="none"/>
        </w:rPr>
        <w:t>服务完成后，</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应绘制区域安全风险四色分布电子地图，对所服务区域的安全生产状况进行综合分析，形成报告。总结经验，指出问题，提出合理化建议，为应急管理部门提供决策参考。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3.6</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开展安全检查要做到全方位、无死角、无遗漏。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3.7</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开展安全检查不得走过场，不得弄虚作假，不得隐瞒真实情况，对检查的真实性负法律责任。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3.8</w:t>
      </w:r>
      <w:r>
        <w:rPr>
          <w:rFonts w:hint="eastAsia" w:ascii="仿宋_GB2312" w:hAnsi="仿宋" w:eastAsia="仿宋_GB2312" w:cs="仿宋_GB2312"/>
          <w:b w:val="0"/>
          <w:bCs/>
          <w:color w:val="auto"/>
          <w:sz w:val="21"/>
          <w:szCs w:val="21"/>
          <w:highlight w:val="none"/>
          <w:lang w:val="en-US" w:eastAsia="zh-CN"/>
        </w:rPr>
        <w:t>乙方应根据甲方要求，</w:t>
      </w:r>
      <w:r>
        <w:rPr>
          <w:rFonts w:hint="eastAsia" w:ascii="仿宋_GB2312" w:hAnsi="仿宋" w:eastAsia="仿宋_GB2312" w:cs="仿宋_GB2312"/>
          <w:b w:val="0"/>
          <w:bCs/>
          <w:color w:val="auto"/>
          <w:sz w:val="21"/>
          <w:szCs w:val="21"/>
          <w:highlight w:val="none"/>
        </w:rPr>
        <w:t>开展</w:t>
      </w:r>
      <w:r>
        <w:rPr>
          <w:rFonts w:hint="eastAsia" w:ascii="仿宋_GB2312" w:hAnsi="仿宋" w:eastAsia="仿宋_GB2312" w:cs="仿宋_GB2312"/>
          <w:b w:val="0"/>
          <w:bCs/>
          <w:color w:val="auto"/>
          <w:sz w:val="21"/>
          <w:szCs w:val="21"/>
          <w:highlight w:val="none"/>
          <w:lang w:val="en-US" w:eastAsia="zh-CN"/>
        </w:rPr>
        <w:t>重点时间</w:t>
      </w:r>
      <w:r>
        <w:rPr>
          <w:rFonts w:hint="eastAsia" w:ascii="仿宋_GB2312" w:hAnsi="仿宋" w:eastAsia="仿宋_GB2312" w:cs="仿宋_GB2312"/>
          <w:b w:val="0"/>
          <w:bCs/>
          <w:color w:val="auto"/>
          <w:sz w:val="21"/>
          <w:szCs w:val="21"/>
          <w:highlight w:val="none"/>
        </w:rPr>
        <w:t>，</w:t>
      </w:r>
      <w:r>
        <w:rPr>
          <w:rFonts w:hint="eastAsia" w:ascii="仿宋_GB2312" w:hAnsi="仿宋" w:eastAsia="仿宋_GB2312" w:cs="仿宋_GB2312"/>
          <w:b w:val="0"/>
          <w:bCs/>
          <w:color w:val="auto"/>
          <w:sz w:val="21"/>
          <w:szCs w:val="21"/>
          <w:highlight w:val="none"/>
          <w:lang w:val="en-US" w:eastAsia="zh-CN"/>
        </w:rPr>
        <w:t>重点</w:t>
      </w:r>
      <w:r>
        <w:rPr>
          <w:rFonts w:hint="eastAsia" w:ascii="仿宋_GB2312" w:hAnsi="仿宋" w:eastAsia="仿宋_GB2312" w:cs="仿宋_GB2312"/>
          <w:b w:val="0"/>
          <w:bCs/>
          <w:color w:val="auto"/>
          <w:sz w:val="21"/>
          <w:szCs w:val="21"/>
          <w:highlight w:val="none"/>
        </w:rPr>
        <w:t>领域</w:t>
      </w:r>
      <w:r>
        <w:rPr>
          <w:rFonts w:hint="eastAsia" w:ascii="仿宋_GB2312" w:hAnsi="仿宋" w:eastAsia="仿宋_GB2312" w:cs="仿宋_GB2312"/>
          <w:b w:val="0"/>
          <w:bCs/>
          <w:color w:val="auto"/>
          <w:sz w:val="21"/>
          <w:szCs w:val="21"/>
          <w:highlight w:val="none"/>
          <w:lang w:eastAsia="zh-CN"/>
        </w:rPr>
        <w:t>，</w:t>
      </w:r>
      <w:r>
        <w:rPr>
          <w:rFonts w:hint="eastAsia" w:ascii="仿宋_GB2312" w:hAnsi="仿宋" w:eastAsia="仿宋_GB2312" w:cs="仿宋_GB2312"/>
          <w:b w:val="0"/>
          <w:bCs/>
          <w:color w:val="auto"/>
          <w:sz w:val="21"/>
          <w:szCs w:val="21"/>
          <w:highlight w:val="none"/>
          <w:lang w:val="en-US" w:eastAsia="zh-CN"/>
        </w:rPr>
        <w:t>重点行业</w:t>
      </w:r>
      <w:r>
        <w:rPr>
          <w:rFonts w:hint="eastAsia" w:ascii="仿宋_GB2312" w:hAnsi="仿宋" w:eastAsia="仿宋_GB2312" w:cs="仿宋_GB2312"/>
          <w:b w:val="0"/>
          <w:bCs/>
          <w:color w:val="auto"/>
          <w:sz w:val="21"/>
          <w:szCs w:val="21"/>
          <w:highlight w:val="none"/>
        </w:rPr>
        <w:t>等阶段性的各类</w:t>
      </w:r>
      <w:r>
        <w:rPr>
          <w:rFonts w:hint="eastAsia" w:ascii="仿宋_GB2312" w:hAnsi="仿宋" w:eastAsia="仿宋_GB2312" w:cs="仿宋_GB2312"/>
          <w:b w:val="0"/>
          <w:bCs/>
          <w:color w:val="auto"/>
          <w:sz w:val="21"/>
          <w:szCs w:val="21"/>
          <w:highlight w:val="none"/>
          <w:lang w:val="en-US" w:eastAsia="zh-CN"/>
        </w:rPr>
        <w:t>专项</w:t>
      </w:r>
      <w:r>
        <w:rPr>
          <w:rFonts w:hint="eastAsia" w:ascii="仿宋_GB2312" w:hAnsi="仿宋" w:eastAsia="仿宋_GB2312" w:cs="仿宋_GB2312"/>
          <w:b w:val="0"/>
          <w:bCs/>
          <w:color w:val="auto"/>
          <w:sz w:val="21"/>
          <w:szCs w:val="21"/>
          <w:highlight w:val="none"/>
        </w:rPr>
        <w:t>检查工作；督促企业加强隐患整改，确保闭环。</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3.</w:t>
      </w:r>
      <w:r>
        <w:rPr>
          <w:rFonts w:hint="eastAsia" w:ascii="仿宋_GB2312" w:hAnsi="仿宋" w:eastAsia="仿宋_GB2312" w:cs="仿宋_GB2312"/>
          <w:b w:val="0"/>
          <w:bCs/>
          <w:color w:val="auto"/>
          <w:sz w:val="21"/>
          <w:szCs w:val="21"/>
          <w:highlight w:val="none"/>
          <w:lang w:val="en-US" w:eastAsia="zh-CN"/>
        </w:rPr>
        <w:t>9乙方需及时</w:t>
      </w:r>
      <w:r>
        <w:rPr>
          <w:rFonts w:hint="eastAsia" w:ascii="仿宋_GB2312" w:hAnsi="仿宋" w:eastAsia="仿宋_GB2312" w:cs="仿宋_GB2312"/>
          <w:b w:val="0"/>
          <w:bCs/>
          <w:color w:val="auto"/>
          <w:sz w:val="21"/>
          <w:szCs w:val="21"/>
          <w:highlight w:val="none"/>
        </w:rPr>
        <w:t>完成</w:t>
      </w:r>
      <w:r>
        <w:rPr>
          <w:rFonts w:hint="eastAsia" w:ascii="仿宋_GB2312" w:hAnsi="仿宋" w:eastAsia="仿宋_GB2312" w:cs="仿宋_GB2312"/>
          <w:b w:val="0"/>
          <w:bCs/>
          <w:color w:val="auto"/>
          <w:sz w:val="21"/>
          <w:szCs w:val="21"/>
          <w:highlight w:val="none"/>
          <w:lang w:val="en-US" w:eastAsia="zh-CN"/>
        </w:rPr>
        <w:t>甲方</w:t>
      </w:r>
      <w:r>
        <w:rPr>
          <w:rFonts w:hint="eastAsia" w:ascii="仿宋_GB2312" w:hAnsi="仿宋" w:eastAsia="仿宋_GB2312" w:cs="仿宋_GB2312"/>
          <w:b w:val="0"/>
          <w:bCs/>
          <w:color w:val="auto"/>
          <w:sz w:val="21"/>
          <w:szCs w:val="21"/>
          <w:highlight w:val="none"/>
        </w:rPr>
        <w:t>临时交办的工作任务。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4、在合同服务期间，</w:t>
      </w:r>
      <w:r>
        <w:rPr>
          <w:rFonts w:hint="eastAsia" w:ascii="仿宋_GB2312" w:hAnsi="仿宋" w:eastAsia="仿宋_GB2312" w:cs="仿宋_GB2312"/>
          <w:b w:val="0"/>
          <w:bCs/>
          <w:color w:val="auto"/>
          <w:sz w:val="21"/>
          <w:szCs w:val="21"/>
          <w:highlight w:val="none"/>
          <w:lang w:val="en-US" w:eastAsia="zh-CN"/>
        </w:rPr>
        <w:t>乙方需</w:t>
      </w:r>
      <w:r>
        <w:rPr>
          <w:rFonts w:hint="eastAsia" w:ascii="仿宋_GB2312" w:hAnsi="仿宋" w:eastAsia="仿宋_GB2312" w:cs="仿宋_GB2312"/>
          <w:b w:val="0"/>
          <w:bCs/>
          <w:color w:val="auto"/>
          <w:sz w:val="21"/>
          <w:szCs w:val="21"/>
          <w:highlight w:val="none"/>
        </w:rPr>
        <w:t>组织开展各类员工安全教育培训工作，需对所有企业进行一年不少于两次的统一安全教育培训。</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5、</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应随时为被服务企业及街道提供安全生产领域的安全技术咨询服务，包括隐患治理的技术指导、许可证申请辅导等。需要服务人员到场的，</w:t>
      </w:r>
      <w:r>
        <w:rPr>
          <w:rFonts w:hint="eastAsia" w:ascii="仿宋_GB2312" w:hAnsi="仿宋" w:eastAsia="仿宋_GB2312" w:cs="仿宋_GB2312"/>
          <w:b w:val="0"/>
          <w:bCs/>
          <w:color w:val="auto"/>
          <w:sz w:val="21"/>
          <w:szCs w:val="21"/>
          <w:highlight w:val="none"/>
          <w:lang w:val="en-US" w:eastAsia="zh-CN"/>
        </w:rPr>
        <w:t>乙方</w:t>
      </w:r>
      <w:r>
        <w:rPr>
          <w:rFonts w:hint="eastAsia" w:ascii="仿宋_GB2312" w:hAnsi="仿宋" w:eastAsia="仿宋_GB2312" w:cs="仿宋_GB2312"/>
          <w:b w:val="0"/>
          <w:bCs/>
          <w:color w:val="auto"/>
          <w:sz w:val="21"/>
          <w:szCs w:val="21"/>
          <w:highlight w:val="none"/>
        </w:rPr>
        <w:t>应在企业及街道提出服务要求的2小时内派遣服务人员到场服务。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6、排查员外出检查配备单兵设备，设备会自动传输实时检查画面到工业安全信息化智慧监管系统，同时记录当天排查人员的行程轨迹。</w:t>
      </w:r>
    </w:p>
    <w:p>
      <w:pPr>
        <w:spacing w:line="360" w:lineRule="auto"/>
        <w:ind w:firstLine="105" w:firstLineChars="50"/>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（二）临时重点安全检查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_GB2312" w:hAnsi="仿宋" w:eastAsia="仿宋_GB2312" w:cs="仿宋_GB2312"/>
          <w:b w:val="0"/>
          <w:bCs/>
          <w:color w:val="auto"/>
          <w:sz w:val="21"/>
          <w:szCs w:val="21"/>
          <w:highlight w:val="none"/>
        </w:rPr>
      </w:pPr>
      <w:r>
        <w:rPr>
          <w:rFonts w:hint="eastAsia" w:ascii="仿宋_GB2312" w:hAnsi="仿宋" w:eastAsia="仿宋_GB2312" w:cs="仿宋_GB2312"/>
          <w:b w:val="0"/>
          <w:bCs/>
          <w:color w:val="auto"/>
          <w:sz w:val="21"/>
          <w:szCs w:val="21"/>
          <w:highlight w:val="none"/>
        </w:rPr>
        <w:t>根据上级指示精神及季节性、节假日特点，安排技术专家协助应急管理部门开展各项临时重点安全检查，出具书面检查意见。此项工作不定具体时间，不限次数和服务对象，根据</w:t>
      </w:r>
      <w:r>
        <w:rPr>
          <w:rFonts w:hint="eastAsia" w:ascii="仿宋_GB2312" w:hAnsi="仿宋" w:eastAsia="仿宋_GB2312" w:cs="仿宋_GB2312"/>
          <w:b w:val="0"/>
          <w:bCs/>
          <w:color w:val="auto"/>
          <w:sz w:val="21"/>
          <w:szCs w:val="21"/>
          <w:highlight w:val="none"/>
          <w:lang w:val="en-US" w:eastAsia="zh-CN"/>
        </w:rPr>
        <w:t>甲方</w:t>
      </w:r>
      <w:r>
        <w:rPr>
          <w:rFonts w:hint="eastAsia" w:ascii="仿宋_GB2312" w:hAnsi="仿宋" w:eastAsia="仿宋_GB2312" w:cs="仿宋_GB2312"/>
          <w:b w:val="0"/>
          <w:bCs/>
          <w:color w:val="auto"/>
          <w:sz w:val="21"/>
          <w:szCs w:val="21"/>
          <w:highlight w:val="none"/>
        </w:rPr>
        <w:t>实际需要临时安排检查。</w:t>
      </w:r>
    </w:p>
    <w:p>
      <w:pPr>
        <w:keepNext w:val="0"/>
        <w:keepLines w:val="0"/>
        <w:pageBreakBefore w:val="0"/>
        <w:widowControl w:val="0"/>
        <w:kinsoku/>
        <w:wordWrap/>
        <w:overflowPunct/>
        <w:topLinePunct w:val="0"/>
        <w:bidi w:val="0"/>
        <w:snapToGrid/>
        <w:spacing w:after="120" w:afterLines="0" w:line="360" w:lineRule="auto"/>
        <w:jc w:val="both"/>
        <w:textAlignment w:val="auto"/>
        <w:rPr>
          <w:rFonts w:hint="eastAsia" w:ascii="仿宋" w:hAnsi="仿宋" w:eastAsia="仿宋" w:cs="仿宋"/>
          <w:kern w:val="2"/>
          <w:sz w:val="21"/>
          <w:szCs w:val="24"/>
          <w:u w:val="single"/>
          <w:lang w:val="en-US" w:eastAsia="zh-CN" w:bidi="ar-SA"/>
        </w:rPr>
      </w:pPr>
      <w:r>
        <w:rPr>
          <w:rFonts w:hint="eastAsia" w:ascii="仿宋" w:hAnsi="仿宋" w:eastAsia="仿宋" w:cs="仿宋"/>
          <w:kern w:val="2"/>
          <w:sz w:val="21"/>
          <w:szCs w:val="24"/>
          <w:lang w:val="en-US" w:eastAsia="zh-CN" w:bidi="ar-SA"/>
        </w:rPr>
        <w:t xml:space="preserve"> （三）乙方项目负责人及派驻人员详细信息： </w:t>
      </w:r>
      <w:r>
        <w:rPr>
          <w:rFonts w:hint="eastAsia" w:ascii="仿宋" w:hAnsi="仿宋" w:eastAsia="仿宋" w:cs="仿宋"/>
          <w:kern w:val="2"/>
          <w:sz w:val="21"/>
          <w:szCs w:val="24"/>
          <w:u w:val="single"/>
          <w:lang w:val="en-US" w:eastAsia="zh-CN" w:bidi="ar-SA"/>
        </w:rPr>
        <w:t xml:space="preserve">  （姓名、身份证号码、联系方式等）  </w:t>
      </w:r>
      <w:r>
        <w:rPr>
          <w:rFonts w:hint="eastAsia" w:ascii="仿宋" w:hAnsi="仿宋" w:eastAsia="仿宋" w:cs="仿宋"/>
          <w:kern w:val="2"/>
          <w:sz w:val="21"/>
          <w:szCs w:val="24"/>
          <w:lang w:val="en-US" w:eastAsia="zh-CN" w:bidi="ar-SA"/>
        </w:rPr>
        <w:t>。</w:t>
      </w:r>
    </w:p>
    <w:p>
      <w:pPr>
        <w:keepNext w:val="0"/>
        <w:keepLines w:val="0"/>
        <w:pageBreakBefore w:val="0"/>
        <w:widowControl w:val="0"/>
        <w:kinsoku/>
        <w:wordWrap/>
        <w:overflowPunct/>
        <w:topLinePunct w:val="0"/>
        <w:bidi w:val="0"/>
        <w:adjustRightInd/>
        <w:snapToGrid/>
        <w:spacing w:before="190" w:beforeLines="50" w:line="36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四、服务期</w:t>
      </w:r>
    </w:p>
    <w:p>
      <w:pPr>
        <w:pStyle w:val="57"/>
        <w:wordWrap w:val="0"/>
        <w:adjustRightInd w:val="0"/>
        <w:snapToGrid w:val="0"/>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两</w:t>
      </w:r>
      <w:r>
        <w:rPr>
          <w:rFonts w:hint="eastAsia" w:ascii="仿宋" w:hAnsi="仿宋" w:eastAsia="仿宋" w:cs="仿宋"/>
          <w:sz w:val="21"/>
          <w:szCs w:val="21"/>
          <w:lang w:eastAsia="zh-CN"/>
        </w:rPr>
        <w:t>年。</w:t>
      </w:r>
      <w:r>
        <w:rPr>
          <w:rFonts w:hint="eastAsia" w:ascii="仿宋" w:hAnsi="仿宋" w:eastAsia="仿宋" w:cs="仿宋"/>
          <w:sz w:val="21"/>
          <w:szCs w:val="21"/>
        </w:rPr>
        <w:t>自</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日起至</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日止。</w:t>
      </w:r>
    </w:p>
    <w:p>
      <w:pPr>
        <w:tabs>
          <w:tab w:val="left" w:pos="540"/>
        </w:tabs>
        <w:adjustRightInd w:val="0"/>
        <w:snapToGrid w:val="0"/>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合同价格及付款方式</w:t>
      </w:r>
    </w:p>
    <w:p>
      <w:pPr>
        <w:adjustRightInd w:val="0"/>
        <w:snapToGrid w:val="0"/>
        <w:spacing w:line="360" w:lineRule="auto"/>
        <w:ind w:firstLine="420" w:firstLineChars="200"/>
        <w:rPr>
          <w:rFonts w:hint="eastAsia" w:ascii="仿宋" w:hAnsi="仿宋" w:eastAsia="仿宋" w:cs="仿宋"/>
          <w:bCs/>
          <w:sz w:val="21"/>
          <w:szCs w:val="21"/>
          <w:lang w:val="en-US" w:eastAsia="zh-CN"/>
        </w:rPr>
      </w:pPr>
      <w:r>
        <w:rPr>
          <w:rFonts w:hint="eastAsia" w:ascii="仿宋" w:hAnsi="仿宋" w:eastAsia="仿宋" w:cs="仿宋"/>
          <w:bCs/>
          <w:sz w:val="21"/>
          <w:szCs w:val="21"/>
        </w:rPr>
        <w:t>1、本合同</w:t>
      </w:r>
      <w:r>
        <w:rPr>
          <w:rFonts w:hint="eastAsia" w:ascii="仿宋" w:hAnsi="仿宋" w:eastAsia="仿宋" w:cs="仿宋"/>
          <w:bCs/>
          <w:sz w:val="21"/>
          <w:szCs w:val="21"/>
          <w:lang w:val="en-US" w:eastAsia="zh-CN"/>
        </w:rPr>
        <w:t>总</w:t>
      </w:r>
      <w:r>
        <w:rPr>
          <w:rFonts w:hint="eastAsia" w:ascii="仿宋" w:hAnsi="仿宋" w:eastAsia="仿宋" w:cs="仿宋"/>
          <w:bCs/>
          <w:sz w:val="21"/>
          <w:szCs w:val="21"/>
        </w:rPr>
        <w:t>金额为（大写）</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元（￥</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元）人民币</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年度金额为</w:t>
      </w:r>
      <w:r>
        <w:rPr>
          <w:rFonts w:hint="eastAsia" w:ascii="仿宋" w:hAnsi="仿宋" w:eastAsia="仿宋" w:cs="仿宋"/>
          <w:bCs/>
          <w:sz w:val="21"/>
          <w:szCs w:val="21"/>
        </w:rPr>
        <w:t>（大写）</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元（￥</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元）人民币</w:t>
      </w:r>
      <w:r>
        <w:rPr>
          <w:rFonts w:hint="eastAsia" w:ascii="仿宋" w:hAnsi="仿宋" w:eastAsia="仿宋" w:cs="仿宋"/>
          <w:bCs/>
          <w:sz w:val="21"/>
          <w:szCs w:val="21"/>
          <w:lang w:eastAsia="zh-CN"/>
        </w:rPr>
        <w:t>。</w:t>
      </w:r>
    </w:p>
    <w:p>
      <w:pPr>
        <w:widowControl/>
        <w:adjustRightInd w:val="0"/>
        <w:snapToGri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rPr>
        <w:t>2、付款方式</w:t>
      </w: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lang w:val="en-US" w:eastAsia="zh-CN"/>
        </w:rPr>
        <w:t>自合同生效且具备实施条件后7个工作日内，采购人向中标人支付年度合同款的30%作为预付款，</w:t>
      </w:r>
      <w:r>
        <w:rPr>
          <w:rFonts w:hint="eastAsia" w:ascii="仿宋" w:hAnsi="仿宋" w:eastAsia="仿宋" w:cs="仿宋"/>
          <w:bCs/>
          <w:color w:val="auto"/>
          <w:sz w:val="21"/>
          <w:szCs w:val="21"/>
          <w:highlight w:val="none"/>
          <w:lang w:val="en-US" w:eastAsia="zh-CN"/>
        </w:rPr>
        <w:t>服务周期满一年后根据年度考核情况支付剩余的70%年度合同款（考核扣除的除外）；第二年服务期开始的一个月内支付</w:t>
      </w:r>
      <w:r>
        <w:rPr>
          <w:rFonts w:hint="eastAsia" w:ascii="仿宋" w:hAnsi="仿宋" w:eastAsia="仿宋" w:cs="仿宋"/>
          <w:kern w:val="0"/>
          <w:sz w:val="21"/>
          <w:szCs w:val="21"/>
          <w:highlight w:val="none"/>
          <w:lang w:val="en-US" w:eastAsia="zh-CN"/>
        </w:rPr>
        <w:t>年度合同款的30%作为预付款，第</w:t>
      </w:r>
      <w:r>
        <w:rPr>
          <w:rFonts w:hint="eastAsia" w:ascii="仿宋" w:hAnsi="仿宋" w:eastAsia="仿宋" w:cs="仿宋"/>
          <w:bCs/>
          <w:color w:val="auto"/>
          <w:sz w:val="21"/>
          <w:szCs w:val="21"/>
          <w:highlight w:val="none"/>
          <w:lang w:val="en-US" w:eastAsia="zh-CN"/>
        </w:rPr>
        <w:t>二年服务期满后经履约验收并根据年度考核情况支付剩余的70%年度合同款（考核扣除的除外）。</w:t>
      </w:r>
    </w:p>
    <w:p>
      <w:pPr>
        <w:tabs>
          <w:tab w:val="left" w:pos="540"/>
        </w:tabs>
        <w:adjustRightInd w:val="0"/>
        <w:snapToGrid w:val="0"/>
        <w:spacing w:line="360" w:lineRule="auto"/>
        <w:ind w:firstLine="422"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六</w:t>
      </w:r>
      <w:r>
        <w:rPr>
          <w:rFonts w:hint="eastAsia" w:ascii="仿宋" w:hAnsi="仿宋" w:eastAsia="仿宋" w:cs="仿宋"/>
          <w:b/>
          <w:bCs/>
          <w:sz w:val="21"/>
          <w:szCs w:val="21"/>
          <w:highlight w:val="none"/>
        </w:rPr>
        <w:t>、履约保证金</w:t>
      </w:r>
    </w:p>
    <w:p>
      <w:pPr>
        <w:widowControl/>
        <w:tabs>
          <w:tab w:val="left" w:pos="1212"/>
          <w:tab w:val="left" w:pos="3888"/>
        </w:tabs>
        <w:snapToGrid w:val="0"/>
        <w:spacing w:line="360" w:lineRule="auto"/>
        <w:ind w:firstLine="420"/>
        <w:jc w:val="left"/>
        <w:rPr>
          <w:rFonts w:hint="eastAsia" w:ascii="仿宋" w:hAnsi="仿宋" w:eastAsia="仿宋" w:cs="仿宋"/>
          <w:kern w:val="0"/>
          <w:sz w:val="21"/>
          <w:szCs w:val="21"/>
          <w:highlight w:val="none"/>
          <w:lang w:val="en-US" w:eastAsia="zh-CN"/>
        </w:rPr>
      </w:pPr>
      <w:r>
        <w:rPr>
          <w:rFonts w:hint="eastAsia" w:ascii="仿宋" w:hAnsi="仿宋" w:eastAsia="仿宋" w:cs="仿宋"/>
          <w:sz w:val="21"/>
          <w:szCs w:val="21"/>
          <w:highlight w:val="none"/>
        </w:rPr>
        <w:t>乙方须向甲方交纳成交标总额</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%（计</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元）的履约保证金。</w:t>
      </w:r>
      <w:r>
        <w:rPr>
          <w:rFonts w:hint="eastAsia" w:ascii="仿宋" w:hAnsi="仿宋" w:eastAsia="仿宋" w:cs="仿宋"/>
          <w:kern w:val="0"/>
          <w:sz w:val="21"/>
          <w:szCs w:val="21"/>
          <w:highlight w:val="none"/>
          <w:lang w:val="en-US" w:eastAsia="zh-CN"/>
        </w:rPr>
        <w:t>服务期结束且权利义务清算完毕后，甲方无息退还剩余全部履约保证金。</w:t>
      </w:r>
    </w:p>
    <w:p>
      <w:pPr>
        <w:tabs>
          <w:tab w:val="left" w:pos="540"/>
          <w:tab w:val="left" w:pos="840"/>
        </w:tabs>
        <w:adjustRightInd w:val="0"/>
        <w:snapToGrid w:val="0"/>
        <w:spacing w:line="360" w:lineRule="auto"/>
        <w:ind w:firstLine="422" w:firstLineChars="200"/>
        <w:rPr>
          <w:rFonts w:hint="eastAsia" w:ascii="仿宋" w:hAnsi="仿宋" w:eastAsia="仿宋" w:cs="仿宋"/>
          <w:b/>
          <w:bCs/>
          <w:sz w:val="21"/>
          <w:szCs w:val="21"/>
        </w:rPr>
      </w:pPr>
    </w:p>
    <w:p>
      <w:pPr>
        <w:tabs>
          <w:tab w:val="left" w:pos="540"/>
        </w:tabs>
        <w:adjustRightInd w:val="0"/>
        <w:snapToGrid w:val="0"/>
        <w:spacing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lang w:val="en-US" w:eastAsia="zh-CN"/>
        </w:rPr>
        <w:t>七</w:t>
      </w:r>
      <w:r>
        <w:rPr>
          <w:rFonts w:hint="eastAsia" w:ascii="仿宋" w:hAnsi="仿宋" w:eastAsia="仿宋" w:cs="仿宋"/>
          <w:b/>
          <w:bCs/>
          <w:sz w:val="21"/>
          <w:szCs w:val="21"/>
        </w:rPr>
        <w:t>、质量要求</w:t>
      </w:r>
    </w:p>
    <w:p>
      <w:pPr>
        <w:tabs>
          <w:tab w:val="left" w:pos="540"/>
        </w:tabs>
        <w:adjustRightInd w:val="0"/>
        <w:snapToGrid w:val="0"/>
        <w:spacing w:line="360" w:lineRule="auto"/>
        <w:ind w:firstLine="420" w:firstLineChars="200"/>
        <w:rPr>
          <w:rFonts w:hint="eastAsia" w:ascii="仿宋" w:hAnsi="仿宋" w:eastAsia="仿宋" w:cs="仿宋"/>
          <w:b/>
          <w:bCs/>
          <w:sz w:val="21"/>
          <w:szCs w:val="21"/>
        </w:rPr>
      </w:pPr>
      <w:r>
        <w:rPr>
          <w:rFonts w:hint="eastAsia" w:ascii="仿宋" w:hAnsi="仿宋" w:eastAsia="仿宋" w:cs="仿宋"/>
          <w:sz w:val="21"/>
          <w:szCs w:val="21"/>
        </w:rPr>
        <w:t>乙方保证所提交成果符合国家相关规范、规程的要求。</w:t>
      </w:r>
    </w:p>
    <w:p>
      <w:pPr>
        <w:tabs>
          <w:tab w:val="left" w:pos="540"/>
        </w:tabs>
        <w:adjustRightInd w:val="0"/>
        <w:snapToGrid w:val="0"/>
        <w:spacing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八</w:t>
      </w:r>
      <w:r>
        <w:rPr>
          <w:rFonts w:hint="eastAsia" w:ascii="仿宋" w:hAnsi="仿宋" w:eastAsia="仿宋" w:cs="仿宋"/>
          <w:b/>
          <w:bCs/>
          <w:sz w:val="21"/>
          <w:szCs w:val="21"/>
        </w:rPr>
        <w:t>、技术资料</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1.乙方应按采购文件规定的时间向甲方提供有关技术资料。</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2.没有甲方事先书面同意，乙方不得将由甲方提供的有关合同或任何合同条文或资料提供给与履行本合同无关的任何其他人。</w:t>
      </w:r>
    </w:p>
    <w:p>
      <w:pPr>
        <w:tabs>
          <w:tab w:val="left" w:pos="540"/>
        </w:tabs>
        <w:adjustRightInd w:val="0"/>
        <w:snapToGrid w:val="0"/>
        <w:spacing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lang w:val="en-US" w:eastAsia="zh-CN"/>
        </w:rPr>
        <w:t>九</w:t>
      </w:r>
      <w:r>
        <w:rPr>
          <w:rFonts w:hint="eastAsia" w:ascii="仿宋" w:hAnsi="仿宋" w:eastAsia="仿宋" w:cs="仿宋"/>
          <w:b/>
          <w:bCs/>
          <w:sz w:val="21"/>
          <w:szCs w:val="21"/>
        </w:rPr>
        <w:t>、知识产权</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乙方应保证提供服务过程中不会侵犯任何第三方的知识产权。</w:t>
      </w:r>
    </w:p>
    <w:p>
      <w:pPr>
        <w:tabs>
          <w:tab w:val="left" w:pos="540"/>
        </w:tabs>
        <w:adjustRightInd w:val="0"/>
        <w:snapToGrid w:val="0"/>
        <w:spacing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lang w:val="en-US" w:eastAsia="zh-CN"/>
        </w:rPr>
        <w:t>十</w:t>
      </w:r>
      <w:r>
        <w:rPr>
          <w:rFonts w:hint="eastAsia" w:ascii="仿宋" w:hAnsi="仿宋" w:eastAsia="仿宋" w:cs="仿宋"/>
          <w:b/>
          <w:bCs/>
          <w:sz w:val="21"/>
          <w:szCs w:val="21"/>
        </w:rPr>
        <w:t>、转包或分包</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1.本合同范围的服务，应由乙方直接供应，不得转让他人供应；</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2.如有转让和未经甲方同意的分包行为，甲方有权解除合同，并追究乙方的违约责任。</w:t>
      </w:r>
    </w:p>
    <w:p>
      <w:pPr>
        <w:tabs>
          <w:tab w:val="left" w:pos="540"/>
        </w:tabs>
        <w:adjustRightInd w:val="0"/>
        <w:snapToGrid w:val="0"/>
        <w:spacing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rPr>
        <w:t>十</w:t>
      </w:r>
      <w:r>
        <w:rPr>
          <w:rFonts w:hint="eastAsia" w:ascii="仿宋" w:hAnsi="仿宋" w:eastAsia="仿宋" w:cs="仿宋"/>
          <w:b/>
          <w:bCs/>
          <w:sz w:val="21"/>
          <w:szCs w:val="21"/>
          <w:lang w:val="en-US" w:eastAsia="zh-CN"/>
        </w:rPr>
        <w:t>一</w:t>
      </w:r>
      <w:r>
        <w:rPr>
          <w:rFonts w:hint="eastAsia" w:ascii="仿宋" w:hAnsi="仿宋" w:eastAsia="仿宋" w:cs="仿宋"/>
          <w:b/>
          <w:bCs/>
          <w:sz w:val="21"/>
          <w:szCs w:val="21"/>
        </w:rPr>
        <w:t>、税费</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本合同执行中相关的一切税费均由乙方负担。</w:t>
      </w:r>
    </w:p>
    <w:p>
      <w:pPr>
        <w:tabs>
          <w:tab w:val="left" w:pos="540"/>
        </w:tabs>
        <w:adjustRightInd w:val="0"/>
        <w:snapToGrid w:val="0"/>
        <w:spacing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十</w:t>
      </w: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、质量保证及后续服务</w:t>
      </w:r>
    </w:p>
    <w:p>
      <w:pPr>
        <w:adjustRightInd w:val="0"/>
        <w:snapToGri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 乙方应按采购文件规定向甲方提供服务。</w:t>
      </w:r>
    </w:p>
    <w:p>
      <w:pPr>
        <w:adjustRightInd w:val="0"/>
        <w:snapToGri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 乙方提供的服务成果在服务质量保证期内发生问题，乙方应负责免费提供后续服务。对达不到要求者，甲方有权选择按以下办法处理：</w:t>
      </w:r>
    </w:p>
    <w:p>
      <w:pPr>
        <w:adjustRightInd w:val="0"/>
        <w:snapToGri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(1)重做：由乙方承担所发生的全部费用。</w:t>
      </w:r>
    </w:p>
    <w:p>
      <w:pPr>
        <w:adjustRightInd w:val="0"/>
        <w:snapToGri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(2)解除合同。</w:t>
      </w:r>
    </w:p>
    <w:p>
      <w:pPr>
        <w:pStyle w:val="4"/>
        <w:ind w:left="428" w:leftChars="200" w:hanging="8" w:hangingChars="4"/>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十三、保密义务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CN"/>
        </w:rPr>
        <w:t>对甲方提供的所有资料信息，以及乙方在</w:t>
      </w:r>
      <w:r>
        <w:rPr>
          <w:rFonts w:hint="eastAsia" w:ascii="仿宋" w:hAnsi="仿宋" w:eastAsia="仿宋" w:cs="仿宋"/>
          <w:sz w:val="21"/>
          <w:szCs w:val="21"/>
          <w:lang w:val="en-US" w:eastAsia="zh-CN"/>
        </w:rPr>
        <w:t>技术</w:t>
      </w:r>
      <w:r>
        <w:rPr>
          <w:rFonts w:hint="eastAsia" w:ascii="仿宋" w:hAnsi="仿宋" w:eastAsia="仿宋" w:cs="仿宋"/>
          <w:sz w:val="21"/>
          <w:szCs w:val="21"/>
          <w:lang w:val="zh-CN"/>
        </w:rPr>
        <w:t>服务过程中</w:t>
      </w:r>
      <w:r>
        <w:rPr>
          <w:rFonts w:hint="eastAsia" w:ascii="仿宋" w:hAnsi="仿宋" w:eastAsia="仿宋" w:cs="仿宋"/>
          <w:sz w:val="21"/>
          <w:szCs w:val="21"/>
          <w:lang w:val="en-US" w:eastAsia="zh-CN"/>
        </w:rPr>
        <w:t>可能</w:t>
      </w:r>
      <w:r>
        <w:rPr>
          <w:rFonts w:hint="eastAsia" w:ascii="仿宋" w:hAnsi="仿宋" w:eastAsia="仿宋" w:cs="仿宋"/>
          <w:sz w:val="21"/>
          <w:szCs w:val="21"/>
          <w:lang w:val="zh-CN"/>
        </w:rPr>
        <w:t>接触</w:t>
      </w:r>
      <w:r>
        <w:rPr>
          <w:rFonts w:hint="eastAsia" w:ascii="仿宋" w:hAnsi="仿宋" w:eastAsia="仿宋" w:cs="仿宋"/>
          <w:sz w:val="21"/>
          <w:szCs w:val="21"/>
          <w:lang w:val="en-US" w:eastAsia="zh-CN"/>
        </w:rPr>
        <w:t>到</w:t>
      </w:r>
      <w:r>
        <w:rPr>
          <w:rFonts w:hint="eastAsia" w:ascii="仿宋" w:hAnsi="仿宋" w:eastAsia="仿宋" w:cs="仿宋"/>
          <w:sz w:val="21"/>
          <w:szCs w:val="21"/>
          <w:lang w:val="zh-CN"/>
        </w:rPr>
        <w:t>的甲方</w:t>
      </w:r>
      <w:r>
        <w:rPr>
          <w:rFonts w:hint="eastAsia" w:ascii="仿宋" w:hAnsi="仿宋" w:eastAsia="仿宋" w:cs="仿宋"/>
          <w:sz w:val="21"/>
          <w:szCs w:val="21"/>
          <w:lang w:val="en-US" w:eastAsia="zh-CN"/>
        </w:rPr>
        <w:t>及辖区内220余家企业方的</w:t>
      </w:r>
      <w:r>
        <w:rPr>
          <w:rFonts w:hint="eastAsia" w:ascii="仿宋" w:hAnsi="仿宋" w:eastAsia="仿宋" w:cs="仿宋"/>
          <w:sz w:val="21"/>
          <w:szCs w:val="21"/>
          <w:lang w:val="zh-CN"/>
        </w:rPr>
        <w:t>技术、商业、经济等秘密，除非有法律和行政要求，乙方不得向任何第三方泄露，</w:t>
      </w:r>
      <w:r>
        <w:rPr>
          <w:rFonts w:hint="eastAsia" w:ascii="仿宋" w:hAnsi="仿宋" w:eastAsia="仿宋" w:cs="仿宋"/>
          <w:sz w:val="21"/>
          <w:szCs w:val="21"/>
          <w:lang w:val="en-US" w:eastAsia="zh-CN"/>
        </w:rPr>
        <w:t>否则将承担相应的法律责任</w:t>
      </w:r>
    </w:p>
    <w:p>
      <w:pPr>
        <w:tabs>
          <w:tab w:val="left" w:pos="540"/>
        </w:tabs>
        <w:adjustRightInd w:val="0"/>
        <w:snapToGrid w:val="0"/>
        <w:spacing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十四</w:t>
      </w:r>
      <w:r>
        <w:rPr>
          <w:rFonts w:hint="eastAsia" w:ascii="仿宋" w:hAnsi="仿宋" w:eastAsia="仿宋" w:cs="仿宋"/>
          <w:b/>
          <w:bCs/>
          <w:sz w:val="21"/>
          <w:szCs w:val="21"/>
        </w:rPr>
        <w:t>、违约责任</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1．甲方无正当理由拒收接受服务的，甲方向乙方偿付合同款项百分之五作为违约金。</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2．甲方无故逾期验收和办理款项支付手续的,甲方应按逾期付款总额每日万分之五向乙方支付违约金。</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tabs>
          <w:tab w:val="left" w:pos="540"/>
        </w:tabs>
        <w:adjustRightInd w:val="0"/>
        <w:snapToGrid w:val="0"/>
        <w:spacing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rPr>
        <w:t>十</w:t>
      </w: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、不可抗力事件处理</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1．在合同有效期内，任何一方因不可抗力事件导致不能履行合同，则合同履行期可延长，其延长期与不可抗力影响期相同。</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2．不可抗力事件发生后，应立即通知对方，并寄送有关权威机构出具的证明。</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3.不可抗力事件延续120天以上，双方应通过友好协商，确定是否继续履行合同。</w:t>
      </w:r>
    </w:p>
    <w:p>
      <w:pPr>
        <w:tabs>
          <w:tab w:val="left" w:pos="540"/>
        </w:tabs>
        <w:adjustRightInd w:val="0"/>
        <w:snapToGrid w:val="0"/>
        <w:spacing w:line="360" w:lineRule="auto"/>
        <w:ind w:firstLine="422" w:firstLineChars="200"/>
        <w:rPr>
          <w:rFonts w:hint="eastAsia" w:ascii="仿宋" w:hAnsi="仿宋" w:eastAsia="仿宋" w:cs="仿宋"/>
          <w:sz w:val="21"/>
          <w:szCs w:val="21"/>
        </w:rPr>
      </w:pPr>
      <w:r>
        <w:rPr>
          <w:rFonts w:hint="eastAsia" w:ascii="仿宋" w:hAnsi="仿宋" w:eastAsia="仿宋" w:cs="仿宋"/>
          <w:b/>
          <w:bCs/>
          <w:sz w:val="21"/>
          <w:szCs w:val="21"/>
        </w:rPr>
        <w:t>十</w:t>
      </w: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、诉讼</w:t>
      </w:r>
    </w:p>
    <w:p>
      <w:pPr>
        <w:tabs>
          <w:tab w:val="left" w:pos="540"/>
        </w:tabs>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双方在执行合同中所发生的一切争议，应通过协商解决。如协商不成，可向甲方所在地法院起诉。</w:t>
      </w:r>
    </w:p>
    <w:p>
      <w:pPr>
        <w:adjustRightInd w:val="0"/>
        <w:snapToGrid w:val="0"/>
        <w:spacing w:line="360" w:lineRule="auto"/>
        <w:ind w:right="-514" w:rightChars="-245" w:firstLine="422" w:firstLineChars="200"/>
        <w:rPr>
          <w:rFonts w:hint="eastAsia" w:ascii="仿宋" w:hAnsi="仿宋" w:eastAsia="仿宋" w:cs="仿宋"/>
          <w:b/>
          <w:sz w:val="21"/>
          <w:szCs w:val="21"/>
        </w:rPr>
      </w:pPr>
      <w:r>
        <w:rPr>
          <w:rFonts w:hint="eastAsia" w:ascii="仿宋" w:hAnsi="仿宋" w:eastAsia="仿宋" w:cs="仿宋"/>
          <w:b/>
          <w:sz w:val="21"/>
          <w:szCs w:val="21"/>
        </w:rPr>
        <w:t>十</w:t>
      </w:r>
      <w:r>
        <w:rPr>
          <w:rFonts w:hint="eastAsia" w:ascii="仿宋" w:hAnsi="仿宋" w:eastAsia="仿宋" w:cs="仿宋"/>
          <w:b/>
          <w:sz w:val="21"/>
          <w:szCs w:val="21"/>
          <w:lang w:val="en-US" w:eastAsia="zh-CN"/>
        </w:rPr>
        <w:t>七</w:t>
      </w:r>
      <w:r>
        <w:rPr>
          <w:rFonts w:hint="eastAsia" w:ascii="仿宋" w:hAnsi="仿宋" w:eastAsia="仿宋" w:cs="仿宋"/>
          <w:b/>
          <w:sz w:val="21"/>
          <w:szCs w:val="21"/>
        </w:rPr>
        <w:t>、合同生效</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 合同经双方法定代表人或授权代表签字并加盖单位公章后生效。</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napToGrid w:val="0"/>
          <w:kern w:val="0"/>
          <w:sz w:val="21"/>
          <w:szCs w:val="21"/>
        </w:rPr>
        <w:t xml:space="preserve"> </w:t>
      </w:r>
      <w:r>
        <w:rPr>
          <w:rFonts w:hint="eastAsia" w:ascii="仿宋" w:hAnsi="仿宋" w:eastAsia="仿宋" w:cs="仿宋"/>
          <w:sz w:val="21"/>
          <w:szCs w:val="21"/>
        </w:rPr>
        <w:t>附件。本协议附件包括：采购文件、采购补充文件（如有）、投标文件、询标纪要及承诺（如有）、中标通知书、合同协议特定条款等均作为本合同的组成部分。附件是本协议不可分割的组成部分，以签署时间在后的优先。</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3.本合同未尽事宜，遵照《</w:t>
      </w:r>
      <w:r>
        <w:rPr>
          <w:rFonts w:hint="eastAsia" w:ascii="仿宋" w:hAnsi="仿宋" w:eastAsia="仿宋" w:cs="仿宋"/>
          <w:sz w:val="21"/>
          <w:szCs w:val="21"/>
          <w:lang w:eastAsia="zh-CN"/>
        </w:rPr>
        <w:t>民法典</w:t>
      </w:r>
      <w:r>
        <w:rPr>
          <w:rFonts w:hint="eastAsia" w:ascii="仿宋" w:hAnsi="仿宋" w:eastAsia="仿宋" w:cs="仿宋"/>
          <w:sz w:val="21"/>
          <w:szCs w:val="21"/>
        </w:rPr>
        <w:t>》有关条文执行。</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4.本合同一式</w:t>
      </w:r>
      <w:r>
        <w:rPr>
          <w:rFonts w:hint="eastAsia" w:ascii="仿宋" w:hAnsi="仿宋" w:eastAsia="仿宋" w:cs="仿宋"/>
          <w:sz w:val="21"/>
          <w:szCs w:val="21"/>
          <w:lang w:val="en-US" w:eastAsia="zh-CN"/>
        </w:rPr>
        <w:t>肆</w:t>
      </w:r>
      <w:r>
        <w:rPr>
          <w:rFonts w:hint="eastAsia" w:ascii="仿宋" w:hAnsi="仿宋" w:eastAsia="仿宋" w:cs="仿宋"/>
          <w:sz w:val="21"/>
          <w:szCs w:val="21"/>
        </w:rPr>
        <w:t>份，甲乙双方各执贰份。</w:t>
      </w:r>
    </w:p>
    <w:p>
      <w:pPr>
        <w:pStyle w:val="394"/>
        <w:spacing w:after="120" w:line="400" w:lineRule="exact"/>
        <w:ind w:firstLine="420"/>
        <w:rPr>
          <w:rFonts w:hint="eastAsia" w:ascii="仿宋" w:hAnsi="仿宋" w:eastAsia="仿宋" w:cs="仿宋"/>
          <w:sz w:val="21"/>
          <w:szCs w:val="21"/>
        </w:rPr>
      </w:pPr>
    </w:p>
    <w:tbl>
      <w:tblPr>
        <w:tblStyle w:val="62"/>
        <w:tblW w:w="8952" w:type="dxa"/>
        <w:tblInd w:w="0" w:type="dxa"/>
        <w:tblLayout w:type="fixed"/>
        <w:tblCellMar>
          <w:top w:w="0" w:type="dxa"/>
          <w:left w:w="108" w:type="dxa"/>
          <w:bottom w:w="0" w:type="dxa"/>
          <w:right w:w="108" w:type="dxa"/>
        </w:tblCellMar>
      </w:tblPr>
      <w:tblGrid>
        <w:gridCol w:w="4479"/>
        <w:gridCol w:w="4473"/>
      </w:tblGrid>
      <w:tr>
        <w:tblPrEx>
          <w:tblCellMar>
            <w:top w:w="0" w:type="dxa"/>
            <w:left w:w="108" w:type="dxa"/>
            <w:bottom w:w="0" w:type="dxa"/>
            <w:right w:w="108" w:type="dxa"/>
          </w:tblCellMar>
        </w:tblPrEx>
        <w:tc>
          <w:tcPr>
            <w:tcW w:w="4479" w:type="dxa"/>
            <w:noWrap w:val="0"/>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sz w:val="21"/>
                <w:szCs w:val="21"/>
              </w:rPr>
            </w:pPr>
            <w:r>
              <w:rPr>
                <w:rFonts w:hint="eastAsia" w:ascii="仿宋" w:hAnsi="仿宋" w:eastAsia="仿宋" w:cs="仿宋"/>
                <w:b/>
                <w:bCs/>
                <w:sz w:val="21"/>
                <w:szCs w:val="21"/>
              </w:rPr>
              <w:t>甲 方：</w:t>
            </w:r>
          </w:p>
        </w:tc>
        <w:tc>
          <w:tcPr>
            <w:tcW w:w="4473" w:type="dxa"/>
            <w:noWrap w:val="0"/>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b/>
                <w:bCs/>
                <w:sz w:val="21"/>
                <w:szCs w:val="21"/>
              </w:rPr>
              <w:t xml:space="preserve">乙 方： </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bCs/>
                <w:sz w:val="21"/>
                <w:szCs w:val="21"/>
              </w:rPr>
              <w:t>（</w:t>
            </w:r>
            <w:r>
              <w:rPr>
                <w:rFonts w:hint="eastAsia" w:ascii="仿宋" w:hAnsi="仿宋" w:eastAsia="仿宋" w:cs="仿宋"/>
                <w:sz w:val="21"/>
                <w:szCs w:val="21"/>
              </w:rPr>
              <w:t>盖章）</w:t>
            </w:r>
          </w:p>
        </w:tc>
        <w:tc>
          <w:tcPr>
            <w:tcW w:w="447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（盖章）</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法人或授权代表：</w:t>
            </w:r>
          </w:p>
        </w:tc>
        <w:tc>
          <w:tcPr>
            <w:tcW w:w="4473" w:type="dxa"/>
            <w:noWrap w:val="0"/>
            <w:vAlign w:val="top"/>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法人或授权代表：</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通讯地址：</w:t>
            </w:r>
          </w:p>
        </w:tc>
        <w:tc>
          <w:tcPr>
            <w:tcW w:w="447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通讯地址：</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开 户 行：</w:t>
            </w:r>
          </w:p>
        </w:tc>
        <w:tc>
          <w:tcPr>
            <w:tcW w:w="4473" w:type="dxa"/>
            <w:noWrap w:val="0"/>
            <w:vAlign w:val="top"/>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开 户 行：</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帐    号：</w:t>
            </w:r>
          </w:p>
        </w:tc>
        <w:tc>
          <w:tcPr>
            <w:tcW w:w="447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帐    号：</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电    话：</w:t>
            </w:r>
          </w:p>
        </w:tc>
        <w:tc>
          <w:tcPr>
            <w:tcW w:w="4473" w:type="dxa"/>
            <w:noWrap w:val="0"/>
            <w:vAlign w:val="top"/>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电    话：</w:t>
            </w:r>
          </w:p>
        </w:tc>
      </w:tr>
      <w:tr>
        <w:tblPrEx>
          <w:tblCellMar>
            <w:top w:w="0" w:type="dxa"/>
            <w:left w:w="108" w:type="dxa"/>
            <w:bottom w:w="0" w:type="dxa"/>
            <w:right w:w="108" w:type="dxa"/>
          </w:tblCellMar>
        </w:tblPrEx>
        <w:tc>
          <w:tcPr>
            <w:tcW w:w="4479"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 xml:space="preserve">日    期：      年   月   日  </w:t>
            </w:r>
          </w:p>
        </w:tc>
        <w:tc>
          <w:tcPr>
            <w:tcW w:w="4473" w:type="dxa"/>
            <w:noWrap w:val="0"/>
            <w:vAlign w:val="top"/>
          </w:tcPr>
          <w:p>
            <w:pPr>
              <w:keepNext w:val="0"/>
              <w:keepLines w:val="0"/>
              <w:suppressLineNumbers w:val="0"/>
              <w:spacing w:before="0" w:beforeAutospacing="0" w:after="0" w:afterAutospacing="0" w:line="400" w:lineRule="exact"/>
              <w:ind w:left="0" w:right="0"/>
              <w:rPr>
                <w:rFonts w:hint="eastAsia" w:ascii="仿宋" w:hAnsi="仿宋" w:eastAsia="仿宋" w:cs="仿宋"/>
                <w:b/>
                <w:bCs/>
                <w:sz w:val="21"/>
                <w:szCs w:val="21"/>
              </w:rPr>
            </w:pPr>
            <w:r>
              <w:rPr>
                <w:rFonts w:hint="eastAsia" w:ascii="仿宋" w:hAnsi="仿宋" w:eastAsia="仿宋" w:cs="仿宋"/>
                <w:sz w:val="21"/>
                <w:szCs w:val="21"/>
              </w:rPr>
              <w:t>日    期：       年   月   日</w:t>
            </w:r>
          </w:p>
        </w:tc>
      </w:tr>
    </w:tbl>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pStyle w:val="2"/>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4"/>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hint="eastAsia"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keepNext w:val="0"/>
              <w:keepLines w:val="0"/>
              <w:suppressLineNumbers w:val="0"/>
              <w:adjustRightInd w:val="0"/>
              <w:spacing w:before="0" w:beforeAutospacing="0" w:after="0" w:afterAutospacing="0" w:line="360" w:lineRule="auto"/>
              <w:ind w:left="0" w:right="0"/>
              <w:rPr>
                <w:rFonts w:hint="default"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hint="default"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keepNext w:val="0"/>
              <w:keepLines w:val="0"/>
              <w:suppressLineNumbers w:val="0"/>
              <w:adjustRightInd w:val="0"/>
              <w:spacing w:before="0" w:beforeAutospacing="0" w:after="0" w:afterAutospacing="0" w:line="360" w:lineRule="auto"/>
              <w:ind w:left="0" w:right="0"/>
              <w:rPr>
                <w:rFonts w:hint="default"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47" w:right="1247" w:bottom="1247" w:left="1247" w:header="851" w:footer="992" w:gutter="0"/>
          <w:cols w:space="0" w:num="1"/>
          <w:rtlGutter w:val="0"/>
          <w:docGrid w:type="lines" w:linePitch="319"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投标文件中的</w:t>
            </w:r>
          </w:p>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default" w:ascii="仿宋" w:hAnsi="仿宋" w:eastAsia="仿宋"/>
                <w:color w:val="auto"/>
                <w:sz w:val="24"/>
                <w:highlight w:val="none"/>
              </w:rPr>
              <w:t>1</w:t>
            </w:r>
          </w:p>
        </w:tc>
        <w:tc>
          <w:tcPr>
            <w:tcW w:w="4991" w:type="dxa"/>
          </w:tcPr>
          <w:p>
            <w:pPr>
              <w:keepNext w:val="0"/>
              <w:keepLines w:val="0"/>
              <w:suppressLineNumbers w:val="0"/>
              <w:spacing w:before="0" w:beforeAutospacing="0" w:after="0" w:afterAutospacing="0" w:line="360" w:lineRule="auto"/>
              <w:ind w:left="0" w:right="0"/>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default" w:ascii="仿宋" w:hAnsi="仿宋" w:eastAsia="仿宋" w:cs="仿宋_GB2312"/>
                <w:color w:val="auto"/>
                <w:sz w:val="24"/>
                <w:highlight w:val="none"/>
              </w:rPr>
            </w:pPr>
          </w:p>
          <w:p>
            <w:pPr>
              <w:keepNext w:val="0"/>
              <w:keepLines w:val="0"/>
              <w:suppressLineNumbers w:val="0"/>
              <w:spacing w:before="0" w:beforeAutospacing="0" w:after="0" w:afterAutospacing="0"/>
              <w:ind w:left="0" w:right="0"/>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suppressLineNumbers w:val="0"/>
              <w:spacing w:before="0" w:beforeAutospacing="0" w:after="0" w:afterAutospacing="0"/>
              <w:ind w:left="0" w:right="0"/>
              <w:rPr>
                <w:rFonts w:hint="default"/>
                <w:color w:val="auto"/>
                <w:highlight w:val="none"/>
              </w:rPr>
            </w:pPr>
            <w:r>
              <w:rPr>
                <w:rFonts w:hint="eastAsia" w:ascii="仿宋" w:eastAsia="仿宋" w:cs="仿宋_GB2312"/>
                <w:color w:val="auto"/>
                <w:sz w:val="24"/>
                <w:highlight w:val="none"/>
              </w:rPr>
              <w:t>第</w:t>
            </w:r>
            <w:r>
              <w:rPr>
                <w:rFonts w:hint="default"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default" w:ascii="仿宋_GB2312" w:hAnsi="仿宋" w:eastAsia="仿宋_GB2312"/>
                <w:color w:val="auto"/>
                <w:sz w:val="24"/>
                <w:highlight w:val="none"/>
              </w:rPr>
              <w:t>2</w:t>
            </w:r>
          </w:p>
        </w:tc>
        <w:tc>
          <w:tcPr>
            <w:tcW w:w="4991" w:type="dxa"/>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keepNext w:val="0"/>
              <w:keepLines w:val="0"/>
              <w:suppressLineNumbers w:val="0"/>
              <w:spacing w:before="0" w:beforeAutospacing="0" w:after="0" w:afterAutospacing="0"/>
              <w:ind w:left="0" w:right="0"/>
              <w:rPr>
                <w:rFonts w:hint="default" w:ascii="仿宋" w:hAnsi="仿宋" w:eastAsia="仿宋" w:cs="仿宋_GB2312"/>
                <w:color w:val="auto"/>
                <w:sz w:val="24"/>
                <w:highlight w:val="none"/>
              </w:rPr>
            </w:pPr>
          </w:p>
          <w:p>
            <w:pPr>
              <w:keepNext w:val="0"/>
              <w:keepLines w:val="0"/>
              <w:suppressLineNumbers w:val="0"/>
              <w:spacing w:before="0" w:beforeAutospacing="0" w:after="0" w:afterAutospacing="0"/>
              <w:ind w:left="0" w:right="0"/>
              <w:rPr>
                <w:rFonts w:hint="default" w:ascii="仿宋" w:hAnsi="仿宋" w:eastAsia="仿宋" w:cs="仿宋_GB2312"/>
                <w:color w:val="auto"/>
                <w:sz w:val="24"/>
                <w:highlight w:val="none"/>
              </w:rPr>
            </w:pPr>
          </w:p>
          <w:p>
            <w:pPr>
              <w:keepNext w:val="0"/>
              <w:keepLines w:val="0"/>
              <w:suppressLineNumbers w:val="0"/>
              <w:spacing w:before="0" w:beforeAutospacing="0" w:after="0" w:afterAutospacing="0"/>
              <w:ind w:left="0" w:right="0"/>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suppressLineNumbers w:val="0"/>
              <w:spacing w:before="0" w:beforeAutospacing="0" w:after="0" w:afterAutospacing="0"/>
              <w:ind w:right="0"/>
              <w:rPr>
                <w:rFonts w:hint="default"/>
                <w:color w:val="auto"/>
                <w:highlight w:val="none"/>
                <w:lang w:val="en-US"/>
              </w:rPr>
            </w:pPr>
            <w:r>
              <w:rPr>
                <w:rFonts w:hint="eastAsia" w:ascii="仿宋" w:eastAsia="仿宋" w:cs="仿宋_GB2312"/>
                <w:b w:val="0"/>
                <w:bCs w:val="0"/>
                <w:color w:val="auto"/>
                <w:sz w:val="24"/>
                <w:szCs w:val="24"/>
                <w:highlight w:val="none"/>
                <w:lang w:val="en-US"/>
              </w:rPr>
              <w:t>第</w:t>
            </w:r>
            <w:r>
              <w:rPr>
                <w:rFonts w:hint="default"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default" w:ascii="仿宋" w:hAnsi="仿宋" w:eastAsia="仿宋"/>
                <w:color w:val="auto"/>
                <w:sz w:val="24"/>
                <w:highlight w:val="none"/>
              </w:rPr>
              <w:t>3</w:t>
            </w:r>
          </w:p>
        </w:tc>
        <w:tc>
          <w:tcPr>
            <w:tcW w:w="4991" w:type="dxa"/>
          </w:tcPr>
          <w:p>
            <w:pPr>
              <w:keepNext w:val="0"/>
              <w:keepLines w:val="0"/>
              <w:suppressLineNumbers w:val="0"/>
              <w:spacing w:before="0" w:beforeAutospacing="0" w:after="0" w:afterAutospacing="0" w:line="360" w:lineRule="auto"/>
              <w:ind w:left="0" w:right="0"/>
              <w:rPr>
                <w:rFonts w:hint="default"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keepNext w:val="0"/>
              <w:keepLines w:val="0"/>
              <w:suppressLineNumbers w:val="0"/>
              <w:spacing w:before="0" w:beforeAutospacing="0" w:after="0" w:afterAutospacing="0"/>
              <w:ind w:left="0" w:right="0"/>
              <w:rPr>
                <w:rFonts w:hint="default"/>
                <w:color w:val="auto"/>
                <w:highlight w:val="none"/>
              </w:rPr>
            </w:pPr>
            <w:r>
              <w:rPr>
                <w:rFonts w:hint="eastAsia" w:ascii="仿宋" w:hAnsi="仿宋" w:eastAsia="仿宋" w:cs="仿宋_GB2312"/>
                <w:color w:val="auto"/>
                <w:sz w:val="24"/>
                <w:highlight w:val="none"/>
              </w:rPr>
              <w:t>见投标文件第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default" w:ascii="仿宋" w:hAnsi="仿宋" w:eastAsia="仿宋"/>
                <w:color w:val="auto"/>
                <w:sz w:val="24"/>
                <w:highlight w:val="none"/>
              </w:rPr>
              <w:t>4</w:t>
            </w:r>
          </w:p>
        </w:tc>
        <w:tc>
          <w:tcPr>
            <w:tcW w:w="4991" w:type="dxa"/>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hint="default"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default"/>
                <w:color w:val="auto"/>
                <w:highlight w:val="none"/>
              </w:rPr>
            </w:pPr>
            <w:r>
              <w:rPr>
                <w:rFonts w:hint="eastAsia" w:ascii="仿宋" w:hAnsi="仿宋" w:eastAsia="仿宋" w:cs="仿宋_GB2312"/>
                <w:color w:val="auto"/>
                <w:sz w:val="24"/>
                <w:highlight w:val="none"/>
              </w:rPr>
              <w:t>见投标文件第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both"/>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both"/>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keepNext w:val="0"/>
              <w:keepLines w:val="0"/>
              <w:suppressLineNumbers w:val="0"/>
              <w:spacing w:before="0" w:beforeAutospacing="0" w:after="0" w:afterAutospacing="0"/>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3683"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3683"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3546"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c>
          <w:tcPr>
            <w:tcW w:w="1276" w:type="dxa"/>
          </w:tcPr>
          <w:p>
            <w:pPr>
              <w:keepNext w:val="0"/>
              <w:keepLines w:val="0"/>
              <w:suppressLineNumbers w:val="0"/>
              <w:spacing w:before="0" w:beforeAutospacing="0" w:after="0" w:afterAutospacing="0"/>
              <w:ind w:left="0" w:right="0"/>
              <w:jc w:val="center"/>
              <w:rPr>
                <w:rFonts w:hint="default"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1911" w:firstLineChars="595"/>
        <w:rPr>
          <w:rFonts w:hint="eastAsia" w:ascii="仿宋_GB2312" w:hAnsi="仿宋" w:eastAsia="仿宋_GB2312" w:cs="仿宋_GB2312"/>
          <w:b/>
          <w:color w:val="auto"/>
          <w:kern w:val="0"/>
          <w:sz w:val="32"/>
          <w:szCs w:val="32"/>
          <w:highlight w:val="none"/>
        </w:rPr>
      </w:pPr>
    </w:p>
    <w:p>
      <w:pPr>
        <w:ind w:firstLine="1911" w:firstLineChars="595"/>
        <w:rPr>
          <w:rFonts w:hint="eastAsia" w:ascii="仿宋_GB2312" w:hAnsi="仿宋" w:eastAsia="仿宋_GB2312" w:cs="仿宋_GB2312"/>
          <w:b/>
          <w:color w:val="auto"/>
          <w:kern w:val="0"/>
          <w:sz w:val="32"/>
          <w:szCs w:val="32"/>
          <w:highlight w:val="none"/>
        </w:rPr>
      </w:pPr>
    </w:p>
    <w:p>
      <w:pPr>
        <w:ind w:firstLine="1911" w:firstLineChars="595"/>
        <w:rPr>
          <w:rFonts w:hint="eastAsia"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47" w:right="1247" w:bottom="1247" w:left="1247" w:header="851" w:footer="992" w:gutter="0"/>
          <w:cols w:space="0" w:num="1"/>
          <w:rtlGutter w:val="0"/>
          <w:docGrid w:type="lines" w:linePitch="319"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247" w:bottom="1247" w:left="1247" w:header="851" w:footer="992" w:gutter="0"/>
          <w:cols w:space="0" w:num="1"/>
          <w:rtlGutter w:val="0"/>
          <w:docGrid w:type="lines" w:linePitch="319"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color w:val="auto"/>
                <w:sz w:val="24"/>
                <w:highlight w:val="none"/>
              </w:rPr>
            </w:pPr>
          </w:p>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b/>
                <w:color w:val="auto"/>
                <w:sz w:val="24"/>
                <w:highlight w:val="none"/>
              </w:rPr>
            </w:pPr>
          </w:p>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keepNext w:val="0"/>
              <w:keepLines w:val="0"/>
              <w:suppressLineNumbers w:val="0"/>
              <w:spacing w:before="0" w:beforeAutospacing="0" w:after="0" w:afterAutospacing="0" w:line="360" w:lineRule="auto"/>
              <w:ind w:left="0" w:right="0"/>
              <w:jc w:val="center"/>
              <w:rPr>
                <w:rFonts w:hint="default"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2</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41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99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247" w:right="1247" w:bottom="1247" w:left="1247" w:header="851" w:footer="992" w:gutter="0"/>
          <w:cols w:space="0" w:num="1"/>
          <w:rtlGutter w:val="0"/>
          <w:docGrid w:type="lines" w:linePitch="319"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keepNext w:val="0"/>
              <w:keepLines w:val="0"/>
              <w:widowControl/>
              <w:suppressLineNumbers w:val="0"/>
              <w:spacing w:before="0" w:beforeAutospacing="0" w:after="0" w:afterAutospacing="0"/>
              <w:ind w:left="0" w:right="0"/>
              <w:jc w:val="center"/>
              <w:rPr>
                <w:rFonts w:hint="default"/>
                <w:color w:val="auto"/>
                <w:highlight w:val="none"/>
              </w:rPr>
            </w:pPr>
            <w:r>
              <w:rPr>
                <w:rFonts w:hint="default"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6" w:name="_Toc465665161"/>
      <w:r>
        <w:rPr>
          <w:rFonts w:hint="eastAsia" w:ascii="仿宋_GB2312" w:hAnsi="仿宋" w:eastAsia="仿宋_GB2312"/>
          <w:color w:val="auto"/>
          <w:highlight w:val="none"/>
        </w:rPr>
        <w:t>附件</w:t>
      </w:r>
      <w:bookmarkEnd w:id="396"/>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7" w:name="OLE_LINK13"/>
      <w:bookmarkStart w:id="398" w:name="OLE_LINK14"/>
      <w:r>
        <w:rPr>
          <w:rFonts w:hint="eastAsia" w:ascii="仿宋_GB2312" w:hAnsi="仿宋" w:eastAsia="仿宋_GB2312"/>
          <w:b/>
          <w:color w:val="auto"/>
          <w:spacing w:val="6"/>
          <w:sz w:val="32"/>
          <w:szCs w:val="32"/>
          <w:highlight w:val="none"/>
        </w:rPr>
        <w:t>残疾人福利性单位声明函</w:t>
      </w:r>
    </w:p>
    <w:bookmarkEnd w:id="397"/>
    <w:bookmarkEnd w:id="398"/>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hint="eastAsia"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both"/>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highlight w:val="none"/>
          <w:lang w:val="en-US"/>
        </w:rPr>
      </w:pPr>
    </w:p>
    <w:p>
      <w:pPr>
        <w:spacing w:line="360" w:lineRule="auto"/>
        <w:ind w:right="420"/>
        <w:rPr>
          <w:color w:val="auto"/>
          <w:highlight w:val="none"/>
        </w:rPr>
      </w:pPr>
    </w:p>
    <w:sectPr>
      <w:headerReference r:id="rId20" w:type="default"/>
      <w:footerReference r:id="rId21" w:type="default"/>
      <w:pgSz w:w="11906" w:h="16838"/>
      <w:pgMar w:top="1247" w:right="1247" w:bottom="1247" w:left="124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2DE5B"/>
    <w:multiLevelType w:val="singleLevel"/>
    <w:tmpl w:val="9E62DE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JkMjdmZjE5MjU2NTEzN2IzYjkxYzRmZDM5ZGQ2Y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3A"/>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001D1"/>
    <w:rsid w:val="019F7441"/>
    <w:rsid w:val="01B37585"/>
    <w:rsid w:val="01D55165"/>
    <w:rsid w:val="01DF6BF8"/>
    <w:rsid w:val="01EC2C57"/>
    <w:rsid w:val="022457FE"/>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16C45"/>
    <w:rsid w:val="048F763B"/>
    <w:rsid w:val="04956875"/>
    <w:rsid w:val="049F330E"/>
    <w:rsid w:val="04AA775C"/>
    <w:rsid w:val="04AF1889"/>
    <w:rsid w:val="04F66F48"/>
    <w:rsid w:val="05251E14"/>
    <w:rsid w:val="0558476D"/>
    <w:rsid w:val="05A16594"/>
    <w:rsid w:val="05A7762D"/>
    <w:rsid w:val="060E5941"/>
    <w:rsid w:val="06110FAF"/>
    <w:rsid w:val="06493CA7"/>
    <w:rsid w:val="065A6178"/>
    <w:rsid w:val="066F1CF3"/>
    <w:rsid w:val="06751128"/>
    <w:rsid w:val="06773A0A"/>
    <w:rsid w:val="06930BB8"/>
    <w:rsid w:val="06B74AA3"/>
    <w:rsid w:val="07245D42"/>
    <w:rsid w:val="07264C62"/>
    <w:rsid w:val="0779354C"/>
    <w:rsid w:val="07C8288B"/>
    <w:rsid w:val="08061376"/>
    <w:rsid w:val="08452D77"/>
    <w:rsid w:val="086401F8"/>
    <w:rsid w:val="08751CAA"/>
    <w:rsid w:val="087E4C40"/>
    <w:rsid w:val="08D66AD6"/>
    <w:rsid w:val="08DA33A3"/>
    <w:rsid w:val="08E80F13"/>
    <w:rsid w:val="09335624"/>
    <w:rsid w:val="093B1953"/>
    <w:rsid w:val="0944690F"/>
    <w:rsid w:val="09535675"/>
    <w:rsid w:val="095F057D"/>
    <w:rsid w:val="09642282"/>
    <w:rsid w:val="09733572"/>
    <w:rsid w:val="09772C16"/>
    <w:rsid w:val="098353B5"/>
    <w:rsid w:val="09976DD7"/>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ED2AE2"/>
    <w:rsid w:val="0BF6188C"/>
    <w:rsid w:val="0BF73C91"/>
    <w:rsid w:val="0C170175"/>
    <w:rsid w:val="0C4D74FF"/>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E22C27"/>
    <w:rsid w:val="0DF50604"/>
    <w:rsid w:val="0DF702FE"/>
    <w:rsid w:val="0E060E51"/>
    <w:rsid w:val="0E5604B2"/>
    <w:rsid w:val="0E5755C2"/>
    <w:rsid w:val="0E6D5D79"/>
    <w:rsid w:val="0E9D0089"/>
    <w:rsid w:val="0EAE30D6"/>
    <w:rsid w:val="0EB803EE"/>
    <w:rsid w:val="0EBD624E"/>
    <w:rsid w:val="0EF94D4B"/>
    <w:rsid w:val="0F4958DC"/>
    <w:rsid w:val="0F515DF7"/>
    <w:rsid w:val="0F596BA8"/>
    <w:rsid w:val="0F6248D2"/>
    <w:rsid w:val="0F693536"/>
    <w:rsid w:val="0F7B0511"/>
    <w:rsid w:val="0F7B76D9"/>
    <w:rsid w:val="0F816ACD"/>
    <w:rsid w:val="0F9832DB"/>
    <w:rsid w:val="0FBF3FD2"/>
    <w:rsid w:val="0FBF7FF3"/>
    <w:rsid w:val="102869D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06575"/>
    <w:rsid w:val="154A6454"/>
    <w:rsid w:val="15762120"/>
    <w:rsid w:val="1594241D"/>
    <w:rsid w:val="16A8729C"/>
    <w:rsid w:val="16B33777"/>
    <w:rsid w:val="16BC70A7"/>
    <w:rsid w:val="16C6339E"/>
    <w:rsid w:val="16F14BA4"/>
    <w:rsid w:val="172F2D79"/>
    <w:rsid w:val="17557BEF"/>
    <w:rsid w:val="17665148"/>
    <w:rsid w:val="17D349C1"/>
    <w:rsid w:val="181436A0"/>
    <w:rsid w:val="1830729E"/>
    <w:rsid w:val="183F0164"/>
    <w:rsid w:val="1870062C"/>
    <w:rsid w:val="187D53EA"/>
    <w:rsid w:val="18817102"/>
    <w:rsid w:val="18830A15"/>
    <w:rsid w:val="18852B28"/>
    <w:rsid w:val="188B5321"/>
    <w:rsid w:val="18CE36CF"/>
    <w:rsid w:val="19082364"/>
    <w:rsid w:val="198B79C2"/>
    <w:rsid w:val="19932372"/>
    <w:rsid w:val="19A20DD5"/>
    <w:rsid w:val="19AE03F1"/>
    <w:rsid w:val="1A071A03"/>
    <w:rsid w:val="1A1B5468"/>
    <w:rsid w:val="1A1F16AE"/>
    <w:rsid w:val="1A3B5C77"/>
    <w:rsid w:val="1A8B4495"/>
    <w:rsid w:val="1A984BAD"/>
    <w:rsid w:val="1AB41EA1"/>
    <w:rsid w:val="1AB8220E"/>
    <w:rsid w:val="1AE4166C"/>
    <w:rsid w:val="1AF06CFB"/>
    <w:rsid w:val="1AF11B8D"/>
    <w:rsid w:val="1B11359C"/>
    <w:rsid w:val="1B2A271F"/>
    <w:rsid w:val="1B3D1D91"/>
    <w:rsid w:val="1B530544"/>
    <w:rsid w:val="1B627D71"/>
    <w:rsid w:val="1B713184"/>
    <w:rsid w:val="1BA209CF"/>
    <w:rsid w:val="1BB4777D"/>
    <w:rsid w:val="1BD75AB8"/>
    <w:rsid w:val="1C0459C2"/>
    <w:rsid w:val="1C1B3B4A"/>
    <w:rsid w:val="1C88086E"/>
    <w:rsid w:val="1C8B5133"/>
    <w:rsid w:val="1D043007"/>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0365A"/>
    <w:rsid w:val="1F5771FF"/>
    <w:rsid w:val="1FE868A9"/>
    <w:rsid w:val="20034907"/>
    <w:rsid w:val="20173E4B"/>
    <w:rsid w:val="204E48BC"/>
    <w:rsid w:val="208921B3"/>
    <w:rsid w:val="20973DEB"/>
    <w:rsid w:val="20B26522"/>
    <w:rsid w:val="20B44310"/>
    <w:rsid w:val="211116EB"/>
    <w:rsid w:val="216133FC"/>
    <w:rsid w:val="217155F0"/>
    <w:rsid w:val="219F10D0"/>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134ED"/>
    <w:rsid w:val="24B22173"/>
    <w:rsid w:val="24B95AD9"/>
    <w:rsid w:val="24BE24DA"/>
    <w:rsid w:val="24CF5825"/>
    <w:rsid w:val="24D663E6"/>
    <w:rsid w:val="24D77F2B"/>
    <w:rsid w:val="25077D5B"/>
    <w:rsid w:val="258B00E2"/>
    <w:rsid w:val="25A917A6"/>
    <w:rsid w:val="25BE27CC"/>
    <w:rsid w:val="25F74A5C"/>
    <w:rsid w:val="2628662C"/>
    <w:rsid w:val="262D45DE"/>
    <w:rsid w:val="26A53EF9"/>
    <w:rsid w:val="26A94201"/>
    <w:rsid w:val="26AC274F"/>
    <w:rsid w:val="26B60F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0712A4"/>
    <w:rsid w:val="2A15033F"/>
    <w:rsid w:val="2A1662C1"/>
    <w:rsid w:val="2A1C7367"/>
    <w:rsid w:val="2A2815FA"/>
    <w:rsid w:val="2A6D6092"/>
    <w:rsid w:val="2A7D76B4"/>
    <w:rsid w:val="2AFF256D"/>
    <w:rsid w:val="2B0778E2"/>
    <w:rsid w:val="2B437463"/>
    <w:rsid w:val="2B7807EE"/>
    <w:rsid w:val="2BBF00EC"/>
    <w:rsid w:val="2BC37CFD"/>
    <w:rsid w:val="2BCA25EB"/>
    <w:rsid w:val="2BD5237F"/>
    <w:rsid w:val="2BE536CE"/>
    <w:rsid w:val="2BE758D9"/>
    <w:rsid w:val="2BF253E6"/>
    <w:rsid w:val="2C016D99"/>
    <w:rsid w:val="2C09049E"/>
    <w:rsid w:val="2C0A653C"/>
    <w:rsid w:val="2C191F85"/>
    <w:rsid w:val="2C1C15BC"/>
    <w:rsid w:val="2CE82D6F"/>
    <w:rsid w:val="2D343236"/>
    <w:rsid w:val="2DA01E52"/>
    <w:rsid w:val="2DD15014"/>
    <w:rsid w:val="2DF72DE4"/>
    <w:rsid w:val="2E0220AF"/>
    <w:rsid w:val="2E2533DC"/>
    <w:rsid w:val="2E4B082A"/>
    <w:rsid w:val="2E5D4E86"/>
    <w:rsid w:val="2E5D790B"/>
    <w:rsid w:val="2E9A3C18"/>
    <w:rsid w:val="2EBB0FEE"/>
    <w:rsid w:val="2EC63002"/>
    <w:rsid w:val="2F0A6B38"/>
    <w:rsid w:val="2F946CCB"/>
    <w:rsid w:val="2FD25781"/>
    <w:rsid w:val="2FE365F2"/>
    <w:rsid w:val="2FFD7934"/>
    <w:rsid w:val="30272D52"/>
    <w:rsid w:val="30733ACD"/>
    <w:rsid w:val="308C3862"/>
    <w:rsid w:val="309379D8"/>
    <w:rsid w:val="30A270F7"/>
    <w:rsid w:val="30DF1478"/>
    <w:rsid w:val="30EC586F"/>
    <w:rsid w:val="31091D92"/>
    <w:rsid w:val="31757B93"/>
    <w:rsid w:val="319C6071"/>
    <w:rsid w:val="31AC537E"/>
    <w:rsid w:val="31E3679B"/>
    <w:rsid w:val="31E732FD"/>
    <w:rsid w:val="32517576"/>
    <w:rsid w:val="32BE5C2C"/>
    <w:rsid w:val="32FB6478"/>
    <w:rsid w:val="33107D6B"/>
    <w:rsid w:val="33263B3F"/>
    <w:rsid w:val="33267DEC"/>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971BB8"/>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12E76"/>
    <w:rsid w:val="3A744481"/>
    <w:rsid w:val="3A8C7BEF"/>
    <w:rsid w:val="3A906246"/>
    <w:rsid w:val="3B2349B7"/>
    <w:rsid w:val="3B616CFF"/>
    <w:rsid w:val="3B6259F6"/>
    <w:rsid w:val="3B976654"/>
    <w:rsid w:val="3BC01EFC"/>
    <w:rsid w:val="3BC646E5"/>
    <w:rsid w:val="3BCA786A"/>
    <w:rsid w:val="3BD31E2F"/>
    <w:rsid w:val="3BF15831"/>
    <w:rsid w:val="3BFB559D"/>
    <w:rsid w:val="3C105946"/>
    <w:rsid w:val="3C471448"/>
    <w:rsid w:val="3C5F759A"/>
    <w:rsid w:val="3C6C525A"/>
    <w:rsid w:val="3C797A89"/>
    <w:rsid w:val="3CCE23CB"/>
    <w:rsid w:val="3CD17D17"/>
    <w:rsid w:val="3D3B5012"/>
    <w:rsid w:val="3D3C7F39"/>
    <w:rsid w:val="3D440F09"/>
    <w:rsid w:val="3D4504A0"/>
    <w:rsid w:val="3D8734BB"/>
    <w:rsid w:val="3D9A11D4"/>
    <w:rsid w:val="3DA16D89"/>
    <w:rsid w:val="3DA364BE"/>
    <w:rsid w:val="3DC7281A"/>
    <w:rsid w:val="3DE041CB"/>
    <w:rsid w:val="3E0D48F6"/>
    <w:rsid w:val="3E1868B4"/>
    <w:rsid w:val="3E377251"/>
    <w:rsid w:val="3E42664B"/>
    <w:rsid w:val="3E4F247E"/>
    <w:rsid w:val="3E5A7334"/>
    <w:rsid w:val="3E7B5D6B"/>
    <w:rsid w:val="3E843E66"/>
    <w:rsid w:val="3E8F51FE"/>
    <w:rsid w:val="3E926F87"/>
    <w:rsid w:val="3E9A59DE"/>
    <w:rsid w:val="3EAF4836"/>
    <w:rsid w:val="3EC33DFA"/>
    <w:rsid w:val="3F060E16"/>
    <w:rsid w:val="3F1D1096"/>
    <w:rsid w:val="3F2F0234"/>
    <w:rsid w:val="3F6363FE"/>
    <w:rsid w:val="3F7406EF"/>
    <w:rsid w:val="3F756B8F"/>
    <w:rsid w:val="3F763A65"/>
    <w:rsid w:val="3F95482B"/>
    <w:rsid w:val="3FD177CD"/>
    <w:rsid w:val="4019356B"/>
    <w:rsid w:val="40592157"/>
    <w:rsid w:val="406E1CAE"/>
    <w:rsid w:val="40751380"/>
    <w:rsid w:val="40A0133A"/>
    <w:rsid w:val="40C31A53"/>
    <w:rsid w:val="40FF545D"/>
    <w:rsid w:val="410067C8"/>
    <w:rsid w:val="412F2E76"/>
    <w:rsid w:val="413B25C2"/>
    <w:rsid w:val="418F0D2A"/>
    <w:rsid w:val="41D01505"/>
    <w:rsid w:val="422A77E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62EB5"/>
    <w:rsid w:val="44D541E6"/>
    <w:rsid w:val="44DE1391"/>
    <w:rsid w:val="45153E01"/>
    <w:rsid w:val="451B225C"/>
    <w:rsid w:val="452410C9"/>
    <w:rsid w:val="45317DFB"/>
    <w:rsid w:val="45542093"/>
    <w:rsid w:val="456D3CE4"/>
    <w:rsid w:val="4579042C"/>
    <w:rsid w:val="457F0571"/>
    <w:rsid w:val="45851176"/>
    <w:rsid w:val="45C63B94"/>
    <w:rsid w:val="45C9082E"/>
    <w:rsid w:val="460E7DA5"/>
    <w:rsid w:val="46422483"/>
    <w:rsid w:val="4659254A"/>
    <w:rsid w:val="465B0637"/>
    <w:rsid w:val="465E3F0D"/>
    <w:rsid w:val="466A16E6"/>
    <w:rsid w:val="46893F2B"/>
    <w:rsid w:val="46C4686E"/>
    <w:rsid w:val="47251FCB"/>
    <w:rsid w:val="477B778F"/>
    <w:rsid w:val="478203EC"/>
    <w:rsid w:val="47B025FA"/>
    <w:rsid w:val="4809698F"/>
    <w:rsid w:val="4811697D"/>
    <w:rsid w:val="487A3E25"/>
    <w:rsid w:val="488B5503"/>
    <w:rsid w:val="48937E21"/>
    <w:rsid w:val="489A0361"/>
    <w:rsid w:val="48B94FF3"/>
    <w:rsid w:val="48CD6F1D"/>
    <w:rsid w:val="48E37AAB"/>
    <w:rsid w:val="48FD4B4C"/>
    <w:rsid w:val="490A68E0"/>
    <w:rsid w:val="491055FE"/>
    <w:rsid w:val="495F5B3E"/>
    <w:rsid w:val="496F77D7"/>
    <w:rsid w:val="497654FD"/>
    <w:rsid w:val="49B64211"/>
    <w:rsid w:val="49F6167F"/>
    <w:rsid w:val="4A064FA0"/>
    <w:rsid w:val="4A16615C"/>
    <w:rsid w:val="4A186F2D"/>
    <w:rsid w:val="4A2C22F8"/>
    <w:rsid w:val="4A4424D7"/>
    <w:rsid w:val="4A6F21D0"/>
    <w:rsid w:val="4AB82D0F"/>
    <w:rsid w:val="4AEB7664"/>
    <w:rsid w:val="4AFD7C19"/>
    <w:rsid w:val="4B0567D1"/>
    <w:rsid w:val="4B236AAE"/>
    <w:rsid w:val="4B6E22F6"/>
    <w:rsid w:val="4B707271"/>
    <w:rsid w:val="4B9739F7"/>
    <w:rsid w:val="4BEE2503"/>
    <w:rsid w:val="4BF8720B"/>
    <w:rsid w:val="4C245A30"/>
    <w:rsid w:val="4CB6685F"/>
    <w:rsid w:val="4CC367FE"/>
    <w:rsid w:val="4D077F3C"/>
    <w:rsid w:val="4D092950"/>
    <w:rsid w:val="4D123355"/>
    <w:rsid w:val="4D2A3B31"/>
    <w:rsid w:val="4D312C52"/>
    <w:rsid w:val="4D7015DB"/>
    <w:rsid w:val="4D905305"/>
    <w:rsid w:val="4D964A72"/>
    <w:rsid w:val="4D9C1254"/>
    <w:rsid w:val="4E290B72"/>
    <w:rsid w:val="4E793892"/>
    <w:rsid w:val="4E800872"/>
    <w:rsid w:val="4EC569ED"/>
    <w:rsid w:val="4ED50EA1"/>
    <w:rsid w:val="4EEC050C"/>
    <w:rsid w:val="4F104EC3"/>
    <w:rsid w:val="4F47354A"/>
    <w:rsid w:val="4F911C54"/>
    <w:rsid w:val="4FD53C9E"/>
    <w:rsid w:val="4FE625E0"/>
    <w:rsid w:val="5021480F"/>
    <w:rsid w:val="50962ECB"/>
    <w:rsid w:val="50A42E38"/>
    <w:rsid w:val="50A4577F"/>
    <w:rsid w:val="50B73D1F"/>
    <w:rsid w:val="50BD5BC9"/>
    <w:rsid w:val="50C11EEE"/>
    <w:rsid w:val="50D43BCB"/>
    <w:rsid w:val="50E97CFC"/>
    <w:rsid w:val="50FA4028"/>
    <w:rsid w:val="510D65B7"/>
    <w:rsid w:val="511157AB"/>
    <w:rsid w:val="5142540C"/>
    <w:rsid w:val="516676AF"/>
    <w:rsid w:val="518832C8"/>
    <w:rsid w:val="51A0432A"/>
    <w:rsid w:val="51A86090"/>
    <w:rsid w:val="51B7396D"/>
    <w:rsid w:val="51F03A28"/>
    <w:rsid w:val="51F94496"/>
    <w:rsid w:val="52071E41"/>
    <w:rsid w:val="522E4CC3"/>
    <w:rsid w:val="5244713B"/>
    <w:rsid w:val="52555E41"/>
    <w:rsid w:val="52615633"/>
    <w:rsid w:val="52977FD4"/>
    <w:rsid w:val="5298521F"/>
    <w:rsid w:val="52A25790"/>
    <w:rsid w:val="52A96B6F"/>
    <w:rsid w:val="52B45975"/>
    <w:rsid w:val="52D94AA4"/>
    <w:rsid w:val="52EA3A62"/>
    <w:rsid w:val="52F50BB8"/>
    <w:rsid w:val="53097272"/>
    <w:rsid w:val="534F196C"/>
    <w:rsid w:val="53544462"/>
    <w:rsid w:val="5397158E"/>
    <w:rsid w:val="54013861"/>
    <w:rsid w:val="54487265"/>
    <w:rsid w:val="544D6070"/>
    <w:rsid w:val="54605E1E"/>
    <w:rsid w:val="5465478F"/>
    <w:rsid w:val="54823D8D"/>
    <w:rsid w:val="54844A3B"/>
    <w:rsid w:val="54A232E5"/>
    <w:rsid w:val="54B3506A"/>
    <w:rsid w:val="54CA0D16"/>
    <w:rsid w:val="54DD4057"/>
    <w:rsid w:val="54E7490F"/>
    <w:rsid w:val="54FA1C10"/>
    <w:rsid w:val="550764A4"/>
    <w:rsid w:val="550B2BF6"/>
    <w:rsid w:val="551D59AF"/>
    <w:rsid w:val="55214EB5"/>
    <w:rsid w:val="55364EFD"/>
    <w:rsid w:val="555D4828"/>
    <w:rsid w:val="557A4C8B"/>
    <w:rsid w:val="558931E1"/>
    <w:rsid w:val="55923347"/>
    <w:rsid w:val="55925180"/>
    <w:rsid w:val="55983B1B"/>
    <w:rsid w:val="55A8376B"/>
    <w:rsid w:val="55B41744"/>
    <w:rsid w:val="55DC29B6"/>
    <w:rsid w:val="55DD4241"/>
    <w:rsid w:val="56046BD0"/>
    <w:rsid w:val="566B6D1E"/>
    <w:rsid w:val="56B8513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B7C9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AFA25E2"/>
    <w:rsid w:val="5B2E1A1D"/>
    <w:rsid w:val="5B843A1C"/>
    <w:rsid w:val="5B873E3F"/>
    <w:rsid w:val="5BF16DCD"/>
    <w:rsid w:val="5C02690E"/>
    <w:rsid w:val="5C196DA7"/>
    <w:rsid w:val="5C2A048C"/>
    <w:rsid w:val="5C725325"/>
    <w:rsid w:val="5C80234E"/>
    <w:rsid w:val="5C8A680C"/>
    <w:rsid w:val="5C954003"/>
    <w:rsid w:val="5C9C4AA6"/>
    <w:rsid w:val="5D0C4701"/>
    <w:rsid w:val="5D0F0395"/>
    <w:rsid w:val="5D221076"/>
    <w:rsid w:val="5D2C70AA"/>
    <w:rsid w:val="5D397964"/>
    <w:rsid w:val="5D48552D"/>
    <w:rsid w:val="5D5A2E78"/>
    <w:rsid w:val="5D5A391C"/>
    <w:rsid w:val="5D5F10C0"/>
    <w:rsid w:val="5D891B7B"/>
    <w:rsid w:val="5DAD38EE"/>
    <w:rsid w:val="5DF925B6"/>
    <w:rsid w:val="5E006862"/>
    <w:rsid w:val="5E0207B9"/>
    <w:rsid w:val="5E1834A1"/>
    <w:rsid w:val="5E1F653E"/>
    <w:rsid w:val="5E261785"/>
    <w:rsid w:val="5E4A7017"/>
    <w:rsid w:val="5E552BBA"/>
    <w:rsid w:val="5E611C10"/>
    <w:rsid w:val="5E6A1E03"/>
    <w:rsid w:val="5EC807C2"/>
    <w:rsid w:val="5EFC7377"/>
    <w:rsid w:val="5F06174D"/>
    <w:rsid w:val="5F3A3602"/>
    <w:rsid w:val="5F6277C6"/>
    <w:rsid w:val="5F6D0B1D"/>
    <w:rsid w:val="5F8D0B82"/>
    <w:rsid w:val="5FCC5339"/>
    <w:rsid w:val="5FE34A5B"/>
    <w:rsid w:val="5FFE1E36"/>
    <w:rsid w:val="60232584"/>
    <w:rsid w:val="605D153B"/>
    <w:rsid w:val="607330CE"/>
    <w:rsid w:val="60825176"/>
    <w:rsid w:val="609F2AC4"/>
    <w:rsid w:val="60CC4091"/>
    <w:rsid w:val="60FA2EE8"/>
    <w:rsid w:val="61054A27"/>
    <w:rsid w:val="610A52BC"/>
    <w:rsid w:val="611D2366"/>
    <w:rsid w:val="61415756"/>
    <w:rsid w:val="61421856"/>
    <w:rsid w:val="615227C4"/>
    <w:rsid w:val="615D4FBC"/>
    <w:rsid w:val="61654E3F"/>
    <w:rsid w:val="6182292A"/>
    <w:rsid w:val="619F7F92"/>
    <w:rsid w:val="61D24097"/>
    <w:rsid w:val="61F94C26"/>
    <w:rsid w:val="62000E56"/>
    <w:rsid w:val="624F3E49"/>
    <w:rsid w:val="62632286"/>
    <w:rsid w:val="62885958"/>
    <w:rsid w:val="62B32FC3"/>
    <w:rsid w:val="62CE234E"/>
    <w:rsid w:val="62DF0A9B"/>
    <w:rsid w:val="62E50C04"/>
    <w:rsid w:val="62F40B65"/>
    <w:rsid w:val="62FC2CFE"/>
    <w:rsid w:val="63024505"/>
    <w:rsid w:val="635B1DB5"/>
    <w:rsid w:val="63711FED"/>
    <w:rsid w:val="63880DDC"/>
    <w:rsid w:val="638D750D"/>
    <w:rsid w:val="63AC6CC0"/>
    <w:rsid w:val="64055776"/>
    <w:rsid w:val="64240056"/>
    <w:rsid w:val="643E143A"/>
    <w:rsid w:val="648B6EEF"/>
    <w:rsid w:val="64A34325"/>
    <w:rsid w:val="64C158BF"/>
    <w:rsid w:val="64CE2EAA"/>
    <w:rsid w:val="653C3090"/>
    <w:rsid w:val="656A5960"/>
    <w:rsid w:val="65854376"/>
    <w:rsid w:val="658767BE"/>
    <w:rsid w:val="65892531"/>
    <w:rsid w:val="66195831"/>
    <w:rsid w:val="662E75B1"/>
    <w:rsid w:val="66342C2E"/>
    <w:rsid w:val="663E784C"/>
    <w:rsid w:val="668B6A45"/>
    <w:rsid w:val="66E10C0D"/>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166CA"/>
    <w:rsid w:val="6977531D"/>
    <w:rsid w:val="69CC2BFF"/>
    <w:rsid w:val="69DF5DF3"/>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A0A72"/>
    <w:rsid w:val="6C8C67B7"/>
    <w:rsid w:val="6C9D744C"/>
    <w:rsid w:val="6CC85DA9"/>
    <w:rsid w:val="6D167928"/>
    <w:rsid w:val="6D26299B"/>
    <w:rsid w:val="6D3965C4"/>
    <w:rsid w:val="6D4772EC"/>
    <w:rsid w:val="6D9078AF"/>
    <w:rsid w:val="6D982EBA"/>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E226E"/>
    <w:rsid w:val="707723D0"/>
    <w:rsid w:val="70C1365C"/>
    <w:rsid w:val="70F5661B"/>
    <w:rsid w:val="71360107"/>
    <w:rsid w:val="713B688E"/>
    <w:rsid w:val="71D43752"/>
    <w:rsid w:val="71DF6629"/>
    <w:rsid w:val="71F1796A"/>
    <w:rsid w:val="72154626"/>
    <w:rsid w:val="72262B5D"/>
    <w:rsid w:val="72283FF7"/>
    <w:rsid w:val="722E7212"/>
    <w:rsid w:val="723A0474"/>
    <w:rsid w:val="725923E4"/>
    <w:rsid w:val="72864BF7"/>
    <w:rsid w:val="729023FC"/>
    <w:rsid w:val="72DE4C6B"/>
    <w:rsid w:val="73C0646E"/>
    <w:rsid w:val="73ED1FC4"/>
    <w:rsid w:val="742222F5"/>
    <w:rsid w:val="74350AEF"/>
    <w:rsid w:val="743C0E2B"/>
    <w:rsid w:val="74476126"/>
    <w:rsid w:val="74706664"/>
    <w:rsid w:val="747F3682"/>
    <w:rsid w:val="7485000A"/>
    <w:rsid w:val="749C4185"/>
    <w:rsid w:val="74F41284"/>
    <w:rsid w:val="75067759"/>
    <w:rsid w:val="752E6DCD"/>
    <w:rsid w:val="7551380D"/>
    <w:rsid w:val="75600BE5"/>
    <w:rsid w:val="7564475C"/>
    <w:rsid w:val="75706FDE"/>
    <w:rsid w:val="7583797F"/>
    <w:rsid w:val="75D20F1D"/>
    <w:rsid w:val="75DA2C18"/>
    <w:rsid w:val="75F54412"/>
    <w:rsid w:val="761D08E0"/>
    <w:rsid w:val="762372AE"/>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23894"/>
    <w:rsid w:val="7904172F"/>
    <w:rsid w:val="790F7E27"/>
    <w:rsid w:val="792A231A"/>
    <w:rsid w:val="79316829"/>
    <w:rsid w:val="794B6758"/>
    <w:rsid w:val="796671FD"/>
    <w:rsid w:val="79694470"/>
    <w:rsid w:val="797E66A9"/>
    <w:rsid w:val="79A97383"/>
    <w:rsid w:val="79D93F8C"/>
    <w:rsid w:val="79E27E8B"/>
    <w:rsid w:val="79F850CE"/>
    <w:rsid w:val="79FD443C"/>
    <w:rsid w:val="7A0F7764"/>
    <w:rsid w:val="7A1D1975"/>
    <w:rsid w:val="7A3E5150"/>
    <w:rsid w:val="7A4670D6"/>
    <w:rsid w:val="7A534B63"/>
    <w:rsid w:val="7A615382"/>
    <w:rsid w:val="7A67303B"/>
    <w:rsid w:val="7AAB1D04"/>
    <w:rsid w:val="7ABA4368"/>
    <w:rsid w:val="7AD05746"/>
    <w:rsid w:val="7B1B5FE7"/>
    <w:rsid w:val="7B257FFD"/>
    <w:rsid w:val="7B343476"/>
    <w:rsid w:val="7B5A2978"/>
    <w:rsid w:val="7B5A7E4C"/>
    <w:rsid w:val="7B667AF9"/>
    <w:rsid w:val="7B7468F8"/>
    <w:rsid w:val="7BAD4B38"/>
    <w:rsid w:val="7BEE0103"/>
    <w:rsid w:val="7C0A0FE4"/>
    <w:rsid w:val="7C136915"/>
    <w:rsid w:val="7C254906"/>
    <w:rsid w:val="7C590818"/>
    <w:rsid w:val="7C7C10F6"/>
    <w:rsid w:val="7C853BEA"/>
    <w:rsid w:val="7C862ABD"/>
    <w:rsid w:val="7C881368"/>
    <w:rsid w:val="7CE27788"/>
    <w:rsid w:val="7D0967C9"/>
    <w:rsid w:val="7D0C32F1"/>
    <w:rsid w:val="7D0F408D"/>
    <w:rsid w:val="7D491C6C"/>
    <w:rsid w:val="7D5429C0"/>
    <w:rsid w:val="7D6E6D43"/>
    <w:rsid w:val="7D825E08"/>
    <w:rsid w:val="7DB57A34"/>
    <w:rsid w:val="7DE60973"/>
    <w:rsid w:val="7DEF0916"/>
    <w:rsid w:val="7E1E5218"/>
    <w:rsid w:val="7E9A4E1F"/>
    <w:rsid w:val="7EA7723A"/>
    <w:rsid w:val="7EC73453"/>
    <w:rsid w:val="7EF56FBB"/>
    <w:rsid w:val="7F0768EB"/>
    <w:rsid w:val="7F143BEC"/>
    <w:rsid w:val="7F201A75"/>
    <w:rsid w:val="7F715AF2"/>
    <w:rsid w:val="7F886E69"/>
    <w:rsid w:val="BB7FA927"/>
    <w:rsid w:val="F5FFD31F"/>
    <w:rsid w:val="FFE9F1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37301</Words>
  <Characters>39095</Characters>
  <Lines>289</Lines>
  <Paragraphs>81</Paragraphs>
  <TotalTime>80</TotalTime>
  <ScaleCrop>false</ScaleCrop>
  <LinksUpToDate>false</LinksUpToDate>
  <CharactersWithSpaces>44536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WPS_1661479747</cp:lastModifiedBy>
  <cp:lastPrinted>2022-08-02T14:22:00Z</cp:lastPrinted>
  <dcterms:modified xsi:type="dcterms:W3CDTF">2022-09-01T08:43:10Z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BA5858BBA3A64D1BAB97F25E56E9F5F2</vt:lpwstr>
  </property>
  <property fmtid="{D5CDD505-2E9C-101B-9397-08002B2CF9AE}" pid="5" name="woTemplateTypoMode" linkTarget="0">
    <vt:lpwstr>web</vt:lpwstr>
  </property>
  <property fmtid="{D5CDD505-2E9C-101B-9397-08002B2CF9AE}" pid="6" name="woTemplate" linkTarget="0">
    <vt:i4>1</vt:i4>
  </property>
</Properties>
</file>