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绍兴市中医院明峰CT维保项目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绍兴市中医院明峰CT维保项目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绍兴市中医院明峰CT维保项目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450000</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450000</w:t>
      </w:r>
      <w:r>
        <w:rPr>
          <w:rFonts w:hint="eastAsia" w:ascii="仿宋" w:hAnsi="仿宋" w:eastAsia="仿宋" w:cs="仿宋"/>
          <w:b w:val="0"/>
          <w:bCs/>
          <w:color w:val="auto"/>
          <w:sz w:val="24"/>
          <w:highlight w:val="none"/>
        </w:rPr>
        <w:t xml:space="preserve">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26C28E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71A4B6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标项名称：明峰CT维保</w:t>
      </w:r>
    </w:p>
    <w:p w14:paraId="42621C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32930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预算金额（元）：450000</w:t>
      </w:r>
    </w:p>
    <w:p w14:paraId="6167AB7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3D4B78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806"/>
      <w:bookmarkStart w:id="7" w:name="_Toc35393637"/>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0575-89109900</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01标、02标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0"/>
      <w:bookmarkEnd w:id="20"/>
      <w:bookmarkStart w:id="21" w:name="_Hlt68057669"/>
      <w:bookmarkEnd w:id="21"/>
      <w:bookmarkStart w:id="22" w:name="_Hlt68403820"/>
      <w:bookmarkEnd w:id="22"/>
      <w:bookmarkStart w:id="23" w:name="_Hlt74707468"/>
      <w:bookmarkEnd w:id="23"/>
      <w:bookmarkStart w:id="24" w:name="_Hlt68072998"/>
      <w:bookmarkEnd w:id="24"/>
      <w:bookmarkStart w:id="25" w:name="_Hlt75236290"/>
      <w:bookmarkEnd w:id="25"/>
      <w:bookmarkStart w:id="26" w:name="_Hlt75236101"/>
      <w:bookmarkEnd w:id="26"/>
      <w:bookmarkStart w:id="27" w:name="_Hlt74714665"/>
      <w:bookmarkEnd w:id="27"/>
      <w:bookmarkStart w:id="28" w:name="_Hlt75236011"/>
      <w:bookmarkEnd w:id="28"/>
      <w:bookmarkStart w:id="29" w:name="_Hlt74730295"/>
      <w:bookmarkEnd w:id="29"/>
      <w:bookmarkStart w:id="30" w:name="_Hlt68073093"/>
      <w:bookmarkEnd w:id="30"/>
      <w:bookmarkStart w:id="31" w:name="_Hlt74729768"/>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51F353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500929F1">
      <w:pPr>
        <w:numPr>
          <w:ilvl w:val="0"/>
          <w:numId w:val="1"/>
        </w:numPr>
        <w:spacing w:after="0"/>
        <w:jc w:val="center"/>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招标项目范围及要求</w:t>
      </w:r>
      <w:bookmarkEnd w:id="35"/>
      <w:bookmarkStart w:id="36" w:name="第五部分"/>
      <w:bookmarkStart w:id="37" w:name="_Toc86217003"/>
    </w:p>
    <w:p w14:paraId="2C94A858">
      <w:pPr>
        <w:numPr>
          <w:ilvl w:val="0"/>
          <w:numId w:val="0"/>
        </w:numPr>
        <w:spacing w:after="0"/>
        <w:rPr>
          <w:rFonts w:hint="eastAsia" w:ascii="仿宋" w:hAnsi="仿宋" w:eastAsia="仿宋" w:cs="仿宋"/>
          <w:b/>
          <w:color w:val="auto"/>
          <w:sz w:val="24"/>
          <w:szCs w:val="24"/>
          <w:highlight w:val="none"/>
          <w:lang w:val="en-US" w:eastAsia="zh-CN"/>
        </w:rPr>
      </w:pPr>
    </w:p>
    <w:p w14:paraId="64845D1F">
      <w:pPr>
        <w:numPr>
          <w:ilvl w:val="0"/>
          <w:numId w:val="0"/>
        </w:numPr>
        <w:spacing w:after="0"/>
        <w:rPr>
          <w:rFonts w:hint="eastAsia" w:ascii="仿宋" w:hAnsi="仿宋" w:eastAsia="仿宋" w:cs="仿宋"/>
          <w:b/>
          <w:color w:val="auto"/>
          <w:sz w:val="36"/>
          <w:szCs w:val="36"/>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color w:val="auto"/>
          <w:sz w:val="24"/>
          <w:szCs w:val="24"/>
          <w:highlight w:val="none"/>
        </w:rPr>
        <w:t>技术</w:t>
      </w:r>
      <w:r>
        <w:rPr>
          <w:rFonts w:hint="eastAsia" w:ascii="仿宋" w:hAnsi="仿宋" w:eastAsia="仿宋" w:cs="仿宋"/>
          <w:b/>
          <w:color w:val="auto"/>
          <w:sz w:val="24"/>
          <w:szCs w:val="24"/>
          <w:highlight w:val="none"/>
          <w:lang w:val="en-US" w:eastAsia="zh-CN"/>
        </w:rPr>
        <w:t>参数</w:t>
      </w:r>
      <w:r>
        <w:rPr>
          <w:rFonts w:hint="eastAsia" w:ascii="仿宋" w:hAnsi="仿宋" w:eastAsia="仿宋" w:cs="仿宋"/>
          <w:b/>
          <w:color w:val="auto"/>
          <w:sz w:val="24"/>
          <w:szCs w:val="24"/>
          <w:highlight w:val="none"/>
        </w:rPr>
        <w:t>要求：</w:t>
      </w:r>
    </w:p>
    <w:p w14:paraId="0CE1E535">
      <w:pPr>
        <w:spacing w:after="0"/>
        <w:rPr>
          <w:rFonts w:hint="eastAsia" w:ascii="仿宋" w:hAnsi="仿宋" w:eastAsia="仿宋" w:cs="仿宋"/>
          <w:vanish/>
          <w:color w:val="auto"/>
          <w:highlight w:val="none"/>
        </w:rPr>
      </w:pPr>
    </w:p>
    <w:p w14:paraId="5192F1EB">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w:t>
      </w:r>
      <w:r>
        <w:rPr>
          <w:rFonts w:hint="eastAsia" w:ascii="仿宋" w:hAnsi="仿宋" w:eastAsia="仿宋" w:cs="仿宋"/>
          <w:b/>
          <w:color w:val="auto"/>
          <w:sz w:val="24"/>
          <w:szCs w:val="24"/>
          <w:highlight w:val="none"/>
          <w:bdr w:val="single" w:color="auto" w:sz="4" w:space="0"/>
          <w:lang w:val="en-US" w:eastAsia="zh-CN"/>
        </w:rPr>
        <w:t>1</w:t>
      </w:r>
      <w:r>
        <w:rPr>
          <w:rFonts w:hint="eastAsia" w:ascii="仿宋" w:hAnsi="仿宋" w:eastAsia="仿宋" w:cs="仿宋"/>
          <w:b/>
          <w:color w:val="auto"/>
          <w:sz w:val="24"/>
          <w:szCs w:val="24"/>
          <w:highlight w:val="none"/>
          <w:bdr w:val="single" w:color="auto" w:sz="4" w:space="0"/>
        </w:rPr>
        <w:t>标</w:t>
      </w:r>
      <w:r>
        <w:rPr>
          <w:rFonts w:hint="eastAsia" w:ascii="仿宋" w:hAnsi="仿宋" w:eastAsia="仿宋" w:cs="仿宋"/>
          <w:b/>
          <w:bCs/>
          <w:i w:val="0"/>
          <w:iCs w:val="0"/>
          <w:color w:val="auto"/>
          <w:kern w:val="2"/>
          <w:sz w:val="24"/>
          <w:szCs w:val="20"/>
          <w:highlight w:val="none"/>
          <w:vertAlign w:val="baseline"/>
          <w:lang w:val="en-US" w:eastAsia="zh-CN" w:bidi="ar-SA"/>
        </w:rPr>
        <w:t>明峰CT维保，预算450000元/3年，合同期限：自合同签订之日起三年。</w:t>
      </w:r>
    </w:p>
    <w:tbl>
      <w:tblPr>
        <w:tblStyle w:val="62"/>
        <w:tblW w:w="9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351"/>
      </w:tblGrid>
      <w:tr w14:paraId="4E91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9" w:type="dxa"/>
            <w:noWrap w:val="0"/>
            <w:vAlign w:val="center"/>
          </w:tcPr>
          <w:p w14:paraId="0A93B52A">
            <w:pPr>
              <w:spacing w:after="0"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8351" w:type="dxa"/>
            <w:noWrap w:val="0"/>
            <w:vAlign w:val="center"/>
          </w:tcPr>
          <w:p w14:paraId="7C4852D3">
            <w:pPr>
              <w:spacing w:after="0"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内容</w:t>
            </w:r>
          </w:p>
        </w:tc>
      </w:tr>
      <w:tr w14:paraId="6779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9" w:type="dxa"/>
            <w:noWrap w:val="0"/>
            <w:vAlign w:val="center"/>
          </w:tcPr>
          <w:p w14:paraId="468D1528">
            <w:pPr>
              <w:spacing w:after="0" w:line="240" w:lineRule="auto"/>
              <w:jc w:val="center"/>
              <w:rPr>
                <w:rFonts w:hint="eastAsia" w:ascii="仿宋" w:hAnsi="仿宋" w:eastAsia="仿宋" w:cs="仿宋"/>
                <w:b/>
                <w:color w:val="auto"/>
                <w:sz w:val="24"/>
                <w:szCs w:val="24"/>
                <w:highlight w:val="none"/>
                <w:lang w:val="en-US" w:eastAsia="zh-CN" w:bidi="ar-SA"/>
              </w:rPr>
            </w:pPr>
            <w:r>
              <w:rPr>
                <w:rFonts w:hint="eastAsia" w:ascii="仿宋" w:hAnsi="仿宋" w:eastAsia="仿宋" w:cs="仿宋"/>
                <w:color w:val="auto"/>
                <w:kern w:val="0"/>
                <w:sz w:val="24"/>
                <w:szCs w:val="22"/>
                <w:highlight w:val="none"/>
                <w:lang w:val="en-US" w:eastAsia="zh-CN" w:bidi="ar-SA"/>
              </w:rPr>
              <w:t>1</w:t>
            </w:r>
          </w:p>
        </w:tc>
        <w:tc>
          <w:tcPr>
            <w:tcW w:w="8351" w:type="dxa"/>
            <w:noWrap w:val="0"/>
            <w:vAlign w:val="center"/>
          </w:tcPr>
          <w:p w14:paraId="1556FD64">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保修内容：</w:t>
            </w:r>
            <w:r>
              <w:rPr>
                <w:rFonts w:hint="eastAsia" w:ascii="仿宋" w:hAnsi="仿宋" w:eastAsia="仿宋" w:cs="仿宋"/>
                <w:color w:val="auto"/>
                <w:sz w:val="24"/>
                <w:szCs w:val="24"/>
                <w:highlight w:val="none"/>
                <w:vertAlign w:val="baseline"/>
                <w:lang w:val="en-US" w:eastAsia="zh-CN"/>
              </w:rPr>
              <w:t>明峰CT 1台，整机保修，包括球管、探测器、高压等</w:t>
            </w:r>
            <w:r>
              <w:rPr>
                <w:rFonts w:hint="eastAsia" w:ascii="仿宋" w:hAnsi="仿宋" w:eastAsia="仿宋" w:cs="仿宋"/>
                <w:color w:val="auto"/>
                <w:sz w:val="24"/>
                <w:highlight w:val="none"/>
              </w:rPr>
              <w:t>。</w:t>
            </w:r>
          </w:p>
        </w:tc>
      </w:tr>
      <w:tr w14:paraId="059C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959" w:type="dxa"/>
            <w:noWrap w:val="0"/>
            <w:vAlign w:val="center"/>
          </w:tcPr>
          <w:p w14:paraId="6F1CEB80">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★2</w:t>
            </w:r>
          </w:p>
        </w:tc>
        <w:tc>
          <w:tcPr>
            <w:tcW w:w="8351" w:type="dxa"/>
            <w:noWrap w:val="0"/>
            <w:vAlign w:val="center"/>
          </w:tcPr>
          <w:p w14:paraId="17EF87CA">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保证保修期内开机率至少达到96%（包括双休日、节假日），单次故障最长修复时间在5天之内。如开机率达不到要求及单次维修时间超时，每超过一天，保修期相应延长7天。（需提供承诺书）。</w:t>
            </w:r>
          </w:p>
        </w:tc>
      </w:tr>
      <w:tr w14:paraId="5268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59" w:type="dxa"/>
            <w:noWrap w:val="0"/>
            <w:vAlign w:val="center"/>
          </w:tcPr>
          <w:p w14:paraId="19F94C1E">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▲3</w:t>
            </w:r>
          </w:p>
        </w:tc>
        <w:tc>
          <w:tcPr>
            <w:tcW w:w="8351" w:type="dxa"/>
            <w:noWrap w:val="0"/>
            <w:vAlign w:val="center"/>
          </w:tcPr>
          <w:p w14:paraId="0F67F1E9">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接到报修电话后15分钟内提供专业工程师电话支持。如需派工上门，1 小时内确认派工信息和工程师到达医院所在地时间。自接报修电话始，工程师24小时内抵达故障现场。</w:t>
            </w:r>
          </w:p>
        </w:tc>
      </w:tr>
      <w:tr w14:paraId="2B88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59" w:type="dxa"/>
            <w:noWrap w:val="0"/>
            <w:vAlign w:val="center"/>
          </w:tcPr>
          <w:p w14:paraId="12CBBDA9">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4</w:t>
            </w:r>
          </w:p>
        </w:tc>
        <w:tc>
          <w:tcPr>
            <w:tcW w:w="8351" w:type="dxa"/>
            <w:noWrap w:val="0"/>
            <w:vAlign w:val="center"/>
          </w:tcPr>
          <w:p w14:paraId="4301D878">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在保修服务期内提供 400 技术电话支持（24小时×365天）。并提供24小时报修电话，以及维修服务网点、人员联系方式。</w:t>
            </w:r>
          </w:p>
        </w:tc>
      </w:tr>
      <w:tr w14:paraId="72BF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59" w:type="dxa"/>
            <w:noWrap w:val="0"/>
            <w:vAlign w:val="center"/>
          </w:tcPr>
          <w:p w14:paraId="5D174DF2">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▲5</w:t>
            </w:r>
          </w:p>
        </w:tc>
        <w:tc>
          <w:tcPr>
            <w:tcW w:w="8351" w:type="dxa"/>
            <w:noWrap w:val="0"/>
            <w:vAlign w:val="center"/>
          </w:tcPr>
          <w:p w14:paraId="6145F1C9">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配有本地驻地工程师，提供社保及住所证明。在保修服务期内接报修电话后，派工程师到现场实施维修；维修备件在确认后 24 小时内送达维修现场。</w:t>
            </w:r>
          </w:p>
        </w:tc>
      </w:tr>
      <w:tr w14:paraId="684A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59" w:type="dxa"/>
            <w:noWrap w:val="0"/>
            <w:vAlign w:val="center"/>
          </w:tcPr>
          <w:p w14:paraId="741AFB74">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6</w:t>
            </w:r>
          </w:p>
        </w:tc>
        <w:tc>
          <w:tcPr>
            <w:tcW w:w="8351" w:type="dxa"/>
            <w:noWrap w:val="0"/>
            <w:vAlign w:val="center"/>
          </w:tcPr>
          <w:p w14:paraId="4E32A372">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维修过程中需要更换零配件时，应向医院解释说明并快速调用配件。每次维修完成后，工程师向院方设备科和放射科提供书面维修报告一份。</w:t>
            </w:r>
          </w:p>
        </w:tc>
      </w:tr>
      <w:tr w14:paraId="4B81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59" w:type="dxa"/>
            <w:noWrap w:val="0"/>
            <w:vAlign w:val="center"/>
          </w:tcPr>
          <w:p w14:paraId="13A8A636">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7</w:t>
            </w:r>
          </w:p>
        </w:tc>
        <w:tc>
          <w:tcPr>
            <w:tcW w:w="8351" w:type="dxa"/>
            <w:noWrap w:val="0"/>
            <w:vAlign w:val="center"/>
          </w:tcPr>
          <w:p w14:paraId="3A013CA9">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保修期内每年提供2次定期维护保养，包括但不限于设备外观检查、性能检查、安全检查、影像质量检查、运行状态检查、清洁除尘保养、系统检测、系统备份、校准等。入保后一周内制定设备维护保养计划，并按照计划实施。定期对设备的数据进行备份。确保系统能按照验收标准、制造商的产品Datasheet或国家、国际标准要求运行。每次保养前至少提前一周通知医院，具体保养实施时间根据医院具体情况商议确定。每次维护保养结束后，提供书面维护保养报告给医院设备科和放射科各一份。</w:t>
            </w:r>
          </w:p>
        </w:tc>
      </w:tr>
      <w:tr w14:paraId="35A4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959" w:type="dxa"/>
            <w:noWrap w:val="0"/>
            <w:vAlign w:val="center"/>
          </w:tcPr>
          <w:p w14:paraId="45F806A8">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8</w:t>
            </w:r>
          </w:p>
        </w:tc>
        <w:tc>
          <w:tcPr>
            <w:tcW w:w="8351" w:type="dxa"/>
            <w:noWrap w:val="0"/>
            <w:vAlign w:val="center"/>
          </w:tcPr>
          <w:p w14:paraId="570013E6">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在保修服务期内免费提供设备的软硬件安全升级，免费提供设备的系统软件升级补丁和技术支持，以提高设备的安全性和性能。并提供所有升级资料和记录。</w:t>
            </w:r>
          </w:p>
        </w:tc>
      </w:tr>
      <w:tr w14:paraId="1506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59" w:type="dxa"/>
            <w:noWrap w:val="0"/>
            <w:vAlign w:val="center"/>
          </w:tcPr>
          <w:p w14:paraId="0E5325E0">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9</w:t>
            </w:r>
          </w:p>
        </w:tc>
        <w:tc>
          <w:tcPr>
            <w:tcW w:w="8351" w:type="dxa"/>
            <w:noWrap w:val="0"/>
            <w:vAlign w:val="center"/>
          </w:tcPr>
          <w:p w14:paraId="5C4F51F1">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设备入保后，建立《医疗设备保修档案册》，该档案册每季度更新一次，其中包括保修合同、设备信息、保养维护报告、检测报告、维修报告、配件更换明细等，方便医院随时了解在保设备情况。</w:t>
            </w:r>
          </w:p>
        </w:tc>
      </w:tr>
      <w:tr w14:paraId="2353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59" w:type="dxa"/>
            <w:noWrap w:val="0"/>
            <w:vAlign w:val="center"/>
          </w:tcPr>
          <w:p w14:paraId="6D65300D">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10</w:t>
            </w:r>
          </w:p>
        </w:tc>
        <w:tc>
          <w:tcPr>
            <w:tcW w:w="8351" w:type="dxa"/>
            <w:noWrap w:val="0"/>
            <w:vAlign w:val="center"/>
          </w:tcPr>
          <w:p w14:paraId="2D7AA6C9">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在保修服务期内提供24小时技术电话支持（24小时×365天），客户服务中心技术支持专家支持工程师≥1人，并提供维修资质证明文件及社保缴纳证明。</w:t>
            </w:r>
          </w:p>
        </w:tc>
      </w:tr>
      <w:tr w14:paraId="1AFA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59" w:type="dxa"/>
            <w:noWrap w:val="0"/>
            <w:vAlign w:val="center"/>
          </w:tcPr>
          <w:p w14:paraId="76029ACE">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▲11</w:t>
            </w:r>
          </w:p>
        </w:tc>
        <w:tc>
          <w:tcPr>
            <w:tcW w:w="8351" w:type="dxa"/>
            <w:noWrap w:val="0"/>
            <w:vAlign w:val="center"/>
          </w:tcPr>
          <w:p w14:paraId="0B12DD72">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在保修服务期内，在浙江设立至少一个常驻服务机构，同时派遣本项目CT 工程师≥2 人，具备原厂培训资质证书（培训范围需包括CT），工程师必须对 CT 有至少 3 年的维修工作经验，具有静电防护工具和相应安全防护用品，保证服务过程的安全性。</w:t>
            </w:r>
          </w:p>
        </w:tc>
      </w:tr>
      <w:tr w14:paraId="4DBB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59" w:type="dxa"/>
            <w:noWrap w:val="0"/>
            <w:vAlign w:val="center"/>
          </w:tcPr>
          <w:p w14:paraId="218F4EC8">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12</w:t>
            </w:r>
          </w:p>
        </w:tc>
        <w:tc>
          <w:tcPr>
            <w:tcW w:w="8351" w:type="dxa"/>
            <w:noWrap w:val="0"/>
            <w:vAlign w:val="center"/>
          </w:tcPr>
          <w:p w14:paraId="59AD8E20">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在保修服务期内维修所需的相关辅助设备和材料均由服务提供方提供。供应商须具备相关维修保养专用工具和设备，并确保用户现场长期存放维护保养专业模块和工具，确保及时响应。</w:t>
            </w:r>
          </w:p>
        </w:tc>
      </w:tr>
      <w:tr w14:paraId="376B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59" w:type="dxa"/>
            <w:noWrap w:val="0"/>
            <w:vAlign w:val="center"/>
          </w:tcPr>
          <w:p w14:paraId="101066ED">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▲13</w:t>
            </w:r>
          </w:p>
        </w:tc>
        <w:tc>
          <w:tcPr>
            <w:tcW w:w="8351" w:type="dxa"/>
            <w:noWrap w:val="0"/>
            <w:vAlign w:val="center"/>
          </w:tcPr>
          <w:p w14:paraId="47CE23A9">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设备维修使用的备件，配件品牌、型号须与整机医疗器械注册证注明的规格型号匹配（需提供承诺书）。</w:t>
            </w:r>
          </w:p>
        </w:tc>
      </w:tr>
      <w:tr w14:paraId="2935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59" w:type="dxa"/>
            <w:noWrap w:val="0"/>
            <w:vAlign w:val="center"/>
          </w:tcPr>
          <w:p w14:paraId="71A0E355">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14</w:t>
            </w:r>
          </w:p>
        </w:tc>
        <w:tc>
          <w:tcPr>
            <w:tcW w:w="8351" w:type="dxa"/>
            <w:noWrap w:val="0"/>
            <w:vAlign w:val="center"/>
          </w:tcPr>
          <w:p w14:paraId="53E26F1E">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国内设有备件库，具备充足的备件供应能力，提供具体地址及相关证明（租赁或买卖合同），并保证我院备件的优先供应。</w:t>
            </w:r>
          </w:p>
        </w:tc>
      </w:tr>
      <w:tr w14:paraId="2B97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0" w:type="auto"/>
            <w:noWrap w:val="0"/>
            <w:vAlign w:val="center"/>
          </w:tcPr>
          <w:p w14:paraId="3CDFF468">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▲15</w:t>
            </w:r>
          </w:p>
        </w:tc>
        <w:tc>
          <w:tcPr>
            <w:tcW w:w="8351" w:type="dxa"/>
            <w:noWrap w:val="0"/>
            <w:vAlign w:val="center"/>
          </w:tcPr>
          <w:p w14:paraId="178E69D5">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保证能够解决所有需要原厂service key才能解决的设备故障。</w:t>
            </w:r>
          </w:p>
        </w:tc>
      </w:tr>
    </w:tbl>
    <w:p w14:paraId="564220FE">
      <w:pPr>
        <w:spacing w:after="0"/>
        <w:rPr>
          <w:rFonts w:hint="eastAsia" w:ascii="仿宋" w:hAnsi="仿宋" w:eastAsia="仿宋" w:cs="仿宋"/>
          <w:b/>
          <w:color w:val="auto"/>
          <w:sz w:val="24"/>
          <w:szCs w:val="24"/>
          <w:highlight w:val="none"/>
        </w:rPr>
      </w:pPr>
      <w:r>
        <w:rPr>
          <w:rFonts w:hint="eastAsia" w:ascii="仿宋" w:hAnsi="仿宋" w:eastAsia="仿宋" w:cs="仿宋"/>
          <w:b/>
          <w:color w:val="auto"/>
          <w:highlight w:val="none"/>
        </w:rPr>
        <w:t>特别说明：</w:t>
      </w:r>
      <w:r>
        <w:rPr>
          <w:rFonts w:hint="eastAsia" w:ascii="仿宋" w:hAnsi="仿宋" w:eastAsia="仿宋" w:cs="仿宋"/>
          <w:b/>
          <w:color w:val="auto"/>
          <w:highlight w:val="none"/>
          <w:lang w:val="zh-CN"/>
        </w:rPr>
        <w:t>标注</w:t>
      </w:r>
      <w:r>
        <w:rPr>
          <w:rFonts w:hint="eastAsia" w:ascii="仿宋" w:hAnsi="仿宋" w:eastAsia="仿宋" w:cs="仿宋"/>
          <w:b/>
          <w:color w:val="auto"/>
          <w:highlight w:val="none"/>
        </w:rPr>
        <w:t>“★</w:t>
      </w:r>
      <w:r>
        <w:rPr>
          <w:rFonts w:hint="eastAsia" w:ascii="仿宋" w:hAnsi="仿宋" w:eastAsia="仿宋" w:cs="仿宋"/>
          <w:b/>
          <w:color w:val="auto"/>
          <w:highlight w:val="none"/>
          <w:lang w:val="en-US" w:eastAsia="zh-CN"/>
        </w:rPr>
        <w:t>▲</w:t>
      </w:r>
      <w:r>
        <w:rPr>
          <w:rFonts w:hint="eastAsia" w:ascii="仿宋" w:hAnsi="仿宋" w:eastAsia="仿宋" w:cs="仿宋"/>
          <w:b/>
          <w:color w:val="auto"/>
          <w:highlight w:val="none"/>
        </w:rPr>
        <w:t>”系指实质性要求条款，提供充分证明材料。</w:t>
      </w:r>
    </w:p>
    <w:p w14:paraId="4BD27830">
      <w:pPr>
        <w:spacing w:after="0"/>
        <w:rPr>
          <w:rFonts w:hint="eastAsia" w:ascii="仿宋" w:hAnsi="仿宋" w:eastAsia="仿宋" w:cs="仿宋"/>
          <w:color w:val="auto"/>
          <w:sz w:val="24"/>
          <w:szCs w:val="24"/>
          <w:highlight w:val="none"/>
          <w:lang w:val="en-US" w:eastAsia="zh-CN"/>
        </w:rPr>
      </w:pPr>
    </w:p>
    <w:p w14:paraId="7080C46E">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考核：采购人应对中标方提供的维保服务质量，服度态度进行全面考核，考核合格方可支付服务费用，考核标准参照附件：《绍兴市中医院医疗设备维保服务考核管理办法》。</w:t>
      </w:r>
    </w:p>
    <w:p w14:paraId="7911AE3D">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付款方式：合同签订后，60天支付本年度保修费用的50%，本年度保修服务结束后，根据医院的考核结果支付剩余保修费用的50%。</w:t>
      </w:r>
    </w:p>
    <w:p w14:paraId="37851DEE">
      <w:pPr>
        <w:spacing w:line="240" w:lineRule="auto"/>
        <w:jc w:val="center"/>
        <w:rPr>
          <w:rFonts w:hint="eastAsia" w:ascii="仿宋" w:hAnsi="仿宋" w:eastAsia="仿宋" w:cs="仿宋"/>
          <w:b/>
          <w:bCs/>
          <w:color w:val="auto"/>
          <w:kern w:val="2"/>
          <w:sz w:val="24"/>
          <w:szCs w:val="24"/>
          <w:highlight w:val="none"/>
        </w:rPr>
      </w:pPr>
      <w:r>
        <w:rPr>
          <w:rFonts w:hint="eastAsia" w:ascii="仿宋" w:hAnsi="仿宋" w:eastAsia="仿宋" w:cs="仿宋"/>
          <w:b/>
          <w:bCs/>
          <w:color w:val="auto"/>
          <w:sz w:val="24"/>
          <w:szCs w:val="24"/>
          <w:highlight w:val="none"/>
          <w:lang w:val="zh-CN"/>
        </w:rPr>
        <w:br w:type="page"/>
      </w:r>
      <w:r>
        <w:rPr>
          <w:rFonts w:hint="eastAsia" w:ascii="仿宋" w:hAnsi="仿宋" w:eastAsia="仿宋" w:cs="仿宋"/>
          <w:b/>
          <w:bCs/>
          <w:color w:val="auto"/>
          <w:kern w:val="2"/>
          <w:sz w:val="24"/>
          <w:szCs w:val="24"/>
          <w:highlight w:val="none"/>
        </w:rPr>
        <w:t>绍兴市中医院  医疗设备维保服务考核管理办法</w:t>
      </w:r>
    </w:p>
    <w:p w14:paraId="658B87F9">
      <w:pPr>
        <w:pStyle w:val="33"/>
        <w:ind w:firstLine="480" w:firstLineChars="200"/>
        <w:rPr>
          <w:rFonts w:hint="eastAsia" w:ascii="仿宋" w:hAnsi="仿宋" w:eastAsia="仿宋" w:cs="仿宋"/>
          <w:color w:val="auto"/>
          <w:sz w:val="24"/>
          <w:szCs w:val="24"/>
          <w:highlight w:val="none"/>
        </w:rPr>
      </w:pPr>
    </w:p>
    <w:p w14:paraId="39304031">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为加强管理，提升维保服务质量，确保维保服务规范化运作，保障临床工作的顺利开展，特制定如下考核细则： </w:t>
      </w:r>
    </w:p>
    <w:p w14:paraId="681567AE">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医疗设备维保服务工作，由绍兴市中医院设备科负责监管，考核小组负责日常管理，各涉及科室配合、协助监管。</w:t>
      </w:r>
    </w:p>
    <w:p w14:paraId="76F3D695">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考核小组：设备科成立维保服务考核小组，设备科长任组长，小组成员由全体工程师担任，考核小组负责日常监管和年度考核。</w:t>
      </w:r>
    </w:p>
    <w:p w14:paraId="628DBFDE">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考核采用百分制，对服务质量和满意度进行年度考核，设备处考核小组打分，详见附表。</w:t>
      </w:r>
    </w:p>
    <w:p w14:paraId="24278C18">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考核内容详见《绍兴市中医院</w:t>
      </w:r>
      <w:r>
        <w:rPr>
          <w:rFonts w:hint="eastAsia" w:ascii="仿宋" w:hAnsi="仿宋" w:eastAsia="仿宋" w:cs="仿宋"/>
          <w:color w:val="auto"/>
          <w:sz w:val="24"/>
          <w:szCs w:val="24"/>
          <w:highlight w:val="none"/>
          <w:lang w:val="zh-CN"/>
        </w:rPr>
        <w:t>医疗设备</w:t>
      </w:r>
      <w:r>
        <w:rPr>
          <w:rFonts w:hint="eastAsia" w:ascii="仿宋" w:hAnsi="仿宋" w:eastAsia="仿宋" w:cs="仿宋"/>
          <w:color w:val="auto"/>
          <w:sz w:val="24"/>
          <w:szCs w:val="24"/>
          <w:highlight w:val="none"/>
        </w:rPr>
        <w:t>维保服务考核表》，本考核事宜解释权为设备科。</w:t>
      </w:r>
    </w:p>
    <w:p w14:paraId="2305D572">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其他分项考核（除考核表规定内容外）：</w:t>
      </w:r>
    </w:p>
    <w:p w14:paraId="4C764D12">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1)维保服务公司在服务过程中未按标准执行而引起临床科室或病人投诉的，经调查情况属实的，每发生1起扣除1000元；</w:t>
      </w:r>
    </w:p>
    <w:p w14:paraId="56C4A2A7">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2)维保服务公司在服务过程未按标准执行而引起医疗纠纷及事故的，每发生1起扣除3000元，并承担相应赔偿责任；</w:t>
      </w:r>
    </w:p>
    <w:p w14:paraId="3F1BC397">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color w:val="auto"/>
          <w:kern w:val="2"/>
          <w:sz w:val="24"/>
          <w:szCs w:val="2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kern w:val="2"/>
          <w:sz w:val="24"/>
          <w:szCs w:val="24"/>
          <w:highlight w:val="none"/>
        </w:rPr>
        <w:t xml:space="preserve">绍兴市中医院  </w:t>
      </w:r>
      <w:r>
        <w:rPr>
          <w:rFonts w:hint="eastAsia" w:ascii="仿宋" w:hAnsi="仿宋" w:eastAsia="仿宋" w:cs="仿宋"/>
          <w:b/>
          <w:bCs/>
          <w:color w:val="auto"/>
          <w:kern w:val="2"/>
          <w:sz w:val="24"/>
          <w:szCs w:val="24"/>
          <w:highlight w:val="none"/>
          <w:lang w:val="zh-CN"/>
        </w:rPr>
        <w:t>医疗设备</w:t>
      </w:r>
      <w:r>
        <w:rPr>
          <w:rFonts w:hint="eastAsia" w:ascii="仿宋" w:hAnsi="仿宋" w:eastAsia="仿宋" w:cs="仿宋"/>
          <w:b/>
          <w:bCs/>
          <w:color w:val="auto"/>
          <w:kern w:val="2"/>
          <w:sz w:val="24"/>
          <w:szCs w:val="24"/>
          <w:highlight w:val="none"/>
        </w:rPr>
        <w:t>维保服务考核表</w:t>
      </w:r>
    </w:p>
    <w:p w14:paraId="196A91F1">
      <w:pPr>
        <w:widowControl w:val="0"/>
        <w:spacing w:after="0" w:line="240" w:lineRule="auto"/>
        <w:jc w:val="both"/>
        <w:rPr>
          <w:rFonts w:hint="eastAsia" w:ascii="仿宋" w:hAnsi="仿宋" w:eastAsia="仿宋" w:cs="仿宋"/>
          <w:color w:val="auto"/>
          <w:kern w:val="2"/>
          <w:sz w:val="24"/>
          <w:szCs w:val="24"/>
          <w:highlight w:val="none"/>
        </w:rPr>
      </w:pPr>
    </w:p>
    <w:p w14:paraId="2A6430A1">
      <w:pPr>
        <w:widowControl w:val="0"/>
        <w:spacing w:after="0" w:line="240" w:lineRule="auto"/>
        <w:jc w:val="both"/>
        <w:rPr>
          <w:rFonts w:hint="eastAsia" w:ascii="仿宋" w:hAnsi="仿宋" w:eastAsia="仿宋" w:cs="仿宋"/>
          <w:color w:val="auto"/>
          <w:kern w:val="2"/>
          <w:sz w:val="24"/>
          <w:szCs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color w:val="auto"/>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color w:val="auto"/>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color w:val="auto"/>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color w:val="auto"/>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color w:val="auto"/>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color w:val="auto"/>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color w:val="auto"/>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定期维护（PM等）服务完成率</w:t>
            </w:r>
          </w:p>
          <w:p w14:paraId="3117F11C">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color w:val="auto"/>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color w:val="auto"/>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color w:val="auto"/>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color w:val="auto"/>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color w:val="auto"/>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color w:val="auto"/>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color w:val="auto"/>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color w:val="auto"/>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改进意见及建议：</w:t>
            </w:r>
          </w:p>
        </w:tc>
      </w:tr>
    </w:tbl>
    <w:p w14:paraId="40C94109">
      <w:pPr>
        <w:widowControl w:val="0"/>
        <w:spacing w:after="0" w:line="240" w:lineRule="auto"/>
        <w:rPr>
          <w:rFonts w:hint="eastAsia" w:ascii="仿宋" w:hAnsi="仿宋" w:eastAsia="仿宋" w:cs="仿宋"/>
          <w:color w:val="auto"/>
          <w:kern w:val="2"/>
          <w:sz w:val="24"/>
          <w:szCs w:val="24"/>
          <w:highlight w:val="none"/>
        </w:rPr>
      </w:pPr>
    </w:p>
    <w:p w14:paraId="3546BF8D">
      <w:pPr>
        <w:widowControl w:val="0"/>
        <w:spacing w:after="0" w:line="240" w:lineRule="auto"/>
        <w:rPr>
          <w:rFonts w:hint="eastAsia" w:ascii="仿宋" w:hAnsi="仿宋" w:eastAsia="仿宋" w:cs="仿宋"/>
          <w:color w:val="auto"/>
          <w:kern w:val="2"/>
          <w:sz w:val="24"/>
          <w:szCs w:val="24"/>
          <w:highlight w:val="none"/>
        </w:rPr>
      </w:pPr>
    </w:p>
    <w:p w14:paraId="22EB666C">
      <w:pPr>
        <w:widowControl w:val="0"/>
        <w:spacing w:after="0" w:line="240" w:lineRule="auto"/>
        <w:rPr>
          <w:rFonts w:hint="eastAsia" w:ascii="仿宋" w:hAnsi="仿宋" w:eastAsia="仿宋" w:cs="仿宋"/>
          <w:color w:val="auto"/>
          <w:kern w:val="2"/>
          <w:sz w:val="24"/>
          <w:szCs w:val="24"/>
          <w:highlight w:val="none"/>
        </w:rPr>
      </w:pPr>
    </w:p>
    <w:p w14:paraId="34B26218">
      <w:pPr>
        <w:widowControl w:val="0"/>
        <w:spacing w:after="0" w:line="240" w:lineRule="auto"/>
        <w:rPr>
          <w:rFonts w:hint="eastAsia" w:ascii="仿宋" w:hAnsi="仿宋" w:eastAsia="仿宋" w:cs="仿宋"/>
          <w:color w:val="auto"/>
          <w:kern w:val="2"/>
          <w:sz w:val="24"/>
          <w:szCs w:val="24"/>
          <w:highlight w:val="none"/>
          <w:u w:val="single"/>
        </w:rPr>
      </w:pPr>
      <w:r>
        <w:rPr>
          <w:rFonts w:hint="eastAsia" w:ascii="仿宋" w:hAnsi="仿宋" w:eastAsia="仿宋" w:cs="仿宋"/>
          <w:color w:val="auto"/>
          <w:kern w:val="2"/>
          <w:sz w:val="24"/>
          <w:szCs w:val="24"/>
          <w:highlight w:val="none"/>
        </w:rPr>
        <w:t>考评组员：</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p>
    <w:p w14:paraId="64C9B238">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xml:space="preserve">  </w:t>
      </w:r>
    </w:p>
    <w:p w14:paraId="1FACA9EB">
      <w:pPr>
        <w:widowControl w:val="0"/>
        <w:spacing w:after="0" w:line="240" w:lineRule="auto"/>
        <w:rPr>
          <w:rFonts w:hint="eastAsia" w:ascii="仿宋" w:hAnsi="仿宋" w:eastAsia="仿宋" w:cs="仿宋"/>
          <w:color w:val="auto"/>
          <w:kern w:val="2"/>
          <w:sz w:val="24"/>
          <w:szCs w:val="24"/>
          <w:highlight w:val="none"/>
        </w:rPr>
      </w:pPr>
    </w:p>
    <w:p w14:paraId="1837C34C">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审核人：</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79"/>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3"/>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5367"/>
      <w:bookmarkStart w:id="39" w:name="_Toc22967"/>
      <w:bookmarkStart w:id="40" w:name="_Toc20421"/>
      <w:bookmarkStart w:id="41" w:name="_Toc28855"/>
      <w:bookmarkStart w:id="42" w:name="_Toc19273"/>
      <w:r>
        <w:rPr>
          <w:rFonts w:hint="eastAsia" w:ascii="仿宋" w:hAnsi="仿宋" w:eastAsia="仿宋" w:cs="仿宋"/>
          <w:b/>
          <w:color w:val="auto"/>
          <w:sz w:val="24"/>
          <w:highlight w:val="none"/>
        </w:rPr>
        <w:t>1.1 合同组成部分</w:t>
      </w:r>
      <w:bookmarkEnd w:id="38"/>
      <w:bookmarkEnd w:id="39"/>
      <w:bookmarkEnd w:id="40"/>
      <w:bookmarkEnd w:id="41"/>
      <w:bookmarkEnd w:id="42"/>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18585"/>
      <w:bookmarkStart w:id="45" w:name="_Toc6773"/>
      <w:bookmarkStart w:id="46" w:name="_Toc2918"/>
      <w:bookmarkStart w:id="47" w:name="_Toc22185"/>
      <w:r>
        <w:rPr>
          <w:rFonts w:hint="eastAsia" w:ascii="仿宋" w:hAnsi="仿宋" w:eastAsia="仿宋" w:cs="仿宋"/>
          <w:b/>
          <w:color w:val="auto"/>
          <w:sz w:val="24"/>
          <w:highlight w:val="none"/>
        </w:rPr>
        <w:t>1.2 标的</w:t>
      </w:r>
      <w:bookmarkEnd w:id="43"/>
      <w:bookmarkEnd w:id="44"/>
      <w:bookmarkEnd w:id="45"/>
      <w:bookmarkEnd w:id="46"/>
      <w:bookmarkEnd w:id="47"/>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5635"/>
      <w:bookmarkStart w:id="49" w:name="_Toc1386"/>
      <w:bookmarkStart w:id="50" w:name="_Toc13918"/>
      <w:bookmarkStart w:id="51" w:name="_Toc21124"/>
      <w:bookmarkStart w:id="5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26916"/>
      <w:bookmarkStart w:id="54" w:name="_Toc14993"/>
      <w:bookmarkStart w:id="55" w:name="_Toc30158"/>
      <w:bookmarkStart w:id="56" w:name="_Toc3654"/>
      <w:bookmarkStart w:id="57"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22618"/>
      <w:bookmarkStart w:id="60" w:name="_Toc10340"/>
      <w:bookmarkStart w:id="61" w:name="_Toc8772"/>
      <w:bookmarkStart w:id="62" w:name="_Toc31421"/>
      <w:bookmarkStart w:id="63" w:name="_Toc3625"/>
      <w:bookmarkStart w:id="64" w:name="_Toc4760"/>
      <w:bookmarkStart w:id="65" w:name="_Toc11108"/>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24662"/>
      <w:bookmarkStart w:id="68" w:name="_Toc8586"/>
      <w:bookmarkStart w:id="69" w:name="_Toc3079"/>
      <w:bookmarkStart w:id="70" w:name="_Toc5698"/>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26807"/>
      <w:bookmarkStart w:id="72" w:name="_Toc32454"/>
      <w:bookmarkStart w:id="73" w:name="_Toc30329"/>
      <w:bookmarkStart w:id="74" w:name="_Toc18683"/>
      <w:bookmarkStart w:id="75"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322"/>
      <w:bookmarkStart w:id="80" w:name="_Toc7245"/>
      <w:bookmarkStart w:id="81" w:name="_Toc11173"/>
      <w:r>
        <w:rPr>
          <w:rFonts w:hint="eastAsia" w:ascii="仿宋" w:hAnsi="仿宋" w:eastAsia="仿宋" w:cs="仿宋"/>
          <w:b/>
          <w:color w:val="auto"/>
          <w:sz w:val="24"/>
          <w:highlight w:val="none"/>
        </w:rPr>
        <w:t>2.0 合同生效</w:t>
      </w:r>
      <w:bookmarkEnd w:id="79"/>
      <w:bookmarkEnd w:id="80"/>
      <w:bookmarkEnd w:id="81"/>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2" w:name="_Toc25079"/>
      <w:bookmarkStart w:id="83" w:name="_Toc14021"/>
      <w:bookmarkStart w:id="84" w:name="_Toc31297"/>
      <w:bookmarkStart w:id="85" w:name="_Toc5228"/>
      <w:bookmarkStart w:id="86" w:name="_Toc19680"/>
      <w:r>
        <w:rPr>
          <w:rFonts w:hint="eastAsia" w:ascii="仿宋" w:hAnsi="仿宋" w:eastAsia="仿宋" w:cs="仿宋"/>
          <w:b/>
          <w:color w:val="auto"/>
          <w:sz w:val="24"/>
          <w:highlight w:val="none"/>
        </w:rPr>
        <w:t>2.1 定义</w:t>
      </w:r>
      <w:bookmarkEnd w:id="82"/>
      <w:bookmarkEnd w:id="83"/>
      <w:bookmarkEnd w:id="84"/>
      <w:bookmarkEnd w:id="85"/>
      <w:bookmarkEnd w:id="86"/>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7" w:name="_Toc19539"/>
      <w:bookmarkStart w:id="88" w:name="_Toc16752"/>
      <w:bookmarkStart w:id="89" w:name="_Toc3769"/>
      <w:bookmarkStart w:id="90" w:name="_Toc2328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4133"/>
      <w:bookmarkStart w:id="94" w:name="_Toc27945"/>
      <w:bookmarkStart w:id="95" w:name="_Toc9161"/>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7" w:name="_Toc15447"/>
      <w:bookmarkStart w:id="98" w:name="_Toc31233"/>
      <w:bookmarkStart w:id="99" w:name="_Toc32670"/>
      <w:bookmarkStart w:id="100" w:name="_Toc26555"/>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2" w:name="_Toc18990"/>
      <w:bookmarkStart w:id="103" w:name="_Toc16163"/>
      <w:bookmarkStart w:id="104" w:name="_Toc13154"/>
      <w:bookmarkStart w:id="105" w:name="_Toc13467"/>
      <w:bookmarkStart w:id="106" w:name="_Toc3050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10663"/>
      <w:bookmarkStart w:id="112" w:name="_Toc42"/>
      <w:bookmarkStart w:id="113" w:name="_Toc23368"/>
      <w:bookmarkStart w:id="114" w:name="_Toc21830"/>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14371"/>
      <w:bookmarkStart w:id="117" w:name="_Toc26633"/>
      <w:bookmarkStart w:id="118" w:name="_Toc4720"/>
      <w:bookmarkStart w:id="119" w:name="_Toc25571"/>
      <w:r>
        <w:rPr>
          <w:rFonts w:hint="eastAsia" w:ascii="仿宋" w:hAnsi="仿宋" w:eastAsia="仿宋" w:cs="仿宋"/>
          <w:b/>
          <w:color w:val="auto"/>
          <w:sz w:val="24"/>
          <w:highlight w:val="none"/>
        </w:rPr>
        <w:t>2.11 不可抗力</w:t>
      </w:r>
      <w:bookmarkEnd w:id="115"/>
      <w:bookmarkEnd w:id="116"/>
      <w:bookmarkEnd w:id="117"/>
      <w:bookmarkEnd w:id="118"/>
      <w:bookmarkEnd w:id="119"/>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0" w:name="_Toc3638"/>
      <w:bookmarkStart w:id="121" w:name="_Toc24465"/>
      <w:bookmarkStart w:id="122" w:name="_Toc14115"/>
      <w:bookmarkStart w:id="123" w:name="_Toc23854"/>
      <w:bookmarkStart w:id="124" w:name="_Toc25783"/>
      <w:r>
        <w:rPr>
          <w:rFonts w:hint="eastAsia" w:ascii="仿宋" w:hAnsi="仿宋" w:eastAsia="仿宋" w:cs="仿宋"/>
          <w:b/>
          <w:color w:val="auto"/>
          <w:sz w:val="24"/>
          <w:highlight w:val="none"/>
        </w:rPr>
        <w:t>2.12 税费</w:t>
      </w:r>
      <w:bookmarkEnd w:id="120"/>
      <w:bookmarkEnd w:id="121"/>
      <w:bookmarkEnd w:id="122"/>
      <w:bookmarkEnd w:id="123"/>
      <w:bookmarkEnd w:id="124"/>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14814"/>
      <w:bookmarkStart w:id="127" w:name="_Toc7315"/>
      <w:bookmarkStart w:id="128" w:name="_Toc26883"/>
      <w:bookmarkStart w:id="129" w:name="_Toc25525"/>
      <w:r>
        <w:rPr>
          <w:rFonts w:hint="eastAsia" w:ascii="仿宋" w:hAnsi="仿宋" w:eastAsia="仿宋" w:cs="仿宋"/>
          <w:b/>
          <w:color w:val="auto"/>
          <w:sz w:val="24"/>
          <w:highlight w:val="none"/>
        </w:rPr>
        <w:t>2.13 乙方破产</w:t>
      </w:r>
      <w:bookmarkEnd w:id="125"/>
      <w:bookmarkEnd w:id="126"/>
      <w:bookmarkEnd w:id="127"/>
      <w:bookmarkEnd w:id="128"/>
      <w:bookmarkEnd w:id="129"/>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4525"/>
      <w:bookmarkStart w:id="135" w:name="_Toc17363"/>
      <w:r>
        <w:rPr>
          <w:rFonts w:hint="eastAsia" w:ascii="仿宋" w:hAnsi="仿宋" w:eastAsia="仿宋" w:cs="仿宋"/>
          <w:b/>
          <w:color w:val="auto"/>
          <w:sz w:val="24"/>
          <w:highlight w:val="none"/>
        </w:rPr>
        <w:t>2.15 检验和验收</w:t>
      </w:r>
      <w:bookmarkEnd w:id="133"/>
      <w:bookmarkEnd w:id="134"/>
      <w:bookmarkEnd w:id="135"/>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12666"/>
      <w:bookmarkStart w:id="138" w:name="_Toc25198"/>
      <w:bookmarkStart w:id="139" w:name="_Toc9808"/>
      <w:bookmarkStart w:id="140" w:name="_Toc23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E0194DF">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9262493">
      <w:pPr>
        <w:spacing w:line="56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12254"/>
      <w:bookmarkStart w:id="145" w:name="_Toc20808"/>
      <w:bookmarkStart w:id="146" w:name="_Toc28906"/>
      <w:bookmarkStart w:id="147" w:name="_Toc5063"/>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18540"/>
      <w:bookmarkStart w:id="150" w:name="_Toc4355"/>
      <w:r>
        <w:rPr>
          <w:rFonts w:hint="eastAsia" w:ascii="仿宋" w:hAnsi="仿宋" w:eastAsia="仿宋" w:cs="仿宋"/>
          <w:b/>
          <w:color w:val="auto"/>
          <w:sz w:val="24"/>
          <w:highlight w:val="none"/>
        </w:rPr>
        <w:t>2.18 计量单位</w:t>
      </w:r>
      <w:bookmarkEnd w:id="148"/>
      <w:bookmarkEnd w:id="149"/>
      <w:bookmarkEnd w:id="150"/>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18567"/>
      <w:bookmarkStart w:id="153" w:name="_Toc12773"/>
      <w:bookmarkStart w:id="154" w:name="_Toc279701263"/>
      <w:bookmarkStart w:id="155" w:name="_Toc259093692"/>
      <w:bookmarkStart w:id="156" w:name="_Toc10330"/>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812"/>
        <w:gridCol w:w="6126"/>
        <w:gridCol w:w="774"/>
      </w:tblGrid>
      <w:tr w14:paraId="178A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65" w:type="dxa"/>
            <w:noWrap w:val="0"/>
            <w:vAlign w:val="center"/>
          </w:tcPr>
          <w:p w14:paraId="6B01E8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序号</w:t>
            </w:r>
          </w:p>
        </w:tc>
        <w:tc>
          <w:tcPr>
            <w:tcW w:w="1812" w:type="dxa"/>
            <w:noWrap w:val="0"/>
            <w:vAlign w:val="center"/>
          </w:tcPr>
          <w:p w14:paraId="60C860D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评分内容</w:t>
            </w:r>
          </w:p>
        </w:tc>
        <w:tc>
          <w:tcPr>
            <w:tcW w:w="6126" w:type="dxa"/>
            <w:noWrap w:val="0"/>
            <w:vAlign w:val="center"/>
          </w:tcPr>
          <w:p w14:paraId="7CD6FB9E">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 分 说 明</w:t>
            </w:r>
          </w:p>
        </w:tc>
        <w:tc>
          <w:tcPr>
            <w:tcW w:w="774" w:type="dxa"/>
            <w:noWrap w:val="0"/>
            <w:vAlign w:val="center"/>
          </w:tcPr>
          <w:p w14:paraId="0696933C">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14:paraId="7130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5" w:type="dxa"/>
            <w:noWrap w:val="0"/>
            <w:vAlign w:val="center"/>
          </w:tcPr>
          <w:p w14:paraId="06AB88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812" w:type="dxa"/>
            <w:noWrap w:val="0"/>
            <w:vAlign w:val="center"/>
          </w:tcPr>
          <w:p w14:paraId="6181E47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主要技术参数响应性</w:t>
            </w:r>
          </w:p>
        </w:tc>
        <w:tc>
          <w:tcPr>
            <w:tcW w:w="6126" w:type="dxa"/>
            <w:noWrap w:val="0"/>
            <w:vAlign w:val="center"/>
          </w:tcPr>
          <w:p w14:paraId="0B9EC9F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1.满足招标文件要求的得</w:t>
            </w:r>
            <w:r>
              <w:rPr>
                <w:rFonts w:hint="eastAsia" w:ascii="仿宋" w:hAnsi="仿宋" w:eastAsia="仿宋" w:cs="仿宋"/>
                <w:color w:val="auto"/>
                <w:sz w:val="21"/>
                <w:szCs w:val="21"/>
                <w:highlight w:val="none"/>
                <w:lang w:val="en-US" w:eastAsia="zh-CN"/>
              </w:rPr>
              <w:t>38分</w:t>
            </w:r>
            <w:r>
              <w:rPr>
                <w:rFonts w:hint="eastAsia" w:ascii="仿宋" w:hAnsi="仿宋" w:eastAsia="仿宋" w:cs="仿宋"/>
                <w:color w:val="auto"/>
                <w:sz w:val="21"/>
                <w:szCs w:val="21"/>
                <w:highlight w:val="none"/>
                <w:lang w:val="en-US" w:eastAsia="zh-CN"/>
              </w:rPr>
              <w:t>，打“▲”号的指标为主要功能、配置，如出现负偏离每项扣4分；其他一般性指标每有一项负偏离的扣2分，扣完为止。</w:t>
            </w:r>
          </w:p>
          <w:p w14:paraId="72286724">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2．若负偏离达到5个及以上的，且经评标小组认定为实质性不响应招标文件要求的，做无效投标处理。</w:t>
            </w:r>
          </w:p>
        </w:tc>
        <w:tc>
          <w:tcPr>
            <w:tcW w:w="774" w:type="dxa"/>
            <w:noWrap w:val="0"/>
            <w:vAlign w:val="center"/>
          </w:tcPr>
          <w:p w14:paraId="7E7549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38</w:t>
            </w:r>
          </w:p>
        </w:tc>
      </w:tr>
      <w:tr w14:paraId="5C18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65" w:type="dxa"/>
            <w:noWrap w:val="0"/>
            <w:vAlign w:val="center"/>
          </w:tcPr>
          <w:p w14:paraId="7CE0AC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812" w:type="dxa"/>
            <w:noWrap w:val="0"/>
            <w:vAlign w:val="center"/>
          </w:tcPr>
          <w:p w14:paraId="112E25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厂家授权</w:t>
            </w:r>
          </w:p>
        </w:tc>
        <w:tc>
          <w:tcPr>
            <w:tcW w:w="6126" w:type="dxa"/>
            <w:noWrap w:val="0"/>
            <w:vAlign w:val="center"/>
          </w:tcPr>
          <w:p w14:paraId="4480B24C">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能提供厂家授权资质的得5分，提供厂家授权资质经销商授权的得2分，否则得0分。</w:t>
            </w:r>
          </w:p>
        </w:tc>
        <w:tc>
          <w:tcPr>
            <w:tcW w:w="774" w:type="dxa"/>
            <w:noWrap w:val="0"/>
            <w:vAlign w:val="center"/>
          </w:tcPr>
          <w:p w14:paraId="1EA48B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r>
      <w:tr w14:paraId="66EA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5" w:type="dxa"/>
            <w:noWrap w:val="0"/>
            <w:vAlign w:val="center"/>
          </w:tcPr>
          <w:p w14:paraId="21EC7D3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812" w:type="dxa"/>
            <w:noWrap w:val="0"/>
            <w:vAlign w:val="center"/>
          </w:tcPr>
          <w:p w14:paraId="6736BB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企业实力</w:t>
            </w:r>
          </w:p>
        </w:tc>
        <w:tc>
          <w:tcPr>
            <w:tcW w:w="6126" w:type="dxa"/>
            <w:noWrap w:val="0"/>
            <w:vAlign w:val="center"/>
          </w:tcPr>
          <w:p w14:paraId="0FCEACC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根据投标单位供货能力、信誉度、服务承诺、响应承诺等情况，由专家酌情打分（</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8,7,6，</w:t>
            </w:r>
            <w:r>
              <w:rPr>
                <w:rFonts w:hint="eastAsia" w:ascii="仿宋" w:hAnsi="仿宋" w:eastAsia="仿宋" w:cs="仿宋"/>
                <w:color w:val="auto"/>
                <w:sz w:val="21"/>
                <w:szCs w:val="21"/>
                <w:highlight w:val="none"/>
              </w:rPr>
              <w:t>5,4,3,2,1,0分</w:t>
            </w:r>
            <w:r>
              <w:rPr>
                <w:rFonts w:hint="eastAsia" w:ascii="仿宋" w:hAnsi="仿宋" w:eastAsia="仿宋" w:cs="仿宋"/>
                <w:color w:val="auto"/>
                <w:sz w:val="21"/>
                <w:szCs w:val="21"/>
                <w:highlight w:val="none"/>
                <w:lang w:val="en-US" w:eastAsia="zh-CN"/>
              </w:rPr>
              <w:t>）。</w:t>
            </w:r>
          </w:p>
        </w:tc>
        <w:tc>
          <w:tcPr>
            <w:tcW w:w="774" w:type="dxa"/>
            <w:noWrap w:val="0"/>
            <w:vAlign w:val="center"/>
          </w:tcPr>
          <w:p w14:paraId="0FB443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r>
      <w:tr w14:paraId="56A6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5" w:type="dxa"/>
            <w:noWrap w:val="0"/>
            <w:vAlign w:val="center"/>
          </w:tcPr>
          <w:p w14:paraId="61C5FB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812" w:type="dxa"/>
            <w:noWrap w:val="0"/>
            <w:vAlign w:val="center"/>
          </w:tcPr>
          <w:p w14:paraId="2A913A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保修、保养服务方案</w:t>
            </w:r>
          </w:p>
        </w:tc>
        <w:tc>
          <w:tcPr>
            <w:tcW w:w="6126" w:type="dxa"/>
            <w:noWrap w:val="0"/>
            <w:vAlign w:val="center"/>
          </w:tcPr>
          <w:p w14:paraId="274A3AB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10，9，8,7,6，</w:t>
            </w:r>
            <w:r>
              <w:rPr>
                <w:rFonts w:hint="eastAsia" w:ascii="仿宋" w:hAnsi="仿宋" w:eastAsia="仿宋" w:cs="仿宋"/>
                <w:color w:val="auto"/>
                <w:sz w:val="21"/>
                <w:szCs w:val="21"/>
                <w:highlight w:val="none"/>
              </w:rPr>
              <w:t>5,4,3,2,1,0分</w:t>
            </w:r>
            <w:r>
              <w:rPr>
                <w:rFonts w:hint="eastAsia" w:ascii="仿宋" w:hAnsi="仿宋" w:eastAsia="仿宋" w:cs="仿宋"/>
                <w:color w:val="auto"/>
                <w:sz w:val="21"/>
                <w:szCs w:val="21"/>
                <w:highlight w:val="none"/>
                <w:lang w:val="en-US" w:eastAsia="zh-CN"/>
              </w:rPr>
              <w:t>）。</w:t>
            </w:r>
          </w:p>
        </w:tc>
        <w:tc>
          <w:tcPr>
            <w:tcW w:w="774" w:type="dxa"/>
            <w:noWrap w:val="0"/>
            <w:vAlign w:val="center"/>
          </w:tcPr>
          <w:p w14:paraId="6A0CC1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14:paraId="5F1A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5" w:type="dxa"/>
            <w:noWrap w:val="0"/>
            <w:vAlign w:val="center"/>
          </w:tcPr>
          <w:p w14:paraId="68FE01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812" w:type="dxa"/>
            <w:noWrap w:val="0"/>
            <w:vAlign w:val="center"/>
          </w:tcPr>
          <w:p w14:paraId="451200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投标人业绩</w:t>
            </w:r>
          </w:p>
        </w:tc>
        <w:tc>
          <w:tcPr>
            <w:tcW w:w="6126" w:type="dxa"/>
            <w:noWrap w:val="0"/>
            <w:vAlign w:val="center"/>
          </w:tcPr>
          <w:p w14:paraId="026FF083">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投标人提供自2022年1月1日至今（以合同签订时间为准）承接过的同类产品维保合同，每有一份合同得1分，最高得2分，需提合同复印件加盖投标人公章，未提供不得分。</w:t>
            </w:r>
          </w:p>
        </w:tc>
        <w:tc>
          <w:tcPr>
            <w:tcW w:w="774" w:type="dxa"/>
            <w:noWrap w:val="0"/>
            <w:vAlign w:val="center"/>
          </w:tcPr>
          <w:p w14:paraId="1E243EA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14:paraId="6018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5" w:type="dxa"/>
            <w:vMerge w:val="restart"/>
            <w:noWrap w:val="0"/>
            <w:vAlign w:val="center"/>
          </w:tcPr>
          <w:p w14:paraId="0097EA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812" w:type="dxa"/>
            <w:vMerge w:val="restart"/>
            <w:noWrap w:val="0"/>
            <w:vAlign w:val="center"/>
          </w:tcPr>
          <w:p w14:paraId="2F1F18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售后服务</w:t>
            </w:r>
          </w:p>
          <w:p w14:paraId="02438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6126" w:type="dxa"/>
            <w:noWrap w:val="0"/>
            <w:vAlign w:val="center"/>
          </w:tcPr>
          <w:p w14:paraId="6517E24C">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维修技术力量：技术支持工程师≥1人,每增加1人得1分，最多得2分；专职维修工程师≥2人,每增加1人得1分，最多得3分。上述人员须提供最近的社保缴纳证明资料加盖投标人公章。</w:t>
            </w:r>
          </w:p>
        </w:tc>
        <w:tc>
          <w:tcPr>
            <w:tcW w:w="774" w:type="dxa"/>
            <w:noWrap w:val="0"/>
            <w:vAlign w:val="center"/>
          </w:tcPr>
          <w:p w14:paraId="06D26D17">
            <w:pPr>
              <w:spacing w:line="240" w:lineRule="auto"/>
              <w:ind w:left="-115" w:leftChars="-55" w:right="-115" w:rightChars="-55"/>
              <w:jc w:val="center"/>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r w14:paraId="17E3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5" w:type="dxa"/>
            <w:vMerge w:val="continue"/>
            <w:noWrap w:val="0"/>
            <w:vAlign w:val="center"/>
          </w:tcPr>
          <w:p w14:paraId="3C4C465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1812" w:type="dxa"/>
            <w:vMerge w:val="continue"/>
            <w:noWrap w:val="0"/>
            <w:vAlign w:val="center"/>
          </w:tcPr>
          <w:p w14:paraId="6FA544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6126" w:type="dxa"/>
            <w:noWrap w:val="0"/>
            <w:vAlign w:val="center"/>
          </w:tcPr>
          <w:p w14:paraId="487DEA23">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根据投标人提出的针对本项目的维修响应速度服务承诺给分（</w:t>
            </w:r>
            <w:r>
              <w:rPr>
                <w:rFonts w:hint="eastAsia" w:ascii="仿宋" w:hAnsi="仿宋" w:eastAsia="仿宋" w:cs="仿宋"/>
                <w:color w:val="auto"/>
                <w:sz w:val="21"/>
                <w:szCs w:val="21"/>
                <w:highlight w:val="none"/>
              </w:rPr>
              <w:t>本项分值设置为3,2,1,0分</w:t>
            </w:r>
            <w:r>
              <w:rPr>
                <w:rFonts w:hint="eastAsia" w:ascii="仿宋" w:hAnsi="仿宋" w:eastAsia="仿宋" w:cs="仿宋"/>
                <w:color w:val="auto"/>
                <w:sz w:val="21"/>
                <w:szCs w:val="21"/>
                <w:highlight w:val="none"/>
                <w:lang w:val="en-US" w:eastAsia="zh-CN"/>
              </w:rPr>
              <w:t>）。</w:t>
            </w:r>
          </w:p>
        </w:tc>
        <w:tc>
          <w:tcPr>
            <w:tcW w:w="774" w:type="dxa"/>
            <w:noWrap w:val="0"/>
            <w:vAlign w:val="center"/>
          </w:tcPr>
          <w:p w14:paraId="47EA1C6D">
            <w:pPr>
              <w:spacing w:line="240" w:lineRule="auto"/>
              <w:ind w:left="-115" w:leftChars="-55" w:right="-115" w:rightChars="-55"/>
              <w:jc w:val="center"/>
              <w:rPr>
                <w:rFonts w:hint="default"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3</w:t>
            </w:r>
          </w:p>
        </w:tc>
      </w:tr>
      <w:tr w14:paraId="592D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5" w:type="dxa"/>
            <w:vMerge w:val="continue"/>
            <w:noWrap w:val="0"/>
            <w:vAlign w:val="center"/>
          </w:tcPr>
          <w:p w14:paraId="3CEF41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1812" w:type="dxa"/>
            <w:vMerge w:val="continue"/>
            <w:noWrap w:val="0"/>
            <w:vAlign w:val="center"/>
          </w:tcPr>
          <w:p w14:paraId="3DAE1BF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6126" w:type="dxa"/>
            <w:noWrap w:val="0"/>
            <w:vAlign w:val="center"/>
          </w:tcPr>
          <w:p w14:paraId="6DB07CF9">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投标人在采购人当地有备货仓库（须提供相关证明材料）得4分，投标人承诺在中标后设立备货仓库得2分，没有或未提供相关证明材料不得分。</w:t>
            </w:r>
          </w:p>
        </w:tc>
        <w:tc>
          <w:tcPr>
            <w:tcW w:w="774" w:type="dxa"/>
            <w:noWrap w:val="0"/>
            <w:vAlign w:val="center"/>
          </w:tcPr>
          <w:p w14:paraId="7ECAC22C">
            <w:pPr>
              <w:spacing w:line="240" w:lineRule="auto"/>
              <w:ind w:left="-115" w:leftChars="-55" w:right="-115" w:rightChars="-55"/>
              <w:jc w:val="center"/>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4</w:t>
            </w:r>
          </w:p>
        </w:tc>
      </w:tr>
      <w:tr w14:paraId="6594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5" w:type="dxa"/>
            <w:noWrap w:val="0"/>
            <w:vAlign w:val="center"/>
          </w:tcPr>
          <w:p w14:paraId="62C2930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812" w:type="dxa"/>
            <w:noWrap w:val="0"/>
            <w:vAlign w:val="center"/>
          </w:tcPr>
          <w:p w14:paraId="7D0510F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其他优惠承诺</w:t>
            </w:r>
          </w:p>
        </w:tc>
        <w:tc>
          <w:tcPr>
            <w:tcW w:w="6126" w:type="dxa"/>
            <w:noWrap w:val="0"/>
            <w:vAlign w:val="center"/>
          </w:tcPr>
          <w:p w14:paraId="47B534A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投标人根据自身的能力，提供各种服务承诺（</w:t>
            </w:r>
            <w:r>
              <w:rPr>
                <w:rFonts w:hint="eastAsia" w:ascii="仿宋" w:hAnsi="仿宋" w:eastAsia="仿宋" w:cs="仿宋"/>
                <w:color w:val="auto"/>
                <w:sz w:val="21"/>
                <w:szCs w:val="21"/>
                <w:highlight w:val="none"/>
              </w:rPr>
              <w:t>本项分值设置为5,4,3,2,1,0分</w:t>
            </w:r>
            <w:r>
              <w:rPr>
                <w:rFonts w:hint="eastAsia" w:ascii="仿宋" w:hAnsi="仿宋" w:eastAsia="仿宋" w:cs="仿宋"/>
                <w:color w:val="auto"/>
                <w:sz w:val="21"/>
                <w:szCs w:val="21"/>
                <w:highlight w:val="none"/>
                <w:lang w:val="en-US" w:eastAsia="zh-CN"/>
              </w:rPr>
              <w:t>）。</w:t>
            </w:r>
          </w:p>
        </w:tc>
        <w:tc>
          <w:tcPr>
            <w:tcW w:w="774" w:type="dxa"/>
            <w:noWrap w:val="0"/>
            <w:vAlign w:val="center"/>
          </w:tcPr>
          <w:p w14:paraId="14DF5385">
            <w:pPr>
              <w:spacing w:line="240" w:lineRule="auto"/>
              <w:ind w:left="-115" w:leftChars="-55" w:right="-115" w:rightChars="-55"/>
              <w:jc w:val="center"/>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bookmarkStart w:id="167" w:name="_GoBack"/>
      <w:bookmarkEnd w:id="167"/>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20B4811A">
      <w:pPr>
        <w:pStyle w:val="25"/>
        <w:snapToGrid w:val="0"/>
        <w:spacing w:line="360" w:lineRule="auto"/>
        <w:ind w:firstLine="0" w:firstLineChars="0"/>
        <w:rPr>
          <w:rFonts w:hint="eastAsia" w:ascii="仿宋" w:hAnsi="仿宋" w:eastAsia="仿宋" w:cs="仿宋"/>
          <w:color w:val="auto"/>
          <w:highlight w:val="none"/>
        </w:rPr>
      </w:pPr>
    </w:p>
    <w:p w14:paraId="65A88FCA">
      <w:pPr>
        <w:pStyle w:val="25"/>
        <w:snapToGrid w:val="0"/>
        <w:spacing w:line="360" w:lineRule="auto"/>
        <w:ind w:firstLine="0" w:firstLineChars="0"/>
        <w:rPr>
          <w:rFonts w:hint="eastAsia" w:ascii="仿宋" w:hAnsi="仿宋" w:eastAsia="仿宋" w:cs="仿宋"/>
          <w:color w:val="auto"/>
          <w:highlight w:val="none"/>
        </w:rPr>
      </w:pPr>
    </w:p>
    <w:p w14:paraId="1120B026">
      <w:pPr>
        <w:pStyle w:val="25"/>
        <w:snapToGrid w:val="0"/>
        <w:spacing w:line="360" w:lineRule="auto"/>
        <w:ind w:firstLine="0" w:firstLineChars="0"/>
        <w:rPr>
          <w:rFonts w:hint="eastAsia" w:ascii="仿宋" w:hAnsi="仿宋" w:eastAsia="仿宋" w:cs="仿宋"/>
          <w:color w:val="auto"/>
          <w:highlight w:val="none"/>
        </w:rPr>
      </w:pPr>
    </w:p>
    <w:p w14:paraId="05847512">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18ED8788">
      <w:pPr>
        <w:pStyle w:val="25"/>
        <w:snapToGrid w:val="0"/>
        <w:spacing w:line="360" w:lineRule="auto"/>
        <w:ind w:firstLine="0" w:firstLineChars="0"/>
        <w:rPr>
          <w:rFonts w:hint="eastAsia" w:ascii="仿宋" w:hAnsi="仿宋" w:eastAsia="仿宋" w:cs="仿宋"/>
          <w:color w:val="auto"/>
          <w:highlight w:val="none"/>
        </w:rPr>
      </w:pPr>
    </w:p>
    <w:p w14:paraId="09A8F48B">
      <w:pPr>
        <w:pStyle w:val="25"/>
        <w:snapToGrid w:val="0"/>
        <w:spacing w:line="360" w:lineRule="auto"/>
        <w:ind w:firstLine="0" w:firstLineChars="0"/>
        <w:rPr>
          <w:rFonts w:hint="eastAsia" w:ascii="仿宋" w:hAnsi="仿宋" w:eastAsia="仿宋" w:cs="仿宋"/>
          <w:color w:val="auto"/>
          <w:highlight w:val="none"/>
        </w:rPr>
      </w:pPr>
    </w:p>
    <w:p w14:paraId="6CDC4D0F">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3"/>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3"/>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3"/>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2"/>
      </w:rPr>
    </w:pPr>
    <w:r>
      <w:fldChar w:fldCharType="begin"/>
    </w:r>
    <w:r>
      <w:rPr>
        <w:rStyle w:val="72"/>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2"/>
      </w:rPr>
    </w:pPr>
    <w:r>
      <w:fldChar w:fldCharType="begin"/>
    </w:r>
    <w:r>
      <w:rPr>
        <w:rStyle w:val="72"/>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36110187"/>
    <w:bookmarkStart w:id="165" w:name="_Toc164085800"/>
    <w:bookmarkStart w:id="166" w:name="_Toc91899912"/>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95D505"/>
    <w:multiLevelType w:val="singleLevel"/>
    <w:tmpl w:val="9295D505"/>
    <w:lvl w:ilvl="0" w:tentative="0">
      <w:start w:val="3"/>
      <w:numFmt w:val="chineseCounting"/>
      <w:suff w:val="space"/>
      <w:lvlText w:val="第%1部分"/>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EC75C6E"/>
    <w:rsid w:val="0F096B8F"/>
    <w:rsid w:val="0F5471F6"/>
    <w:rsid w:val="0F63063F"/>
    <w:rsid w:val="11AF67DA"/>
    <w:rsid w:val="158F6E5B"/>
    <w:rsid w:val="17E6386F"/>
    <w:rsid w:val="18E60774"/>
    <w:rsid w:val="19EF674B"/>
    <w:rsid w:val="1AAD475A"/>
    <w:rsid w:val="1D2F1C3B"/>
    <w:rsid w:val="2335523F"/>
    <w:rsid w:val="26D112CD"/>
    <w:rsid w:val="2CE61358"/>
    <w:rsid w:val="2EDB5A4F"/>
    <w:rsid w:val="30CD01D9"/>
    <w:rsid w:val="3692506C"/>
    <w:rsid w:val="38872063"/>
    <w:rsid w:val="3F5E1222"/>
    <w:rsid w:val="40037E78"/>
    <w:rsid w:val="427E60E8"/>
    <w:rsid w:val="44501A81"/>
    <w:rsid w:val="453F5652"/>
    <w:rsid w:val="490735E2"/>
    <w:rsid w:val="4ACF7AD1"/>
    <w:rsid w:val="4CB0248B"/>
    <w:rsid w:val="4E7B3B9E"/>
    <w:rsid w:val="4F4B3D85"/>
    <w:rsid w:val="505F7017"/>
    <w:rsid w:val="57E00F16"/>
    <w:rsid w:val="5C322266"/>
    <w:rsid w:val="5F561B6F"/>
    <w:rsid w:val="5F57E5CA"/>
    <w:rsid w:val="620B296D"/>
    <w:rsid w:val="64246EAC"/>
    <w:rsid w:val="65AA6490"/>
    <w:rsid w:val="669C35D3"/>
    <w:rsid w:val="6BD4147B"/>
    <w:rsid w:val="6F300D9A"/>
    <w:rsid w:val="6FC37AD4"/>
    <w:rsid w:val="70CC50B4"/>
    <w:rsid w:val="71855149"/>
    <w:rsid w:val="74A82282"/>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21505</Words>
  <Characters>22882</Characters>
  <Paragraphs>1943</Paragraphs>
  <TotalTime>6</TotalTime>
  <ScaleCrop>false</ScaleCrop>
  <LinksUpToDate>false</LinksUpToDate>
  <CharactersWithSpaces>24847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2025-05-28T06:37:30Z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eyJoZGlkIjoiZGE2Mjg2YTZkZTMyMTYwY2M1OTQ5YzJlN2MyYmRjOGEiLCJ1c2VySWQiOiI1MjEyMDQwMTEifQ==</vt:lpwstr>
  </property>
</Properties>
</file>