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color w:val="auto"/>
          <w:sz w:val="24"/>
          <w:highlight w:val="none"/>
        </w:rPr>
      </w:pPr>
      <w:bookmarkStart w:id="203" w:name="_GoBack"/>
    </w:p>
    <w:p>
      <w:pPr>
        <w:jc w:val="center"/>
        <w:outlineLvl w:val="0"/>
        <w:rPr>
          <w:rFonts w:hint="eastAsia" w:ascii="仿宋" w:hAnsi="仿宋" w:eastAsia="仿宋" w:cs="仿宋"/>
          <w:b/>
          <w:color w:val="auto"/>
          <w:sz w:val="72"/>
          <w:szCs w:val="72"/>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绍兴市中医院服务器虚拟化方案及数据库审计项目</w:t>
      </w:r>
    </w:p>
    <w:p>
      <w:pPr>
        <w:jc w:val="center"/>
        <w:outlineLvl w:val="0"/>
        <w:rPr>
          <w:rFonts w:ascii="仿宋" w:hAnsi="仿宋" w:eastAsia="仿宋" w:cs="仿宋"/>
          <w:b/>
          <w:color w:val="auto"/>
          <w:sz w:val="72"/>
          <w:szCs w:val="72"/>
          <w:highlight w:val="none"/>
        </w:rPr>
      </w:pP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50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pPr>
              <w:spacing w:line="320" w:lineRule="exact"/>
              <w:jc w:val="both"/>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月</w:t>
            </w:r>
          </w:p>
        </w:tc>
      </w:tr>
    </w:tbl>
    <w:p>
      <w:pPr>
        <w:pStyle w:val="638"/>
        <w:rPr>
          <w:rFonts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2"/>
    <w:p>
      <w:pPr>
        <w:adjustRightInd/>
        <w:spacing w:line="360" w:lineRule="auto"/>
        <w:jc w:val="center"/>
        <w:outlineLvl w:val="0"/>
        <w:rPr>
          <w:rFonts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绍兴市中医院服务器虚拟化方案及数据库审计项目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年月日</w:t>
      </w:r>
      <w:r>
        <w:rPr>
          <w:rStyle w:val="78"/>
          <w:rFonts w:hint="eastAsia" w:ascii="仿宋" w:hAnsi="仿宋" w:eastAsia="仿宋" w:cs="仿宋"/>
          <w:snapToGrid/>
          <w:color w:val="auto"/>
          <w:kern w:val="2"/>
          <w:sz w:val="24"/>
          <w:szCs w:val="24"/>
          <w:highlight w:val="none"/>
          <w:lang w:val="en-US" w:eastAsia="zh-CN"/>
        </w:rPr>
        <w:t>09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绍兴市中医院服务器虚拟化方案及数据库审计项目</w:t>
      </w:r>
      <w:r>
        <w:rPr>
          <w:rFonts w:hint="eastAsia" w:ascii="仿宋" w:hAnsi="仿宋" w:eastAsia="仿宋" w:cs="仿宋"/>
          <w:color w:val="auto"/>
          <w:sz w:val="24"/>
          <w:highlight w:val="none"/>
        </w:rPr>
        <w:t xml:space="preserve"> </w:t>
      </w:r>
    </w:p>
    <w:p>
      <w:pPr>
        <w:spacing w:line="44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548</w:t>
      </w:r>
      <w:r>
        <w:rPr>
          <w:rFonts w:hint="eastAsia" w:ascii="仿宋" w:hAnsi="仿宋" w:eastAsia="仿宋" w:cs="仿宋"/>
          <w:b/>
          <w:color w:val="auto"/>
          <w:sz w:val="24"/>
          <w:highlight w:val="none"/>
          <w:lang w:eastAsia="zh-CN"/>
        </w:rPr>
        <w:t>000</w:t>
      </w:r>
    </w:p>
    <w:p>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378000,170000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服务器虚拟化方案</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378</w:t>
      </w:r>
      <w:r>
        <w:rPr>
          <w:rFonts w:hint="eastAsia" w:ascii="仿宋" w:hAnsi="仿宋" w:eastAsia="仿宋" w:cs="仿宋"/>
          <w:b/>
          <w:color w:val="auto"/>
          <w:sz w:val="24"/>
          <w:highlight w:val="none"/>
          <w:lang w:eastAsia="zh-CN"/>
        </w:rPr>
        <w:t>000</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数据库审计</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17</w:t>
      </w:r>
      <w:r>
        <w:rPr>
          <w:rFonts w:hint="eastAsia" w:ascii="仿宋" w:hAnsi="仿宋" w:eastAsia="仿宋" w:cs="仿宋"/>
          <w:b/>
          <w:color w:val="auto"/>
          <w:sz w:val="24"/>
          <w:highlight w:val="none"/>
          <w:lang w:eastAsia="zh-CN"/>
        </w:rPr>
        <w:t>0000</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是，☐否。</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20" w:firstLineChars="200"/>
        <w:rPr>
          <w:rFonts w:ascii="仿宋" w:hAnsi="仿宋" w:eastAsia="仿宋" w:cs="仿宋"/>
          <w:color w:val="auto"/>
          <w:sz w:val="24"/>
          <w:highlight w:val="none"/>
        </w:rPr>
      </w:pP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无；</w:t>
      </w:r>
    </w:p>
    <w:p>
      <w:pPr>
        <w:spacing w:line="440" w:lineRule="exact"/>
        <w:ind w:firstLine="420" w:firstLineChars="200"/>
        <w:rPr>
          <w:rFonts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785" w:firstLineChars="374"/>
        <w:rPr>
          <w:rFonts w:ascii="仿宋" w:hAnsi="仿宋" w:eastAsia="仿宋" w:cs="仿宋"/>
          <w:color w:val="auto"/>
          <w:sz w:val="24"/>
          <w:highlight w:val="none"/>
          <w:u w:val="singl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spacing w:line="440" w:lineRule="exact"/>
        <w:ind w:left="0" w:firstLine="482" w:firstLineChars="200"/>
        <w:rPr>
          <w:rFonts w:ascii="仿宋" w:eastAsia="仿宋" w:cs="仿宋"/>
          <w:color w:val="auto"/>
          <w:sz w:val="24"/>
          <w:szCs w:val="24"/>
          <w:highlight w:val="none"/>
        </w:rPr>
      </w:pPr>
      <w:bookmarkStart w:id="11" w:name="_Toc28359019"/>
      <w:bookmarkStart w:id="12" w:name="_Toc28359096"/>
      <w:bookmarkStart w:id="13" w:name="_Toc35393637"/>
      <w:bookmarkStart w:id="14" w:name="_Toc35393806"/>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pPr>
        <w:spacing w:line="440" w:lineRule="exact"/>
        <w:ind w:firstLine="480" w:firstLineChars="200"/>
        <w:rPr>
          <w:rFonts w:hint="eastAsia" w:ascii="仿宋" w:hAnsi="仿宋" w:eastAsia="仿宋" w:cs="仿宋"/>
          <w:color w:val="auto"/>
          <w:sz w:val="24"/>
          <w:highlight w:val="none"/>
          <w:lang w:eastAsia="zh-CN"/>
        </w:rPr>
      </w:pPr>
      <w:bookmarkStart w:id="15" w:name="_Toc28359097"/>
      <w:bookmarkStart w:id="16" w:name="_Toc35393638"/>
      <w:bookmarkStart w:id="17" w:name="_Toc35393807"/>
      <w:bookmarkStart w:id="18" w:name="_Toc28359020"/>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1号</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 xml:space="preserve">王宁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0575-89102270</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pPr>
        <w:spacing w:line="440" w:lineRule="exact"/>
        <w:ind w:firstLine="480" w:firstLineChars="200"/>
        <w:rPr>
          <w:rFonts w:hint="eastAsia" w:ascii="仿宋" w:hAnsi="仿宋" w:eastAsia="仿宋" w:cs="仿宋"/>
          <w:color w:val="auto"/>
          <w:sz w:val="24"/>
          <w:highlight w:val="none"/>
        </w:rPr>
      </w:pPr>
      <w:bookmarkStart w:id="19" w:name="_Toc35393639"/>
      <w:bookmarkStart w:id="20" w:name="_Toc28359098"/>
      <w:bookmarkStart w:id="21" w:name="_Toc35393808"/>
      <w:bookmarkStart w:id="22" w:name="_Toc28359021"/>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地址：绍兴市越城区朝皇路58号正大综合楼601</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质疑联系方式：0575-85080066　</w:t>
      </w:r>
      <w:r>
        <w:rPr>
          <w:rFonts w:hint="eastAsia" w:ascii="仿宋" w:hAnsi="仿宋" w:eastAsia="仿宋" w:cs="仿宋"/>
          <w:color w:val="auto"/>
          <w:highlight w:val="none"/>
        </w:rPr>
        <w:t>　　</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传真：0575-85209806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详见招标文件第三部分中的样品</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w:t>
            </w:r>
          </w:p>
          <w:p>
            <w:pPr>
              <w:autoSpaceDE w:val="0"/>
              <w:autoSpaceDN w:val="0"/>
              <w:spacing w:line="42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提交样品</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开标结束后自行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_GB2312" w:hAnsi="仿宋" w:eastAsia="仿宋_GB2312" w:cs="仿宋_GB2312"/>
                <w:color w:val="auto"/>
                <w:kern w:val="0"/>
                <w:sz w:val="24"/>
                <w:highlight w:val="none"/>
                <w:lang w:val="zh-CN"/>
              </w:rPr>
            </w:pPr>
            <w:r>
              <w:rPr>
                <w:rFonts w:hint="eastAsia" w:ascii="仿宋" w:hAnsi="仿宋" w:eastAsia="仿宋" w:cs="仿宋"/>
                <w:b/>
                <w:color w:val="auto"/>
                <w:sz w:val="24"/>
                <w:highlight w:val="none"/>
              </w:rPr>
              <w:t>现场演示(讲解)：</w:t>
            </w:r>
            <w:r>
              <w:rPr>
                <w:rFonts w:hint="eastAsia" w:ascii="仿宋_GB2312" w:hAnsi="新宋体" w:eastAsia="仿宋_GB2312" w:cs="Arial"/>
                <w:b/>
                <w:bCs/>
                <w:color w:val="auto"/>
                <w:sz w:val="24"/>
                <w:highlight w:val="none"/>
                <w:bdr w:val="single" w:color="auto" w:sz="4" w:space="0"/>
              </w:rPr>
              <w:t>0</w:t>
            </w:r>
            <w:r>
              <w:rPr>
                <w:rFonts w:hint="eastAsia" w:ascii="仿宋_GB2312" w:hAnsi="新宋体" w:eastAsia="仿宋_GB2312" w:cs="Arial"/>
                <w:b/>
                <w:bCs/>
                <w:color w:val="auto"/>
                <w:sz w:val="24"/>
                <w:highlight w:val="none"/>
                <w:bdr w:val="single" w:color="auto" w:sz="4" w:space="0"/>
                <w:lang w:val="en-US" w:eastAsia="zh-CN"/>
              </w:rPr>
              <w:t>2</w:t>
            </w:r>
            <w:r>
              <w:rPr>
                <w:rFonts w:hint="eastAsia" w:ascii="仿宋_GB2312" w:hAnsi="新宋体" w:eastAsia="仿宋_GB2312" w:cs="Arial"/>
                <w:b/>
                <w:bCs/>
                <w:color w:val="auto"/>
                <w:sz w:val="24"/>
                <w:highlight w:val="none"/>
                <w:bdr w:val="single" w:color="auto" w:sz="4" w:space="0"/>
              </w:rPr>
              <w:t>标</w:t>
            </w:r>
            <w:r>
              <w:rPr>
                <w:rFonts w:hint="eastAsia" w:ascii="仿宋_GB2312" w:hAnsi="仿宋" w:eastAsia="仿宋_GB2312" w:cs="仿宋_GB2312"/>
                <w:color w:val="auto"/>
                <w:kern w:val="0"/>
                <w:sz w:val="24"/>
                <w:highlight w:val="none"/>
                <w:lang w:val="zh-CN"/>
              </w:rPr>
              <w:t>在评标时安排每个投标人进行现场演示或</w:t>
            </w:r>
            <w:r>
              <w:rPr>
                <w:rFonts w:hint="eastAsia" w:ascii="仿宋_GB2312" w:hAnsi="仿宋" w:eastAsia="仿宋_GB2312" w:cs="仿宋_GB2312"/>
                <w:color w:val="auto"/>
                <w:kern w:val="0"/>
                <w:sz w:val="24"/>
                <w:highlight w:val="none"/>
                <w:lang w:val="en-US" w:eastAsia="zh-CN"/>
              </w:rPr>
              <w:t>U盘录制演示（</w:t>
            </w:r>
            <w:r>
              <w:rPr>
                <w:rFonts w:hint="eastAsia" w:ascii="仿宋_GB2312" w:hAnsi="仿宋" w:eastAsia="仿宋_GB2312" w:cs="仿宋_GB2312"/>
                <w:color w:val="auto"/>
                <w:kern w:val="0"/>
                <w:sz w:val="24"/>
                <w:szCs w:val="24"/>
                <w:highlight w:val="none"/>
                <w:lang w:val="zh-CN"/>
              </w:rPr>
              <w:t>使用图片、PPT演示不得分</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w:t>
            </w:r>
            <w:r>
              <w:rPr>
                <w:rFonts w:hint="eastAsia" w:ascii="仿宋_GB2312" w:hAnsi="仿宋" w:eastAsia="仿宋_GB2312" w:cs="仿宋_GB2312"/>
                <w:color w:val="auto"/>
                <w:kern w:val="0"/>
                <w:sz w:val="24"/>
                <w:highlight w:val="none"/>
                <w:lang w:val="en-US" w:eastAsia="zh-CN"/>
              </w:rPr>
              <w:t>0</w:t>
            </w:r>
            <w:r>
              <w:rPr>
                <w:rFonts w:hint="eastAsia" w:ascii="仿宋_GB2312" w:hAnsi="仿宋" w:eastAsia="仿宋_GB2312" w:cs="仿宋_GB2312"/>
                <w:color w:val="auto"/>
                <w:kern w:val="0"/>
                <w:sz w:val="24"/>
                <w:highlight w:val="none"/>
                <w:lang w:val="zh-CN"/>
              </w:rPr>
              <w:t>分钟，演示时间不超过1</w:t>
            </w:r>
            <w:r>
              <w:rPr>
                <w:rFonts w:hint="eastAsia" w:ascii="仿宋_GB2312" w:hAnsi="仿宋" w:eastAsia="仿宋_GB2312" w:cs="仿宋_GB2312"/>
                <w:color w:val="auto"/>
                <w:kern w:val="0"/>
                <w:sz w:val="24"/>
                <w:highlight w:val="none"/>
                <w:lang w:val="en-US" w:eastAsia="zh-CN"/>
              </w:rPr>
              <w:t>0</w:t>
            </w:r>
            <w:r>
              <w:rPr>
                <w:rFonts w:hint="eastAsia" w:ascii="仿宋_GB2312" w:hAnsi="仿宋" w:eastAsia="仿宋_GB2312" w:cs="仿宋_GB2312"/>
                <w:color w:val="auto"/>
                <w:kern w:val="0"/>
                <w:sz w:val="24"/>
                <w:highlight w:val="none"/>
                <w:lang w:val="zh-CN"/>
              </w:rPr>
              <w:t>分钟，</w:t>
            </w:r>
            <w:r>
              <w:rPr>
                <w:rFonts w:hint="eastAsia" w:ascii="仿宋_GB2312" w:hAnsi="仿宋_GB2312" w:eastAsia="仿宋_GB2312" w:cs="仿宋_GB2312"/>
                <w:color w:val="auto"/>
                <w:sz w:val="24"/>
                <w:highlight w:val="none"/>
              </w:rPr>
              <w:t>不包含评委提问解答时间。</w:t>
            </w:r>
          </w:p>
          <w:p>
            <w:pPr>
              <w:spacing w:line="420" w:lineRule="exac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auto"/>
                <w:kern w:val="0"/>
                <w:sz w:val="24"/>
                <w:highlight w:val="none"/>
                <w:lang w:val="zh-CN"/>
              </w:rPr>
              <w:t>以</w:t>
            </w:r>
            <w:r>
              <w:rPr>
                <w:rFonts w:hint="eastAsia" w:ascii="仿宋_GB2312" w:hAnsi="仿宋" w:eastAsia="仿宋_GB2312" w:cs="Arial"/>
                <w:bCs/>
                <w:color w:val="auto"/>
                <w:sz w:val="24"/>
                <w:highlight w:val="none"/>
              </w:rPr>
              <w:t>递交投标</w:t>
            </w:r>
            <w:r>
              <w:rPr>
                <w:rFonts w:hint="eastAsia" w:ascii="仿宋_GB2312" w:hAnsi="仿宋" w:eastAsia="仿宋_GB2312" w:cs="仿宋_GB2312"/>
                <w:color w:val="auto"/>
                <w:kern w:val="0"/>
                <w:sz w:val="24"/>
                <w:highlight w:val="none"/>
                <w:lang w:val="zh-CN"/>
              </w:rPr>
              <w:t>文件先后顺序为准。</w:t>
            </w:r>
          </w:p>
          <w:p>
            <w:pPr>
              <w:spacing w:line="420" w:lineRule="exact"/>
              <w:rPr>
                <w:rFonts w:hint="eastAsia" w:ascii="仿宋_GB2312" w:hAnsi="仿宋" w:eastAsia="仿宋_GB2312" w:cs="仿宋_GB2312"/>
                <w:b/>
                <w:color w:val="auto"/>
                <w:kern w:val="0"/>
                <w:sz w:val="24"/>
                <w:highlight w:val="none"/>
                <w:lang w:val="en-US" w:eastAsia="zh-CN"/>
              </w:rPr>
            </w:pPr>
            <w:r>
              <w:rPr>
                <w:rFonts w:hint="eastAsia" w:ascii="仿宋_GB2312" w:hAnsi="仿宋" w:eastAsia="仿宋_GB2312" w:cs="仿宋_GB2312"/>
                <w:b/>
                <w:color w:val="auto"/>
                <w:kern w:val="0"/>
                <w:sz w:val="24"/>
                <w:highlight w:val="none"/>
                <w:lang w:val="zh-CN"/>
              </w:rPr>
              <w:t>视频邮寄地址及联系方式：</w:t>
            </w:r>
            <w:r>
              <w:rPr>
                <w:rFonts w:hint="eastAsia" w:ascii="仿宋_GB2312" w:hAnsi="仿宋" w:eastAsia="仿宋_GB2312" w:cs="仿宋_GB2312"/>
                <w:b w:val="0"/>
                <w:bCs/>
                <w:color w:val="auto"/>
                <w:kern w:val="0"/>
                <w:sz w:val="24"/>
                <w:highlight w:val="none"/>
                <w:lang w:val="zh-CN"/>
              </w:rPr>
              <w:t>绍兴市越城区迎凤路87号鑫海大厦1601</w:t>
            </w:r>
            <w:r>
              <w:rPr>
                <w:rFonts w:hint="eastAsia" w:ascii="仿宋_GB2312" w:hAnsi="仿宋" w:eastAsia="仿宋_GB2312" w:cs="仿宋_GB2312"/>
                <w:b w:val="0"/>
                <w:bCs/>
                <w:color w:val="auto"/>
                <w:kern w:val="0"/>
                <w:sz w:val="24"/>
                <w:highlight w:val="none"/>
                <w:lang w:val="en-US" w:eastAsia="zh-CN"/>
              </w:rPr>
              <w:t>，收件人：金锦英，联系电话：13656752180。</w:t>
            </w:r>
          </w:p>
          <w:p>
            <w:pPr>
              <w:spacing w:line="420" w:lineRule="exact"/>
              <w:rPr>
                <w:rFonts w:hint="eastAsia" w:ascii="仿宋_GB2312" w:hAnsi="宋体" w:eastAsia="仿宋_GB2312" w:cs="宋体"/>
                <w:color w:val="auto"/>
                <w:sz w:val="24"/>
                <w:highlight w:val="none"/>
                <w:lang w:eastAsia="zh-CN"/>
              </w:rPr>
            </w:pPr>
            <w:r>
              <w:rPr>
                <w:rFonts w:hint="eastAsia" w:ascii="仿宋_GB2312" w:hAnsi="仿宋" w:eastAsia="仿宋_GB2312" w:cs="仿宋_GB2312"/>
                <w:b/>
                <w:color w:val="auto"/>
                <w:kern w:val="0"/>
                <w:sz w:val="24"/>
                <w:highlight w:val="none"/>
                <w:lang w:val="zh-CN"/>
              </w:rPr>
              <w:t>录制视频接收时间：</w:t>
            </w:r>
            <w:r>
              <w:rPr>
                <w:rFonts w:hint="eastAsia" w:ascii="仿宋_GB2312" w:hAnsi="宋体" w:eastAsia="仿宋_GB2312" w:cs="宋体"/>
                <w:color w:val="auto"/>
                <w:sz w:val="24"/>
                <w:highlight w:val="none"/>
                <w:lang w:eastAsia="zh-CN"/>
              </w:rPr>
              <w:t>投标截止前</w:t>
            </w:r>
          </w:p>
          <w:p>
            <w:pPr>
              <w:spacing w:line="440" w:lineRule="exact"/>
              <w:rPr>
                <w:rFonts w:ascii="仿宋" w:hAnsi="仿宋" w:eastAsia="仿宋" w:cs="仿宋"/>
                <w:color w:val="auto"/>
                <w:sz w:val="24"/>
                <w:highlight w:val="none"/>
              </w:rPr>
            </w:pPr>
            <w:r>
              <w:rPr>
                <w:rFonts w:hint="eastAsia" w:ascii="仿宋_GB2312" w:hAnsi="宋体" w:eastAsia="仿宋_GB2312" w:cs="宋体"/>
                <w:b/>
                <w:bCs/>
                <w:color w:val="auto"/>
                <w:sz w:val="24"/>
                <w:highlight w:val="none"/>
              </w:rPr>
              <w:t>其他：</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1）</w:t>
            </w:r>
            <w:r>
              <w:rPr>
                <w:rFonts w:hint="eastAsia" w:ascii="仿宋_GB2312" w:hAnsi="宋体" w:eastAsia="仿宋_GB2312" w:cs="宋体"/>
                <w:color w:val="auto"/>
                <w:sz w:val="24"/>
                <w:highlight w:val="none"/>
                <w:lang w:eastAsia="zh-CN"/>
              </w:rPr>
              <w:t>视频录制后存储</w:t>
            </w:r>
            <w:r>
              <w:rPr>
                <w:rFonts w:hint="eastAsia" w:ascii="仿宋_GB2312" w:hAnsi="宋体" w:eastAsia="仿宋_GB2312" w:cs="宋体"/>
                <w:color w:val="auto"/>
                <w:sz w:val="24"/>
                <w:highlight w:val="none"/>
                <w:lang w:val="en-US" w:eastAsia="zh-CN"/>
              </w:rPr>
              <w:t>U盘内（投标人需自行承担U盘内视频破坏或无法打开等风险），</w:t>
            </w:r>
            <w:r>
              <w:rPr>
                <w:rFonts w:hint="eastAsia" w:ascii="仿宋_GB2312" w:hAnsi="宋体" w:eastAsia="仿宋_GB2312" w:cs="宋体"/>
                <w:color w:val="auto"/>
                <w:sz w:val="24"/>
                <w:highlight w:val="none"/>
              </w:rPr>
              <w:t>需</w:t>
            </w:r>
            <w:r>
              <w:rPr>
                <w:rFonts w:hint="eastAsia" w:ascii="仿宋_GB2312" w:hAnsi="宋体" w:eastAsia="仿宋_GB2312" w:cs="宋体"/>
                <w:color w:val="auto"/>
                <w:sz w:val="24"/>
                <w:highlight w:val="none"/>
                <w:lang w:eastAsia="zh-CN"/>
              </w:rPr>
              <w:t>密封包装、</w:t>
            </w:r>
            <w:r>
              <w:rPr>
                <w:rFonts w:hint="eastAsia" w:ascii="仿宋_GB2312" w:hAnsi="宋体" w:eastAsia="仿宋_GB2312" w:cs="宋体"/>
                <w:color w:val="auto"/>
                <w:sz w:val="24"/>
                <w:highlight w:val="none"/>
              </w:rPr>
              <w:t>贴有标注供应商名称且加盖</w:t>
            </w:r>
            <w:r>
              <w:rPr>
                <w:rFonts w:hint="eastAsia" w:ascii="仿宋_GB2312" w:hAnsi="宋体" w:eastAsia="仿宋_GB2312" w:cs="宋体"/>
                <w:color w:val="auto"/>
                <w:sz w:val="24"/>
                <w:highlight w:val="none"/>
                <w:lang w:eastAsia="zh-CN"/>
              </w:rPr>
              <w:t>投标人</w:t>
            </w:r>
            <w:r>
              <w:rPr>
                <w:rFonts w:hint="eastAsia" w:ascii="仿宋_GB2312" w:hAnsi="宋体" w:eastAsia="仿宋_GB2312" w:cs="宋体"/>
                <w:color w:val="auto"/>
                <w:sz w:val="24"/>
                <w:highlight w:val="none"/>
              </w:rPr>
              <w:t>公章的标签。</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2）中标人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不予退还，由采购人带回并妥善保管作为验收的参考；未中标人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开标结束后请自行带回，本</w:t>
            </w:r>
            <w:r>
              <w:rPr>
                <w:rFonts w:hint="eastAsia" w:ascii="仿宋_GB2312" w:hAnsi="宋体" w:eastAsia="仿宋_GB2312" w:cs="宋体"/>
                <w:color w:val="auto"/>
                <w:sz w:val="24"/>
                <w:highlight w:val="none"/>
                <w:lang w:eastAsia="zh-CN"/>
              </w:rPr>
              <w:t>采购代理机构</w:t>
            </w:r>
            <w:r>
              <w:rPr>
                <w:rFonts w:hint="eastAsia" w:ascii="仿宋_GB2312" w:hAnsi="宋体" w:eastAsia="仿宋_GB2312" w:cs="宋体"/>
                <w:color w:val="auto"/>
                <w:sz w:val="24"/>
                <w:highlight w:val="none"/>
              </w:rPr>
              <w:t>不予保管。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01标：存储；02标：数据库审计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40" w:lineRule="exact"/>
              <w:ind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01标</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02标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keepNext w:val="0"/>
              <w:keepLines w:val="0"/>
              <w:pageBreakBefore w:val="0"/>
              <w:widowControl w:val="0"/>
              <w:kinsoku/>
              <w:wordWrap/>
              <w:overflowPunct/>
              <w:topLinePunct w:val="0"/>
              <w:bidi w:val="0"/>
              <w:adjustRightInd w:val="0"/>
              <w:spacing w:line="440" w:lineRule="exact"/>
              <w:ind w:left="0" w:leftChars="0" w:right="0" w:rightChars="0"/>
              <w:rPr>
                <w:rFonts w:ascii="仿宋" w:hAnsi="仿宋" w:eastAsia="仿宋" w:cs="仿宋"/>
                <w:color w:val="auto"/>
                <w:sz w:val="24"/>
                <w:highlight w:val="none"/>
              </w:rPr>
            </w:pPr>
            <w:r>
              <w:rPr>
                <w:rFonts w:hint="eastAsia" w:ascii="仿宋" w:hAnsi="仿宋" w:eastAsia="仿宋" w:cs="仿宋"/>
                <w:color w:val="auto"/>
                <w:sz w:val="24"/>
                <w:highlight w:val="none"/>
              </w:rPr>
              <w:t>（1）以中标通知书中确定的中标金额作为服务费的计算基数，具体比例参照《国家计委关于印发&lt;招标代理服务收费管理暂行办法&gt;的通知》（计价格[2002]1980号）文件收费标准的</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snapToGrid w:val="0"/>
                <w:color w:val="auto"/>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highlight w:val="none"/>
        </w:rPr>
      </w:pPr>
    </w:p>
    <w:bookmarkEnd w:id="9"/>
    <w:p>
      <w:pPr>
        <w:adjustRightInd/>
        <w:spacing w:line="360" w:lineRule="auto"/>
        <w:jc w:val="center"/>
        <w:outlineLvl w:val="0"/>
        <w:rPr>
          <w:rFonts w:ascii="仿宋" w:hAnsi="仿宋" w:eastAsia="仿宋" w:cs="仿宋"/>
          <w:b/>
          <w:color w:val="auto"/>
          <w:sz w:val="32"/>
          <w:szCs w:val="32"/>
          <w:highlight w:val="none"/>
        </w:rPr>
      </w:pPr>
      <w:bookmarkStart w:id="23" w:name="_Hlt68072998"/>
      <w:bookmarkEnd w:id="23"/>
      <w:bookmarkStart w:id="24" w:name="_Hlt75236101"/>
      <w:bookmarkEnd w:id="24"/>
      <w:bookmarkStart w:id="25" w:name="_Hlt74707468"/>
      <w:bookmarkEnd w:id="25"/>
      <w:bookmarkStart w:id="26" w:name="_Hlt74729768"/>
      <w:bookmarkEnd w:id="26"/>
      <w:bookmarkStart w:id="27" w:name="_Hlt75236011"/>
      <w:bookmarkEnd w:id="27"/>
      <w:bookmarkStart w:id="28" w:name="_Hlt74714665"/>
      <w:bookmarkEnd w:id="28"/>
      <w:bookmarkStart w:id="29" w:name="_Hlt68072990"/>
      <w:bookmarkEnd w:id="29"/>
      <w:bookmarkStart w:id="30" w:name="_Hlt75236290"/>
      <w:bookmarkEnd w:id="30"/>
      <w:bookmarkStart w:id="31" w:name="_Hlt68403820"/>
      <w:bookmarkEnd w:id="31"/>
      <w:bookmarkStart w:id="32" w:name="_Hlt68073093"/>
      <w:bookmarkEnd w:id="32"/>
      <w:bookmarkStart w:id="33" w:name="_Hlt74730295"/>
      <w:bookmarkEnd w:id="33"/>
      <w:bookmarkStart w:id="34" w:name="_Hlt68057669"/>
      <w:bookmarkEnd w:id="34"/>
      <w:bookmarkStart w:id="35" w:name="_Toc164416483"/>
      <w:bookmarkStart w:id="36" w:name="第三部分"/>
      <w:r>
        <w:rPr>
          <w:rFonts w:hint="eastAsia" w:ascii="仿宋" w:hAnsi="仿宋" w:eastAsia="仿宋" w:cs="仿宋"/>
          <w:b/>
          <w:color w:val="auto"/>
          <w:sz w:val="32"/>
          <w:szCs w:val="32"/>
          <w:highlight w:val="none"/>
        </w:rPr>
        <w:t>一、总则</w:t>
      </w:r>
    </w:p>
    <w:p>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rPr>
          <w:rFonts w:hint="eastAsia" w:ascii="仿宋" w:hAnsi="仿宋" w:eastAsia="仿宋" w:cs="仿宋"/>
          <w:color w:val="auto"/>
          <w:highlight w:val="none"/>
        </w:rPr>
      </w:pPr>
    </w:p>
    <w:p>
      <w:pPr>
        <w:pStyle w:val="133"/>
        <w:snapToGrid w:val="0"/>
        <w:spacing w:before="0" w:line="440" w:lineRule="exact"/>
        <w:ind w:firstLine="640"/>
        <w:rPr>
          <w:rFonts w:ascii="仿宋" w:hAnsi="仿宋" w:eastAsia="仿宋" w:cs="仿宋"/>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6"/>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hint="eastAsia" w:ascii="仿宋" w:hAnsi="仿宋" w:eastAsia="仿宋" w:cs="仿宋"/>
          <w:snapToGrid w:val="0"/>
          <w:color w:val="auto"/>
          <w:sz w:val="24"/>
          <w:highlight w:val="none"/>
        </w:rPr>
        <w:t>残疾人福利性单位声明函（如果有）</w:t>
      </w:r>
    </w:p>
    <w:p>
      <w:pP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pPr>
        <w:pStyle w:val="133"/>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33"/>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37"/>
    <w:p>
      <w:pPr>
        <w:pStyle w:val="34"/>
        <w:spacing w:line="360" w:lineRule="auto"/>
        <w:ind w:firstLine="726"/>
        <w:jc w:val="center"/>
        <w:rPr>
          <w:rFonts w:ascii="仿宋" w:hAnsi="仿宋" w:eastAsia="仿宋" w:cs="仿宋"/>
          <w:b/>
          <w:color w:val="auto"/>
          <w:sz w:val="32"/>
          <w:szCs w:val="32"/>
          <w:highlight w:val="none"/>
        </w:rPr>
      </w:pPr>
      <w:bookmarkStart w:id="38" w:name="_Toc84325929"/>
      <w:bookmarkStart w:id="39" w:name="_Toc81372776"/>
      <w:bookmarkStart w:id="40" w:name="_Toc81372953"/>
      <w:r>
        <w:rPr>
          <w:rFonts w:hint="eastAsia" w:ascii="仿宋" w:hAnsi="仿宋" w:eastAsia="仿宋" w:cs="仿宋"/>
          <w:b/>
          <w:color w:val="auto"/>
          <w:sz w:val="32"/>
          <w:szCs w:val="32"/>
          <w:highlight w:val="none"/>
        </w:rPr>
        <w:t>五、授予合同</w:t>
      </w:r>
    </w:p>
    <w:bookmarkEnd w:id="38"/>
    <w:bookmarkEnd w:id="39"/>
    <w:bookmarkEnd w:id="40"/>
    <w:p>
      <w:pPr>
        <w:pStyle w:val="16"/>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3"/>
          <w:cols w:space="720" w:num="1"/>
          <w:docGrid w:linePitch="312" w:charSpace="0"/>
        </w:sectPr>
      </w:pPr>
      <w:r>
        <w:rPr>
          <w:rFonts w:ascii="仿宋" w:hAnsi="仿宋" w:eastAsia="仿宋" w:cs="仿宋"/>
          <w:b/>
          <w:bCs/>
          <w:color w:val="auto"/>
          <w:sz w:val="24"/>
          <w:szCs w:val="20"/>
          <w:highlight w:val="none"/>
        </w:rPr>
        <w:t>投诉书范本及制作说明详见附件2</w:t>
      </w:r>
    </w:p>
    <w:bookmarkEnd w:id="35"/>
    <w:bookmarkEnd w:id="36"/>
    <w:p>
      <w:pPr>
        <w:spacing w:line="360" w:lineRule="auto"/>
        <w:jc w:val="center"/>
        <w:outlineLvl w:val="0"/>
        <w:rPr>
          <w:rFonts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7"/>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6"/>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费用。</w:t>
      </w:r>
    </w:p>
    <w:p>
      <w:pPr>
        <w:snapToGrid w:val="0"/>
        <w:spacing w:line="440" w:lineRule="exact"/>
        <w:jc w:val="lef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8.招标项目设备名称及数量：</w:t>
      </w:r>
    </w:p>
    <w:bookmarkEnd w:id="43"/>
    <w:p>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1"/>
          <w:szCs w:val="21"/>
          <w:highlight w:val="none"/>
          <w:bdr w:val="single" w:color="auto" w:sz="4" w:space="0"/>
        </w:rPr>
        <w:t>01标</w:t>
      </w:r>
      <w:r>
        <w:rPr>
          <w:rFonts w:hint="eastAsia" w:ascii="仿宋" w:hAnsi="仿宋" w:eastAsia="仿宋" w:cs="仿宋"/>
          <w:b/>
          <w:bCs/>
          <w:color w:val="auto"/>
          <w:szCs w:val="21"/>
          <w:highlight w:val="none"/>
          <w:lang w:eastAsia="zh-CN"/>
        </w:rPr>
        <w:t>服务器虚拟化方案</w:t>
      </w:r>
      <w:r>
        <w:rPr>
          <w:rFonts w:hint="eastAsia" w:ascii="仿宋" w:hAnsi="仿宋" w:eastAsia="仿宋" w:cs="仿宋"/>
          <w:b/>
          <w:bCs/>
          <w:color w:val="auto"/>
          <w:szCs w:val="21"/>
          <w:highlight w:val="none"/>
        </w:rPr>
        <w:t>（预算：</w:t>
      </w:r>
      <w:r>
        <w:rPr>
          <w:rFonts w:hint="eastAsia" w:ascii="仿宋" w:hAnsi="仿宋" w:eastAsia="仿宋" w:cs="仿宋"/>
          <w:b/>
          <w:bCs/>
          <w:color w:val="auto"/>
          <w:szCs w:val="21"/>
          <w:highlight w:val="none"/>
          <w:lang w:val="en-US" w:eastAsia="zh-CN"/>
        </w:rPr>
        <w:t>37.8</w:t>
      </w:r>
      <w:r>
        <w:rPr>
          <w:rFonts w:hint="eastAsia" w:ascii="仿宋" w:hAnsi="仿宋" w:eastAsia="仿宋" w:cs="仿宋"/>
          <w:b/>
          <w:bCs/>
          <w:color w:val="auto"/>
          <w:szCs w:val="21"/>
          <w:highlight w:val="none"/>
        </w:rPr>
        <w:t>万元）合同期限：</w:t>
      </w:r>
      <w:r>
        <w:rPr>
          <w:rFonts w:hint="eastAsia" w:ascii="仿宋" w:hAnsi="仿宋" w:eastAsia="仿宋" w:cs="仿宋"/>
          <w:b/>
          <w:color w:val="auto"/>
          <w:szCs w:val="21"/>
          <w:highlight w:val="none"/>
        </w:rPr>
        <w:t>自合同签订之日起</w:t>
      </w:r>
      <w:r>
        <w:rPr>
          <w:rFonts w:hint="eastAsia" w:ascii="仿宋" w:hAnsi="仿宋" w:eastAsia="仿宋" w:cs="仿宋"/>
          <w:b/>
          <w:color w:val="auto"/>
          <w:szCs w:val="21"/>
          <w:highlight w:val="none"/>
          <w:lang w:eastAsia="zh-CN"/>
        </w:rPr>
        <w:t>三</w:t>
      </w:r>
      <w:r>
        <w:rPr>
          <w:rFonts w:hint="eastAsia" w:ascii="仿宋" w:hAnsi="仿宋" w:eastAsia="仿宋" w:cs="仿宋"/>
          <w:b/>
          <w:color w:val="auto"/>
          <w:szCs w:val="21"/>
          <w:highlight w:val="none"/>
        </w:rPr>
        <w:t>年。</w:t>
      </w:r>
    </w:p>
    <w:p>
      <w:pPr>
        <w:pStyle w:val="6"/>
        <w:numPr>
          <w:ilvl w:val="0"/>
          <w:numId w:val="0"/>
        </w:numPr>
        <w:spacing w:line="420" w:lineRule="exact"/>
        <w:ind w:leftChars="0" w:firstLine="422" w:firstLineChars="200"/>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一、采购内容一览表</w:t>
      </w:r>
    </w:p>
    <w:tbl>
      <w:tblPr>
        <w:tblStyle w:val="65"/>
        <w:tblW w:w="71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7"/>
        <w:gridCol w:w="411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347" w:type="dxa"/>
            <w:noWrap w:val="0"/>
            <w:vAlign w:val="center"/>
          </w:tcPr>
          <w:p>
            <w:pPr>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序号</w:t>
            </w:r>
          </w:p>
        </w:tc>
        <w:tc>
          <w:tcPr>
            <w:tcW w:w="4111" w:type="dxa"/>
            <w:noWrap w:val="0"/>
            <w:vAlign w:val="center"/>
          </w:tcPr>
          <w:p>
            <w:pPr>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设备名称</w:t>
            </w:r>
          </w:p>
        </w:tc>
        <w:tc>
          <w:tcPr>
            <w:tcW w:w="1701" w:type="dxa"/>
            <w:noWrap w:val="0"/>
            <w:vAlign w:val="center"/>
          </w:tcPr>
          <w:p>
            <w:pPr>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347" w:type="dxa"/>
            <w:noWrap w:val="0"/>
            <w:vAlign w:val="center"/>
          </w:tcPr>
          <w:p>
            <w:pPr>
              <w:spacing w:line="420" w:lineRule="exact"/>
              <w:ind w:firstLine="420" w:firstLineChars="20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w:t>
            </w:r>
          </w:p>
        </w:tc>
        <w:tc>
          <w:tcPr>
            <w:tcW w:w="4111" w:type="dxa"/>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存储（核心产品）</w:t>
            </w:r>
          </w:p>
        </w:tc>
        <w:tc>
          <w:tcPr>
            <w:tcW w:w="1701" w:type="dxa"/>
            <w:noWrap w:val="0"/>
            <w:vAlign w:val="center"/>
          </w:tcPr>
          <w:p>
            <w:pPr>
              <w:spacing w:line="420" w:lineRule="exact"/>
              <w:ind w:firstLine="29" w:firstLineChars="14"/>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47" w:type="dxa"/>
            <w:noWrap w:val="0"/>
            <w:vAlign w:val="center"/>
          </w:tcPr>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w:t>
            </w:r>
          </w:p>
        </w:tc>
        <w:tc>
          <w:tcPr>
            <w:tcW w:w="4111" w:type="dxa"/>
            <w:noWrap w:val="0"/>
            <w:vAlign w:val="center"/>
          </w:tcPr>
          <w:p>
            <w:pPr>
              <w:snapToGrid w:val="0"/>
              <w:spacing w:line="26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HBA卡</w:t>
            </w:r>
          </w:p>
        </w:tc>
        <w:tc>
          <w:tcPr>
            <w:tcW w:w="1701" w:type="dxa"/>
            <w:noWrap w:val="0"/>
            <w:vAlign w:val="center"/>
          </w:tcPr>
          <w:p>
            <w:pPr>
              <w:spacing w:line="420" w:lineRule="exact"/>
              <w:ind w:firstLine="29" w:firstLineChars="14"/>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4块</w:t>
            </w:r>
          </w:p>
        </w:tc>
      </w:tr>
    </w:tbl>
    <w:p>
      <w:pPr>
        <w:pStyle w:val="6"/>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2、招标技术要求</w:t>
      </w:r>
    </w:p>
    <w:p>
      <w:pPr>
        <w:pStyle w:val="6"/>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2.1项目概况</w:t>
      </w:r>
    </w:p>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绍兴市中医院在满足医院业务需求的基础上对机房现有设备现状进行整理，</w:t>
      </w:r>
      <w:r>
        <w:rPr>
          <w:rFonts w:hint="eastAsia" w:ascii="仿宋" w:hAnsi="仿宋" w:eastAsia="仿宋" w:cs="仿宋"/>
          <w:color w:val="auto"/>
          <w:kern w:val="2"/>
          <w:sz w:val="21"/>
          <w:szCs w:val="21"/>
          <w:highlight w:val="none"/>
          <w:lang w:val="en-US" w:eastAsia="zh-CN" w:bidi="ar-SA"/>
        </w:rPr>
        <w:t>利用</w:t>
      </w:r>
      <w:r>
        <w:rPr>
          <w:rFonts w:hint="eastAsia" w:ascii="仿宋" w:hAnsi="仿宋" w:eastAsia="仿宋" w:cs="仿宋"/>
          <w:color w:val="auto"/>
          <w:kern w:val="2"/>
          <w:sz w:val="21"/>
          <w:szCs w:val="21"/>
          <w:highlight w:val="none"/>
          <w:lang w:val="en-US" w:eastAsia="zh-CN" w:bidi="ar-SA"/>
        </w:rPr>
        <w:t>原</w:t>
      </w:r>
      <w:r>
        <w:rPr>
          <w:rFonts w:hint="eastAsia" w:ascii="仿宋" w:hAnsi="仿宋" w:eastAsia="仿宋" w:cs="仿宋"/>
          <w:color w:val="auto"/>
          <w:kern w:val="2"/>
          <w:sz w:val="21"/>
          <w:szCs w:val="21"/>
          <w:highlight w:val="none"/>
          <w:lang w:val="en-US" w:eastAsia="zh-CN" w:bidi="ar-SA"/>
        </w:rPr>
        <w:t>有8台服务器和新购存储组成一套虚拟化集群。</w:t>
      </w:r>
    </w:p>
    <w:p>
      <w:pPr>
        <w:pStyle w:val="6"/>
        <w:spacing w:line="420" w:lineRule="exact"/>
        <w:ind w:firstLine="210" w:firstLineChars="1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2.2招标技术及其它要求</w:t>
      </w:r>
    </w:p>
    <w:p>
      <w:pPr>
        <w:pStyle w:val="2"/>
        <w:ind w:firstLine="210" w:firstLineChars="1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 存储技术参数要求：</w:t>
      </w:r>
    </w:p>
    <w:tbl>
      <w:tblPr>
        <w:tblStyle w:val="65"/>
        <w:tblW w:w="89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9"/>
        <w:gridCol w:w="7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指标项</w:t>
            </w:r>
          </w:p>
        </w:tc>
        <w:tc>
          <w:tcPr>
            <w:tcW w:w="7248"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招标技术指标要求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SAN控制器结构</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控制器部件全冗余，控制器≥2个且对称双活，双控制器能同时访问同一</w:t>
            </w:r>
            <w:r>
              <w:rPr>
                <w:rFonts w:hint="eastAsia" w:ascii="仿宋" w:hAnsi="仿宋" w:eastAsia="仿宋" w:cs="仿宋"/>
                <w:color w:val="auto"/>
                <w:kern w:val="2"/>
                <w:sz w:val="21"/>
                <w:szCs w:val="21"/>
                <w:highlight w:val="none"/>
                <w:lang w:val="en-US" w:eastAsia="zh-CN" w:bidi="ar-SA"/>
              </w:rPr>
              <w:t>个</w:t>
            </w:r>
            <w:r>
              <w:rPr>
                <w:rFonts w:hint="eastAsia" w:ascii="仿宋" w:hAnsi="仿宋" w:eastAsia="仿宋" w:cs="仿宋"/>
                <w:color w:val="auto"/>
                <w:kern w:val="2"/>
                <w:sz w:val="21"/>
                <w:szCs w:val="21"/>
                <w:highlight w:val="none"/>
                <w:lang w:val="en-US" w:eastAsia="zh-CN" w:bidi="ar-SA"/>
              </w:rPr>
              <w:t>数据单元（LUN）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存储统一架构</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本次存储采用一体化统一存储架构，同时提供NAS、IP SAN和FC SAN功能；统一存储池架构支持LUN、VVOLs及NAS 服务，分别提供数据块和文件访问服务；以上功能及服务需提供官网链接证明；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缓存数量</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本次配置缓存≥128GB，读/写缓存的大小可以在线调整,支持</w:t>
            </w:r>
            <w:r>
              <w:rPr>
                <w:rFonts w:hint="eastAsia" w:ascii="仿宋" w:hAnsi="仿宋" w:eastAsia="仿宋" w:cs="仿宋"/>
                <w:color w:val="auto"/>
                <w:kern w:val="2"/>
                <w:sz w:val="21"/>
                <w:szCs w:val="21"/>
                <w:highlight w:val="none"/>
                <w:lang w:val="en-US" w:eastAsia="zh-CN" w:bidi="ar-SA"/>
              </w:rPr>
              <w:t>缓存</w:t>
            </w:r>
            <w:r>
              <w:rPr>
                <w:rFonts w:hint="eastAsia" w:ascii="仿宋" w:hAnsi="仿宋" w:eastAsia="仿宋" w:cs="仿宋"/>
                <w:color w:val="auto"/>
                <w:kern w:val="2"/>
                <w:sz w:val="21"/>
                <w:szCs w:val="21"/>
                <w:highlight w:val="none"/>
                <w:lang w:val="en-US" w:eastAsia="zh-CN" w:bidi="ar-SA"/>
              </w:rPr>
              <w:t>镜像保护和掉电保护。掉电情况下，缓存数据需写到磁盘，保证写缓存数据永久不丢失。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主机连接端口</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本次实际配置不少于8个16Gb FC对外主机连接端口，配置I/O模块必须支持热插拔，确保业务不停即可扩展I/O模块；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磁盘要求</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本次磁盘配置：40块1.8</w:t>
            </w:r>
            <w:r>
              <w:rPr>
                <w:rFonts w:hint="eastAsia" w:ascii="仿宋" w:hAnsi="仿宋" w:eastAsia="仿宋" w:cs="仿宋"/>
                <w:color w:val="auto"/>
                <w:kern w:val="2"/>
                <w:sz w:val="21"/>
                <w:szCs w:val="21"/>
                <w:highlight w:val="none"/>
                <w:lang w:val="en-US" w:eastAsia="zh-CN" w:bidi="ar-SA"/>
              </w:rPr>
              <w:t>T 10K SAS 热插拔硬盘和相应扩展柜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RAID方式</w:t>
            </w:r>
          </w:p>
        </w:tc>
        <w:tc>
          <w:tcPr>
            <w:tcW w:w="7248" w:type="dxa"/>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▲支持多种RAID存储方式，包括RAID10，RAID5，RAID6，支持不同RAID级别并存，支持动态RAID技术，可单盘扩充容量，无需专用热备盘，硬盘失效后剩余硬盘可同时参与数据重构, 投标时提供RAID设备相关驱动软件著作权证书扫描件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性能分析软件</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配置阵列的性能分析软件，能够获取实时的性能数据和历史性能数据；产生性能报表；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虚拟化数据保护</w:t>
            </w:r>
          </w:p>
        </w:tc>
        <w:tc>
          <w:tcPr>
            <w:tcW w:w="7248" w:type="dxa"/>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▲支持VMware虚拟机连续数据保护功能，内置VMware平台I/O数据拆分器，实现IO级别恢复粒度，能够提供无限数据恢复点；提供原厂彩页资料证明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服务质量管理(QoS)</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通过优化磁盘阵列中的应用程序IO队列，实现对应用程序的IOPS、带宽和响应时间的控制优化；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配置协议和功能</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配置并支持以下协议及功能：</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数据块协议：iSCSI、光纤通道；</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Internet控制消息协议（ICMP）；</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Kerberos身份认证；</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LDAP轻型目录访问协议；</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REST API实现存储网络之间的数据自动、透明移动；</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锁定管理器（NLM）v1、v2、v3、v4；</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以上6点协议及功能需要提供官方链接及截图说明；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Vvol配置</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配置vvol支持，支持数量≥9000，需提供官网链接和截图证明;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兼容性和数据迁移</w:t>
            </w:r>
          </w:p>
        </w:tc>
        <w:tc>
          <w:tcPr>
            <w:tcW w:w="7248" w:type="dxa"/>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▲本次配置存储须与原有EMC VPLEX METRO存储虚拟化设备兼容，并提供存储虚拟化设备原厂兼容列表文件。</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本次方案须满足不停机、不停应用要求，顺利完成数据迁移和切换，提供详细的方案说明。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基于异构阵列的数据迁移</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提供与存储配套原厂迁移工具，将存储系统中的数据在不同厂商的磁盘阵列中进行数据迁移，提供迁移工具名称和技术说明；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生态系统集成</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配置VMware、Microsoft、OpenStack集成功能，包括 VSI、VASA、ESI、MMC、SCOM 等的集成功能；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9"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存储控制器软件</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置主存储控制器软件的独立运行版本，支持Windows、Linux、Unix操作系统，配置SAN、NFS、CIFS、iSCSI与VVOLs协议；配置自动存储分层功能，配置存储复制功能，能够与此次所投存储实现复制，配置服务质量管理QoS功能；配置不小于4TB的容量许可；提供官网链接和截图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副本数据管理</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配置应用感知的数据副本管理软件，支持Oracle，SQL Server，Exchange等主流应用环境，实现副本自动化创建与挂接，刷新等操作，应用管理员可直接对应</w:t>
            </w:r>
            <w:r>
              <w:rPr>
                <w:rFonts w:hint="eastAsia" w:ascii="仿宋" w:hAnsi="仿宋" w:eastAsia="仿宋" w:cs="仿宋"/>
                <w:color w:val="auto"/>
                <w:kern w:val="2"/>
                <w:sz w:val="21"/>
                <w:szCs w:val="21"/>
                <w:highlight w:val="none"/>
                <w:lang w:val="en-US" w:eastAsia="zh-CN" w:bidi="ar-SA"/>
              </w:rPr>
              <w:t>使用</w:t>
            </w:r>
            <w:r>
              <w:rPr>
                <w:rFonts w:hint="eastAsia" w:ascii="仿宋" w:hAnsi="仿宋" w:eastAsia="仿宋" w:cs="仿宋"/>
                <w:color w:val="auto"/>
                <w:kern w:val="2"/>
                <w:sz w:val="21"/>
                <w:szCs w:val="21"/>
                <w:highlight w:val="none"/>
                <w:lang w:val="en-US" w:eastAsia="zh-CN" w:bidi="ar-SA"/>
              </w:rPr>
              <w:t>的数据卷进行快照克隆日程定制化，并可在主机挂载用于数据分析，备份恢复和测试开发等用途；该副本管理软件需要与存储集成，提供软件的名称</w:t>
            </w:r>
            <w:r>
              <w:rPr>
                <w:rFonts w:hint="eastAsia" w:ascii="仿宋" w:hAnsi="仿宋" w:eastAsia="仿宋" w:cs="仿宋"/>
                <w:color w:val="auto"/>
                <w:kern w:val="2"/>
                <w:sz w:val="21"/>
                <w:szCs w:val="21"/>
                <w:highlight w:val="none"/>
                <w:lang w:val="en-US" w:eastAsia="zh-CN" w:bidi="ar-SA"/>
              </w:rPr>
              <w:t>和</w:t>
            </w:r>
            <w:r>
              <w:rPr>
                <w:rFonts w:hint="eastAsia" w:ascii="仿宋" w:hAnsi="仿宋" w:eastAsia="仿宋" w:cs="仿宋"/>
                <w:color w:val="auto"/>
                <w:kern w:val="2"/>
                <w:sz w:val="21"/>
                <w:szCs w:val="21"/>
                <w:highlight w:val="none"/>
                <w:lang w:val="en-US" w:eastAsia="zh-CN" w:bidi="ar-SA"/>
              </w:rPr>
              <w:t>存储集成的彩页说明；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重删压缩</w:t>
            </w:r>
          </w:p>
        </w:tc>
        <w:tc>
          <w:tcPr>
            <w:tcW w:w="7248" w:type="dxa"/>
            <w:noWrap w:val="0"/>
            <w:vAlign w:val="center"/>
          </w:tcPr>
          <w:p>
            <w:pPr>
              <w:tabs>
                <w:tab w:val="left" w:pos="1106"/>
                <w:tab w:val="left" w:pos="2211"/>
                <w:tab w:val="left" w:pos="3317"/>
                <w:tab w:val="left" w:pos="4423"/>
                <w:tab w:val="left" w:pos="5528"/>
                <w:tab w:val="left" w:pos="6634"/>
                <w:tab w:val="left" w:pos="7740"/>
              </w:tabs>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配置存储的重删和压缩功能，本次配置全容量授权许可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行为追溯功能</w:t>
            </w:r>
          </w:p>
        </w:tc>
        <w:tc>
          <w:tcPr>
            <w:tcW w:w="7248" w:type="dxa"/>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对存储客户端操作记录追溯功能，具有文本日志生成功能，针对所有操作形成文本日志，方便检索。包括:所使用的软件,远程系统,商务软件和没有内部日志记录功能的软件；支持用户特殊操作行为识别，能够记录用户是否进行了复制、删除、USB设备使用或打印机，并支持文本查询和视频回放，投标时提供产品功能截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 w:hRule="atLeast"/>
        </w:trPr>
        <w:tc>
          <w:tcPr>
            <w:tcW w:w="1749" w:type="dxa"/>
            <w:vMerge w:val="restar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统一集中存储系统管理平台</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实现统一集中存</w:t>
            </w:r>
            <w:r>
              <w:rPr>
                <w:rFonts w:hint="eastAsia" w:ascii="仿宋" w:hAnsi="仿宋" w:eastAsia="仿宋" w:cs="仿宋"/>
                <w:color w:val="auto"/>
                <w:kern w:val="2"/>
                <w:sz w:val="21"/>
                <w:szCs w:val="21"/>
                <w:highlight w:val="none"/>
                <w:lang w:val="en-US" w:eastAsia="zh-CN" w:bidi="ar-SA"/>
              </w:rPr>
              <w:t>储系统</w:t>
            </w:r>
            <w:r>
              <w:rPr>
                <w:rFonts w:hint="eastAsia" w:ascii="仿宋" w:hAnsi="仿宋" w:eastAsia="仿宋" w:cs="仿宋"/>
                <w:color w:val="auto"/>
                <w:kern w:val="2"/>
                <w:sz w:val="21"/>
                <w:szCs w:val="21"/>
                <w:highlight w:val="none"/>
                <w:lang w:val="en-US" w:eastAsia="zh-CN" w:bidi="ar-SA"/>
              </w:rPr>
              <w:t>管理，SAN光纤网络统一管理; 在单一界面中集中化管理数据中心的存储系统，实现存储统一配置调试的工作，可管理原有的EMC XT480存储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trPr>
        <w:tc>
          <w:tcPr>
            <w:tcW w:w="1749" w:type="dxa"/>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可查看存储的使用状态、设备配置、容量负载等信息；支持存储使用进行资源调配、监视和报告；存储系统的性能管理数据长期保存，故障日志可以追溯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trPr>
        <w:tc>
          <w:tcPr>
            <w:tcW w:w="1749" w:type="dxa"/>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支持设备日常运维，对象包括：存储设备，提供功能截图并加盖投标单位公章；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trPr>
        <w:tc>
          <w:tcPr>
            <w:tcW w:w="1749" w:type="dxa"/>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支持存储设备各类异常状态的预警、资源不足、I/O 性能不足、设备掉线等异常事件的报警；通过 http 方式推送给现有统一告警平台；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trPr>
        <w:tc>
          <w:tcPr>
            <w:tcW w:w="1749" w:type="dxa"/>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SAN网络链路故障、核心指标可以实时监控， 故障指标可以预警，可以溯源分析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存储功能软件</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配置如下存储功能软件：</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基于控制器的加密、防病毒软件;</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快照、克隆软件；</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基于存储的远程复制软件，支持与原有存储EMC XT480镜像复制;</w:t>
            </w:r>
          </w:p>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以上协议及功能需要提供官方链接及截图说明；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9"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售后服务</w:t>
            </w:r>
          </w:p>
        </w:tc>
        <w:tc>
          <w:tcPr>
            <w:tcW w:w="7248" w:type="dxa"/>
            <w:noWrap w:val="0"/>
            <w:vAlign w:val="top"/>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原厂安装和实施，要求提供原厂商3年7x24小时服</w:t>
            </w:r>
            <w:r>
              <w:rPr>
                <w:rFonts w:hint="eastAsia" w:ascii="仿宋" w:hAnsi="仿宋" w:eastAsia="仿宋" w:cs="仿宋"/>
                <w:color w:val="auto"/>
                <w:kern w:val="2"/>
                <w:sz w:val="21"/>
                <w:szCs w:val="21"/>
                <w:highlight w:val="none"/>
                <w:lang w:val="en-US" w:eastAsia="zh-CN" w:bidi="ar-SA"/>
              </w:rPr>
              <w:t>务及软件升级服务</w:t>
            </w:r>
            <w:r>
              <w:rPr>
                <w:rFonts w:hint="eastAsia" w:ascii="仿宋" w:hAnsi="仿宋" w:eastAsia="仿宋" w:cs="仿宋"/>
                <w:color w:val="auto"/>
                <w:kern w:val="2"/>
                <w:sz w:val="21"/>
                <w:szCs w:val="21"/>
                <w:highlight w:val="none"/>
                <w:lang w:val="en-US" w:eastAsia="zh-CN" w:bidi="ar-SA"/>
              </w:rPr>
              <w:t>，中标后三天内提供针对本项目的原厂授权函；供货时提供原厂三年7*24小时的售后服务承诺</w:t>
            </w:r>
          </w:p>
        </w:tc>
      </w:tr>
    </w:tbl>
    <w:p>
      <w:pPr>
        <w:pStyle w:val="2"/>
        <w:ind w:left="0" w:leftChars="0"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2.HBA卡技术参数要求：</w:t>
      </w:r>
    </w:p>
    <w:tbl>
      <w:tblPr>
        <w:tblStyle w:val="65"/>
        <w:tblW w:w="825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46"/>
        <w:gridCol w:w="5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2546"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指标项</w:t>
            </w:r>
          </w:p>
        </w:tc>
        <w:tc>
          <w:tcPr>
            <w:tcW w:w="5705"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招标技术指标要求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546"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DELL R740 HBA卡</w:t>
            </w:r>
          </w:p>
        </w:tc>
        <w:tc>
          <w:tcPr>
            <w:tcW w:w="5705"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16GB 双口HBA卡（含模块），安装在DELL R740服务器上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2546"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服务</w:t>
            </w:r>
          </w:p>
        </w:tc>
        <w:tc>
          <w:tcPr>
            <w:tcW w:w="5705"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由相应DELL原厂认证工程师完成安装实施，提供三年保修</w:t>
            </w:r>
          </w:p>
        </w:tc>
      </w:tr>
    </w:tbl>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三、服务及其他要求：</w:t>
      </w:r>
    </w:p>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3.1中标人必须保证所有设备为原装正规渠道行货,有原厂服务、如有需要则提供正规渠道等证明，所有产品均原包装到用户，当场开箱验货。同时提供该设备相关技术参数的说明。如</w:t>
      </w:r>
      <w:r>
        <w:rPr>
          <w:rFonts w:hint="eastAsia" w:ascii="仿宋" w:hAnsi="仿宋" w:eastAsia="仿宋" w:cs="仿宋"/>
          <w:color w:val="auto"/>
          <w:kern w:val="2"/>
          <w:sz w:val="21"/>
          <w:szCs w:val="21"/>
          <w:highlight w:val="none"/>
          <w:lang w:val="en-US" w:eastAsia="zh-CN" w:bidi="ar-SA"/>
        </w:rPr>
        <w:t>不符合</w:t>
      </w:r>
      <w:r>
        <w:rPr>
          <w:rFonts w:hint="eastAsia" w:ascii="仿宋" w:hAnsi="仿宋" w:eastAsia="仿宋" w:cs="仿宋"/>
          <w:color w:val="auto"/>
          <w:kern w:val="2"/>
          <w:sz w:val="21"/>
          <w:szCs w:val="21"/>
          <w:highlight w:val="none"/>
          <w:lang w:val="en-US" w:eastAsia="zh-CN" w:bidi="ar-SA"/>
        </w:rPr>
        <w:t>招标书技术要求,招标人有权退货并且后果一概由中标人承担。</w:t>
      </w:r>
    </w:p>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3.3中标人在签订合同时必须向招标人提供标书要求的存储针对本项目授权书原件，供货时提供存储原厂三年服务保修承诺函原件及 (复印件无效，服务承诺书要求有明确服务年限)。由原厂工程师和原厂认证工程师到本地完成招标设备和原有设备的安装和调试工作，包括服务器虚拟化集群和存储虚拟化设备安装和测试工作，不得影响原有业务系统，要求做好原有系统相关的网络配置及版本升级等工作，本项目涉及招标人内部业务系统及原有设备调整，中标人必须保证原有系统正常营业，如需原来中标人协助请自行协商，招标人不再承担任何费用。</w:t>
      </w:r>
    </w:p>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3.4到货期：中标人在合同签订之日起20天内所有设备全部到货（用户根据工程进度需要延迟的除外），开箱验收后根椐招标人要求完成安装调试，安装过程中用户不负责保管，直至系统正式上线的所有费用</w:t>
      </w:r>
      <w:r>
        <w:rPr>
          <w:rFonts w:hint="eastAsia" w:ascii="仿宋" w:hAnsi="仿宋" w:eastAsia="仿宋" w:cs="仿宋"/>
          <w:color w:val="auto"/>
          <w:kern w:val="2"/>
          <w:sz w:val="21"/>
          <w:szCs w:val="21"/>
          <w:highlight w:val="none"/>
          <w:lang w:val="en-US" w:eastAsia="zh-CN" w:bidi="ar-SA"/>
        </w:rPr>
        <w:t>由</w:t>
      </w:r>
      <w:r>
        <w:rPr>
          <w:rFonts w:hint="eastAsia" w:ascii="仿宋" w:hAnsi="仿宋" w:eastAsia="仿宋" w:cs="仿宋"/>
          <w:color w:val="auto"/>
          <w:kern w:val="2"/>
          <w:sz w:val="21"/>
          <w:szCs w:val="21"/>
          <w:highlight w:val="none"/>
          <w:lang w:val="en-US" w:eastAsia="zh-CN" w:bidi="ar-SA"/>
        </w:rPr>
        <w:t>中标人自行负责。</w:t>
      </w:r>
    </w:p>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3.5付款说明</w:t>
      </w:r>
    </w:p>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发票章单位名称必须与投标时公章名称相符合，否则医院有权拒付相关款项。</w:t>
      </w:r>
    </w:p>
    <w:p>
      <w:pPr>
        <w:spacing w:line="42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按《浙江省财政厅关于进一步发挥政府采购政策 功能全力推动经济稳进提质的通知》（浙财采监〔2022〕3号）文件要求执行，具体付款方式由双方协商后在合同中明确。</w:t>
      </w:r>
    </w:p>
    <w:p>
      <w:pPr>
        <w:widowControl/>
        <w:wordWrap w:val="0"/>
        <w:topLinePunct/>
        <w:adjustRightInd w:val="0"/>
        <w:spacing w:line="440" w:lineRule="exact"/>
        <w:textAlignment w:val="baseline"/>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3.6其他知识产权要求</w:t>
      </w:r>
      <w:r>
        <w:rPr>
          <w:rFonts w:hint="eastAsia" w:ascii="仿宋" w:hAnsi="仿宋" w:eastAsia="仿宋" w:cs="仿宋"/>
          <w:color w:val="auto"/>
          <w:kern w:val="2"/>
          <w:sz w:val="21"/>
          <w:szCs w:val="21"/>
          <w:highlight w:val="none"/>
          <w:lang w:val="en-US" w:eastAsia="zh-CN" w:bidi="ar-SA"/>
        </w:rPr>
        <w:br w:type="textWrapping"/>
      </w:r>
      <w:r>
        <w:rPr>
          <w:rFonts w:hint="eastAsia" w:ascii="仿宋" w:hAnsi="仿宋" w:eastAsia="仿宋" w:cs="仿宋"/>
          <w:color w:val="auto"/>
          <w:kern w:val="2"/>
          <w:sz w:val="21"/>
          <w:szCs w:val="21"/>
          <w:highlight w:val="none"/>
          <w:lang w:val="en-US" w:eastAsia="zh-CN" w:bidi="ar-SA"/>
        </w:rPr>
        <w:t>中标人应保证所提供的系统或其任何一部分均不会侵犯任何第三方的知识产权。</w:t>
      </w:r>
      <w:r>
        <w:rPr>
          <w:rFonts w:hint="eastAsia" w:ascii="仿宋" w:hAnsi="仿宋" w:eastAsia="仿宋" w:cs="仿宋"/>
          <w:color w:val="auto"/>
          <w:kern w:val="2"/>
          <w:sz w:val="21"/>
          <w:szCs w:val="21"/>
          <w:highlight w:val="none"/>
          <w:lang w:val="en-US" w:eastAsia="zh-CN" w:bidi="ar-SA"/>
        </w:rPr>
        <w:br w:type="textWrapping"/>
      </w:r>
      <w:r>
        <w:rPr>
          <w:rFonts w:hint="eastAsia" w:ascii="仿宋" w:hAnsi="仿宋" w:eastAsia="仿宋" w:cs="仿宋"/>
          <w:color w:val="auto"/>
          <w:kern w:val="2"/>
          <w:sz w:val="21"/>
          <w:szCs w:val="21"/>
          <w:highlight w:val="none"/>
          <w:lang w:val="en-US" w:eastAsia="zh-CN" w:bidi="ar-SA"/>
        </w:rPr>
        <w:t>本项目所有成果知识产权归采购方所有，采购方有权在其他项目上运用该项目成果。未经采购方书面同意，成果不得擅自扩散或提供给第三方使用。</w:t>
      </w:r>
      <w:r>
        <w:rPr>
          <w:rFonts w:hint="eastAsia" w:ascii="仿宋" w:hAnsi="仿宋" w:eastAsia="仿宋" w:cs="仿宋"/>
          <w:color w:val="auto"/>
          <w:kern w:val="2"/>
          <w:sz w:val="21"/>
          <w:szCs w:val="21"/>
          <w:highlight w:val="none"/>
          <w:lang w:val="en-US" w:eastAsia="zh-CN" w:bidi="ar-SA"/>
        </w:rPr>
        <w:br w:type="textWrapping"/>
      </w:r>
      <w:r>
        <w:rPr>
          <w:rFonts w:hint="eastAsia" w:ascii="仿宋" w:hAnsi="仿宋" w:eastAsia="仿宋" w:cs="仿宋"/>
          <w:color w:val="auto"/>
          <w:kern w:val="2"/>
          <w:sz w:val="21"/>
          <w:szCs w:val="21"/>
          <w:highlight w:val="none"/>
          <w:lang w:val="en-US" w:eastAsia="zh-CN" w:bidi="ar-SA"/>
        </w:rPr>
        <w:t>中标人应保证采购方在软件使用过程中，免受第三方提出的侵权起诉。如发生此类纠纷，由中标人承担一切责任并负责解决。</w:t>
      </w:r>
    </w:p>
    <w:p>
      <w:pPr>
        <w:spacing w:line="440" w:lineRule="exact"/>
        <w:ind w:right="420"/>
        <w:rPr>
          <w:rFonts w:hint="eastAsia" w:ascii="仿宋" w:hAnsi="仿宋" w:eastAsia="仿宋" w:cs="仿宋"/>
          <w:color w:val="auto"/>
          <w:highlight w:val="none"/>
          <w:lang w:eastAsia="zh-CN"/>
        </w:rPr>
      </w:pPr>
      <w:r>
        <w:rPr>
          <w:rFonts w:hint="eastAsia" w:ascii="仿宋" w:hAnsi="仿宋" w:eastAsia="仿宋" w:cs="仿宋"/>
          <w:b/>
          <w:bCs/>
          <w:color w:val="auto"/>
          <w:sz w:val="21"/>
          <w:szCs w:val="21"/>
          <w:highlight w:val="none"/>
          <w:bdr w:val="single" w:color="auto" w:sz="4" w:space="0"/>
        </w:rPr>
        <w:t>0</w:t>
      </w:r>
      <w:r>
        <w:rPr>
          <w:rFonts w:hint="eastAsia" w:ascii="仿宋" w:hAnsi="仿宋" w:eastAsia="仿宋" w:cs="仿宋"/>
          <w:b/>
          <w:bCs/>
          <w:color w:val="auto"/>
          <w:sz w:val="21"/>
          <w:szCs w:val="21"/>
          <w:highlight w:val="none"/>
          <w:bdr w:val="single" w:color="auto" w:sz="4" w:space="0"/>
          <w:lang w:val="en-US" w:eastAsia="zh-CN"/>
        </w:rPr>
        <w:t>2</w:t>
      </w:r>
      <w:r>
        <w:rPr>
          <w:rFonts w:hint="eastAsia" w:ascii="仿宋" w:hAnsi="仿宋" w:eastAsia="仿宋" w:cs="仿宋"/>
          <w:b/>
          <w:bCs/>
          <w:color w:val="auto"/>
          <w:sz w:val="21"/>
          <w:szCs w:val="21"/>
          <w:highlight w:val="none"/>
          <w:bdr w:val="single" w:color="auto" w:sz="4" w:space="0"/>
        </w:rPr>
        <w:t>标</w:t>
      </w:r>
      <w:r>
        <w:rPr>
          <w:rFonts w:hint="eastAsia" w:ascii="仿宋" w:hAnsi="仿宋" w:eastAsia="仿宋" w:cs="仿宋"/>
          <w:b/>
          <w:bCs/>
          <w:color w:val="auto"/>
          <w:sz w:val="21"/>
          <w:szCs w:val="21"/>
          <w:highlight w:val="none"/>
          <w:lang w:eastAsia="zh-CN"/>
        </w:rPr>
        <w:t>数据库审计</w:t>
      </w:r>
      <w:r>
        <w:rPr>
          <w:rFonts w:hint="eastAsia" w:ascii="仿宋" w:hAnsi="仿宋" w:eastAsia="仿宋" w:cs="仿宋"/>
          <w:b/>
          <w:bCs/>
          <w:color w:val="auto"/>
          <w:sz w:val="21"/>
          <w:szCs w:val="21"/>
          <w:highlight w:val="none"/>
        </w:rPr>
        <w:t>（预算：</w:t>
      </w:r>
      <w:r>
        <w:rPr>
          <w:rFonts w:hint="eastAsia" w:ascii="仿宋" w:hAnsi="仿宋" w:eastAsia="仿宋" w:cs="仿宋"/>
          <w:b/>
          <w:bCs/>
          <w:color w:val="auto"/>
          <w:sz w:val="21"/>
          <w:szCs w:val="21"/>
          <w:highlight w:val="none"/>
          <w:lang w:val="en-US" w:eastAsia="zh-CN"/>
        </w:rPr>
        <w:t>17</w:t>
      </w:r>
      <w:r>
        <w:rPr>
          <w:rFonts w:hint="eastAsia" w:ascii="仿宋" w:hAnsi="仿宋" w:eastAsia="仿宋" w:cs="仿宋"/>
          <w:b/>
          <w:bCs/>
          <w:color w:val="auto"/>
          <w:sz w:val="21"/>
          <w:szCs w:val="21"/>
          <w:highlight w:val="none"/>
        </w:rPr>
        <w:t>万元）</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Cs w:val="21"/>
          <w:highlight w:val="none"/>
        </w:rPr>
        <w:t>合同期限：</w:t>
      </w:r>
      <w:r>
        <w:rPr>
          <w:rFonts w:hint="eastAsia" w:ascii="仿宋" w:hAnsi="仿宋" w:eastAsia="仿宋" w:cs="仿宋"/>
          <w:b/>
          <w:color w:val="auto"/>
          <w:szCs w:val="21"/>
          <w:highlight w:val="none"/>
        </w:rPr>
        <w:t>自合同签订之日起</w:t>
      </w:r>
      <w:r>
        <w:rPr>
          <w:rFonts w:hint="eastAsia" w:ascii="仿宋" w:hAnsi="仿宋" w:eastAsia="仿宋" w:cs="仿宋"/>
          <w:b/>
          <w:color w:val="auto"/>
          <w:szCs w:val="21"/>
          <w:highlight w:val="none"/>
          <w:lang w:eastAsia="zh-CN"/>
        </w:rPr>
        <w:t>三</w:t>
      </w:r>
      <w:r>
        <w:rPr>
          <w:rFonts w:hint="eastAsia" w:ascii="仿宋" w:hAnsi="仿宋" w:eastAsia="仿宋" w:cs="仿宋"/>
          <w:b/>
          <w:color w:val="auto"/>
          <w:szCs w:val="21"/>
          <w:highlight w:val="none"/>
        </w:rPr>
        <w:t>年。</w:t>
      </w:r>
    </w:p>
    <w:tbl>
      <w:tblPr>
        <w:tblStyle w:val="6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730"/>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6" w:type="dxa"/>
            <w:shd w:val="clear" w:color="auto" w:fill="D8D8D8"/>
            <w:noWrap w:val="0"/>
            <w:vAlign w:val="center"/>
          </w:tcPr>
          <w:p>
            <w:pPr>
              <w:spacing w:line="276" w:lineRule="auto"/>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序号</w:t>
            </w:r>
          </w:p>
        </w:tc>
        <w:tc>
          <w:tcPr>
            <w:tcW w:w="1607" w:type="dxa"/>
            <w:shd w:val="clear" w:color="auto" w:fill="D8D8D8"/>
            <w:noWrap w:val="0"/>
            <w:vAlign w:val="center"/>
          </w:tcPr>
          <w:p>
            <w:pPr>
              <w:spacing w:line="276"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指标项</w:t>
            </w:r>
          </w:p>
        </w:tc>
        <w:tc>
          <w:tcPr>
            <w:tcW w:w="6236" w:type="dxa"/>
            <w:shd w:val="clear" w:color="auto" w:fill="D8D8D8"/>
            <w:noWrap w:val="0"/>
            <w:vAlign w:val="center"/>
          </w:tcPr>
          <w:p>
            <w:pPr>
              <w:spacing w:line="276"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9" w:type="dxa"/>
            <w:gridSpan w:val="3"/>
            <w:noWrap w:val="0"/>
            <w:vAlign w:val="center"/>
          </w:tcPr>
          <w:p>
            <w:pPr>
              <w:spacing w:line="276" w:lineRule="auto"/>
              <w:jc w:val="left"/>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一、总体架构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6" w:type="dxa"/>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607" w:type="dxa"/>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系统架构</w:t>
            </w: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以B/S架构管理模式，支持系统用户管理、角色功能管理、用户登录管理（包括U盾证书、AD域、LDAP等）管理联动。</w:t>
            </w:r>
          </w:p>
          <w:p>
            <w:pPr>
              <w:spacing w:line="276" w:lineRule="auto"/>
              <w:jc w:val="left"/>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支持</w:t>
            </w:r>
            <w:r>
              <w:rPr>
                <w:rFonts w:hint="eastAsia" w:ascii="仿宋" w:hAnsi="仿宋" w:eastAsia="仿宋" w:cs="仿宋"/>
                <w:color w:val="auto"/>
                <w:sz w:val="21"/>
                <w:szCs w:val="21"/>
                <w:highlight w:val="none"/>
                <w:lang w:eastAsia="zh-Hans"/>
              </w:rPr>
              <w:t>数据权限隔离组织数据。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6" w:type="dxa"/>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607" w:type="dxa"/>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部署方式</w:t>
            </w: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1.支持旁路方式部署（对数据库性能和原有网络架构无影响），可通过SPAN、TAP等镜像流量进行审计，支持跨网段、跨VLAN等环境的审计，支持多端口流量审计。</w:t>
            </w:r>
          </w:p>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2.支持Agent探针方式部署， 可对虚拟化环境中、云环境中的数据库进行审计。</w:t>
            </w:r>
          </w:p>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3.支持分布式部署，通过管理中心对分布式部署的各审计节点（不论旁路的、 agent探针、在线的）进行集中配置管理、分析、统计等。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探针部署</w:t>
            </w:r>
          </w:p>
        </w:tc>
        <w:tc>
          <w:tcPr>
            <w:tcW w:w="6236" w:type="dxa"/>
            <w:noWrap w:val="0"/>
            <w:vAlign w:val="top"/>
          </w:tcPr>
          <w:p>
            <w:pPr>
              <w:spacing w:line="276"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探针部署环境至少支持：redhat/CentOS/Ubuntu/OpenSUSE/SUSE/HP-UX/AIX/Windows等操作系统环境</w:t>
            </w:r>
            <w:r>
              <w:rPr>
                <w:rFonts w:hint="eastAsia" w:ascii="仿宋" w:hAnsi="仿宋" w:eastAsia="仿宋" w:cs="仿宋"/>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kern w:val="0"/>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rPr>
              <w:t>支持探针自动推送安装部署、卸载（即删除），包括网络审计和本地审计能力，支持对探针进行重启或删除操作。本地审计与旁路网络审计支持共存（提供产品功能截图）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607" w:type="dxa"/>
            <w:noWrap w:val="0"/>
            <w:vAlign w:val="center"/>
          </w:tcPr>
          <w:p>
            <w:pPr>
              <w:spacing w:line="276"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系统要求</w:t>
            </w:r>
          </w:p>
        </w:tc>
        <w:tc>
          <w:tcPr>
            <w:tcW w:w="6236" w:type="dxa"/>
            <w:noWrap w:val="0"/>
            <w:vAlign w:val="top"/>
          </w:tcPr>
          <w:p>
            <w:pP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兼容适配银河麒麟V10-鲲鹏920ARM、银河麒麟V10-飞腾F2500ARM</w:t>
            </w:r>
          </w:p>
          <w:p>
            <w:pPr>
              <w:spacing w:line="276" w:lineRule="auto"/>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龙蜥操作系统，版本包括7.9、8.2、8.4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607" w:type="dxa"/>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安全性</w:t>
            </w:r>
          </w:p>
        </w:tc>
        <w:tc>
          <w:tcPr>
            <w:tcW w:w="6236" w:type="dxa"/>
            <w:noWrap w:val="0"/>
            <w:vAlign w:val="top"/>
          </w:tcPr>
          <w:p>
            <w:pPr>
              <w:pStyle w:val="259"/>
              <w:spacing w:after="62" w:afterLines="20" w:line="240" w:lineRule="auto"/>
              <w:ind w:firstLine="0"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1.平台具有安全审计员、安全保密员、系统管理员三种角色，实现三权分立</w:t>
            </w:r>
          </w:p>
          <w:p>
            <w:pPr>
              <w:pStyle w:val="259"/>
              <w:spacing w:after="62" w:afterLines="20" w:line="240" w:lineRule="auto"/>
              <w:ind w:firstLine="0"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2.用户密码采用加密算法进行存储和验证，服务报文采用对称加密方式加密，并具有校验机制；</w:t>
            </w:r>
          </w:p>
          <w:p>
            <w:pPr>
              <w:pStyle w:val="259"/>
              <w:spacing w:after="62" w:afterLines="20" w:line="240" w:lineRule="auto"/>
              <w:ind w:firstLine="0"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3.支持对平台用户的密码复杂度（数据、大小写字母、特殊字符、密码长度等）、有效期、复杂度、密码错误锁定策略等进行限制，以确保平台自身账户的安全。</w:t>
            </w:r>
          </w:p>
          <w:p>
            <w:pPr>
              <w:pStyle w:val="259"/>
              <w:spacing w:after="62" w:afterLines="20" w:line="240" w:lineRule="auto"/>
              <w:ind w:firstLine="0" w:firstLineChars="0"/>
              <w:jc w:val="both"/>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4.通道/传输/存储加密：支持不同组件、前后端之间的通讯加密、对敏感数据进行脱敏显示。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8519" w:type="dxa"/>
            <w:gridSpan w:val="3"/>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二、功能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607"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支持数据库类型</w:t>
            </w:r>
          </w:p>
        </w:tc>
        <w:tc>
          <w:tcPr>
            <w:tcW w:w="6236" w:type="dxa"/>
            <w:noWrap w:val="0"/>
            <w:vAlign w:val="top"/>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至少支持</w:t>
            </w:r>
            <w:r>
              <w:rPr>
                <w:rFonts w:hint="eastAsia" w:ascii="仿宋" w:hAnsi="仿宋" w:eastAsia="仿宋" w:cs="仿宋"/>
                <w:color w:val="auto"/>
                <w:kern w:val="0"/>
                <w:sz w:val="21"/>
                <w:szCs w:val="21"/>
                <w:highlight w:val="none"/>
              </w:rPr>
              <w:t>Oracle、SQL Server、MySQL、DB2、达梦、Hive、Informix、Sybase、PostgreSQL、MariaDB、KingBase、GBase、Hbase、优炫（UXDB）、SAP_HANA、Cache、神通Oscar、greenplum、GaussDB（高斯）、Tibero、MongoDB、OceanBase、</w:t>
            </w:r>
            <w:r>
              <w:rPr>
                <w:rFonts w:hint="eastAsia" w:ascii="仿宋" w:hAnsi="仿宋" w:eastAsia="仿宋" w:cs="仿宋"/>
                <w:color w:val="auto"/>
                <w:sz w:val="21"/>
                <w:szCs w:val="21"/>
                <w:highlight w:val="none"/>
                <w:lang w:eastAsia="zh-Hans"/>
              </w:rPr>
              <w:t>KDB、Teradata、TeleDB、TelePG</w:t>
            </w:r>
            <w:r>
              <w:rPr>
                <w:rFonts w:hint="eastAsia" w:ascii="仿宋" w:hAnsi="仿宋" w:eastAsia="仿宋" w:cs="仿宋"/>
                <w:color w:val="auto"/>
                <w:kern w:val="0"/>
                <w:sz w:val="21"/>
                <w:szCs w:val="21"/>
                <w:highlight w:val="none"/>
              </w:rPr>
              <w:t>等数据库类型。</w:t>
            </w:r>
          </w:p>
          <w:p>
            <w:pPr>
              <w:spacing w:line="276"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rPr>
              <w:t>支持TLS1.2及以下、TLS1.3等加密流量的审计（提供产品功能截图）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审计功能</w:t>
            </w:r>
          </w:p>
        </w:tc>
        <w:tc>
          <w:tcPr>
            <w:tcW w:w="6236" w:type="dxa"/>
            <w:noWrap w:val="0"/>
            <w:vAlign w:val="top"/>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支持数据库对于类、表、视 图、索引、触发器、存储过程、 游标、事物等各种类型的 SQL 操作审计，操作覆盖增删改查所有类型，审计内容完善， 能够完整记录源、目标、操作。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lang w:val="en-US" w:eastAsia="zh-CN"/>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支持双向审计，即：同时支持访问审计和返回结果集审计，包括主机名、主机用户、IP、MAC、Port、请求的工具名称、访问时间、sql语句、返回字段、 执行状态、返回行数、执行时长等内容的审计，能够完整记录访问源、目标、操作、结果。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支持结果集审计, 通过返回行数、内容大小、执行时长、执行状态、控制返回结果集大小、黑白名单、审计策略等设置自定义审计范围，降低系统开销</w:t>
            </w:r>
            <w:r>
              <w:rPr>
                <w:rFonts w:hint="eastAsia" w:ascii="仿宋" w:hAnsi="仿宋" w:eastAsia="仿宋" w:cs="仿宋"/>
                <w:b/>
                <w:bCs/>
                <w:color w:val="auto"/>
                <w:sz w:val="21"/>
                <w:szCs w:val="21"/>
                <w:highlight w:val="none"/>
              </w:rPr>
              <w:t>（提供产品功能演示）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支持对Oracle、MySQL等数据库本地审计，包括客户端SSH隧道代理访问数据库的操作,本地命令行访问数据库的操作等本地审计场景。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审计规则</w:t>
            </w: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rPr>
              <w:t>内置2000+审计规则，包括高危DDL操作、高危DML操作、授权管理、账号管理、登录失败、陌生IP或账号登录、弱口令、僵尸账号、安全特征库规则、漏洞攻击规则库等审计规则。（提供产品功能截图）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可自定义审计策略。审计策略至少支持 20个条件，规则各条件之间支持与或非逻辑关系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支持白名单策略审计，系统不审计来自于白名单的流量。</w:t>
            </w:r>
          </w:p>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支持黑名单审计，系统只审计来自于黑名单的流量。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结果集审计支持全局开启，支持按具体策略进行结果集审计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资产管理</w:t>
            </w:r>
          </w:p>
        </w:tc>
        <w:tc>
          <w:tcPr>
            <w:tcW w:w="6236" w:type="dxa"/>
            <w:noWrap w:val="0"/>
            <w:vAlign w:val="top"/>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自动探测网段范围内的数据库、从网络流量中自动发现数据库、通过云上API接口发现区域内的数据库等多种数据库发现模式，记录数据库的IP地址、端口号、数据库类型等信息，支持自动将发现的数据库添加到审计范围中，进行数据库审计。</w:t>
            </w:r>
            <w:r>
              <w:rPr>
                <w:rFonts w:hint="eastAsia" w:ascii="仿宋" w:hAnsi="仿宋" w:eastAsia="仿宋" w:cs="仿宋"/>
                <w:b/>
                <w:bCs/>
                <w:color w:val="auto"/>
                <w:sz w:val="21"/>
                <w:szCs w:val="21"/>
                <w:highlight w:val="none"/>
              </w:rPr>
              <w:t>（提供产品功能演示）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支持敏感资产分类，梳理敏感资产清单，并进行敏感表审计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审计日志管理</w:t>
            </w:r>
          </w:p>
        </w:tc>
        <w:tc>
          <w:tcPr>
            <w:tcW w:w="6236" w:type="dxa"/>
            <w:noWrap w:val="0"/>
            <w:vAlign w:val="top"/>
          </w:tcPr>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rPr>
              <w:t>支持对SQL语句的登录事件及访问事件进行细粒度审计（提供产品功能截图）。</w:t>
            </w:r>
          </w:p>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支持对审计日志进行多种条件因子进行关联查询、时间及关键SQL操作类型进行模糊搜索、对日志进行手动/自动审阅。</w:t>
            </w:r>
          </w:p>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根据不同审计数据库对象实现便捷的事件统计，包括对DDL、DML、DCL、DQL、OTHER等事件进行统计，记录统计时间、保护对象名称、数据库类型、服务器IP及端口、风险事件数量、登录事件数量、访问事件数量等，并统计事件的具体操作指令类型及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对于审计操作事件的回溯分析，支持登录事件或访问事件的会话追踪溯源</w:t>
            </w:r>
            <w:r>
              <w:rPr>
                <w:rFonts w:hint="eastAsia" w:ascii="仿宋" w:hAnsi="仿宋" w:eastAsia="仿宋" w:cs="仿宋"/>
                <w:color w:val="auto"/>
                <w:sz w:val="21"/>
                <w:szCs w:val="21"/>
                <w:highlight w:val="none"/>
                <w:lang w:eastAsia="zh-Hans"/>
              </w:rPr>
              <w:t>回放</w:t>
            </w:r>
            <w:r>
              <w:rPr>
                <w:rFonts w:hint="eastAsia" w:ascii="仿宋" w:hAnsi="仿宋" w:eastAsia="仿宋" w:cs="仿宋"/>
                <w:color w:val="auto"/>
                <w:sz w:val="21"/>
                <w:szCs w:val="21"/>
                <w:highlight w:val="none"/>
              </w:rPr>
              <w:t>，在同一界面展现与此次操作事件相关的登录、操作、退出等事件的全会话过程回溯</w:t>
            </w:r>
            <w:r>
              <w:rPr>
                <w:rFonts w:hint="eastAsia" w:ascii="仿宋" w:hAnsi="仿宋" w:eastAsia="仿宋" w:cs="仿宋"/>
                <w:color w:val="auto"/>
                <w:sz w:val="21"/>
                <w:szCs w:val="21"/>
                <w:highlight w:val="none"/>
                <w:lang w:eastAsia="zh-Hans"/>
              </w:rPr>
              <w:t>回放</w:t>
            </w: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rPr>
              <w:t>（提供产品功能演示）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支持从数据库流量中自动识别数据库，从流量分析结果中自动判别包含的数据库类型、版本、地址等信息。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Hans"/>
              </w:rPr>
              <w:t>支持对敏感数据遮蔽，实现敏感数据经过审计后进行脱敏展示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rPr>
              <w:t>4</w:t>
            </w:r>
            <w:r>
              <w:rPr>
                <w:rFonts w:hint="eastAsia" w:ascii="仿宋" w:hAnsi="仿宋" w:eastAsia="仿宋" w:cs="仿宋"/>
                <w:b/>
                <w:bCs/>
                <w:color w:val="auto"/>
                <w:sz w:val="21"/>
                <w:szCs w:val="21"/>
                <w:highlight w:val="none"/>
                <w:lang w:eastAsia="zh-Hans"/>
              </w:rPr>
              <w:t>M超长语句审计</w:t>
            </w:r>
            <w:r>
              <w:rPr>
                <w:rFonts w:hint="eastAsia" w:ascii="仿宋" w:hAnsi="仿宋" w:eastAsia="仿宋" w:cs="仿宋"/>
                <w:color w:val="auto"/>
                <w:sz w:val="21"/>
                <w:szCs w:val="21"/>
                <w:highlight w:val="none"/>
              </w:rPr>
              <w:t>（提供产品功能截图）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607" w:type="dxa"/>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日志存储</w:t>
            </w: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支持审计日志和告警日志加密存储，保证日志的安全性，不能通过后台直接查看审计日志和告警日志。</w:t>
            </w:r>
          </w:p>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支持定期将审计数据自动备份到FTP服务器，支持系统配置的导入导出</w:t>
            </w:r>
          </w:p>
          <w:p>
            <w:pPr>
              <w:spacing w:line="276"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支持审计日志数据的备份与恢复，支持自动备份数据可以选择高性能或高压缩比，支持的备份服务器类型至少包含 FTP、NFS、SFTP 方式中的一种，备份记录可以查询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风险监测与告警</w:t>
            </w:r>
          </w:p>
        </w:tc>
        <w:tc>
          <w:tcPr>
            <w:tcW w:w="6236" w:type="dxa"/>
            <w:noWrap w:val="0"/>
            <w:vAlign w:val="top"/>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支持根据IP地址、操作类型、时间、错误码、数据库类型、操作分类、数据库用户、返回/影响行数、审计级别、附加SQL语句等精细组合因子条件对敏感操作行为自定义设置告警规则策略。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支持将告警信息以简单的语言进行翻译，</w:t>
            </w:r>
            <w:r>
              <w:rPr>
                <w:rFonts w:hint="eastAsia" w:ascii="仿宋" w:hAnsi="仿宋" w:eastAsia="仿宋" w:cs="仿宋"/>
                <w:color w:val="auto"/>
                <w:sz w:val="21"/>
                <w:szCs w:val="21"/>
                <w:highlight w:val="none"/>
                <w:lang w:eastAsia="zh-Hans"/>
              </w:rPr>
              <w:t>能够对翻译内容进行自定义模板修改，</w:t>
            </w:r>
            <w:r>
              <w:rPr>
                <w:rFonts w:hint="eastAsia" w:ascii="仿宋" w:hAnsi="仿宋" w:eastAsia="仿宋" w:cs="仿宋"/>
                <w:color w:val="auto"/>
                <w:sz w:val="21"/>
                <w:szCs w:val="21"/>
                <w:highlight w:val="none"/>
              </w:rPr>
              <w:t>方便用户直观查看理解告警。</w:t>
            </w:r>
            <w:r>
              <w:rPr>
                <w:rFonts w:hint="eastAsia" w:ascii="仿宋" w:hAnsi="仿宋" w:eastAsia="仿宋" w:cs="仿宋"/>
                <w:b/>
                <w:bCs/>
                <w:color w:val="auto"/>
                <w:sz w:val="21"/>
                <w:szCs w:val="21"/>
                <w:highlight w:val="none"/>
              </w:rPr>
              <w:t>（提供产品功能演示）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告警方式包括：邮件、短信、SYSLOG、钉钉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系统监控</w:t>
            </w: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支持对CPU、内存、网络、磁盘I/O的使用量进行监控。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支持对网络流量、网络数据包进行监控，包括接收的网络流量、处理的网络流量、业务丢包率、网络丢包率；</w:t>
            </w:r>
          </w:p>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支持对登录事件、访问事件审计速率的监控，统计数据包括生成事件速率、处理事件速率、建立索引速率。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支持设置峰值告警策略，当审计系统业务丢包率、网络丢包率、系统生成事件速率、系统生成事件总量超过一定阈值时，系统进行告警，告警方式包括邮件、短信。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探针监控</w:t>
            </w:r>
          </w:p>
        </w:tc>
        <w:tc>
          <w:tcPr>
            <w:tcW w:w="6236" w:type="dxa"/>
            <w:noWrap w:val="0"/>
            <w:vAlign w:val="top"/>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支持对探针运行状态实时监控，包括探针当前运行状态、运行时长、CPU占用率、内存占用量、业务流量等运行指标信息。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支持探针性能保护设置，设置数据库系统的CPU占有率超出阈值时探针自动挂起、低于设定的占比时，自动恢复运行状态，探针异常告警支持邮件、短信通知。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top"/>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Hans"/>
              </w:rPr>
              <w:t>支持探针异常、丢包率、生成事件速率告警，具体告警方式包含邮件等。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报表分析</w:t>
            </w:r>
          </w:p>
        </w:tc>
        <w:tc>
          <w:tcPr>
            <w:tcW w:w="6236" w:type="dxa"/>
            <w:noWrap w:val="0"/>
            <w:vAlign w:val="center"/>
          </w:tcPr>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定期自动生成以日、周、月、年度综合报表，报表格式支持PDF/WORD/HTML/EXCEL等格式进行邮件、钉钉定期推送，并记录推送结果。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综合性报表包括但不限于</w:t>
            </w:r>
            <w:r>
              <w:rPr>
                <w:rFonts w:hint="eastAsia" w:ascii="仿宋" w:hAnsi="仿宋" w:eastAsia="仿宋" w:cs="仿宋"/>
                <w:b/>
                <w:bCs/>
                <w:color w:val="auto"/>
                <w:sz w:val="21"/>
                <w:szCs w:val="21"/>
                <w:highlight w:val="none"/>
              </w:rPr>
              <w:t>（提供产品功能演示）</w:t>
            </w:r>
            <w:r>
              <w:rPr>
                <w:rFonts w:hint="eastAsia" w:ascii="仿宋" w:hAnsi="仿宋" w:eastAsia="仿宋" w:cs="仿宋"/>
                <w:color w:val="auto"/>
                <w:sz w:val="21"/>
                <w:szCs w:val="21"/>
                <w:highlight w:val="none"/>
              </w:rPr>
              <w:t>：</w:t>
            </w:r>
          </w:p>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风险报表：数据库风险、客户端风险、规则风险及风险SQL统计。</w:t>
            </w:r>
          </w:p>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身份报表：用户审计结果、访问次数、客户端工具及账号使用分析统计。</w:t>
            </w:r>
          </w:p>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行为报表：权限变更分析、认证管理分析、SQL错误分析统计。</w:t>
            </w:r>
          </w:p>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客体报表：数据库审计结果、最后访问时间、数据库用户及工具统计。</w:t>
            </w:r>
          </w:p>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响应报表：SQL平均执行时长、SQL单次执行时长、执行次数最多的SQL。语句、执行数最少的SQL语句、SQL语句执行失败次数统计。</w:t>
            </w:r>
          </w:p>
          <w:p>
            <w:pPr>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运维报表：DDL分析、DML分析、DCL分析等报表。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内置报表模版类型包括综合报表、SOX法案报表、PCI报表、等级保护报表、风险报表、身份报表、行为报表、课题报表、响应报表等。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支持按时间范围、报表模板类型、数据库等维度自定义生成报表；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lang w:eastAsia="zh-Hans"/>
              </w:rPr>
            </w:pPr>
            <w:r>
              <w:rPr>
                <w:rFonts w:hint="eastAsia" w:ascii="仿宋" w:hAnsi="仿宋" w:eastAsia="仿宋" w:cs="仿宋"/>
                <w:color w:val="auto"/>
                <w:sz w:val="21"/>
                <w:szCs w:val="21"/>
                <w:highlight w:val="none"/>
                <w:lang w:eastAsia="zh-Hans"/>
              </w:rPr>
              <w:t>支持根据时间范围、数据库、行为分析或风险分析当中超10余种字段进行自定义分析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lang w:eastAsia="zh-Hans"/>
              </w:rPr>
            </w:pPr>
            <w:r>
              <w:rPr>
                <w:rFonts w:hint="eastAsia" w:ascii="仿宋" w:hAnsi="仿宋" w:eastAsia="仿宋" w:cs="仿宋"/>
                <w:color w:val="auto"/>
                <w:sz w:val="21"/>
                <w:szCs w:val="21"/>
                <w:highlight w:val="none"/>
                <w:lang w:eastAsia="zh-Hans"/>
              </w:rPr>
              <w:t>支持从总览的角度进行报表的三级下钻分析，并提供指定的维度反向进行风险或行为分析。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restart"/>
            <w:noWrap w:val="0"/>
            <w:vAlign w:val="center"/>
          </w:tcPr>
          <w:p>
            <w:pPr>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1607" w:type="dxa"/>
            <w:vMerge w:val="restart"/>
            <w:noWrap w:val="0"/>
            <w:vAlign w:val="center"/>
          </w:tcPr>
          <w:p>
            <w:pPr>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服务管理</w:t>
            </w:r>
          </w:p>
        </w:tc>
        <w:tc>
          <w:tcPr>
            <w:tcW w:w="6236" w:type="dxa"/>
            <w:noWrap w:val="0"/>
            <w:vAlign w:val="center"/>
          </w:tcPr>
          <w:p>
            <w:pPr>
              <w:spacing w:line="276" w:lineRule="auto"/>
              <w:jc w:val="left"/>
              <w:rPr>
                <w:rFonts w:hint="eastAsia" w:ascii="仿宋" w:hAnsi="仿宋" w:eastAsia="仿宋" w:cs="仿宋"/>
                <w:color w:val="auto"/>
                <w:sz w:val="21"/>
                <w:szCs w:val="21"/>
                <w:highlight w:val="none"/>
                <w:lang w:eastAsia="zh-Hans"/>
              </w:rPr>
            </w:pPr>
            <w:r>
              <w:rPr>
                <w:rFonts w:hint="eastAsia" w:ascii="仿宋" w:hAnsi="仿宋" w:eastAsia="仿宋" w:cs="仿宋"/>
                <w:color w:val="auto"/>
                <w:sz w:val="21"/>
                <w:szCs w:val="21"/>
                <w:highlight w:val="none"/>
              </w:rPr>
              <w:t>支持一键重启、关闭、升级审计系统主机。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1607" w:type="dxa"/>
            <w:vMerge w:val="continue"/>
            <w:noWrap w:val="0"/>
            <w:vAlign w:val="center"/>
          </w:tcPr>
          <w:p>
            <w:pPr>
              <w:spacing w:line="276" w:lineRule="auto"/>
              <w:jc w:val="center"/>
              <w:rPr>
                <w:rFonts w:hint="eastAsia" w:ascii="仿宋" w:hAnsi="仿宋" w:eastAsia="仿宋" w:cs="仿宋"/>
                <w:color w:val="auto"/>
                <w:sz w:val="21"/>
                <w:szCs w:val="21"/>
                <w:highlight w:val="none"/>
              </w:rPr>
            </w:pPr>
          </w:p>
        </w:tc>
        <w:tc>
          <w:tcPr>
            <w:tcW w:w="6236" w:type="dxa"/>
            <w:noWrap w:val="0"/>
            <w:vAlign w:val="center"/>
          </w:tcPr>
          <w:p>
            <w:pPr>
              <w:spacing w:line="276" w:lineRule="auto"/>
              <w:jc w:val="left"/>
              <w:rPr>
                <w:rFonts w:hint="eastAsia" w:ascii="仿宋" w:hAnsi="仿宋" w:eastAsia="仿宋" w:cs="仿宋"/>
                <w:color w:val="auto"/>
                <w:sz w:val="21"/>
                <w:szCs w:val="21"/>
                <w:highlight w:val="none"/>
                <w:lang w:eastAsia="zh-Hans"/>
              </w:rPr>
            </w:pPr>
            <w:r>
              <w:rPr>
                <w:rFonts w:hint="eastAsia" w:ascii="仿宋" w:hAnsi="仿宋" w:eastAsia="仿宋" w:cs="仿宋"/>
                <w:color w:val="auto"/>
                <w:sz w:val="21"/>
                <w:szCs w:val="21"/>
                <w:highlight w:val="none"/>
              </w:rPr>
              <w:t>支持对审计系统的web服务、系统数据库、消息队列、搜索引擎、Redis服务、服务注册服务、nodejs、组件监控模块、探针服务、搜索服务、搜索业务服务、报表服务、字典服务、审计核心、流量发现等服务进行监控展示，记录运行时间，支持一键重启、停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8519" w:type="dxa"/>
            <w:gridSpan w:val="3"/>
            <w:noWrap w:val="0"/>
            <w:vAlign w:val="center"/>
          </w:tcPr>
          <w:p>
            <w:pPr>
              <w:spacing w:line="276" w:lineRule="auto"/>
              <w:jc w:val="lef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三、产品规格与授权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noWrap w:val="0"/>
            <w:vAlign w:val="center"/>
          </w:tcPr>
          <w:p>
            <w:pPr>
              <w:tabs>
                <w:tab w:val="left" w:pos="3420"/>
              </w:tabs>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607" w:type="dxa"/>
            <w:noWrap w:val="0"/>
            <w:vAlign w:val="center"/>
          </w:tcPr>
          <w:p>
            <w:pPr>
              <w:tabs>
                <w:tab w:val="left" w:pos="3420"/>
              </w:tabs>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Hans"/>
              </w:rPr>
              <w:t>硬件指标</w:t>
            </w:r>
          </w:p>
        </w:tc>
        <w:tc>
          <w:tcPr>
            <w:tcW w:w="6236" w:type="dxa"/>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2U机架式设备:具备双冗余电源,至少配置6个电口,至少支持2个扩展槽位,至少具备两个万兆光口（含光模块），至少具备</w:t>
            </w:r>
            <w:r>
              <w:rPr>
                <w:rFonts w:hint="eastAsia" w:ascii="仿宋" w:hAnsi="仿宋" w:eastAsia="仿宋" w:cs="仿宋"/>
                <w:color w:val="auto"/>
                <w:kern w:val="0"/>
                <w:sz w:val="21"/>
                <w:szCs w:val="21"/>
                <w:highlight w:val="none"/>
                <w:lang w:val="en-US" w:eastAsia="zh-CN"/>
              </w:rPr>
              <w:t>32</w:t>
            </w:r>
            <w:r>
              <w:rPr>
                <w:rFonts w:hint="eastAsia" w:ascii="仿宋" w:hAnsi="仿宋" w:eastAsia="仿宋" w:cs="仿宋"/>
                <w:color w:val="auto"/>
                <w:kern w:val="0"/>
                <w:sz w:val="21"/>
                <w:szCs w:val="21"/>
                <w:highlight w:val="none"/>
              </w:rPr>
              <w:t>G内存,存储空间至少大于</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6" w:type="dxa"/>
            <w:noWrap w:val="0"/>
            <w:vAlign w:val="center"/>
          </w:tcPr>
          <w:p>
            <w:pPr>
              <w:tabs>
                <w:tab w:val="left" w:pos="3420"/>
              </w:tabs>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607" w:type="dxa"/>
            <w:noWrap w:val="0"/>
            <w:vAlign w:val="center"/>
          </w:tcPr>
          <w:p>
            <w:pPr>
              <w:tabs>
                <w:tab w:val="left" w:pos="3420"/>
              </w:tabs>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Hans"/>
              </w:rPr>
              <w:t>授权数量</w:t>
            </w:r>
          </w:p>
        </w:tc>
        <w:tc>
          <w:tcPr>
            <w:tcW w:w="6236" w:type="dxa"/>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至少支持64个数据库实例，至少支持峰值SQL吞吐10000条语句/秒，至少支持流量150Mbps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6" w:type="dxa"/>
            <w:noWrap w:val="0"/>
            <w:vAlign w:val="center"/>
          </w:tcPr>
          <w:p>
            <w:pPr>
              <w:tabs>
                <w:tab w:val="left" w:pos="3420"/>
              </w:tabs>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607" w:type="dxa"/>
            <w:noWrap w:val="0"/>
            <w:vAlign w:val="center"/>
          </w:tcPr>
          <w:p>
            <w:pPr>
              <w:tabs>
                <w:tab w:val="left" w:pos="3420"/>
              </w:tabs>
              <w:spacing w:line="276" w:lineRule="auto"/>
              <w:jc w:val="center"/>
              <w:rPr>
                <w:rFonts w:hint="eastAsia" w:ascii="仿宋" w:hAnsi="仿宋" w:eastAsia="仿宋" w:cs="仿宋"/>
                <w:color w:val="auto"/>
                <w:sz w:val="21"/>
                <w:szCs w:val="21"/>
                <w:highlight w:val="none"/>
                <w:lang w:eastAsia="zh-Hans"/>
              </w:rPr>
            </w:pPr>
            <w:r>
              <w:rPr>
                <w:rFonts w:hint="eastAsia" w:ascii="仿宋" w:hAnsi="仿宋" w:eastAsia="仿宋" w:cs="仿宋"/>
                <w:color w:val="auto"/>
                <w:sz w:val="21"/>
                <w:szCs w:val="21"/>
                <w:highlight w:val="none"/>
                <w:lang w:eastAsia="zh-Hans"/>
              </w:rPr>
              <w:t>产品维保</w:t>
            </w:r>
          </w:p>
        </w:tc>
        <w:tc>
          <w:tcPr>
            <w:tcW w:w="6236" w:type="dxa"/>
            <w:noWrap w:val="0"/>
            <w:vAlign w:val="top"/>
          </w:tcPr>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Hans"/>
              </w:rPr>
              <w:t>提供原厂</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Hans"/>
              </w:rPr>
              <w:t>年技术支持和版本升级服务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每季度一次巡检服务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8519" w:type="dxa"/>
            <w:gridSpan w:val="3"/>
            <w:noWrap w:val="0"/>
            <w:vAlign w:val="center"/>
          </w:tcPr>
          <w:p>
            <w:pPr>
              <w:jc w:val="left"/>
              <w:rPr>
                <w:rFonts w:hint="eastAsia" w:ascii="仿宋" w:hAnsi="仿宋" w:eastAsia="仿宋" w:cs="仿宋"/>
                <w:color w:val="auto"/>
                <w:sz w:val="21"/>
                <w:szCs w:val="21"/>
                <w:highlight w:val="none"/>
                <w:lang w:eastAsia="zh-Hans"/>
              </w:rPr>
            </w:pPr>
            <w:r>
              <w:rPr>
                <w:rFonts w:hint="eastAsia" w:ascii="仿宋" w:hAnsi="仿宋" w:eastAsia="仿宋" w:cs="仿宋"/>
                <w:b/>
                <w:bCs/>
                <w:color w:val="auto"/>
                <w:sz w:val="21"/>
                <w:szCs w:val="21"/>
                <w:highlight w:val="none"/>
              </w:rPr>
              <w:t>四、其他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676" w:type="dxa"/>
            <w:noWrap w:val="0"/>
            <w:vAlign w:val="center"/>
          </w:tcPr>
          <w:p>
            <w:pPr>
              <w:tabs>
                <w:tab w:val="left" w:pos="3420"/>
              </w:tabs>
              <w:spacing w:line="276"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607" w:type="dxa"/>
            <w:noWrap w:val="0"/>
            <w:vAlign w:val="center"/>
          </w:tcPr>
          <w:p>
            <w:pPr>
              <w:tabs>
                <w:tab w:val="left" w:pos="3420"/>
              </w:tabs>
              <w:spacing w:line="276"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产品资质</w:t>
            </w:r>
          </w:p>
        </w:tc>
        <w:tc>
          <w:tcPr>
            <w:tcW w:w="6236" w:type="dxa"/>
            <w:noWrap w:val="0"/>
            <w:vAlign w:val="top"/>
          </w:tcPr>
          <w:p>
            <w:pPr>
              <w:tabs>
                <w:tab w:val="left" w:pos="3420"/>
              </w:tabs>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Hans"/>
              </w:rPr>
              <w:t>要求产品兼容国产设备，具备与</w:t>
            </w:r>
            <w:r>
              <w:rPr>
                <w:rFonts w:hint="eastAsia" w:ascii="仿宋" w:hAnsi="仿宋" w:eastAsia="仿宋" w:cs="仿宋"/>
                <w:color w:val="auto"/>
                <w:sz w:val="21"/>
                <w:szCs w:val="21"/>
                <w:highlight w:val="none"/>
              </w:rPr>
              <w:t>达梦数据库、Kingbase数据库、热璞数据库、神舟数据库、南大通用数据库、中科可控服务器、统信服务器操作系统等的兼容性证书至少提供8种。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76" w:type="dxa"/>
            <w:noWrap w:val="0"/>
            <w:vAlign w:val="center"/>
          </w:tcPr>
          <w:p>
            <w:pPr>
              <w:tabs>
                <w:tab w:val="left" w:pos="3420"/>
              </w:tabs>
              <w:spacing w:line="276" w:lineRule="auto"/>
              <w:jc w:val="center"/>
              <w:rPr>
                <w:rFonts w:hint="eastAsia" w:ascii="仿宋" w:hAnsi="仿宋" w:eastAsia="仿宋" w:cs="仿宋"/>
                <w:color w:val="auto"/>
                <w:sz w:val="21"/>
                <w:szCs w:val="21"/>
                <w:highlight w:val="none"/>
                <w:lang w:eastAsia="zh-Hans"/>
              </w:rPr>
            </w:pPr>
            <w:r>
              <w:rPr>
                <w:rFonts w:hint="eastAsia" w:ascii="仿宋" w:hAnsi="仿宋" w:eastAsia="仿宋" w:cs="仿宋"/>
                <w:color w:val="auto"/>
                <w:sz w:val="21"/>
                <w:szCs w:val="21"/>
                <w:highlight w:val="none"/>
                <w:lang w:val="en-US" w:eastAsia="zh-CN"/>
              </w:rPr>
              <w:t>2</w:t>
            </w:r>
          </w:p>
        </w:tc>
        <w:tc>
          <w:tcPr>
            <w:tcW w:w="1607" w:type="dxa"/>
            <w:noWrap w:val="0"/>
            <w:vAlign w:val="center"/>
          </w:tcPr>
          <w:p>
            <w:pPr>
              <w:tabs>
                <w:tab w:val="left" w:pos="3420"/>
              </w:tabs>
              <w:spacing w:line="276" w:lineRule="auto"/>
              <w:jc w:val="center"/>
              <w:rPr>
                <w:rFonts w:hint="eastAsia" w:ascii="仿宋" w:hAnsi="仿宋" w:eastAsia="仿宋" w:cs="仿宋"/>
                <w:color w:val="auto"/>
                <w:sz w:val="21"/>
                <w:szCs w:val="21"/>
                <w:highlight w:val="none"/>
                <w:lang w:eastAsia="zh-Hans"/>
              </w:rPr>
            </w:pPr>
            <w:r>
              <w:rPr>
                <w:rFonts w:hint="eastAsia" w:ascii="仿宋" w:hAnsi="仿宋" w:eastAsia="仿宋" w:cs="仿宋"/>
                <w:color w:val="auto"/>
                <w:sz w:val="21"/>
                <w:szCs w:val="21"/>
                <w:highlight w:val="none"/>
              </w:rPr>
              <w:t>功能验证</w:t>
            </w:r>
          </w:p>
        </w:tc>
        <w:tc>
          <w:tcPr>
            <w:tcW w:w="6236" w:type="dxa"/>
            <w:noWrap w:val="0"/>
            <w:vAlign w:val="center"/>
          </w:tcPr>
          <w:p>
            <w:pPr>
              <w:tabs>
                <w:tab w:val="left" w:pos="3420"/>
              </w:tabs>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中标后，招标人有权要求</w:t>
            </w:r>
            <w:r>
              <w:rPr>
                <w:rFonts w:hint="eastAsia" w:ascii="仿宋" w:hAnsi="仿宋" w:eastAsia="仿宋" w:cs="仿宋"/>
                <w:color w:val="auto"/>
                <w:sz w:val="21"/>
                <w:szCs w:val="21"/>
                <w:highlight w:val="none"/>
                <w:lang w:eastAsia="zh-CN"/>
              </w:rPr>
              <w:t>中标人</w:t>
            </w:r>
            <w:r>
              <w:rPr>
                <w:rFonts w:hint="eastAsia" w:ascii="仿宋" w:hAnsi="仿宋" w:eastAsia="仿宋" w:cs="仿宋"/>
                <w:color w:val="auto"/>
                <w:sz w:val="21"/>
                <w:szCs w:val="21"/>
                <w:highlight w:val="none"/>
              </w:rPr>
              <w:t>提供产品进行相关功能验证，如存在虚假应标行为，将废除中标资格，并依法追究相关法律责任。</w:t>
            </w:r>
          </w:p>
        </w:tc>
      </w:tr>
    </w:tbl>
    <w:p>
      <w:pPr>
        <w:widowControl/>
        <w:wordWrap w:val="0"/>
        <w:topLinePunct/>
        <w:adjustRightInd w:val="0"/>
        <w:spacing w:line="440" w:lineRule="exact"/>
        <w:textAlignment w:val="baseline"/>
        <w:rPr>
          <w:rFonts w:hint="eastAsia" w:ascii="仿宋" w:hAnsi="仿宋" w:eastAsia="仿宋" w:cs="仿宋"/>
          <w:color w:val="auto"/>
          <w:kern w:val="2"/>
          <w:sz w:val="21"/>
          <w:szCs w:val="21"/>
          <w:highlight w:val="none"/>
          <w:lang w:val="en-US" w:eastAsia="zh-CN" w:bidi="ar-SA"/>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3"/>
        <w:ind w:left="0" w:leftChars="0" w:firstLine="0" w:firstLineChars="0"/>
        <w:rPr>
          <w:rFonts w:ascii="仿宋" w:hAnsi="仿宋" w:eastAsia="仿宋" w:cs="仿宋"/>
          <w:color w:val="auto"/>
          <w:szCs w:val="24"/>
          <w:highlight w:val="none"/>
        </w:rPr>
      </w:pPr>
    </w:p>
    <w:p>
      <w:pPr>
        <w:pStyle w:val="703"/>
        <w:jc w:val="center"/>
        <w:rPr>
          <w:rFonts w:ascii="仿宋" w:hAnsi="仿宋" w:eastAsia="仿宋" w:cs="仿宋"/>
          <w:color w:val="auto"/>
          <w:szCs w:val="24"/>
          <w:highlight w:val="none"/>
        </w:rPr>
      </w:pPr>
    </w:p>
    <w:p>
      <w:pPr>
        <w:pStyle w:val="703"/>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3"/>
        <w:rPr>
          <w:rFonts w:ascii="仿宋" w:hAnsi="仿宋" w:eastAsia="仿宋" w:cs="仿宋"/>
          <w:color w:val="auto"/>
          <w:szCs w:val="24"/>
          <w:highlight w:val="none"/>
        </w:rPr>
      </w:pPr>
    </w:p>
    <w:p>
      <w:pPr>
        <w:pStyle w:val="703"/>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ascii="仿宋" w:hAnsi="仿宋" w:eastAsia="仿宋" w:cs="仿宋"/>
          <w:color w:val="auto"/>
          <w:szCs w:val="24"/>
          <w:highlight w:val="none"/>
        </w:rPr>
      </w:pPr>
    </w:p>
    <w:p>
      <w:pPr>
        <w:pStyle w:val="600"/>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44" w:name="_Toc24059"/>
      <w:bookmarkStart w:id="45" w:name="_Toc2232"/>
      <w:bookmarkStart w:id="46" w:name="_Toc3029"/>
      <w:r>
        <w:rPr>
          <w:rFonts w:hint="eastAsia" w:ascii="仿宋" w:hAnsi="仿宋" w:eastAsia="仿宋" w:cs="仿宋"/>
          <w:b/>
          <w:color w:val="auto"/>
          <w:sz w:val="24"/>
          <w:highlight w:val="none"/>
        </w:rPr>
        <w:t>1.1 合同组成部分</w:t>
      </w:r>
      <w:bookmarkEnd w:id="44"/>
      <w:bookmarkEnd w:id="45"/>
      <w:bookmarkEnd w:id="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47" w:name="_Toc24300"/>
      <w:bookmarkStart w:id="48" w:name="_Toc27126"/>
      <w:bookmarkStart w:id="49" w:name="_Toc21295"/>
      <w:r>
        <w:rPr>
          <w:rFonts w:hint="eastAsia" w:ascii="仿宋" w:hAnsi="仿宋" w:eastAsia="仿宋" w:cs="仿宋"/>
          <w:b/>
          <w:color w:val="auto"/>
          <w:sz w:val="24"/>
          <w:highlight w:val="none"/>
        </w:rPr>
        <w:t>1.2 货物</w:t>
      </w:r>
      <w:bookmarkEnd w:id="47"/>
      <w:bookmarkEnd w:id="48"/>
      <w:bookmarkEnd w:id="49"/>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ascii="仿宋" w:hAnsi="仿宋" w:eastAsia="仿宋" w:cs="仿宋"/>
          <w:b/>
          <w:color w:val="auto"/>
          <w:sz w:val="24"/>
          <w:highlight w:val="none"/>
        </w:rPr>
      </w:pPr>
      <w:bookmarkStart w:id="50" w:name="_Toc21631"/>
      <w:bookmarkStart w:id="51" w:name="_Toc23292"/>
      <w:bookmarkStart w:id="52" w:name="_Toc21551"/>
      <w:r>
        <w:rPr>
          <w:rFonts w:hint="eastAsia" w:ascii="仿宋" w:hAnsi="仿宋" w:eastAsia="仿宋" w:cs="仿宋"/>
          <w:b/>
          <w:color w:val="auto"/>
          <w:sz w:val="24"/>
          <w:highlight w:val="none"/>
        </w:rPr>
        <w:t>1.3 价款</w:t>
      </w:r>
      <w:bookmarkEnd w:id="50"/>
      <w:bookmarkEnd w:id="51"/>
      <w:bookmarkEnd w:id="5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bl>
    <w:p>
      <w:pPr>
        <w:pStyle w:val="960"/>
        <w:spacing w:before="0" w:beforeAutospacing="0" w:after="0" w:afterAutospacing="0" w:line="360" w:lineRule="auto"/>
        <w:ind w:firstLine="480"/>
        <w:rPr>
          <w:rFonts w:ascii="仿宋" w:hAnsi="仿宋" w:eastAsia="仿宋" w:cs="仿宋"/>
          <w:b/>
          <w:color w:val="auto"/>
          <w:highlight w:val="none"/>
        </w:rPr>
      </w:pPr>
      <w:bookmarkStart w:id="53" w:name="_Toc10340"/>
      <w:bookmarkStart w:id="54" w:name="_Toc1814"/>
      <w:bookmarkStart w:id="55" w:name="_Toc22618"/>
      <w:r>
        <w:rPr>
          <w:rFonts w:hint="eastAsia" w:ascii="仿宋" w:hAnsi="仿宋" w:eastAsia="仿宋" w:cs="仿宋"/>
          <w:b/>
          <w:color w:val="auto"/>
          <w:highlight w:val="none"/>
        </w:rPr>
        <w:t>1.4履约保证金</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6" w:name="_Toc2846"/>
      <w:bookmarkStart w:id="57" w:name="_Toc32071"/>
      <w:bookmarkStart w:id="58" w:name="_Toc19304"/>
      <w:r>
        <w:rPr>
          <w:rFonts w:hint="eastAsia" w:ascii="仿宋" w:hAnsi="仿宋" w:eastAsia="仿宋" w:cs="仿宋"/>
          <w:b/>
          <w:color w:val="auto"/>
          <w:sz w:val="24"/>
          <w:highlight w:val="none"/>
        </w:rPr>
        <w:t>1.7货物交付期限、地点和方式</w:t>
      </w:r>
      <w:bookmarkEnd w:id="56"/>
      <w:bookmarkEnd w:id="57"/>
      <w:bookmarkEnd w:id="58"/>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9" w:name="_Toc19554"/>
      <w:bookmarkStart w:id="60" w:name="_Toc21423"/>
      <w:bookmarkStart w:id="61" w:name="_Toc27250"/>
      <w:r>
        <w:rPr>
          <w:rFonts w:hint="eastAsia" w:ascii="仿宋" w:hAnsi="仿宋" w:eastAsia="仿宋" w:cs="仿宋"/>
          <w:b/>
          <w:color w:val="auto"/>
          <w:sz w:val="24"/>
          <w:highlight w:val="none"/>
        </w:rPr>
        <w:t>1.8违约责任</w:t>
      </w:r>
      <w:bookmarkEnd w:id="59"/>
      <w:bookmarkEnd w:id="60"/>
      <w:bookmarkEnd w:id="6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62" w:name="_Toc16021"/>
      <w:bookmarkStart w:id="63" w:name="_Toc28375"/>
      <w:bookmarkStart w:id="64" w:name="_Toc15583"/>
      <w:r>
        <w:rPr>
          <w:rFonts w:hint="eastAsia" w:ascii="仿宋" w:hAnsi="仿宋" w:eastAsia="仿宋" w:cs="仿宋"/>
          <w:b/>
          <w:color w:val="auto"/>
          <w:sz w:val="24"/>
          <w:highlight w:val="none"/>
        </w:rPr>
        <w:t>1.9合同争议的解决</w:t>
      </w:r>
      <w:bookmarkEnd w:id="62"/>
      <w:bookmarkEnd w:id="63"/>
      <w:bookmarkEnd w:id="64"/>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65" w:name="_Toc11173"/>
      <w:bookmarkStart w:id="66" w:name="_Toc15322"/>
      <w:bookmarkStart w:id="67" w:name="_Toc7245"/>
      <w:r>
        <w:rPr>
          <w:rFonts w:hint="eastAsia" w:ascii="仿宋" w:hAnsi="仿宋" w:eastAsia="仿宋" w:cs="仿宋"/>
          <w:b/>
          <w:color w:val="auto"/>
          <w:sz w:val="24"/>
          <w:highlight w:val="none"/>
        </w:rPr>
        <w:t>2.0 合同生效</w:t>
      </w:r>
      <w:bookmarkEnd w:id="65"/>
      <w:bookmarkEnd w:id="66"/>
      <w:bookmarkEnd w:id="67"/>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ascii="仿宋" w:eastAsia="仿宋" w:cs="仿宋"/>
          <w:color w:val="auto"/>
          <w:sz w:val="24"/>
          <w:highlight w:val="none"/>
        </w:rPr>
      </w:pPr>
    </w:p>
    <w:p>
      <w:pPr>
        <w:rPr>
          <w:rFonts w:ascii="仿宋" w:hAnsi="仿宋" w:eastAsia="仿宋" w:cs="仿宋"/>
          <w:color w:val="auto"/>
          <w:sz w:val="24"/>
          <w:highlight w:val="none"/>
        </w:rPr>
      </w:pPr>
    </w:p>
    <w:p>
      <w:pPr>
        <w:pStyle w:val="4"/>
        <w:rPr>
          <w:rFonts w:ascii="仿宋" w:eastAsia="仿宋" w:cs="仿宋"/>
          <w:color w:val="auto"/>
          <w:sz w:val="24"/>
          <w:highlight w:val="none"/>
        </w:rPr>
      </w:pPr>
    </w:p>
    <w:p>
      <w:pPr>
        <w:rPr>
          <w:rFonts w:ascii="仿宋" w:hAnsi="仿宋" w:eastAsia="仿宋" w:cs="仿宋"/>
          <w:color w:val="auto"/>
          <w:sz w:val="24"/>
          <w:highlight w:val="none"/>
        </w:rPr>
      </w:pPr>
    </w:p>
    <w:p>
      <w:pPr>
        <w:pStyle w:val="4"/>
        <w:rPr>
          <w:rFonts w:ascii="仿宋" w:eastAsia="仿宋" w:cs="仿宋"/>
          <w:color w:val="auto"/>
          <w:sz w:val="24"/>
          <w:highlight w:val="none"/>
        </w:rPr>
      </w:pPr>
    </w:p>
    <w:p>
      <w:pPr>
        <w:rPr>
          <w:rFonts w:ascii="仿宋" w:hAnsi="仿宋" w:eastAsia="仿宋" w:cs="仿宋"/>
          <w:color w:val="auto"/>
          <w:sz w:val="24"/>
          <w:highlight w:val="none"/>
        </w:rPr>
      </w:pPr>
    </w:p>
    <w:p>
      <w:pPr>
        <w:pStyle w:val="703"/>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68" w:name="_Ref467378463"/>
      <w:bookmarkStart w:id="69" w:name="_Ref467379109"/>
      <w:bookmarkStart w:id="70" w:name="_Ref467379225"/>
      <w:bookmarkStart w:id="71" w:name="_Toc16917"/>
      <w:bookmarkStart w:id="72" w:name="_Ref467379195"/>
      <w:bookmarkStart w:id="73" w:name="_Toc28763"/>
      <w:bookmarkStart w:id="74" w:name="_Ref467379094"/>
      <w:bookmarkStart w:id="75" w:name="_Toc259093669"/>
      <w:bookmarkStart w:id="76" w:name="_Ref467378499"/>
      <w:bookmarkStart w:id="77" w:name="_Ref467379214"/>
      <w:bookmarkStart w:id="78" w:name="_Ref467379101"/>
      <w:bookmarkStart w:id="79" w:name="_Ref467379205"/>
      <w:bookmarkStart w:id="80" w:name="_Ref467378404"/>
      <w:bookmarkStart w:id="81" w:name="_Toc279701240"/>
      <w:bookmarkStart w:id="82" w:name="_Toc487900349"/>
      <w:bookmarkStart w:id="83" w:name="_Toc19614"/>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pPr>
        <w:spacing w:line="560" w:lineRule="exact"/>
        <w:ind w:firstLine="482" w:firstLineChars="200"/>
        <w:outlineLvl w:val="0"/>
        <w:rPr>
          <w:rFonts w:ascii="仿宋" w:hAnsi="仿宋" w:eastAsia="仿宋" w:cs="仿宋"/>
          <w:b/>
          <w:color w:val="auto"/>
          <w:sz w:val="24"/>
          <w:highlight w:val="none"/>
        </w:rPr>
      </w:pPr>
      <w:bookmarkStart w:id="87" w:name="_Toc32504"/>
      <w:bookmarkStart w:id="88" w:name="_Toc13336"/>
      <w:bookmarkStart w:id="89" w:name="_Toc279701241"/>
      <w:bookmarkStart w:id="90" w:name="_Toc259093670"/>
      <w:bookmarkStart w:id="91" w:name="_Toc487900350"/>
      <w:bookmarkStart w:id="92" w:name="_Toc27635"/>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93" w:name="_Toc487900351"/>
      <w:bookmarkStart w:id="94" w:name="_Toc31634"/>
      <w:bookmarkStart w:id="95" w:name="_Toc279701242"/>
      <w:bookmarkStart w:id="96" w:name="_Toc259093671"/>
      <w:bookmarkStart w:id="97" w:name="_Toc9829"/>
      <w:bookmarkStart w:id="98" w:name="_Toc27853"/>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9" w:name="_Toc4194"/>
      <w:bookmarkStart w:id="100" w:name="_Toc11932"/>
      <w:bookmarkStart w:id="101" w:name="_Toc29149"/>
      <w:r>
        <w:rPr>
          <w:rFonts w:hint="eastAsia" w:ascii="仿宋" w:hAnsi="仿宋" w:eastAsia="仿宋" w:cs="仿宋"/>
          <w:b/>
          <w:color w:val="auto"/>
          <w:sz w:val="24"/>
          <w:highlight w:val="none"/>
        </w:rPr>
        <w:t>2.4 包装和装运</w:t>
      </w:r>
      <w:bookmarkEnd w:id="99"/>
      <w:bookmarkEnd w:id="100"/>
      <w:bookmarkEnd w:id="10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02" w:name="_Ref467378541"/>
      <w:bookmarkStart w:id="103" w:name="_Ref467379527"/>
      <w:bookmarkStart w:id="104" w:name="_Toc487900354"/>
      <w:bookmarkStart w:id="105" w:name="_Ref467379542"/>
      <w:bookmarkStart w:id="106" w:name="_Toc259093674"/>
      <w:bookmarkStart w:id="107" w:name="_Toc279701245"/>
      <w:bookmarkStart w:id="108" w:name="_Ref467379536"/>
      <w:bookmarkStart w:id="109" w:name="_Ref467378591"/>
      <w:bookmarkStart w:id="110" w:name="_Toc26182"/>
      <w:bookmarkStart w:id="111" w:name="_Toc30272"/>
      <w:bookmarkStart w:id="112" w:name="_Toc19074"/>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pPr>
        <w:spacing w:line="560" w:lineRule="exact"/>
        <w:ind w:firstLine="480" w:firstLineChars="200"/>
        <w:rPr>
          <w:rFonts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Toc279701247"/>
      <w:bookmarkStart w:id="116" w:name="_Toc487900357"/>
      <w:bookmarkStart w:id="117" w:name="_Ref467379793"/>
      <w:bookmarkStart w:id="118" w:name="_Toc259093676"/>
      <w:bookmarkStart w:id="119"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pPr>
        <w:spacing w:line="560" w:lineRule="exact"/>
        <w:ind w:firstLine="482" w:firstLineChars="200"/>
        <w:outlineLvl w:val="0"/>
        <w:rPr>
          <w:rFonts w:ascii="仿宋" w:hAnsi="仿宋" w:eastAsia="仿宋" w:cs="仿宋"/>
          <w:b/>
          <w:color w:val="auto"/>
          <w:sz w:val="24"/>
          <w:highlight w:val="none"/>
        </w:rPr>
      </w:pPr>
      <w:bookmarkStart w:id="121" w:name="_Toc487900358"/>
      <w:bookmarkStart w:id="122" w:name="_Ref467379863"/>
      <w:bookmarkStart w:id="123" w:name="_Ref467379852"/>
      <w:bookmarkStart w:id="124" w:name="_Toc259093677"/>
      <w:bookmarkStart w:id="125" w:name="_Ref467379923"/>
      <w:bookmarkStart w:id="126" w:name="_Toc279701248"/>
      <w:bookmarkStart w:id="127" w:name="_Toc16110"/>
      <w:bookmarkStart w:id="128" w:name="_Toc774"/>
      <w:bookmarkStart w:id="129" w:name="_Toc3225"/>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31" w:name="_Toc17244"/>
      <w:bookmarkStart w:id="132" w:name="_Toc279701252"/>
      <w:bookmarkStart w:id="133" w:name="_Toc259093681"/>
      <w:bookmarkStart w:id="134" w:name="_Toc487900362"/>
      <w:r>
        <w:rPr>
          <w:rFonts w:hint="eastAsia" w:ascii="仿宋" w:hAnsi="仿宋" w:eastAsia="仿宋" w:cs="仿宋"/>
          <w:b/>
          <w:color w:val="auto"/>
          <w:sz w:val="24"/>
          <w:highlight w:val="none"/>
        </w:rPr>
        <w:t>2.8 货物的风险负担</w:t>
      </w:r>
      <w:bookmarkEnd w:id="131"/>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136" w:name="_Toc7502"/>
      <w:bookmarkStart w:id="137" w:name="_Toc279701254"/>
      <w:bookmarkStart w:id="138" w:name="_Toc487900364"/>
      <w:bookmarkStart w:id="139" w:name="_Toc259093683"/>
      <w:bookmarkStart w:id="140" w:name="_Ref467378121"/>
      <w:r>
        <w:rPr>
          <w:rFonts w:hint="eastAsia" w:ascii="仿宋" w:hAnsi="仿宋" w:eastAsia="仿宋" w:cs="仿宋"/>
          <w:b/>
          <w:color w:val="auto"/>
          <w:sz w:val="24"/>
          <w:highlight w:val="none"/>
        </w:rPr>
        <w:t>2.10 合同变更</w:t>
      </w:r>
      <w:bookmarkEnd w:id="13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79701259"/>
      <w:bookmarkStart w:id="143" w:name="_Toc259093688"/>
    </w:p>
    <w:p>
      <w:pPr>
        <w:spacing w:line="560" w:lineRule="exact"/>
        <w:ind w:firstLine="482" w:firstLineChars="200"/>
        <w:outlineLvl w:val="0"/>
        <w:rPr>
          <w:rFonts w:ascii="仿宋" w:hAnsi="仿宋" w:eastAsia="仿宋" w:cs="仿宋"/>
          <w:b/>
          <w:color w:val="auto"/>
          <w:sz w:val="24"/>
          <w:highlight w:val="none"/>
        </w:rPr>
      </w:pPr>
      <w:bookmarkStart w:id="144" w:name="_Toc10366"/>
      <w:bookmarkStart w:id="145" w:name="_Toc15237"/>
      <w:bookmarkStart w:id="146" w:name="_Toc22955"/>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147" w:name="_Toc16508"/>
      <w:bookmarkStart w:id="148" w:name="_Toc13566"/>
      <w:bookmarkStart w:id="149" w:name="_Toc14066"/>
      <w:r>
        <w:rPr>
          <w:rFonts w:hint="eastAsia" w:ascii="仿宋" w:hAnsi="仿宋" w:eastAsia="仿宋" w:cs="仿宋"/>
          <w:b/>
          <w:color w:val="auto"/>
          <w:sz w:val="24"/>
          <w:highlight w:val="none"/>
        </w:rPr>
        <w:t>2.12 不可抗力</w:t>
      </w:r>
      <w:bookmarkEnd w:id="147"/>
      <w:bookmarkEnd w:id="148"/>
      <w:bookmarkEnd w:id="14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50" w:name="_Toc30676"/>
      <w:bookmarkStart w:id="151" w:name="_Toc279701255"/>
      <w:bookmarkStart w:id="152" w:name="_Toc689"/>
      <w:bookmarkStart w:id="153" w:name="_Toc259093684"/>
      <w:bookmarkStart w:id="154" w:name="_Toc487900365"/>
      <w:bookmarkStart w:id="155" w:name="_Toc6969"/>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156" w:name="_Toc487900368"/>
      <w:bookmarkStart w:id="157" w:name="_Toc16959"/>
      <w:bookmarkStart w:id="158" w:name="_Toc7102"/>
      <w:bookmarkStart w:id="159" w:name="_Toc259093687"/>
      <w:bookmarkStart w:id="160" w:name="_Toc279701258"/>
      <w:bookmarkStart w:id="161" w:name="_Toc829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62" w:name="_Toc15387"/>
      <w:bookmarkStart w:id="163" w:name="_Toc29333"/>
      <w:bookmarkStart w:id="164" w:name="_Toc6134"/>
      <w:r>
        <w:rPr>
          <w:rFonts w:hint="eastAsia" w:ascii="仿宋" w:hAnsi="仿宋" w:eastAsia="仿宋" w:cs="仿宋"/>
          <w:b/>
          <w:color w:val="auto"/>
          <w:sz w:val="24"/>
          <w:highlight w:val="none"/>
        </w:rPr>
        <w:t>2.15 合同中止、终止</w:t>
      </w:r>
      <w:bookmarkEnd w:id="162"/>
      <w:bookmarkEnd w:id="163"/>
      <w:bookmarkEnd w:id="16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65" w:name="_Toc6596"/>
      <w:bookmarkStart w:id="166" w:name="_Toc1125"/>
      <w:bookmarkStart w:id="167" w:name="_Toc14563"/>
      <w:r>
        <w:rPr>
          <w:rFonts w:hint="eastAsia" w:ascii="仿宋" w:hAnsi="仿宋" w:eastAsia="仿宋" w:cs="仿宋"/>
          <w:b/>
          <w:color w:val="auto"/>
          <w:sz w:val="24"/>
          <w:highlight w:val="none"/>
        </w:rPr>
        <w:t>2.16检验和验收</w:t>
      </w:r>
      <w:bookmarkEnd w:id="165"/>
      <w:bookmarkEnd w:id="166"/>
      <w:bookmarkEnd w:id="167"/>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pPr>
        <w:spacing w:line="560" w:lineRule="exact"/>
        <w:ind w:firstLine="482" w:firstLineChars="200"/>
        <w:outlineLvl w:val="0"/>
        <w:rPr>
          <w:rFonts w:ascii="仿宋" w:hAnsi="仿宋" w:eastAsia="仿宋" w:cs="仿宋"/>
          <w:b/>
          <w:color w:val="auto"/>
          <w:sz w:val="24"/>
          <w:highlight w:val="none"/>
        </w:rPr>
      </w:pPr>
      <w:bookmarkStart w:id="168" w:name="_Toc487900371"/>
      <w:bookmarkStart w:id="169" w:name="_Toc279701261"/>
      <w:bookmarkStart w:id="170" w:name="_Toc259093690"/>
      <w:bookmarkStart w:id="171" w:name="_Toc19604"/>
      <w:bookmarkStart w:id="172" w:name="_Toc25182"/>
      <w:bookmarkStart w:id="173" w:name="_Toc1128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pPr>
        <w:spacing w:line="560" w:lineRule="exact"/>
        <w:ind w:firstLine="480" w:firstLineChars="200"/>
        <w:rPr>
          <w:rFonts w:ascii="仿宋" w:hAnsi="仿宋" w:eastAsia="仿宋" w:cs="仿宋"/>
          <w:color w:val="auto"/>
          <w:sz w:val="24"/>
          <w:highlight w:val="none"/>
        </w:rPr>
      </w:pPr>
      <w:bookmarkStart w:id="174" w:name="_Toc6698"/>
      <w:bookmarkStart w:id="175" w:name="_Toc3135"/>
      <w:bookmarkStart w:id="176" w:name="_Toc279701262"/>
      <w:bookmarkStart w:id="177" w:name="_Toc259093691"/>
      <w:bookmarkStart w:id="178"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pPr>
        <w:spacing w:line="560" w:lineRule="exact"/>
        <w:ind w:firstLine="480" w:firstLineChars="200"/>
        <w:rPr>
          <w:rFonts w:ascii="仿宋" w:hAnsi="仿宋" w:eastAsia="仿宋" w:cs="仿宋"/>
          <w:color w:val="auto"/>
          <w:sz w:val="24"/>
          <w:highlight w:val="none"/>
        </w:rPr>
      </w:pPr>
      <w:bookmarkStart w:id="179" w:name="_Toc23128"/>
      <w:bookmarkStart w:id="180"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560" w:lineRule="exact"/>
        <w:ind w:firstLine="482" w:firstLineChars="200"/>
        <w:outlineLvl w:val="0"/>
        <w:rPr>
          <w:rFonts w:ascii="仿宋" w:hAnsi="仿宋" w:eastAsia="仿宋" w:cs="仿宋"/>
          <w:b/>
          <w:color w:val="auto"/>
          <w:sz w:val="24"/>
          <w:highlight w:val="none"/>
        </w:rPr>
      </w:pPr>
      <w:bookmarkStart w:id="181" w:name="_Toc18540"/>
      <w:bookmarkStart w:id="182" w:name="_Toc30599"/>
      <w:bookmarkStart w:id="183" w:name="_Toc4355"/>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84" w:name="_Toc18567"/>
      <w:bookmarkStart w:id="185" w:name="_Toc487900373"/>
      <w:bookmarkStart w:id="186" w:name="_Toc12773"/>
      <w:bookmarkStart w:id="187" w:name="_Toc279701263"/>
      <w:bookmarkStart w:id="188" w:name="_Toc10330"/>
      <w:bookmarkStart w:id="189" w:name="_Toc259093692"/>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90" w:name="_Toc14001"/>
      <w:bookmarkStart w:id="191" w:name="_Toc6885"/>
      <w:bookmarkStart w:id="192" w:name="_Toc19890"/>
      <w:r>
        <w:rPr>
          <w:rFonts w:hint="eastAsia" w:ascii="仿宋" w:hAnsi="仿宋" w:eastAsia="仿宋" w:cs="仿宋"/>
          <w:b/>
          <w:color w:val="auto"/>
          <w:sz w:val="24"/>
          <w:highlight w:val="none"/>
        </w:rPr>
        <w:t>2.20 合同份数</w:t>
      </w:r>
      <w:bookmarkEnd w:id="190"/>
      <w:bookmarkEnd w:id="191"/>
      <w:bookmarkEnd w:id="19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ascii="仿宋" w:hAnsi="仿宋" w:eastAsia="仿宋" w:cs="仿宋"/>
                <w:color w:val="auto"/>
                <w:sz w:val="24"/>
                <w:highlight w:val="none"/>
              </w:rPr>
            </w:pPr>
          </w:p>
        </w:tc>
      </w:tr>
    </w:tbl>
    <w:p>
      <w:pPr>
        <w:rPr>
          <w:rFonts w:ascii="仿宋" w:hAnsi="仿宋" w:eastAsia="仿宋" w:cs="仿宋"/>
          <w:color w:val="auto"/>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70</w:t>
      </w:r>
      <w:r>
        <w:rPr>
          <w:rFonts w:hint="eastAsia" w:ascii="仿宋" w:hAnsi="仿宋" w:eastAsia="仿宋" w:cs="仿宋"/>
          <w:b/>
          <w:bCs/>
          <w:iCs/>
          <w:color w:val="auto"/>
          <w:sz w:val="24"/>
          <w:highlight w:val="none"/>
        </w:rPr>
        <w:t>分）</w:t>
      </w:r>
    </w:p>
    <w:p>
      <w:pPr>
        <w:spacing w:line="440" w:lineRule="exact"/>
        <w:rPr>
          <w:rFonts w:hint="default" w:ascii="仿宋" w:hAnsi="仿宋" w:eastAsia="仿宋" w:cs="仿宋"/>
          <w:b/>
          <w:color w:val="auto"/>
          <w:sz w:val="32"/>
          <w:szCs w:val="20"/>
          <w:highlight w:val="none"/>
          <w:lang w:val="en-US" w:eastAsia="zh-CN"/>
        </w:rPr>
      </w:pPr>
      <w:r>
        <w:rPr>
          <w:rFonts w:hint="eastAsia" w:ascii="仿宋" w:hAnsi="仿宋" w:eastAsia="仿宋" w:cs="仿宋"/>
          <w:b/>
          <w:bCs/>
          <w:iCs/>
          <w:color w:val="auto"/>
          <w:sz w:val="24"/>
          <w:highlight w:val="none"/>
          <w:lang w:val="en-US" w:eastAsia="zh-CN"/>
        </w:rPr>
        <w:t>01标</w:t>
      </w:r>
    </w:p>
    <w:tbl>
      <w:tblPr>
        <w:tblStyle w:val="64"/>
        <w:tblW w:w="51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147"/>
        <w:gridCol w:w="6829"/>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序号</w:t>
            </w:r>
          </w:p>
        </w:tc>
        <w:tc>
          <w:tcPr>
            <w:tcW w:w="605"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评审内容</w:t>
            </w: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评分标准</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1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605"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总体技术方案</w:t>
            </w: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根据投标产品技术指标要求，完全满足采购文件技术指标要求的得35分。技术指标中打“▲”号的指标每有一项负偏离的扣5分，其他一般指标负偏离的每有一项扣2分，扣完为止。</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1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605"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产品成熟度</w:t>
            </w: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根据投标人的设备技术先进性、市场占有率，与原有机房设备的兼容性、成熟性等方面由专家横向比较打分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14" w:type="pct"/>
            <w:vMerge w:val="restart"/>
            <w:tcBorders>
              <w:top w:val="single" w:color="auto" w:sz="4" w:space="0"/>
              <w:left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605" w:type="pct"/>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资质与工程师</w:t>
            </w:r>
          </w:p>
        </w:tc>
        <w:tc>
          <w:tcPr>
            <w:tcW w:w="3605" w:type="pct"/>
            <w:tcBorders>
              <w:top w:val="single" w:color="auto" w:sz="4" w:space="0"/>
              <w:left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投标人具有ISO20000 信息技术服务管理认证的得 2 分；</w:t>
            </w:r>
          </w:p>
          <w:p>
            <w:pPr>
              <w:spacing w:line="24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投标人具有 ISO27001 信息安全管理体系认证证书的得 2 分。投标人具有ISO9001质量管理体系认证证书的得 1分（注：开标时提供认证证书扫描件）最高得5分</w:t>
            </w:r>
            <w:r>
              <w:rPr>
                <w:rFonts w:hint="eastAsia" w:ascii="仿宋" w:hAnsi="仿宋" w:eastAsia="仿宋" w:cs="仿宋"/>
                <w:color w:val="auto"/>
                <w:sz w:val="21"/>
                <w:szCs w:val="21"/>
                <w:highlight w:val="none"/>
                <w:lang w:eastAsia="zh-CN"/>
              </w:rPr>
              <w:t>。</w:t>
            </w:r>
          </w:p>
        </w:tc>
        <w:tc>
          <w:tcPr>
            <w:tcW w:w="374" w:type="pct"/>
            <w:tcBorders>
              <w:top w:val="single" w:color="auto" w:sz="4" w:space="0"/>
              <w:left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4" w:type="pct"/>
            <w:vMerge w:val="continue"/>
            <w:tcBorders>
              <w:left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605"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拟投入本项目团队人员具有中国网络安全审查技术与认证中心颁发的信息安全保障人员认证证书（CISAW）的，每人得1分，最高得2分（需提供相关工程师证书复和</w:t>
            </w:r>
            <w:r>
              <w:rPr>
                <w:rFonts w:hint="eastAsia" w:ascii="仿宋" w:hAnsi="仿宋" w:eastAsia="仿宋" w:cs="仿宋"/>
                <w:color w:val="auto"/>
                <w:sz w:val="21"/>
                <w:szCs w:val="21"/>
                <w:highlight w:val="none"/>
              </w:rPr>
              <w:t>社保缴纳证明</w:t>
            </w:r>
            <w:r>
              <w:rPr>
                <w:rFonts w:hint="eastAsia" w:ascii="仿宋" w:hAnsi="仿宋" w:eastAsia="仿宋" w:cs="仿宋"/>
                <w:color w:val="auto"/>
                <w:sz w:val="21"/>
                <w:szCs w:val="21"/>
                <w:highlight w:val="none"/>
              </w:rPr>
              <w:t>扫描件并加盖投标人公章，原件签订合同前备查）。</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4" w:type="pct"/>
            <w:vMerge w:val="continue"/>
            <w:tcBorders>
              <w:left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605"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拟投入本项目团队人员具有ORACLE OCP或OCM认证工程师的，每人得1分，最高得2分（需提供相关工程师证书复和</w:t>
            </w:r>
            <w:r>
              <w:rPr>
                <w:rFonts w:hint="eastAsia" w:ascii="仿宋" w:hAnsi="仿宋" w:eastAsia="仿宋" w:cs="仿宋"/>
                <w:color w:val="auto"/>
                <w:sz w:val="21"/>
                <w:szCs w:val="21"/>
                <w:highlight w:val="none"/>
              </w:rPr>
              <w:t>社保缴纳证明</w:t>
            </w:r>
            <w:r>
              <w:rPr>
                <w:rFonts w:hint="eastAsia" w:ascii="仿宋" w:hAnsi="仿宋" w:eastAsia="仿宋" w:cs="仿宋"/>
                <w:color w:val="auto"/>
                <w:sz w:val="21"/>
                <w:szCs w:val="21"/>
                <w:highlight w:val="none"/>
              </w:rPr>
              <w:t>扫描件并加盖投标人公章，原件签订合同前备查）。</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4" w:type="pct"/>
            <w:vMerge w:val="continue"/>
            <w:tcBorders>
              <w:left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605"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投标人具有DELL服务器设备认证工程师；每有一名原厂认证工程师得1分，最高2分（需提供相关工程师证书复和</w:t>
            </w:r>
            <w:r>
              <w:rPr>
                <w:rFonts w:hint="eastAsia" w:ascii="仿宋" w:hAnsi="仿宋" w:eastAsia="仿宋" w:cs="仿宋"/>
                <w:color w:val="auto"/>
                <w:sz w:val="21"/>
                <w:szCs w:val="21"/>
                <w:highlight w:val="none"/>
              </w:rPr>
              <w:t>社保缴纳证明</w:t>
            </w:r>
            <w:r>
              <w:rPr>
                <w:rFonts w:hint="eastAsia" w:ascii="仿宋" w:hAnsi="仿宋" w:eastAsia="仿宋" w:cs="仿宋"/>
                <w:color w:val="auto"/>
                <w:sz w:val="21"/>
                <w:szCs w:val="21"/>
                <w:highlight w:val="none"/>
              </w:rPr>
              <w:t>扫描件并加盖投标人公章，原件签订合同前备查）。</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4" w:type="pct"/>
            <w:vMerge w:val="continue"/>
            <w:tcBorders>
              <w:left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605"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投标人具有所投品牌存储设备认证工程师；每有一名原厂认证工程师得1分，最高2分（需提供相关工程师证书复</w:t>
            </w:r>
            <w:r>
              <w:rPr>
                <w:rFonts w:hint="eastAsia" w:ascii="仿宋" w:hAnsi="仿宋" w:eastAsia="仿宋" w:cs="仿宋"/>
                <w:color w:val="auto"/>
                <w:sz w:val="21"/>
                <w:szCs w:val="21"/>
                <w:highlight w:val="none"/>
              </w:rPr>
              <w:t>和社保缴</w:t>
            </w:r>
            <w:r>
              <w:rPr>
                <w:rFonts w:hint="eastAsia" w:ascii="仿宋" w:hAnsi="仿宋" w:eastAsia="仿宋" w:cs="仿宋"/>
                <w:color w:val="auto"/>
                <w:sz w:val="21"/>
                <w:szCs w:val="21"/>
                <w:highlight w:val="none"/>
              </w:rPr>
              <w:t>纳证明扫描件并加盖投标人公章，原件签订合同前备查）。</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4" w:type="pct"/>
            <w:vMerge w:val="continue"/>
            <w:tcBorders>
              <w:left w:val="single" w:color="auto" w:sz="4" w:space="0"/>
              <w:bottom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605"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color w:val="auto"/>
                <w:sz w:val="21"/>
                <w:szCs w:val="21"/>
                <w:highlight w:val="none"/>
              </w:rPr>
            </w:pP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投标人具有工信部ITSS IT服务人员，每1名认证工程师得1分，最高得2分（需提供相关工程师证书复和</w:t>
            </w:r>
            <w:r>
              <w:rPr>
                <w:rFonts w:hint="eastAsia" w:ascii="仿宋" w:hAnsi="仿宋" w:eastAsia="仿宋" w:cs="仿宋"/>
                <w:color w:val="auto"/>
                <w:sz w:val="21"/>
                <w:szCs w:val="21"/>
                <w:highlight w:val="none"/>
              </w:rPr>
              <w:t>社保缴纳</w:t>
            </w:r>
            <w:r>
              <w:rPr>
                <w:rFonts w:hint="eastAsia" w:ascii="仿宋" w:hAnsi="仿宋" w:eastAsia="仿宋" w:cs="仿宋"/>
                <w:color w:val="auto"/>
                <w:sz w:val="21"/>
                <w:szCs w:val="21"/>
                <w:highlight w:val="none"/>
              </w:rPr>
              <w:t>证明扫描件并加盖投标人公章，原件签订合同前备查）。</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1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605"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迁移方案</w:t>
            </w: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根据投标人针对本项目不停机虚拟机迁移和切换，在不影响采购人正常业务前提下，提供的数据迁移方案进行打分，</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rPr>
              <w:t>。</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1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605"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投标人业绩</w:t>
            </w: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以2021年至今</w:t>
            </w:r>
            <w:r>
              <w:rPr>
                <w:rFonts w:hint="eastAsia" w:ascii="仿宋" w:hAnsi="仿宋" w:eastAsia="仿宋" w:cs="仿宋"/>
                <w:color w:val="auto"/>
                <w:sz w:val="21"/>
                <w:szCs w:val="21"/>
                <w:highlight w:val="none"/>
              </w:rPr>
              <w:t>类似项目</w:t>
            </w:r>
            <w:r>
              <w:rPr>
                <w:rFonts w:hint="eastAsia" w:ascii="仿宋" w:hAnsi="仿宋" w:eastAsia="仿宋" w:cs="仿宋"/>
                <w:color w:val="auto"/>
                <w:sz w:val="21"/>
                <w:szCs w:val="21"/>
                <w:highlight w:val="none"/>
              </w:rPr>
              <w:t>成功案例,经评标小组认定为符合要求的每有一个得1分,最高不超过3分,非工程转包合同。</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1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605"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售后服务情况</w:t>
            </w:r>
          </w:p>
        </w:tc>
        <w:tc>
          <w:tcPr>
            <w:tcW w:w="3605"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根据投标公司能否有技术和能力提供本地化售后服务及本地化团队、人员资质证书、社保证明、人员参与项目建设经历等方面由专家横向比较进行打分，</w:t>
            </w:r>
            <w:r>
              <w:rPr>
                <w:rFonts w:hint="eastAsia" w:ascii="仿宋" w:hAnsi="仿宋" w:eastAsia="仿宋" w:cs="仿宋"/>
                <w:color w:val="auto"/>
                <w:sz w:val="21"/>
                <w:szCs w:val="21"/>
                <w:highlight w:val="none"/>
                <w:lang w:val="en-US" w:eastAsia="zh-CN"/>
              </w:rPr>
              <w:t>0-7分</w:t>
            </w:r>
            <w:r>
              <w:rPr>
                <w:rFonts w:hint="eastAsia" w:ascii="仿宋" w:hAnsi="仿宋" w:eastAsia="仿宋" w:cs="仿宋"/>
                <w:color w:val="auto"/>
                <w:sz w:val="21"/>
                <w:szCs w:val="21"/>
                <w:highlight w:val="none"/>
              </w:rPr>
              <w:t>。</w:t>
            </w:r>
          </w:p>
        </w:tc>
        <w:tc>
          <w:tcPr>
            <w:tcW w:w="37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r>
    </w:tbl>
    <w:p>
      <w:pPr>
        <w:spacing w:line="440" w:lineRule="exact"/>
        <w:rPr>
          <w:rFonts w:hint="eastAsia" w:ascii="仿宋" w:hAnsi="仿宋" w:eastAsia="仿宋" w:cs="仿宋"/>
          <w:b/>
          <w:bCs/>
          <w:iCs/>
          <w:color w:val="auto"/>
          <w:sz w:val="24"/>
          <w:highlight w:val="none"/>
          <w:lang w:val="en-US" w:eastAsia="zh-CN"/>
        </w:rPr>
      </w:pPr>
      <w:r>
        <w:rPr>
          <w:rFonts w:hint="eastAsia" w:ascii="仿宋" w:hAnsi="仿宋" w:eastAsia="仿宋" w:cs="仿宋"/>
          <w:b/>
          <w:bCs/>
          <w:iCs/>
          <w:color w:val="auto"/>
          <w:sz w:val="24"/>
          <w:highlight w:val="none"/>
        </w:rPr>
        <w:t> </w:t>
      </w:r>
      <w:r>
        <w:rPr>
          <w:rFonts w:hint="eastAsia" w:ascii="仿宋" w:hAnsi="仿宋" w:eastAsia="仿宋" w:cs="仿宋"/>
          <w:b/>
          <w:bCs/>
          <w:iCs/>
          <w:color w:val="auto"/>
          <w:sz w:val="24"/>
          <w:highlight w:val="none"/>
          <w:lang w:val="en-US" w:eastAsia="zh-CN"/>
        </w:rPr>
        <w:t>02标</w:t>
      </w:r>
    </w:p>
    <w:tbl>
      <w:tblPr>
        <w:tblStyle w:val="64"/>
        <w:tblW w:w="929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4"/>
        <w:gridCol w:w="1101"/>
        <w:gridCol w:w="1134"/>
        <w:gridCol w:w="5670"/>
        <w:gridCol w:w="6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eastAsia="zh-CN" w:bidi="ar"/>
              </w:rPr>
              <w:t>序号</w:t>
            </w: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类别</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评审内容</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评分标准</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71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1</w:t>
            </w:r>
          </w:p>
        </w:tc>
        <w:tc>
          <w:tcPr>
            <w:tcW w:w="110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资信部分（1</w:t>
            </w: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综合能力</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投标人情况由评委根据供应商的自身实力，结合对相关的技术人员、项目建设维护经验及其他的基本情况进行评分。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1、投标人或所投产品厂商同时具备ISO系列证书，9001/27001/20000证书。</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2、投标人或所投产品厂商具备CMMI3能力成熟度模型集成认证证书。</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3、投标人或所投产品厂商具备成熟度三级及以上的ITSS(信息技术服务标准)认证资格。</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4、投标人或所投产品厂商为国家网络与信息安全信息通报机制技术支持单位。</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5、所投产品厂商具备政府颁布的地市级专利示范企业证书。</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以上资质要求满足一条得2分，本项最高得10分，投标时提供相关资质复印件证明并加盖公章。</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1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p>
        </w:tc>
        <w:tc>
          <w:tcPr>
            <w:tcW w:w="110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企业业绩</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所投产品近三年（2021年1月1日至今）类似项目业绩证明，数据库审计相关业绩证明，每具有一个得1分，最高得</w:t>
            </w: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分，需提供合同复印件加盖公章；未提供以上业绩证明材料者不得分。</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0" w:hRule="atLeast"/>
          <w:jc w:val="center"/>
        </w:trPr>
        <w:tc>
          <w:tcPr>
            <w:tcW w:w="71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2</w:t>
            </w:r>
          </w:p>
        </w:tc>
        <w:tc>
          <w:tcPr>
            <w:tcW w:w="110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技术方案及售后服务（4</w:t>
            </w:r>
            <w:r>
              <w:rPr>
                <w:rFonts w:hint="eastAsia" w:ascii="仿宋" w:hAnsi="仿宋" w:eastAsia="仿宋" w:cs="仿宋"/>
                <w:color w:val="auto"/>
                <w:sz w:val="21"/>
                <w:szCs w:val="21"/>
                <w:highlight w:val="none"/>
                <w:lang w:val="en-US" w:eastAsia="zh-CN" w:bidi="ar"/>
              </w:rPr>
              <w:t>2</w:t>
            </w:r>
            <w:r>
              <w:rPr>
                <w:rFonts w:hint="eastAsia" w:ascii="仿宋" w:hAnsi="仿宋" w:eastAsia="仿宋" w:cs="仿宋"/>
                <w:color w:val="auto"/>
                <w:sz w:val="21"/>
                <w:szCs w:val="21"/>
                <w:highlight w:val="none"/>
                <w:lang w:bidi="ar"/>
              </w:rPr>
              <w:t>分）</w:t>
            </w:r>
          </w:p>
        </w:tc>
        <w:tc>
          <w:tcPr>
            <w:tcW w:w="1134"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基本技术分</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技术参数响应情况：对应于招标文件针对招标项目的各项要求，完全满足指标参数得</w:t>
            </w:r>
            <w:r>
              <w:rPr>
                <w:rFonts w:hint="eastAsia" w:ascii="仿宋" w:hAnsi="仿宋" w:eastAsia="仿宋" w:cs="仿宋"/>
                <w:color w:val="auto"/>
                <w:sz w:val="21"/>
                <w:szCs w:val="21"/>
                <w:highlight w:val="none"/>
                <w:lang w:val="en-US" w:eastAsia="zh-CN" w:bidi="ar"/>
              </w:rPr>
              <w:t>14</w:t>
            </w:r>
            <w:r>
              <w:rPr>
                <w:rFonts w:hint="eastAsia" w:ascii="仿宋" w:hAnsi="仿宋" w:eastAsia="仿宋" w:cs="仿宋"/>
                <w:color w:val="auto"/>
                <w:sz w:val="21"/>
                <w:szCs w:val="21"/>
                <w:highlight w:val="none"/>
                <w:lang w:bidi="ar"/>
              </w:rPr>
              <w:t>分。打“▲”为主要性能指标，每有一项负偏离扣2分；其他指标，每有一项负偏离扣1分，扣完为止。</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注：同一参数有演示或提供功能视频打分的，按演示或提供功能视频打分，不重复打分。</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bidi="ar"/>
              </w:rPr>
              <w:t>1</w:t>
            </w:r>
            <w:r>
              <w:rPr>
                <w:rFonts w:hint="eastAsia" w:ascii="仿宋" w:hAnsi="仿宋" w:eastAsia="仿宋" w:cs="仿宋"/>
                <w:color w:val="auto"/>
                <w:sz w:val="21"/>
                <w:szCs w:val="21"/>
                <w:highlight w:val="none"/>
                <w:lang w:val="en-US" w:eastAsia="zh-CN" w:bidi="ar"/>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714"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p>
        </w:tc>
        <w:tc>
          <w:tcPr>
            <w:tcW w:w="1101"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p>
        </w:tc>
        <w:tc>
          <w:tcPr>
            <w:tcW w:w="1134"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项目设计方案</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能够对采购人的实际需求提出合理的设计方案（0-1），功能模块、实现思路和关键技术的实施方案具备较强的落地性和实施性（0-1）。有完善的质量保障体系，可行的质量保障措施,投标人提出的实施方案（0-1）和应急方案（0-1）。能够识别风险且有风险应对措施.</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0" w:hRule="atLeast"/>
          <w:jc w:val="center"/>
        </w:trPr>
        <w:tc>
          <w:tcPr>
            <w:tcW w:w="714"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p>
        </w:tc>
        <w:tc>
          <w:tcPr>
            <w:tcW w:w="1101"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p>
        </w:tc>
        <w:tc>
          <w:tcPr>
            <w:tcW w:w="1134"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兼容性要求</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根据所投产品和国产化设备的兼容性情况进行打分，每提供一个国产化兼容性证书（数据库、芯片、操作系统、服务器）相互兼容认证得0.5分，最高得4分。</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0" w:hRule="atLeast"/>
          <w:jc w:val="center"/>
        </w:trPr>
        <w:tc>
          <w:tcPr>
            <w:tcW w:w="714"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p>
        </w:tc>
        <w:tc>
          <w:tcPr>
            <w:tcW w:w="1101"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p>
        </w:tc>
        <w:tc>
          <w:tcPr>
            <w:tcW w:w="1134"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产品资质</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所投产品具备国家版权局颁发的《计算机软件著作权登记证书》得1分；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所投产品具备ISCCC颁发的《中国国家信息安全产品认证证书》得2分；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所投产品具备国家保密科技测评中心颁发的《涉密信息系统产品检测证书》得2分；</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714"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p>
        </w:tc>
        <w:tc>
          <w:tcPr>
            <w:tcW w:w="1101"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产品</w:t>
            </w:r>
            <w:r>
              <w:rPr>
                <w:rFonts w:hint="eastAsia" w:ascii="仿宋" w:hAnsi="仿宋" w:eastAsia="仿宋" w:cs="仿宋"/>
                <w:color w:val="auto"/>
                <w:sz w:val="21"/>
                <w:szCs w:val="21"/>
                <w:highlight w:val="none"/>
                <w:lang w:bidi="ar"/>
              </w:rPr>
              <w:t>售后服务能力</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本项目要求</w:t>
            </w:r>
            <w:r>
              <w:rPr>
                <w:rFonts w:hint="eastAsia" w:ascii="仿宋" w:hAnsi="仿宋" w:eastAsia="仿宋" w:cs="仿宋"/>
                <w:color w:val="auto"/>
                <w:sz w:val="21"/>
                <w:szCs w:val="21"/>
                <w:highlight w:val="none"/>
                <w:lang w:bidi="ar"/>
              </w:rPr>
              <w:t>所投产品厂商</w:t>
            </w:r>
            <w:r>
              <w:rPr>
                <w:rFonts w:hint="eastAsia" w:ascii="仿宋" w:hAnsi="仿宋" w:eastAsia="仿宋" w:cs="仿宋"/>
                <w:color w:val="auto"/>
                <w:sz w:val="21"/>
                <w:szCs w:val="21"/>
                <w:highlight w:val="none"/>
              </w:rPr>
              <w:t>提供售后实施服务和维保服务，需要为本项目配备固定的项目经理和服务团队，人员要求如下：</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1、配备的固定项目经理，其具备PMP和OCM认证，且是数据安全联盟认证专家得2分；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2、项目实施人员具备OCP（10年以上）和CISSP 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3、培训讲师具有两种或以上数据库ACE认证证书和OCM认证证书得2分；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4、配备的项目服务团队要求具备数据库专家认证（OCM）每提供一名认证得1分，最高</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rPr>
              <w:t>分；</w:t>
            </w:r>
          </w:p>
          <w:p>
            <w:pPr>
              <w:pStyle w:val="82"/>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5、本项目</w:t>
            </w:r>
            <w:r>
              <w:rPr>
                <w:rFonts w:hint="eastAsia" w:ascii="仿宋" w:hAnsi="仿宋" w:eastAsia="仿宋" w:cs="仿宋"/>
                <w:color w:val="auto"/>
                <w:kern w:val="2"/>
                <w:sz w:val="21"/>
                <w:szCs w:val="21"/>
                <w:highlight w:val="none"/>
                <w:lang w:val="en-US" w:eastAsia="zh-CN"/>
              </w:rPr>
              <w:t>所投产品厂商</w:t>
            </w:r>
            <w:r>
              <w:rPr>
                <w:rFonts w:hint="eastAsia" w:ascii="仿宋" w:hAnsi="仿宋" w:eastAsia="仿宋" w:cs="仿宋"/>
                <w:color w:val="auto"/>
                <w:kern w:val="2"/>
                <w:sz w:val="21"/>
                <w:szCs w:val="21"/>
                <w:highlight w:val="none"/>
              </w:rPr>
              <w:t>在省内具备本地化的技术服务团队并提供相关证明，总部具备得2分，分公司得1分，办事处得0.5分。</w:t>
            </w:r>
          </w:p>
          <w:p>
            <w:pPr>
              <w:pStyle w:val="82"/>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注：提供社保部门出具的</w:t>
            </w:r>
            <w:r>
              <w:rPr>
                <w:rFonts w:hint="eastAsia" w:ascii="仿宋" w:hAnsi="仿宋" w:eastAsia="仿宋" w:cs="仿宋"/>
                <w:color w:val="auto"/>
                <w:kern w:val="2"/>
                <w:sz w:val="21"/>
                <w:szCs w:val="21"/>
                <w:highlight w:val="none"/>
                <w:lang w:val="en-US" w:eastAsia="zh-CN"/>
              </w:rPr>
              <w:t>所投产品厂商</w:t>
            </w:r>
            <w:r>
              <w:rPr>
                <w:rFonts w:hint="eastAsia" w:ascii="仿宋" w:hAnsi="仿宋" w:eastAsia="仿宋" w:cs="仿宋"/>
                <w:color w:val="auto"/>
                <w:kern w:val="2"/>
                <w:sz w:val="21"/>
                <w:szCs w:val="21"/>
                <w:highlight w:val="none"/>
              </w:rPr>
              <w:t>为上述人员缴纳社保的证明资料复印件，否则不得分</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71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p>
        </w:tc>
        <w:tc>
          <w:tcPr>
            <w:tcW w:w="110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培训方案</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bidi="ar"/>
              </w:rPr>
              <w:t>根据所投产品厂商提供的售后培训方案综合打分（0-3）</w:t>
            </w:r>
            <w:r>
              <w:rPr>
                <w:rFonts w:hint="eastAsia" w:ascii="仿宋" w:hAnsi="仿宋" w:eastAsia="仿宋" w:cs="仿宋"/>
                <w:color w:val="auto"/>
                <w:sz w:val="21"/>
                <w:szCs w:val="21"/>
                <w:highlight w:val="none"/>
                <w:lang w:eastAsia="zh-CN" w:bidi="ar"/>
              </w:rPr>
              <w:t>。</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3</w:t>
            </w: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bidi="ar"/>
              </w:rPr>
              <w:t>功能演示</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15分）</w:t>
            </w:r>
          </w:p>
        </w:tc>
        <w:tc>
          <w:tcPr>
            <w:tcW w:w="680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highlight w:val="none"/>
                <w:lang w:bidi="ar"/>
              </w:rPr>
            </w:pPr>
            <w:r>
              <w:rPr>
                <w:rFonts w:hint="eastAsia" w:ascii="仿宋" w:hAnsi="仿宋" w:eastAsia="仿宋" w:cs="仿宋"/>
                <w:color w:val="auto"/>
                <w:highlight w:val="none"/>
                <w:lang w:bidi="ar"/>
              </w:rPr>
              <w:t>演示其他相关要求详见招标参数中要求。</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highlight w:val="none"/>
                <w:lang w:bidi="ar"/>
              </w:rPr>
              <w:t>投标人按功能表项目逐一进行演示或提供视频，评标委员会根据演示或</w:t>
            </w:r>
            <w:r>
              <w:rPr>
                <w:rFonts w:hint="eastAsia" w:ascii="仿宋" w:hAnsi="仿宋" w:eastAsia="仿宋" w:cs="仿宋"/>
                <w:color w:val="auto"/>
                <w:sz w:val="21"/>
                <w:szCs w:val="21"/>
                <w:highlight w:val="none"/>
                <w:lang w:bidi="ar"/>
              </w:rPr>
              <w:t>视频功能展示效果进行评分</w:t>
            </w:r>
            <w:r>
              <w:rPr>
                <w:rFonts w:hint="eastAsia" w:ascii="仿宋" w:hAnsi="仿宋" w:eastAsia="仿宋" w:cs="仿宋"/>
                <w:color w:val="auto"/>
                <w:sz w:val="21"/>
                <w:szCs w:val="21"/>
                <w:highlight w:val="none"/>
                <w:lang w:bidi="ar"/>
              </w:rPr>
              <w:t>（</w:t>
            </w:r>
            <w:r>
              <w:rPr>
                <w:rFonts w:hint="eastAsia" w:ascii="仿宋" w:hAnsi="仿宋" w:eastAsia="仿宋" w:cs="仿宋"/>
                <w:color w:val="auto"/>
                <w:sz w:val="21"/>
                <w:szCs w:val="21"/>
                <w:highlight w:val="none"/>
                <w:lang w:eastAsia="zh-CN" w:bidi="ar"/>
              </w:rPr>
              <w:t>本项</w:t>
            </w:r>
            <w:r>
              <w:rPr>
                <w:rFonts w:hint="eastAsia" w:ascii="仿宋" w:hAnsi="仿宋" w:eastAsia="仿宋" w:cs="仿宋"/>
                <w:color w:val="auto"/>
                <w:sz w:val="21"/>
                <w:szCs w:val="21"/>
                <w:highlight w:val="none"/>
                <w:lang w:bidi="ar"/>
              </w:rPr>
              <w:t>最高15分，仅提供PPT演示</w:t>
            </w:r>
            <w:r>
              <w:rPr>
                <w:rFonts w:hint="eastAsia" w:ascii="仿宋" w:hAnsi="仿宋" w:eastAsia="仿宋" w:cs="仿宋"/>
                <w:color w:val="auto"/>
                <w:sz w:val="21"/>
                <w:szCs w:val="21"/>
                <w:highlight w:val="none"/>
                <w:lang w:eastAsia="zh-CN" w:bidi="ar"/>
              </w:rPr>
              <w:t>不得分</w:t>
            </w:r>
            <w:r>
              <w:rPr>
                <w:rFonts w:hint="eastAsia" w:ascii="仿宋" w:hAnsi="仿宋" w:eastAsia="仿宋" w:cs="仿宋"/>
                <w:color w:val="auto"/>
                <w:sz w:val="21"/>
                <w:szCs w:val="21"/>
                <w:highlight w:val="none"/>
                <w:lang w:bidi="ar"/>
              </w:rPr>
              <w:t>）</w:t>
            </w:r>
            <w:r>
              <w:rPr>
                <w:rFonts w:hint="eastAsia" w:ascii="仿宋" w:hAnsi="仿宋" w:eastAsia="仿宋" w:cs="仿宋"/>
                <w:color w:val="auto"/>
                <w:sz w:val="21"/>
                <w:szCs w:val="21"/>
                <w:highlight w:val="none"/>
                <w:lang w:bidi="ar"/>
              </w:rPr>
              <w:t>。</w:t>
            </w:r>
          </w:p>
          <w:p>
            <w:pPr>
              <w:pStyle w:val="62"/>
              <w:keepNext w:val="0"/>
              <w:keepLines w:val="0"/>
              <w:pageBreakBefore w:val="0"/>
              <w:widowControl w:val="0"/>
              <w:kinsoku/>
              <w:wordWrap/>
              <w:overflowPunct/>
              <w:topLinePunct w:val="0"/>
              <w:bidi w:val="0"/>
              <w:snapToGrid/>
              <w:spacing w:line="280" w:lineRule="exact"/>
              <w:ind w:firstLine="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1、“二、</w:t>
            </w:r>
            <w:r>
              <w:rPr>
                <w:rFonts w:hint="eastAsia" w:ascii="仿宋" w:hAnsi="仿宋" w:eastAsia="仿宋" w:cs="仿宋"/>
                <w:color w:val="auto"/>
                <w:sz w:val="21"/>
                <w:szCs w:val="21"/>
                <w:highlight w:val="none"/>
                <w:lang w:val="en-US" w:eastAsia="zh-CN"/>
              </w:rPr>
              <w:t>功能</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lang w:val="en-US" w:eastAsia="zh-CN"/>
              </w:rPr>
              <w:t>审计功能</w:t>
            </w:r>
            <w:r>
              <w:rPr>
                <w:rFonts w:hint="eastAsia" w:ascii="仿宋" w:hAnsi="仿宋" w:eastAsia="仿宋" w:cs="仿宋"/>
                <w:color w:val="auto"/>
                <w:sz w:val="21"/>
                <w:szCs w:val="21"/>
                <w:highlight w:val="none"/>
              </w:rPr>
              <w:t>中的第</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小点”功能进行演示比较打分，得0-3分，不符合或不提供的不得分。</w:t>
            </w:r>
          </w:p>
          <w:p>
            <w:pPr>
              <w:pStyle w:val="62"/>
              <w:keepNext w:val="0"/>
              <w:keepLines w:val="0"/>
              <w:pageBreakBefore w:val="0"/>
              <w:widowControl w:val="0"/>
              <w:kinsoku/>
              <w:wordWrap/>
              <w:overflowPunct/>
              <w:topLinePunct w:val="0"/>
              <w:bidi w:val="0"/>
              <w:snapToGrid/>
              <w:spacing w:line="280" w:lineRule="exact"/>
              <w:ind w:firstLine="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2、“二、</w:t>
            </w:r>
            <w:r>
              <w:rPr>
                <w:rFonts w:hint="eastAsia" w:ascii="仿宋" w:hAnsi="仿宋" w:eastAsia="仿宋" w:cs="仿宋"/>
                <w:color w:val="auto"/>
                <w:sz w:val="21"/>
                <w:szCs w:val="21"/>
                <w:highlight w:val="none"/>
                <w:lang w:val="en-US" w:eastAsia="zh-CN"/>
              </w:rPr>
              <w:t>功能</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4.</w:t>
            </w:r>
            <w:r>
              <w:rPr>
                <w:rFonts w:hint="eastAsia" w:ascii="仿宋" w:hAnsi="仿宋" w:eastAsia="仿宋" w:cs="仿宋"/>
                <w:b/>
                <w:bCs/>
                <w:color w:val="auto"/>
                <w:sz w:val="21"/>
                <w:szCs w:val="21"/>
                <w:highlight w:val="none"/>
                <w:lang w:val="en-US" w:eastAsia="zh-CN"/>
              </w:rPr>
              <w:t>资产管路</w:t>
            </w:r>
            <w:r>
              <w:rPr>
                <w:rFonts w:hint="eastAsia" w:ascii="仿宋" w:hAnsi="仿宋" w:eastAsia="仿宋" w:cs="仿宋"/>
                <w:color w:val="auto"/>
                <w:sz w:val="21"/>
                <w:szCs w:val="21"/>
                <w:highlight w:val="none"/>
              </w:rPr>
              <w:t>中的第1小点”功能进行演示比较打分，得0-3分，不符合或不提供的不得分。</w:t>
            </w:r>
          </w:p>
          <w:p>
            <w:pPr>
              <w:pStyle w:val="62"/>
              <w:keepNext w:val="0"/>
              <w:keepLines w:val="0"/>
              <w:pageBreakBefore w:val="0"/>
              <w:widowControl w:val="0"/>
              <w:kinsoku/>
              <w:wordWrap/>
              <w:overflowPunct/>
              <w:topLinePunct w:val="0"/>
              <w:bidi w:val="0"/>
              <w:snapToGrid/>
              <w:spacing w:line="280" w:lineRule="exact"/>
              <w:ind w:firstLine="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3、“二、</w:t>
            </w:r>
            <w:r>
              <w:rPr>
                <w:rFonts w:hint="eastAsia" w:ascii="仿宋" w:hAnsi="仿宋" w:eastAsia="仿宋" w:cs="仿宋"/>
                <w:color w:val="auto"/>
                <w:sz w:val="21"/>
                <w:szCs w:val="21"/>
                <w:highlight w:val="none"/>
                <w:lang w:val="en-US" w:eastAsia="zh-CN"/>
              </w:rPr>
              <w:t>功能</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rPr>
              <w:t>审计日志管理</w:t>
            </w:r>
            <w:r>
              <w:rPr>
                <w:rFonts w:hint="eastAsia" w:ascii="仿宋" w:hAnsi="仿宋" w:eastAsia="仿宋" w:cs="仿宋"/>
                <w:color w:val="auto"/>
                <w:sz w:val="21"/>
                <w:szCs w:val="21"/>
                <w:highlight w:val="none"/>
              </w:rPr>
              <w:t>中的第</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小点”功能进行演示比较打分，得0-3分，不符合或不提供的不得分。</w:t>
            </w:r>
          </w:p>
          <w:p>
            <w:pPr>
              <w:pStyle w:val="62"/>
              <w:keepNext w:val="0"/>
              <w:keepLines w:val="0"/>
              <w:pageBreakBefore w:val="0"/>
              <w:widowControl w:val="0"/>
              <w:kinsoku/>
              <w:wordWrap/>
              <w:overflowPunct/>
              <w:topLinePunct w:val="0"/>
              <w:bidi w:val="0"/>
              <w:snapToGrid/>
              <w:spacing w:line="280" w:lineRule="exact"/>
              <w:ind w:firstLine="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4、“二、</w:t>
            </w:r>
            <w:r>
              <w:rPr>
                <w:rFonts w:hint="eastAsia" w:ascii="仿宋" w:hAnsi="仿宋" w:eastAsia="仿宋" w:cs="仿宋"/>
                <w:color w:val="auto"/>
                <w:sz w:val="21"/>
                <w:szCs w:val="21"/>
                <w:highlight w:val="none"/>
                <w:lang w:val="en-US" w:eastAsia="zh-CN"/>
              </w:rPr>
              <w:t>功能</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rPr>
              <w:t>风险监测与告警</w:t>
            </w:r>
            <w:r>
              <w:rPr>
                <w:rFonts w:hint="eastAsia" w:ascii="仿宋" w:hAnsi="仿宋" w:eastAsia="仿宋" w:cs="仿宋"/>
                <w:color w:val="auto"/>
                <w:sz w:val="21"/>
                <w:szCs w:val="21"/>
                <w:highlight w:val="none"/>
              </w:rPr>
              <w:t>中第</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小点”功能进行演示比较打分，得0-3分，不符合或不提供的不得分。</w:t>
            </w:r>
          </w:p>
          <w:p>
            <w:pPr>
              <w:keepNext w:val="0"/>
              <w:keepLines w:val="0"/>
              <w:pageBreakBefore w:val="0"/>
              <w:widowControl w:val="0"/>
              <w:kinsoku/>
              <w:wordWrap/>
              <w:overflowPunct/>
              <w:topLinePunct w:val="0"/>
              <w:bidi w:val="0"/>
              <w:snapToGrid/>
              <w:spacing w:line="280" w:lineRule="exact"/>
              <w:ind w:firstLine="210" w:firstLineChars="100"/>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功能</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rPr>
              <w:t>报表分析</w:t>
            </w:r>
            <w:r>
              <w:rPr>
                <w:rFonts w:hint="eastAsia" w:ascii="仿宋" w:hAnsi="仿宋" w:eastAsia="仿宋" w:cs="仿宋"/>
                <w:color w:val="auto"/>
                <w:sz w:val="21"/>
                <w:szCs w:val="21"/>
                <w:highlight w:val="none"/>
              </w:rPr>
              <w:t>中第</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小点”功能进行演示比较打分，得0-3分，不符合或不提供的不得分。</w:t>
            </w:r>
          </w:p>
        </w:tc>
        <w:tc>
          <w:tcPr>
            <w:tcW w:w="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15</w:t>
            </w:r>
          </w:p>
        </w:tc>
      </w:tr>
    </w:tbl>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30 </w:t>
      </w: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outlineLvl w:val="0"/>
        <w:rPr>
          <w:rFonts w:ascii="仿宋" w:hAnsi="仿宋" w:eastAsia="仿宋" w:cs="仿宋"/>
          <w:b/>
          <w:color w:val="auto"/>
          <w:sz w:val="36"/>
          <w:szCs w:val="20"/>
          <w:highlight w:val="none"/>
        </w:rPr>
      </w:pPr>
    </w:p>
    <w:bookmarkEnd w:id="41"/>
    <w:bookmarkEnd w:id="42"/>
    <w:p>
      <w:pPr>
        <w:widowControl/>
        <w:adjustRightInd/>
        <w:jc w:val="both"/>
        <w:rPr>
          <w:rFonts w:hint="eastAsia" w:ascii="仿宋" w:hAnsi="仿宋" w:eastAsia="仿宋" w:cs="仿宋"/>
          <w:b/>
          <w:color w:val="auto"/>
          <w:sz w:val="36"/>
          <w:szCs w:val="20"/>
          <w:highlight w:val="none"/>
        </w:rPr>
      </w:pPr>
    </w:p>
    <w:p>
      <w:pPr>
        <w:widowControl/>
        <w:adjustRightInd/>
        <w:jc w:val="both"/>
        <w:rPr>
          <w:rFonts w:hint="eastAsia" w:ascii="仿宋" w:hAnsi="仿宋" w:eastAsia="仿宋" w:cs="仿宋"/>
          <w:b/>
          <w:color w:val="auto"/>
          <w:sz w:val="36"/>
          <w:szCs w:val="20"/>
          <w:highlight w:val="none"/>
        </w:rPr>
      </w:pPr>
    </w:p>
    <w:p>
      <w:pPr>
        <w:widowControl/>
        <w:adjustRightInd/>
        <w:jc w:val="both"/>
        <w:rPr>
          <w:rFonts w:hint="eastAsia"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2"/>
        <w:rPr>
          <w:rFonts w:hint="eastAsia" w:ascii="仿宋" w:hAnsi="仿宋" w:eastAsia="仿宋" w:cs="仿宋"/>
          <w:color w:val="auto"/>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（1）</w:t>
      </w:r>
      <w:r>
        <w:rPr>
          <w:rFonts w:hint="eastAsia" w:ascii="仿宋" w:eastAsia="仿宋" w:cs="仿宋"/>
          <w:color w:val="auto"/>
          <w:highlight w:val="none"/>
        </w:rPr>
        <w:t>投标函…………………………………………………………………………（页码）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（2）</w:t>
      </w:r>
      <w:r>
        <w:rPr>
          <w:rFonts w:hint="eastAsia" w:ascii="仿宋" w:eastAsia="仿宋" w:cs="仿宋"/>
          <w:color w:val="auto"/>
          <w:highlight w:val="none"/>
        </w:rPr>
        <w:t>法定代表人授权书 ………………………………………………………… （页码）</w:t>
      </w:r>
    </w:p>
    <w:p>
      <w:pPr>
        <w:pStyle w:val="906"/>
        <w:spacing w:line="360" w:lineRule="auto"/>
        <w:ind w:left="0" w:firstLine="0" w:firstLineChars="0"/>
        <w:rPr>
          <w:rFonts w:ascii="仿宋" w:eastAsia="仿宋" w:cs="仿宋"/>
          <w:color w:val="auto"/>
          <w:highlight w:val="none"/>
        </w:rPr>
      </w:pPr>
      <w:r>
        <w:rPr>
          <w:rFonts w:ascii="仿宋" w:eastAsia="仿宋" w:cs="仿宋"/>
          <w:color w:val="auto"/>
          <w:highlight w:val="none"/>
        </w:rPr>
        <w:t>（3）</w:t>
      </w:r>
      <w:r>
        <w:rPr>
          <w:rFonts w:hint="eastAsia" w:ascii="仿宋" w:hAnsi="仿宋" w:eastAsia="仿宋" w:cs="仿宋"/>
          <w:color w:val="auto"/>
          <w:highlight w:val="none"/>
        </w:rPr>
        <w:t>授权代表社保证明……………………………………………………………（页码）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（4）</w:t>
      </w:r>
      <w:r>
        <w:rPr>
          <w:rFonts w:hint="eastAsia" w:ascii="仿宋" w:eastAsia="仿宋" w:cs="仿宋"/>
          <w:color w:val="auto"/>
          <w:highlight w:val="none"/>
        </w:rPr>
        <w:t>法定代表人及其授权代表身份证复印件（复印件）…………………………（页码）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（5）</w:t>
      </w:r>
      <w:r>
        <w:rPr>
          <w:rFonts w:hint="eastAsia" w:ascii="仿宋" w:eastAsia="仿宋" w:cs="仿宋"/>
          <w:color w:val="auto"/>
          <w:highlight w:val="none"/>
        </w:rPr>
        <w:t>法定代表人身份证明书……………………………………………………… （页码）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（6）</w:t>
      </w:r>
      <w:r>
        <w:rPr>
          <w:rFonts w:hint="eastAsia" w:ascii="仿宋" w:eastAsia="仿宋" w:cs="仿宋"/>
          <w:color w:val="auto"/>
          <w:highlight w:val="none"/>
        </w:rPr>
        <w:t>商务技术偏离表……………………………………………………………… （页码）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ascii="仿宋" w:hAnsi="仿宋" w:eastAsia="仿宋" w:cs="仿宋"/>
          <w:b/>
          <w:color w:val="auto"/>
          <w:kern w:val="0"/>
          <w:sz w:val="32"/>
          <w:szCs w:val="32"/>
          <w:highlight w:val="none"/>
        </w:rPr>
      </w:pPr>
    </w:p>
    <w:p>
      <w:pP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ascii="仿宋" w:hAnsi="仿宋" w:eastAsia="仿宋" w:cs="仿宋"/>
          <w:b/>
          <w:color w:val="auto"/>
          <w:kern w:val="0"/>
          <w:sz w:val="32"/>
          <w:szCs w:val="32"/>
          <w:highlight w:val="none"/>
        </w:rPr>
      </w:pPr>
    </w:p>
    <w:p>
      <w:pPr>
        <w:snapToGrid w:val="0"/>
        <w:spacing w:line="360" w:lineRule="auto"/>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pPr>
        <w:snapToGrid w:val="0"/>
        <w:spacing w:line="5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lang w:eastAsia="zh-CN"/>
        </w:rPr>
        <w:t>，格式自拟。</w:t>
      </w: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spacing w:line="800" w:lineRule="exact"/>
        <w:ind w:firstLine="904" w:firstLineChars="300"/>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0"/>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2"/>
        <w:rPr>
          <w:rFonts w:hint="eastAsia" w:ascii="仿宋" w:hAnsi="仿宋" w:eastAsia="仿宋" w:cs="仿宋"/>
          <w:color w:val="auto"/>
          <w:highlight w:val="none"/>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color w:val="auto"/>
          <w:kern w:val="0"/>
          <w:sz w:val="24"/>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2"/>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82"/>
        <w:rPr>
          <w:rFonts w:hint="eastAsia"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82"/>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82"/>
        <w:rPr>
          <w:rFonts w:hint="eastAsia" w:ascii="仿宋" w:hAnsi="仿宋" w:eastAsia="仿宋" w:cs="仿宋"/>
          <w:color w:val="auto"/>
          <w:highlight w:val="none"/>
        </w:rPr>
      </w:pP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pStyle w:val="82"/>
        <w:rPr>
          <w:rFonts w:hint="eastAsia"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ascii="仿宋" w:hAnsi="仿宋" w:eastAsia="仿宋" w:cs="仿宋"/>
                <w:color w:val="auto"/>
                <w:sz w:val="24"/>
                <w:highlight w:val="none"/>
              </w:rPr>
            </w:pP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highlight w:val="none"/>
              </w:rPr>
            </w:pPr>
          </w:p>
        </w:tc>
        <w:tc>
          <w:tcPr>
            <w:tcW w:w="1417" w:type="dxa"/>
            <w:vAlign w:val="center"/>
          </w:tcPr>
          <w:p>
            <w:pPr>
              <w:snapToGrid w:val="0"/>
              <w:spacing w:line="360" w:lineRule="auto"/>
              <w:jc w:val="center"/>
              <w:rPr>
                <w:rFonts w:ascii="仿宋" w:hAnsi="仿宋" w:eastAsia="仿宋" w:cs="仿宋"/>
                <w:color w:val="auto"/>
                <w:sz w:val="24"/>
                <w:highlight w:val="none"/>
              </w:rPr>
            </w:pP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360" w:lineRule="auto"/>
              <w:jc w:val="center"/>
              <w:rPr>
                <w:rFonts w:ascii="仿宋" w:hAnsi="仿宋" w:eastAsia="仿宋" w:cs="仿宋"/>
                <w:color w:val="auto"/>
                <w:sz w:val="24"/>
                <w:highlight w:val="none"/>
              </w:rPr>
            </w:pPr>
          </w:p>
        </w:tc>
      </w:tr>
    </w:tbl>
    <w:p>
      <w:pPr>
        <w:snapToGrid w:val="0"/>
        <w:spacing w:line="360" w:lineRule="auto"/>
        <w:ind w:left="480"/>
        <w:rPr>
          <w:rFonts w:ascii="仿宋" w:hAnsi="仿宋" w:eastAsia="仿宋" w:cs="仿宋"/>
          <w:b/>
          <w:color w:val="auto"/>
          <w:kern w:val="0"/>
          <w:sz w:val="24"/>
          <w:highlight w:val="none"/>
          <w:lang w:val="zh-CN"/>
        </w:rPr>
      </w:pP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highlight w:val="none"/>
        </w:rPr>
      </w:pPr>
    </w:p>
    <w:p>
      <w:pPr>
        <w:pStyle w:val="83"/>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82"/>
        <w:rPr>
          <w:rFonts w:ascii="仿宋" w:hAnsi="仿宋" w:eastAsia="仿宋" w:cs="仿宋"/>
          <w:b/>
          <w:color w:val="auto"/>
          <w:highlight w:val="none"/>
        </w:rPr>
      </w:pPr>
    </w:p>
    <w:p>
      <w:pPr>
        <w:pStyle w:val="83"/>
        <w:rPr>
          <w:rFonts w:hint="eastAsia" w:ascii="仿宋" w:hAnsi="仿宋" w:eastAsia="仿宋" w:cs="仿宋"/>
          <w:color w:val="auto"/>
          <w:highlight w:val="none"/>
        </w:rPr>
      </w:pPr>
    </w:p>
    <w:p>
      <w:pPr>
        <w:pStyle w:val="83"/>
        <w:rPr>
          <w:rFonts w:hint="eastAsia" w:ascii="仿宋" w:hAnsi="仿宋" w:eastAsia="仿宋" w:cs="仿宋"/>
          <w:color w:val="auto"/>
          <w:highlight w:val="none"/>
        </w:rPr>
      </w:pPr>
    </w:p>
    <w:p>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82"/>
        <w:widowControl/>
        <w:spacing w:line="360" w:lineRule="auto"/>
        <w:ind w:firstLine="120" w:firstLineChars="50"/>
        <w:rPr>
          <w:rFonts w:ascii="仿宋" w:hAnsi="仿宋" w:eastAsia="仿宋" w:cs="仿宋"/>
          <w:b/>
          <w:color w:val="auto"/>
          <w:highlight w:val="none"/>
        </w:rPr>
      </w:pPr>
    </w:p>
    <w:p>
      <w:pPr>
        <w:pStyle w:val="83"/>
        <w:spacing w:line="360" w:lineRule="auto"/>
        <w:ind w:left="0" w:firstLine="120" w:firstLineChars="50"/>
        <w:jc w:val="left"/>
        <w:rPr>
          <w:rFonts w:ascii="仿宋" w:hAnsi="仿宋" w:eastAsia="仿宋" w:cs="仿宋"/>
          <w:b/>
          <w:color w:val="auto"/>
          <w:sz w:val="24"/>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pPr>
        <w:spacing w:line="360" w:lineRule="auto"/>
        <w:rPr>
          <w:rFonts w:ascii="仿宋" w:hAnsi="仿宋" w:eastAsia="仿宋" w:cs="仿宋"/>
          <w:b/>
          <w:color w:val="auto"/>
          <w:sz w:val="24"/>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rPr>
          <w:rFonts w:hint="eastAsia" w:ascii="仿宋" w:hAnsi="仿宋" w:eastAsia="仿宋" w:cs="仿宋"/>
          <w:color w:val="auto"/>
          <w:highlight w:val="none"/>
        </w:rPr>
      </w:pP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hint="eastAsia" w:ascii="仿宋" w:hAnsi="仿宋" w:eastAsia="仿宋" w:cs="仿宋"/>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hint="eastAsia" w:ascii="仿宋" w:hAnsi="仿宋" w:eastAsia="仿宋" w:cs="仿宋"/>
          <w:color w:val="auto"/>
          <w:highlight w:val="none"/>
        </w:rPr>
      </w:pPr>
    </w:p>
    <w:p>
      <w:pPr>
        <w:spacing w:line="360" w:lineRule="auto"/>
        <w:rPr>
          <w:rFonts w:ascii="仿宋" w:hAnsi="仿宋" w:eastAsia="仿宋" w:cs="仿宋"/>
          <w:b/>
          <w:color w:val="auto"/>
          <w:spacing w:val="6"/>
          <w:sz w:val="32"/>
          <w:szCs w:val="32"/>
          <w:highlight w:val="none"/>
        </w:rPr>
      </w:pPr>
      <w:bookmarkStart w:id="197" w:name="OLE_LINK13"/>
      <w:bookmarkStart w:id="198" w:name="OLE_LINK14"/>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ascii="仿宋" w:hAnsi="仿宋" w:eastAsia="仿宋" w:cs="仿宋"/>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Cs/>
          <w:color w:val="auto"/>
          <w:sz w:val="24"/>
          <w:highlight w:val="none"/>
        </w:rPr>
      </w:pPr>
    </w:p>
    <w:bookmarkEnd w:id="203"/>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91899912"/>
    <w:bookmarkStart w:id="200" w:name="_Toc131845147"/>
    <w:bookmarkStart w:id="201" w:name="_Toc36110187"/>
    <w:bookmarkStart w:id="202" w:name="_Toc164085800"/>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rPr>
      <w:t xml:space="preserve">        </w:t>
    </w:r>
    <w:r>
      <w:t></w:t>
    </w:r>
    <w:r>
      <w:rPr>
        <w:rFonts w:hint="eastAsia"/>
        <w:lang w:eastAsia="zh-CN"/>
      </w:rPr>
      <w:t>泰宇建筑工程技术咨询有限公司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TYJZ2024</w:t>
    </w:r>
    <w:r>
      <w:rPr>
        <w:rFonts w:hint="eastAsia" w:ascii="仿宋" w:hAnsi="仿宋" w:eastAsia="仿宋" w:cs="仿宋"/>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p>
  <w:p>
    <w:pPr>
      <w:pStyle w:val="42"/>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p>
  <w:p>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yNDI4Y2IxMzIyNGZhMzZhOGE3ZmI1MGMzMjliZWEifQ=="/>
  </w:docVars>
  <w:rsids>
    <w:rsidRoot w:val="00700E12"/>
    <w:rsid w:val="000101F7"/>
    <w:rsid w:val="000476CE"/>
    <w:rsid w:val="00392E9F"/>
    <w:rsid w:val="003D5C3E"/>
    <w:rsid w:val="00700E12"/>
    <w:rsid w:val="009E46AA"/>
    <w:rsid w:val="00D91FAB"/>
    <w:rsid w:val="00FD24D9"/>
    <w:rsid w:val="01537FD5"/>
    <w:rsid w:val="033E089E"/>
    <w:rsid w:val="06D74677"/>
    <w:rsid w:val="079270C9"/>
    <w:rsid w:val="09780009"/>
    <w:rsid w:val="0983157E"/>
    <w:rsid w:val="0BA60776"/>
    <w:rsid w:val="0FA0239A"/>
    <w:rsid w:val="123F000C"/>
    <w:rsid w:val="14127BE9"/>
    <w:rsid w:val="169E17AF"/>
    <w:rsid w:val="1F4629DA"/>
    <w:rsid w:val="23F5007E"/>
    <w:rsid w:val="28E16F29"/>
    <w:rsid w:val="2A021EEC"/>
    <w:rsid w:val="2C244549"/>
    <w:rsid w:val="2CDA6E57"/>
    <w:rsid w:val="330A2045"/>
    <w:rsid w:val="356330E4"/>
    <w:rsid w:val="35DF6E22"/>
    <w:rsid w:val="36874843"/>
    <w:rsid w:val="37B62B62"/>
    <w:rsid w:val="3C8C7593"/>
    <w:rsid w:val="3E245F08"/>
    <w:rsid w:val="3F326AC0"/>
    <w:rsid w:val="40AA76F6"/>
    <w:rsid w:val="44D530D8"/>
    <w:rsid w:val="465F1E0B"/>
    <w:rsid w:val="472F7A9E"/>
    <w:rsid w:val="4A0F4DB5"/>
    <w:rsid w:val="4C291900"/>
    <w:rsid w:val="4DE4148C"/>
    <w:rsid w:val="4E4C18A4"/>
    <w:rsid w:val="4FAE554B"/>
    <w:rsid w:val="50C301CB"/>
    <w:rsid w:val="513242BC"/>
    <w:rsid w:val="52246A93"/>
    <w:rsid w:val="54F25640"/>
    <w:rsid w:val="55810352"/>
    <w:rsid w:val="57DAE6E1"/>
    <w:rsid w:val="58526366"/>
    <w:rsid w:val="59FA62BF"/>
    <w:rsid w:val="5CC93D27"/>
    <w:rsid w:val="5DDC02E0"/>
    <w:rsid w:val="5E2872AF"/>
    <w:rsid w:val="5F665FB3"/>
    <w:rsid w:val="61CA7A1C"/>
    <w:rsid w:val="642152E2"/>
    <w:rsid w:val="642E32C4"/>
    <w:rsid w:val="65077AE2"/>
    <w:rsid w:val="6549634D"/>
    <w:rsid w:val="659E484A"/>
    <w:rsid w:val="65E939EF"/>
    <w:rsid w:val="66456B14"/>
    <w:rsid w:val="6AEF1016"/>
    <w:rsid w:val="6DAF5981"/>
    <w:rsid w:val="6E547B08"/>
    <w:rsid w:val="708E730A"/>
    <w:rsid w:val="729E74BD"/>
    <w:rsid w:val="72A7541B"/>
    <w:rsid w:val="745A0E57"/>
    <w:rsid w:val="79837159"/>
    <w:rsid w:val="7A862E00"/>
    <w:rsid w:val="7B0F4239"/>
    <w:rsid w:val="7DB12915"/>
    <w:rsid w:val="7EB7B118"/>
    <w:rsid w:val="7EE22EDD"/>
    <w:rsid w:val="7F4DBC21"/>
    <w:rsid w:val="7F730CAF"/>
    <w:rsid w:val="7F98785D"/>
    <w:rsid w:val="7FCB79CD"/>
    <w:rsid w:val="7FE1445D"/>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autoRedefine/>
    <w:qFormat/>
    <w:uiPriority w:val="0"/>
    <w:pPr>
      <w:spacing w:line="360" w:lineRule="auto"/>
      <w:ind w:firstLine="480" w:firstLineChars="200"/>
    </w:pPr>
    <w:rPr>
      <w:rFonts w:ascii="宋体"/>
      <w:sz w:val="24"/>
      <w:szCs w:val="20"/>
    </w:rPr>
  </w:style>
  <w:style w:type="paragraph" w:styleId="6">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6"/>
    <w:autoRedefine/>
    <w:qFormat/>
    <w:uiPriority w:val="0"/>
    <w:pPr>
      <w:spacing w:line="480" w:lineRule="exact"/>
      <w:ind w:firstLine="480" w:firstLineChars="200"/>
    </w:pPr>
    <w:rPr>
      <w:rFonts w:ascii="宋体" w:hAnsi="宋体"/>
      <w:sz w:val="24"/>
    </w:rPr>
  </w:style>
  <w:style w:type="paragraph" w:styleId="26">
    <w:name w:val="envelope return"/>
    <w:basedOn w:val="1"/>
    <w:autoRedefine/>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footer"/>
    <w:basedOn w:val="1"/>
    <w:link w:val="384"/>
    <w:autoRedefine/>
    <w:qFormat/>
    <w:uiPriority w:val="99"/>
    <w:pPr>
      <w:tabs>
        <w:tab w:val="center" w:pos="4153"/>
        <w:tab w:val="right" w:pos="8306"/>
      </w:tabs>
      <w:snapToGrid w:val="0"/>
      <w:jc w:val="left"/>
    </w:pPr>
    <w:rPr>
      <w:sz w:val="18"/>
      <w:szCs w:val="18"/>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8"/>
    <w:autoRedefine/>
    <w:qFormat/>
    <w:uiPriority w:val="0"/>
    <w:rPr>
      <w:b/>
      <w:bCs/>
    </w:rPr>
  </w:style>
  <w:style w:type="paragraph" w:styleId="62">
    <w:name w:val="Body Text First Indent"/>
    <w:basedOn w:val="24"/>
    <w:link w:val="322"/>
    <w:autoRedefine/>
    <w:qFormat/>
    <w:uiPriority w:val="0"/>
    <w:pPr>
      <w:ind w:firstLine="420"/>
    </w:pPr>
    <w:rPr>
      <w:rFonts w:hAnsi="Calibri" w:cs="Times New Roman"/>
      <w:snapToGrid/>
      <w:szCs w:val="20"/>
    </w:rPr>
  </w:style>
  <w:style w:type="paragraph" w:styleId="63">
    <w:name w:val="Body Text First Indent 2"/>
    <w:basedOn w:val="25"/>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3"/>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autoRedefine/>
    <w:qFormat/>
    <w:uiPriority w:val="0"/>
    <w:rPr>
      <w:rFonts w:ascii="Arial" w:hAnsi="Arial" w:eastAsia="黑体" w:cs="Arial"/>
      <w:snapToGrid w:val="0"/>
      <w:kern w:val="0"/>
      <w:szCs w:val="21"/>
    </w:rPr>
  </w:style>
  <w:style w:type="character" w:customStyle="1" w:styleId="127">
    <w:name w:val="纯文本 字符1"/>
    <w:link w:val="34"/>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8"/>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7"/>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40"/>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4"/>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1"/>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9"/>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47537</Words>
  <Characters>51036</Characters>
  <Lines>434</Lines>
  <Paragraphs>122</Paragraphs>
  <TotalTime>16</TotalTime>
  <ScaleCrop>false</ScaleCrop>
  <LinksUpToDate>false</LinksUpToDate>
  <CharactersWithSpaces>58185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2023-08-04T01:41:00Z</dcterms:created>
  <dc:creator>玥</dc:creator>
  <cp:lastModifiedBy>kk</cp:lastModifiedBy>
  <cp:lastPrinted>2023-08-10T08:13:00Z</cp:lastPrinted>
  <dcterms:modified xsi:type="dcterms:W3CDTF">2024-04-25T06:01:48Z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D4410F9913C943188B0731F3C533AD9C_13</vt:lpwstr>
  </property>
</Properties>
</file>