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bookmarkStart w:id="175" w:name="_GoBack"/>
      <w:bookmarkEnd w:id="175"/>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rPr>
        <w:t>绍兴市中医院</w:t>
      </w:r>
      <w:r>
        <w:rPr>
          <w:rFonts w:hint="eastAsia" w:ascii="仿宋" w:hAnsi="仿宋" w:eastAsia="仿宋" w:cs="仿宋"/>
          <w:b/>
          <w:color w:val="auto"/>
          <w:spacing w:val="-12"/>
          <w:sz w:val="48"/>
          <w:szCs w:val="48"/>
          <w:highlight w:val="none"/>
          <w:lang w:eastAsia="zh-CN"/>
        </w:rPr>
        <w:t>院内版DRGS系统及院前准备中心系统项目</w:t>
      </w:r>
    </w:p>
    <w:p>
      <w:pPr>
        <w:outlineLvl w:val="0"/>
        <w:rPr>
          <w:rFonts w:ascii="仿宋" w:hAnsi="仿宋" w:eastAsia="仿宋" w:cs="仿宋"/>
          <w:color w:val="auto"/>
          <w:sz w:val="44"/>
          <w:highlight w:val="none"/>
        </w:rPr>
      </w:pPr>
    </w:p>
    <w:p>
      <w:pPr>
        <w:outlineLvl w:val="0"/>
        <w:rPr>
          <w:rFonts w:ascii="仿宋" w:hAnsi="仿宋" w:eastAsia="仿宋" w:cs="仿宋"/>
          <w:color w:val="auto"/>
          <w:sz w:val="44"/>
          <w:highlight w:val="none"/>
        </w:rPr>
      </w:pP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ascii="仿宋" w:hAnsi="仿宋" w:eastAsia="仿宋" w:cs="仿宋"/>
          <w:color w:val="auto"/>
          <w:sz w:val="44"/>
          <w:highlight w:val="none"/>
        </w:rPr>
      </w:pPr>
    </w:p>
    <w:p>
      <w:pPr>
        <w:jc w:val="center"/>
        <w:outlineLvl w:val="0"/>
        <w:rPr>
          <w:rFonts w:ascii="仿宋" w:hAnsi="仿宋" w:eastAsia="仿宋" w:cs="仿宋"/>
          <w:color w:val="auto"/>
          <w:sz w:val="44"/>
          <w:highlight w:val="none"/>
        </w:rPr>
      </w:pPr>
    </w:p>
    <w:p>
      <w:pPr>
        <w:jc w:val="center"/>
        <w:outlineLvl w:val="0"/>
        <w:rPr>
          <w:rFonts w:ascii="仿宋" w:hAnsi="仿宋" w:eastAsia="仿宋" w:cs="仿宋"/>
          <w:color w:val="auto"/>
          <w:sz w:val="44"/>
          <w:highlight w:val="none"/>
        </w:rPr>
      </w:pPr>
    </w:p>
    <w:p>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招标编号:TYJZ2022</w:t>
      </w:r>
    </w:p>
    <w:tbl>
      <w:tblPr>
        <w:tblStyle w:val="4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二○二二年五月</w:t>
            </w:r>
          </w:p>
        </w:tc>
      </w:tr>
    </w:tbl>
    <w:p>
      <w:pPr>
        <w:jc w:val="center"/>
        <w:rPr>
          <w:rFonts w:ascii="仿宋" w:hAnsi="仿宋" w:eastAsia="仿宋" w:cs="仿宋"/>
          <w:b/>
          <w:color w:val="auto"/>
          <w:sz w:val="44"/>
          <w:szCs w:val="44"/>
          <w:highlight w:val="none"/>
        </w:rPr>
      </w:pPr>
    </w:p>
    <w:p>
      <w:pPr>
        <w:pageBreakBefore/>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ascii="仿宋" w:hAnsi="仿宋" w:eastAsia="仿宋" w:cs="仿宋"/>
          <w:b/>
          <w:color w:val="auto"/>
          <w:sz w:val="44"/>
          <w:szCs w:val="44"/>
          <w:highlight w:val="none"/>
        </w:rPr>
      </w:pPr>
    </w:p>
    <w:p>
      <w:pPr>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ascii="仿宋" w:hAnsi="仿宋" w:eastAsia="仿宋" w:cs="仿宋"/>
          <w:b/>
          <w:color w:val="auto"/>
          <w:sz w:val="44"/>
          <w:szCs w:val="44"/>
          <w:highlight w:val="none"/>
        </w:rPr>
      </w:pPr>
    </w:p>
    <w:p>
      <w:pPr>
        <w:jc w:val="center"/>
        <w:rPr>
          <w:rFonts w:ascii="仿宋" w:hAnsi="仿宋" w:eastAsia="仿宋" w:cs="仿宋"/>
          <w:color w:val="auto"/>
          <w:highlight w:val="none"/>
        </w:rPr>
      </w:pP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pageBreakBefore/>
        <w:widowControl/>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191" w:type="dxa"/>
                </w:tcPr>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69"/>
                    <w:spacing w:afterLines="0" w:line="440" w:lineRule="exact"/>
                    <w:ind w:firstLine="480"/>
                    <w:rPr>
                      <w:rFonts w:ascii="仿宋" w:hAnsi="仿宋" w:eastAsia="仿宋" w:cs="仿宋"/>
                      <w:color w:val="auto"/>
                      <w:szCs w:val="24"/>
                      <w:highlight w:val="none"/>
                    </w:rPr>
                  </w:pPr>
                  <w:bookmarkStart w:id="0" w:name="_Hlk47532823"/>
                  <w:r>
                    <w:rPr>
                      <w:rFonts w:hint="eastAsia" w:ascii="仿宋" w:hAnsi="仿宋" w:eastAsia="仿宋" w:cs="仿宋"/>
                      <w:color w:val="auto"/>
                      <w:szCs w:val="24"/>
                      <w:highlight w:val="none"/>
                    </w:rPr>
                    <w:t>绍兴市中医院</w:t>
                  </w:r>
                  <w:bookmarkEnd w:id="0"/>
                  <w:r>
                    <w:rPr>
                      <w:rFonts w:hint="eastAsia" w:ascii="仿宋" w:hAnsi="仿宋" w:eastAsia="仿宋" w:cs="仿宋"/>
                      <w:color w:val="auto"/>
                      <w:szCs w:val="24"/>
                      <w:highlight w:val="none"/>
                      <w:lang w:eastAsia="zh-CN"/>
                    </w:rPr>
                    <w:t>院内版DRGS系统及院前准备中心系统项目</w:t>
                  </w:r>
                  <w:r>
                    <w:rPr>
                      <w:rFonts w:hint="eastAsia" w:ascii="仿宋" w:hAnsi="仿宋" w:eastAsia="仿宋" w:cs="仿宋"/>
                      <w:color w:val="auto"/>
                      <w:szCs w:val="24"/>
                      <w:highlight w:val="none"/>
                    </w:rPr>
                    <w:t>的潜在投标人应在</w:t>
                  </w:r>
                  <w:r>
                    <w:rPr>
                      <w:rStyle w:val="278"/>
                      <w:rFonts w:hint="eastAsia" w:ascii="仿宋" w:hAnsi="仿宋" w:eastAsia="仿宋" w:cs="仿宋"/>
                      <w:color w:val="auto"/>
                      <w:sz w:val="27"/>
                      <w:szCs w:val="27"/>
                      <w:highlight w:val="none"/>
                    </w:rPr>
                    <w:t>https://www.zcygov.cn</w:t>
                  </w:r>
                  <w:r>
                    <w:rPr>
                      <w:rFonts w:hint="eastAsia" w:ascii="仿宋" w:hAnsi="仿宋" w:eastAsia="仿宋" w:cs="仿宋"/>
                      <w:color w:val="auto"/>
                      <w:szCs w:val="24"/>
                      <w:highlight w:val="none"/>
                    </w:rPr>
                    <w:t>获取（下载）招标文件，并于2022年月日 09:00（北京时间）前递交（上传）投标文件。</w:t>
                  </w:r>
                </w:p>
              </w:tc>
            </w:tr>
          </w:tbl>
          <w:p>
            <w:pPr>
              <w:pStyle w:val="69"/>
              <w:spacing w:afterLines="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项目编号：TYJZ2022</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项目名称：绍兴市中医院</w:t>
            </w:r>
            <w:r>
              <w:rPr>
                <w:rFonts w:hint="eastAsia" w:ascii="仿宋" w:hAnsi="仿宋" w:eastAsia="仿宋" w:cs="仿宋"/>
                <w:color w:val="auto"/>
                <w:szCs w:val="24"/>
                <w:highlight w:val="none"/>
                <w:lang w:eastAsia="zh-CN"/>
              </w:rPr>
              <w:t>院内版DRGS系统及院前准备中心系统项目</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300</w:t>
            </w:r>
            <w:r>
              <w:rPr>
                <w:rFonts w:hint="eastAsia" w:ascii="仿宋" w:hAnsi="仿宋" w:eastAsia="仿宋" w:cs="仿宋"/>
                <w:color w:val="auto"/>
                <w:szCs w:val="24"/>
                <w:highlight w:val="none"/>
              </w:rPr>
              <w:t>000</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最高限价（元）：1</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0000，1</w:t>
            </w:r>
            <w:r>
              <w:rPr>
                <w:rFonts w:hint="eastAsia" w:ascii="仿宋" w:hAnsi="仿宋" w:eastAsia="仿宋" w:cs="仿宋"/>
                <w:color w:val="auto"/>
                <w:szCs w:val="24"/>
                <w:highlight w:val="none"/>
                <w:lang w:val="en-US" w:eastAsia="zh-CN"/>
              </w:rPr>
              <w:t>50</w:t>
            </w:r>
            <w:r>
              <w:rPr>
                <w:rFonts w:hint="eastAsia" w:ascii="仿宋" w:hAnsi="仿宋" w:eastAsia="仿宋" w:cs="仿宋"/>
                <w:color w:val="auto"/>
                <w:szCs w:val="24"/>
                <w:highlight w:val="none"/>
              </w:rPr>
              <w:t>000</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院内版DRGS系统</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预算金额（元）:1</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0000</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简要规格描述或项目基本概况介绍、用途：详见采购文件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备注：无</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合同履约期限：详见招标文件。</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标项二:</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标项名称: </w:t>
            </w:r>
            <w:r>
              <w:rPr>
                <w:rFonts w:hint="eastAsia" w:ascii="仿宋" w:hAnsi="仿宋" w:eastAsia="仿宋" w:cs="仿宋"/>
                <w:color w:val="auto"/>
                <w:szCs w:val="24"/>
                <w:highlight w:val="none"/>
                <w:lang w:eastAsia="zh-CN"/>
              </w:rPr>
              <w:t>院前准备中心系统</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预算金额（元）:1</w:t>
            </w:r>
            <w:r>
              <w:rPr>
                <w:rFonts w:hint="eastAsia" w:ascii="仿宋" w:hAnsi="仿宋" w:eastAsia="仿宋" w:cs="仿宋"/>
                <w:color w:val="auto"/>
                <w:szCs w:val="24"/>
                <w:highlight w:val="none"/>
                <w:lang w:val="en-US" w:eastAsia="zh-CN"/>
              </w:rPr>
              <w:t>50</w:t>
            </w:r>
            <w:r>
              <w:rPr>
                <w:rFonts w:hint="eastAsia" w:ascii="仿宋" w:hAnsi="仿宋" w:eastAsia="仿宋" w:cs="仿宋"/>
                <w:color w:val="auto"/>
                <w:szCs w:val="24"/>
                <w:highlight w:val="none"/>
              </w:rPr>
              <w:t>000</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简要规格描述或项目基本概况介绍、用途：详见采购文件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备注：无</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合同履约期限：详见招标文件。</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69"/>
              <w:spacing w:after="12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2.落实政府采购政策需满足的资格要求：</w:t>
            </w:r>
          </w:p>
          <w:p>
            <w:pPr>
              <w:pStyle w:val="69"/>
              <w:spacing w:afterLines="0" w:line="440" w:lineRule="exact"/>
              <w:ind w:firstLine="480"/>
              <w:rPr>
                <w:rFonts w:ascii="仿宋" w:hAnsi="仿宋" w:eastAsia="仿宋" w:cs="仿宋"/>
                <w:color w:val="auto"/>
                <w:szCs w:val="24"/>
                <w:highlight w:val="none"/>
              </w:rPr>
            </w:pPr>
            <w:sdt>
              <w:sdtPr>
                <w:rPr>
                  <w:rFonts w:hint="eastAsia" w:ascii="仿宋" w:hAnsi="仿宋" w:eastAsia="仿宋" w:cs="仿宋"/>
                  <w:color w:val="auto"/>
                  <w:highlight w:val="none"/>
                </w:rPr>
                <w:id w:val="725337177"/>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color w:val="auto"/>
                <w:highlight w:val="none"/>
              </w:rPr>
              <w:t>无；</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3.本项目的特定资格要求：无</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时间：/至2022年月日，每天上午00:00至12:00，下午12:00至23:59（北京时间，线上获取法定节假日均可，线下获取文件法定节假日除外）</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提交投标文件截止时间：2022年月日 09:00（北京时间）</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bCs/>
                <w:color w:val="auto"/>
                <w:highlight w:val="none"/>
              </w:rPr>
              <w:t>http://www.zcygov.cn/</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开标时间：2022年月日 09:00</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开标地点（网址）：</w:t>
            </w:r>
            <w:r>
              <w:rPr>
                <w:rFonts w:hint="eastAsia" w:ascii="仿宋" w:hAnsi="仿宋" w:eastAsia="仿宋" w:cs="仿宋"/>
                <w:color w:val="auto"/>
                <w:highlight w:val="none"/>
              </w:rPr>
              <w:t>绍兴市越城区朝皇路58号正大综合楼601泰宇咨询会议室</w:t>
            </w:r>
            <w:r>
              <w:rPr>
                <w:rFonts w:hint="eastAsia" w:ascii="仿宋" w:hAnsi="仿宋" w:eastAsia="仿宋" w:cs="仿宋"/>
                <w:color w:val="auto"/>
                <w:szCs w:val="24"/>
                <w:highlight w:val="none"/>
              </w:rPr>
              <w:t>，在政府采购云平台（www.zcygov.cn）上开启响应文件。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2.其他事项：</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名称：绍兴市中医院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绍兴市越城区人民中路651号</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项目联系人（询问）：王宁</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highlight w:val="none"/>
              </w:rPr>
              <w:t> </w:t>
            </w:r>
          </w:p>
          <w:p>
            <w:pPr>
              <w:pStyle w:val="69"/>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2.采购代理机构信息       </w:t>
            </w:r>
            <w:r>
              <w:rPr>
                <w:rFonts w:hint="eastAsia" w:ascii="仿宋" w:hAnsi="仿宋" w:eastAsia="仿宋" w:cs="仿宋"/>
                <w:color w:val="auto"/>
                <w:highlight w:val="none"/>
              </w:rPr>
              <w:t xml:space="preserve">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highlight w:val="none"/>
              </w:rPr>
              <w:t>质疑联系方式：0575-85080066</w:t>
            </w:r>
            <w:r>
              <w:rPr>
                <w:rFonts w:hint="eastAsia" w:ascii="仿宋" w:hAnsi="仿宋" w:eastAsia="仿宋" w:cs="仿宋"/>
                <w:color w:val="auto"/>
                <w:szCs w:val="24"/>
                <w:highlight w:val="none"/>
              </w:rPr>
              <w:t>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联系人 ：宋晓林       </w:t>
            </w:r>
          </w:p>
          <w:p>
            <w:pPr>
              <w:pStyle w:val="69"/>
              <w:spacing w:afterLines="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p>
          <w:p>
            <w:pPr>
              <w:pStyle w:val="69"/>
              <w:spacing w:afterLines="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pPr>
        <w:widowControl/>
        <w:jc w:val="left"/>
        <w:rPr>
          <w:rFonts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ascii="仿宋" w:hAnsi="仿宋" w:eastAsia="仿宋" w:cs="仿宋"/>
          <w:b/>
          <w:color w:val="auto"/>
          <w:sz w:val="30"/>
          <w:szCs w:val="36"/>
          <w:highlight w:val="none"/>
        </w:rPr>
      </w:pPr>
      <w:bookmarkStart w:id="1"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投标人应当提交的资格、资信证明文件</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（1）相关证明文件：</w:t>
            </w:r>
            <w:r>
              <w:rPr>
                <w:rFonts w:hint="eastAsia" w:ascii="仿宋" w:hAnsi="仿宋" w:eastAsia="仿宋" w:cs="仿宋"/>
                <w:color w:val="auto"/>
                <w:sz w:val="24"/>
                <w:highlight w:val="none"/>
              </w:rPr>
              <w:t>营业执照复印件、2021年度资产负债表等财务报表资料文件、依法缴纳税收和社会保障资金的良好记录证明、参加本次政府采购活动前三年内，在经营活动中没有重大违法记录的声明（详见格式范例）。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（2）资信证明文件（如果有，按招标文件第三部分招标项目范围及要求和第五部分评分标准提供）。</w:t>
            </w:r>
          </w:p>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（3）特许资格、资信证明文件（如果有）：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1"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1"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本项目实行网上投标，供应商于“政采云”上提供电子投标文件。供应商须在收到中标通知书5个工作日内提供二份与电子投标文件一致的纸质投标文件，并邮寄到绍兴市越城区朝皇路正大综合楼601。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1"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1"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883854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sdt>
            <w:sdt>
              <w:sdtPr>
                <w:rPr>
                  <w:rFonts w:hint="eastAsia" w:ascii="仿宋" w:hAnsi="仿宋" w:eastAsia="仿宋" w:cs="仿宋"/>
                  <w:color w:val="auto"/>
                  <w:kern w:val="0"/>
                  <w:sz w:val="24"/>
                  <w:highlight w:val="none"/>
                </w:rPr>
                <w:id w:val="5185954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B要求提供，</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演示(讲解)：</w:t>
            </w:r>
            <w:r>
              <w:rPr>
                <w:rFonts w:hint="eastAsia" w:ascii="仿宋" w:hAnsi="仿宋" w:eastAsia="仿宋" w:cs="仿宋"/>
                <w:color w:val="auto"/>
                <w:kern w:val="0"/>
                <w:sz w:val="24"/>
                <w:highlight w:val="none"/>
              </w:rPr>
              <w:t>无</w:t>
            </w:r>
            <w:r>
              <w:rPr>
                <w:rFonts w:hint="eastAsia" w:ascii="仿宋" w:hAnsi="仿宋" w:eastAsia="仿宋" w:cs="仿宋"/>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pPr>
              <w:spacing w:line="360"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1" w:type="dxa"/>
            <w:gridSpan w:val="2"/>
            <w:vAlign w:val="center"/>
          </w:tcPr>
          <w:p>
            <w:pPr>
              <w:snapToGrid w:val="0"/>
              <w:ind w:left="-18" w:leftChars="-9" w:right="-50" w:rightChars="-24" w:hanging="1"/>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02标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6"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6"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6"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1"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《CA申领操作指南》：https://help.zcygov.cn/web/site_2/2018/11-29/2452.html</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《CA管理操作指南》：https://help.zcygov.cn/web/site_2/2019/08-20/3405.html</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《CA驱动和申领流程》:</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http://zfcg.czt.zj.gov.cn//bidClientTemplate/2019-05-27/12945.html</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r>
              <w:rPr>
                <w:color w:val="auto"/>
                <w:highlight w:val="none"/>
              </w:rPr>
              <w:fldChar w:fldCharType="begin"/>
            </w:r>
            <w:r>
              <w:rPr>
                <w:color w:val="auto"/>
                <w:highlight w:val="none"/>
              </w:rPr>
              <w:instrText xml:space="preserve"> HYPERLINK "https://help.zcygov.cn/web/site_2/2018/12-28/2573.html" </w:instrText>
            </w:r>
            <w:r>
              <w:rPr>
                <w:color w:val="auto"/>
                <w:highlight w:val="none"/>
              </w:rPr>
              <w:fldChar w:fldCharType="separate"/>
            </w:r>
            <w:r>
              <w:rPr>
                <w:rStyle w:val="50"/>
                <w:rFonts w:hint="eastAsia" w:ascii="仿宋" w:hAnsi="仿宋" w:eastAsia="仿宋" w:cs="仿宋"/>
                <w:color w:val="auto"/>
                <w:sz w:val="24"/>
                <w:highlight w:val="none"/>
              </w:rPr>
              <w:t>https://help.zcygov.cn/web/site_2/2018/12-28/2573.html</w:t>
            </w:r>
            <w:r>
              <w:rPr>
                <w:rStyle w:val="50"/>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1" w:type="dxa"/>
            <w:gridSpan w:val="2"/>
            <w:vAlign w:val="center"/>
          </w:tcPr>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1"/>
    </w:tbl>
    <w:p>
      <w:pPr>
        <w:pageBreakBefore/>
        <w:snapToGrid w:val="0"/>
        <w:spacing w:line="30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中医院为本项目的采购人（合同中的甲方），泰宇建筑工程技术咨询有限公司为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2.8因特殊原因需要使用冠以法定名称的业务专用章的，投标时须提供《业务专用章使用说明函》(详见附件)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5"/>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5"/>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5"/>
        <w:widowControl w:val="0"/>
        <w:tabs>
          <w:tab w:val="clear" w:pos="454"/>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5"/>
        <w:widowControl w:val="0"/>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4.3招标文件的修改</w:t>
      </w:r>
    </w:p>
    <w:p>
      <w:pPr>
        <w:pStyle w:val="15"/>
        <w:tabs>
          <w:tab w:val="clear" w:pos="454"/>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5"/>
        </w:num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5"/>
        <w:spacing w:line="440" w:lineRule="exact"/>
        <w:rPr>
          <w:rFonts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5"/>
        <w:spacing w:line="440" w:lineRule="exact"/>
        <w:rPr>
          <w:rFonts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2.2.4相关资质证明或文件复印件（均需加盖公章）：</w:t>
      </w:r>
      <w:r>
        <w:rPr>
          <w:rFonts w:hint="eastAsia" w:ascii="仿宋" w:hAnsi="仿宋" w:eastAsia="仿宋" w:cs="仿宋"/>
          <w:color w:val="auto"/>
          <w:kern w:val="0"/>
          <w:sz w:val="24"/>
          <w:highlight w:val="none"/>
        </w:rPr>
        <w:t>证明其符合《中华人民共和国政府采购法》规定的供应商基本条件和采购项目对供应商的特定要求</w:t>
      </w:r>
      <w:r>
        <w:rPr>
          <w:rFonts w:hint="eastAsia" w:ascii="仿宋" w:hAnsi="仿宋" w:eastAsia="仿宋" w:cs="仿宋"/>
          <w:color w:val="auto"/>
          <w:sz w:val="24"/>
          <w:highlight w:val="none"/>
        </w:rPr>
        <w:t>（如果项目要求）</w:t>
      </w:r>
      <w:r>
        <w:rPr>
          <w:rFonts w:hint="eastAsia" w:ascii="仿宋" w:hAnsi="仿宋" w:eastAsia="仿宋" w:cs="仿宋"/>
          <w:color w:val="auto"/>
          <w:kern w:val="0"/>
          <w:sz w:val="24"/>
          <w:highlight w:val="none"/>
        </w:rPr>
        <w:t>的有关资格证明文件。</w:t>
      </w:r>
    </w:p>
    <w:p>
      <w:pPr>
        <w:pStyle w:val="24"/>
        <w:spacing w:line="440" w:lineRule="exact"/>
        <w:ind w:firstLine="480" w:firstLineChars="200"/>
        <w:rPr>
          <w:rFonts w:ascii="仿宋" w:hAnsi="仿宋" w:eastAsia="仿宋" w:cs="仿宋"/>
          <w:color w:val="auto"/>
          <w:sz w:val="24"/>
          <w:highlight w:val="none"/>
        </w:rPr>
      </w:pPr>
      <w:bookmarkStart w:id="2" w:name="_Hlt68073093"/>
      <w:bookmarkEnd w:id="2"/>
      <w:bookmarkStart w:id="3" w:name="_Hlt68403820"/>
      <w:bookmarkEnd w:id="3"/>
      <w:bookmarkStart w:id="4" w:name="_Hlt68072998"/>
      <w:bookmarkEnd w:id="4"/>
      <w:r>
        <w:rPr>
          <w:rFonts w:hint="eastAsia" w:ascii="仿宋" w:hAnsi="仿宋" w:eastAsia="仿宋" w:cs="仿宋"/>
          <w:color w:val="auto"/>
          <w:sz w:val="24"/>
          <w:highlight w:val="none"/>
        </w:rPr>
        <w:t>（1）营业执照(或事业法人登记证或其他工商等登记证明材料)复印件，实施“五证合一、一照一码”登记制度改革的，只需提供改革后取得的营业执照复印件 ；</w:t>
      </w:r>
    </w:p>
    <w:p>
      <w:pPr>
        <w:pStyle w:val="24"/>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（2）2021年度资产负债表等财务报表资料文件(新成立的公司提供情况证明)；</w:t>
      </w:r>
    </w:p>
    <w:p>
      <w:pPr>
        <w:pStyle w:val="24"/>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（4）参加本次政府采购活动前三年内，在经营活动中没有重大违法记录的声明；</w:t>
      </w:r>
    </w:p>
    <w:p>
      <w:pPr>
        <w:spacing w:line="44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4"/>
        <w:snapToGrid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2.2.5</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2.2.8</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2.2.13</w:t>
      </w:r>
      <w:r>
        <w:rPr>
          <w:rFonts w:hint="eastAsia" w:ascii="仿宋" w:hAnsi="仿宋" w:eastAsia="仿宋" w:cs="仿宋"/>
          <w:color w:val="auto"/>
          <w:kern w:val="0"/>
          <w:sz w:val="24"/>
          <w:highlight w:val="none"/>
          <w:lang w:val="zh-CN"/>
        </w:rPr>
        <w:t>培训计划；（如果有）</w:t>
      </w:r>
    </w:p>
    <w:p>
      <w:pPr>
        <w:tabs>
          <w:tab w:val="left" w:pos="0"/>
          <w:tab w:val="left" w:pos="840"/>
        </w:tabs>
        <w:autoSpaceDE w:val="0"/>
        <w:autoSpaceDN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2.2.14 验收方案；</w:t>
      </w:r>
    </w:p>
    <w:p>
      <w:pPr>
        <w:snapToGrid w:val="0"/>
        <w:spacing w:line="440" w:lineRule="exact"/>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t>2.2.15</w:t>
      </w:r>
      <w:r>
        <w:rPr>
          <w:rFonts w:hint="eastAsia" w:ascii="仿宋" w:hAnsi="仿宋" w:eastAsia="仿宋" w:cs="仿宋"/>
          <w:snapToGrid w:val="0"/>
          <w:color w:val="auto"/>
          <w:sz w:val="24"/>
          <w:highlight w:val="none"/>
        </w:rPr>
        <w:t>非本地投标人售后服务机构证明材料。非本地投标人</w:t>
      </w:r>
      <w:r>
        <w:rPr>
          <w:rFonts w:hint="eastAsia" w:ascii="仿宋" w:hAnsi="仿宋" w:eastAsia="仿宋" w:cs="仿宋"/>
          <w:color w:val="auto"/>
          <w:sz w:val="24"/>
          <w:highlight w:val="none"/>
          <w:lang w:val="zh-CN"/>
        </w:rPr>
        <w:t>在绍兴的分公司</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需提供本地工商注册</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zh-CN"/>
        </w:rPr>
        <w:t>资料）或办事处</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需提供本地国内经济合作办注册资料</w:t>
      </w:r>
      <w:r>
        <w:rPr>
          <w:rFonts w:hint="eastAsia" w:ascii="仿宋" w:hAnsi="仿宋" w:eastAsia="仿宋" w:cs="仿宋"/>
          <w:color w:val="auto"/>
          <w:kern w:val="0"/>
          <w:sz w:val="24"/>
          <w:highlight w:val="none"/>
        </w:rPr>
        <w:t>）或符合本项目服务能力并签订合作协议的第三方机构或者在中标（成交）公示后在本地设立售后服务机构作</w:t>
      </w:r>
      <w:r>
        <w:rPr>
          <w:rFonts w:hint="eastAsia" w:ascii="仿宋" w:hAnsi="仿宋" w:eastAsia="仿宋" w:cs="仿宋"/>
          <w:color w:val="auto"/>
          <w:sz w:val="24"/>
          <w:highlight w:val="none"/>
          <w:lang w:val="zh-CN"/>
        </w:rPr>
        <w:t>为常驻服务和技术支持机构；</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lang w:val="zh-CN"/>
        </w:rPr>
        <w:t>2.2.16廉政承诺书</w:t>
      </w:r>
      <w:r>
        <w:rPr>
          <w:rFonts w:hint="eastAsia" w:ascii="仿宋" w:hAnsi="仿宋" w:eastAsia="仿宋" w:cs="仿宋"/>
          <w:color w:val="auto"/>
          <w:sz w:val="24"/>
          <w:highlight w:val="none"/>
        </w:rPr>
        <w:t>（格式见第六部分附件）；</w:t>
      </w:r>
    </w:p>
    <w:p>
      <w:pPr>
        <w:pStyle w:val="21"/>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2.2.17联合协议（如有）；</w:t>
      </w:r>
    </w:p>
    <w:p>
      <w:pPr>
        <w:pStyle w:val="21"/>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2.2.18分包意向协议（如有）；</w:t>
      </w:r>
    </w:p>
    <w:p>
      <w:pPr>
        <w:pStyle w:val="21"/>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2.2.19中小企业声明函（如有）；</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2.2.20</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1"/>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2.2.21投标人需要说明的其他文件和说明（格式自拟）。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4"/>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4"/>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i/>
          <w:color w:val="auto"/>
          <w:sz w:val="24"/>
          <w:highlight w:val="none"/>
        </w:rPr>
        <w:t>投标报价只允许有一个报价，有选择的报价将不予接受（除指定外）。</w:t>
      </w:r>
    </w:p>
    <w:p>
      <w:pPr>
        <w:pStyle w:val="15"/>
        <w:tabs>
          <w:tab w:val="clear" w:pos="454"/>
        </w:tabs>
        <w:spacing w:afterLines="0" w:line="440" w:lineRule="atLeas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5"/>
        <w:tabs>
          <w:tab w:val="clear" w:pos="454"/>
        </w:tabs>
        <w:spacing w:afterLines="0" w:line="440" w:lineRule="atLeas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5"/>
        <w:tabs>
          <w:tab w:val="clear" w:pos="454"/>
        </w:tabs>
        <w:spacing w:afterLines="0" w:line="440" w:lineRule="atLeas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5"/>
        <w:tabs>
          <w:tab w:val="clear" w:pos="454"/>
        </w:tabs>
        <w:spacing w:afterLines="0" w:line="440" w:lineRule="atLeas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4"/>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4"/>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4"/>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3.2评标委员会由采购人代表和有关方面的专家组成，成员人数为七人以上单数。</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widowControl/>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6.8评标委员会依据招标文件规定的评标标准和方法，对投标文件进行评审和比较后，向本中心提供书面评标报告，并按得分高低排序推荐中标候选供应商。</w:t>
      </w:r>
    </w:p>
    <w:p>
      <w:pPr>
        <w:pStyle w:val="15"/>
        <w:widowControl w:val="0"/>
        <w:tabs>
          <w:tab w:val="clear" w:pos="454"/>
        </w:tabs>
        <w:spacing w:afterLines="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widowControl w:val="0"/>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4"/>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4"/>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pacing w:line="440" w:lineRule="exac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4"/>
        <w:spacing w:line="800" w:lineRule="exact"/>
        <w:ind w:firstLine="726"/>
        <w:jc w:val="center"/>
        <w:rPr>
          <w:rFonts w:ascii="仿宋" w:hAnsi="仿宋" w:eastAsia="仿宋" w:cs="仿宋"/>
          <w:b/>
          <w:color w:val="auto"/>
          <w:sz w:val="36"/>
          <w:szCs w:val="36"/>
          <w:highlight w:val="none"/>
        </w:rPr>
      </w:pPr>
      <w:bookmarkStart w:id="5" w:name="_Toc84325929"/>
      <w:bookmarkStart w:id="6" w:name="_Toc81372953"/>
      <w:bookmarkStart w:id="7" w:name="_Toc81372776"/>
      <w:r>
        <w:rPr>
          <w:rFonts w:hint="eastAsia" w:ascii="仿宋" w:hAnsi="仿宋" w:eastAsia="仿宋" w:cs="仿宋"/>
          <w:b/>
          <w:color w:val="auto"/>
          <w:sz w:val="36"/>
          <w:szCs w:val="36"/>
          <w:highlight w:val="none"/>
        </w:rPr>
        <w:t>五、授予合同</w:t>
      </w:r>
    </w:p>
    <w:p>
      <w:pPr>
        <w:pStyle w:val="15"/>
        <w:tabs>
          <w:tab w:val="clear" w:pos="454"/>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5"/>
    <w:bookmarkEnd w:id="6"/>
    <w:bookmarkEnd w:id="7"/>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3"/>
        <w:tabs>
          <w:tab w:val="left" w:pos="0"/>
        </w:tabs>
        <w:spacing w:before="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4"/>
        <w:spacing w:line="36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9"/>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9"/>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9"/>
        <w:widowControl w:val="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9"/>
        <w:widowControl w:val="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1"/>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1"/>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1"/>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1"/>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1"/>
        <w:widowControl w:val="0"/>
        <w:tabs>
          <w:tab w:val="clear" w:pos="482"/>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6"/>
        <w:spacing w:line="440" w:lineRule="exact"/>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ascii="仿宋" w:hAnsi="仿宋" w:eastAsia="仿宋" w:cs="仿宋"/>
          <w:b/>
          <w:color w:val="auto"/>
          <w:sz w:val="24"/>
          <w:highlight w:val="none"/>
        </w:rPr>
      </w:pPr>
      <w:bookmarkStart w:id="8" w:name="_Toc151354173"/>
      <w:bookmarkStart w:id="9" w:name="_Toc84325981"/>
      <w:bookmarkStart w:id="10" w:name="_Toc81372787"/>
      <w:bookmarkStart w:id="11" w:name="_Toc80157775"/>
      <w:bookmarkStart w:id="12" w:name="_Toc81372964"/>
      <w:r>
        <w:rPr>
          <w:rFonts w:hint="eastAsia" w:ascii="仿宋" w:hAnsi="仿宋" w:eastAsia="仿宋" w:cs="仿宋"/>
          <w:b/>
          <w:color w:val="auto"/>
          <w:sz w:val="24"/>
          <w:highlight w:val="none"/>
        </w:rPr>
        <w:t>8.招标项目设备名称及数量：</w:t>
      </w:r>
    </w:p>
    <w:p>
      <w:pPr>
        <w:snapToGrid w:val="0"/>
        <w:spacing w:before="120" w:after="120"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bookmarkStart w:id="13" w:name="_Toc32678"/>
      <w:bookmarkStart w:id="14" w:name="_Toc7206"/>
      <w:r>
        <w:rPr>
          <w:rFonts w:hint="eastAsia" w:ascii="仿宋" w:hAnsi="仿宋" w:eastAsia="仿宋" w:cs="仿宋"/>
          <w:b/>
          <w:color w:val="auto"/>
          <w:sz w:val="24"/>
          <w:szCs w:val="24"/>
          <w:highlight w:val="none"/>
          <w:lang w:eastAsia="zh-CN"/>
        </w:rPr>
        <w:t>院内版DRGS系统，</w:t>
      </w:r>
      <w:r>
        <w:rPr>
          <w:rFonts w:hint="eastAsia" w:ascii="仿宋" w:hAnsi="仿宋" w:eastAsia="仿宋" w:cs="仿宋"/>
          <w:b/>
          <w:bCs/>
          <w:color w:val="auto"/>
          <w:sz w:val="24"/>
          <w:highlight w:val="none"/>
        </w:rPr>
        <w:t>总预算</w:t>
      </w:r>
      <w:r>
        <w:rPr>
          <w:rFonts w:hint="eastAsia" w:ascii="仿宋" w:hAnsi="仿宋" w:eastAsia="仿宋" w:cs="仿宋"/>
          <w:b/>
          <w:bCs/>
          <w:color w:val="auto"/>
          <w:sz w:val="24"/>
          <w:highlight w:val="none"/>
          <w:lang w:val="en-US" w:eastAsia="zh-CN"/>
        </w:rPr>
        <w:t>15</w:t>
      </w:r>
      <w:r>
        <w:rPr>
          <w:rFonts w:hint="eastAsia" w:ascii="仿宋" w:hAnsi="仿宋" w:eastAsia="仿宋" w:cs="仿宋"/>
          <w:b/>
          <w:bCs/>
          <w:color w:val="auto"/>
          <w:sz w:val="24"/>
          <w:highlight w:val="none"/>
        </w:rPr>
        <w:t>万，服务期限：自合同签订之日起一年。</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一、项目概况</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次采购项目为绍兴市中医院的DRGS医疗质量数据分析服务采购项目，采购预算15万元人民币，工作量是为绍兴市中医院采购安装DRGS医疗质量数据分析服务（即DRGS院内版），项目范围包括系统采购、安装调试、人员培训、运行维护等，直至交付可以正常使用的标准。投标人报价不得超出采购预算，否则将被视为无效投标。</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二、采购内容及技术要求</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（一）建设背景</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DRG（按疾病相关诊断分组）在世界广泛应用，其目的是根据年龄、疾病诊断、合并症、并发症、治疗方式、病症严重程度及转归等因素，将患者分入若干诊断组进行管理。DRG综合考虑了疾病严重度和复杂性，同时考虑医疗需要和医疗资源的使用强度，是一种“以病人为中心”的病例组合系统。DRG作为一个重要的医疗管理工具，在世界很多国家被成功应用于医院评价及医疗付费管理中，取得了良好的效果。世界上有超过40个国家引进DRG进行医疗服务管理。</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2015年5月，国务院印发《关于城市公立医院综合改革试点的指导意见》，明确要求公立医院管理机构制定绩效评价指标体系，实行分级诊疗， 鼓励推行DRG付费方式。使用DRG系统能够更加科学的评价医院的绩效水平，可以更好促进分级诊疗体系的建立。</w:t>
      </w:r>
    </w:p>
    <w:p>
      <w:pPr>
        <w:spacing w:line="360" w:lineRule="auto"/>
        <w:ind w:firstLine="315" w:firstLineChars="1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基于上述背景，绍兴市中医院采购DRGS医疗质量数据分析服务，为医疗卫生服务监管、医院等级评审等提供科学信息化支撑手段，为医院提供更加科学的管理手段，提高管理能力，更好更合理地控制医疗费用增长。</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 （二）建设目标及要求</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基于DRG院内数据分析的要求，从医院的综合能力、疑难病例能力、外科能力等多方面对医院进行全面分析。针对高发病种、重点监控病种，分析各病种的病人的地区分布、年龄分布、死亡率等。通过对医院DRG组的分析，为医院医疗费用的控制提供参考。系统通过全面、精细化的分析数据，给业务部门和医院领导决策提供准确的医疗信息参考。</w:t>
      </w:r>
    </w:p>
    <w:p>
      <w:pPr>
        <w:spacing w:line="360" w:lineRule="auto"/>
        <w:ind w:firstLine="315" w:firstLineChars="1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DRG系统对每份出院病历展开分析，提供每个病例的详细DRG分组明细信息和手术分级信息。根据DRG组进行计算，包括CMI，相对复杂度权重RW，手术分级，病种结构，单病种排名等，将过去依靠数量的考核转变成为依靠质量的绩效考核，由粗放的考核转变为精细化管理。</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1.建设要求</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绍兴市中医院安装DRGS医疗质量数据分析服务，建立和完善DRG医疗服务评价体系，探索建立医疗机构服务能力、服务效率、服务质量等方面的分析应用，服务公立医院改革。</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2.数据来源及编码要求 </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本项目所使用病案数据均来自医院病案首页数据库（卫统4表）。所使用的疾病编码规则及版本均按照浙江省病案首页的填写要求执行。</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3.功能要求 （“△”为关键功能模块）</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（1）数据审核</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为保证DRG数据分析的真实有效，对数据进行基本审核和DRG审核。</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A.基本数据审核</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针对上传的数据文件格式、字段格式、字段要求的值域等进行基本审核，反馈审核结果</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B.△DRG数据审核</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通过基本审核的数据，针对DRG分组的需要，能审核出以下内容：</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不规范诊断</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非标准编码</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无效主诊断</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无效主手术</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手术部位未指明</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与年龄/体重不符合的新生儿诊断</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非新生儿主要诊断错误</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无死亡风险主要诊断转归死亡</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诊断编码性别错误-男性</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诊断编码性别错误-女性</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手术编码性别错误-男性</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手术编码性别错误-女性</w:t>
      </w:r>
    </w:p>
    <w:p>
      <w:pPr>
        <w:numPr>
          <w:ilvl w:val="0"/>
          <w:numId w:val="6"/>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0-17岁儿童诊断编码错误</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(2)分组器</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A.△DRG分组器</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对医院的病案首页数据（卫统4表）进行DRG分组，具有自主知识产权的DRG分组器。</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相对权重RW的设置，能够使用多维度表示一个DRG组的疑难程度、风险程度和消耗资源的多少。</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提供查询，下载每个病例的详细DRG入组明细</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B.△重点监控病种/术种分组</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设置重点病种和重点术种，评价专科能力的强弱。</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病种的设置，能反应亚专科能力的强弱，基本覆盖所有的亚专科重点病种/术种。系统提供具有自主知识产权的重点监控病种/术种分组器，并能根据省（市）的具体情况，能够进行扩充和修改。</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C.△手术分级</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评价全院、临床科室、诊疗组、诊疗医生的外科能力，应具有独立的手术分级系统，能实际反应临床实际，包含以下的分级标准：</w:t>
      </w:r>
    </w:p>
    <w:p>
      <w:pPr>
        <w:numPr>
          <w:ilvl w:val="0"/>
          <w:numId w:val="7"/>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复杂程度：手术时间、手术医生、医生职称等</w:t>
      </w:r>
    </w:p>
    <w:p>
      <w:pPr>
        <w:numPr>
          <w:ilvl w:val="0"/>
          <w:numId w:val="7"/>
        </w:num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风险程度：术中出血、术后并发症、术后ICU等</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提供查询，下载每个病例的手术分级</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(3)基于DRG医疗服务评价分析</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A.△CMI分析</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反应医疗机构的综合能力，按照全院、临床科室、诊疗组、诊疗医生进行排名，包含以下指标：</w:t>
      </w:r>
    </w:p>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出院人数、DRG组数、DRG总量、CMI值、平均住院天数、平均总费用、平均药费、平均耗材费、低风险死亡率、费用指数、时间指数</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B.疑难病例分析</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一个DRG组代表了诊疗方式、严重程度、消耗的医疗资源相近的一类病例，每个DRG组赋予一个相对权重RW（Relative Weight）, 反应疾病的严重程度、诊疗难度和消耗的医疗资源。</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分析权重值较大的病例所占总分析病例的比例，代表了医院疑难病例的治疗能力。以RW=2作为疑难病例的权重值的基准，分析各个RW值段的病例比例。</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按全院、临床科室、诊疗组、诊疗医生进行排名，包含以下指标：</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出院人数、RW&gt;2人次及比例、2-5人次及比例、5-10人次及比例、RW&gt;10人次及比例</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C.外科能力分析</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对手术进行科学的分级，分析医院的三四级手术比例，代表外科能力的强弱。</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按全院、临床科室、诊疗组、诊疗医生进行排名，包含以下指标：</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出院人数、手术人次、三级手术、四级手术、三四级手术合计及占比</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D.△重点监控病种/术种分析</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重点监控病种/术种设立和DRG病种不同，重点监控病种/术种考虑的是专科排行，所以是分科室的。与传统概念中的单病种(单一疾病入院，无并发症和合并症)也不同。单病种考核的是专科能力，从各个专科中筛选反应该专科能力的病种，设置为重点监控病种/术种；重点监控病种/术种分组涉及到所有的诊断和所有的手术编码，一份病案仅仅归类于唯一一个重点监控病种/术种，如一个病例满足多个重点监控病种/术种的入组规则，则根据各个重点监控病种/术种的优先次序，入组到优先级高的一个重点监控病种/术种组。</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重点监控病种的考核指标包含：</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出院人数、均次费用、均次药费、药占比、平均住院日。</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手术病种增加：术前等待时间、均次卫材费、卫材占比。</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E.医疗质量分析</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每个DRG组设置了低风险死亡的评级，分为0-4级，0为低风险；1为中低风险；2为中高风险；3为高风险；4为极高风险。</w:t>
      </w:r>
    </w:p>
    <w:p>
      <w:pPr>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低风险组和中低风险组的死亡率，用于度量医院住院服务的安全和质量。其基本原理是：病例并不危重，一旦发生死亡，意味着死亡原因很可能不在疾病的本身而在临床过程；因此，低风险及中低风险DRG病例的死亡率，提示临床或管理过程可能存在问题。</w:t>
      </w:r>
    </w:p>
    <w:p>
      <w:pPr>
        <w:pStyle w:val="41"/>
        <w:ind w:firstLine="210"/>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按全院、临床科室、诊疗组、诊疗医生查询低风险死亡例数，低风险死亡率。</w:t>
      </w:r>
    </w:p>
    <w:p>
      <w:pPr>
        <w:pStyle w:val="41"/>
        <w:ind w:firstLine="21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术后并发症：根据国家三级公立医院绩效考核要求，设置术后并发症的查询及统计。</w:t>
      </w:r>
    </w:p>
    <w:p>
      <w:pPr>
        <w:pStyle w:val="41"/>
        <w:ind w:firstLine="210"/>
        <w:rPr>
          <w:rFonts w:hint="eastAsia" w:ascii="仿宋" w:hAnsi="仿宋" w:eastAsia="仿宋" w:cs="仿宋"/>
          <w:color w:val="auto"/>
          <w:szCs w:val="21"/>
          <w:highlight w:val="none"/>
        </w:rPr>
      </w:pPr>
      <w:r>
        <w:rPr>
          <w:rFonts w:hint="eastAsia" w:ascii="仿宋" w:hAnsi="仿宋" w:eastAsia="仿宋" w:cs="仿宋"/>
          <w:color w:val="auto"/>
          <w:szCs w:val="21"/>
          <w:highlight w:val="none"/>
        </w:rPr>
        <w:t>非计划再次手术：根据国家三级公立医院绩效考核和NCIS国家医疗质量控制要求，设置非计划再次手术查询及统计。</w:t>
      </w:r>
    </w:p>
    <w:p>
      <w:pPr>
        <w:pStyle w:val="41"/>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31天非预期再入院：根据NCIS国家医疗质量控制要求，设置31天非预期再入院查询及统计。</w:t>
      </w:r>
    </w:p>
    <w:p>
      <w:pPr>
        <w:spacing w:line="360" w:lineRule="auto"/>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4.项目功能列表</w:t>
      </w:r>
    </w:p>
    <w:tbl>
      <w:tblPr>
        <w:tblStyle w:val="43"/>
        <w:tblW w:w="8300" w:type="dxa"/>
        <w:tblInd w:w="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2"/>
        <w:gridCol w:w="1488"/>
        <w:gridCol w:w="1910"/>
        <w:gridCol w:w="43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552" w:type="dxa"/>
            <w:tcBorders>
              <w:top w:val="single" w:color="000000" w:sz="8" w:space="0"/>
              <w:left w:val="single" w:color="000000" w:sz="8" w:space="0"/>
              <w:bottom w:val="single" w:color="000000" w:sz="8" w:space="0"/>
              <w:right w:val="single" w:color="000000" w:sz="8" w:space="0"/>
            </w:tcBorders>
            <w:shd w:val="clear" w:color="auto" w:fill="B8CCE4"/>
            <w:noWrap w:val="0"/>
            <w:tcMar>
              <w:top w:w="12" w:type="dxa"/>
              <w:left w:w="12" w:type="dxa"/>
              <w:bottom w:w="0" w:type="dxa"/>
              <w:right w:w="12" w:type="dxa"/>
            </w:tcMar>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1488" w:type="dxa"/>
            <w:tcBorders>
              <w:top w:val="single" w:color="000000" w:sz="8" w:space="0"/>
              <w:left w:val="nil"/>
              <w:bottom w:val="single" w:color="000000" w:sz="8" w:space="0"/>
              <w:right w:val="single" w:color="000000" w:sz="8" w:space="0"/>
            </w:tcBorders>
            <w:shd w:val="clear" w:color="auto" w:fill="B8CCE4"/>
            <w:noWrap w:val="0"/>
            <w:tcMar>
              <w:top w:w="12" w:type="dxa"/>
              <w:left w:w="12" w:type="dxa"/>
              <w:bottom w:w="0" w:type="dxa"/>
              <w:right w:w="12" w:type="dxa"/>
            </w:tcMar>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功能模块</w:t>
            </w:r>
          </w:p>
        </w:tc>
        <w:tc>
          <w:tcPr>
            <w:tcW w:w="1910" w:type="dxa"/>
            <w:tcBorders>
              <w:top w:val="single" w:color="000000" w:sz="8" w:space="0"/>
              <w:left w:val="nil"/>
              <w:bottom w:val="single" w:color="000000" w:sz="8" w:space="0"/>
              <w:right w:val="single" w:color="000000" w:sz="8" w:space="0"/>
            </w:tcBorders>
            <w:shd w:val="clear" w:color="auto" w:fill="B8CCE4"/>
            <w:noWrap w:val="0"/>
            <w:tcMar>
              <w:top w:w="12" w:type="dxa"/>
              <w:left w:w="12" w:type="dxa"/>
              <w:bottom w:w="0" w:type="dxa"/>
              <w:right w:w="12" w:type="dxa"/>
            </w:tcMar>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项目名称</w:t>
            </w:r>
          </w:p>
        </w:tc>
        <w:tc>
          <w:tcPr>
            <w:tcW w:w="4350" w:type="dxa"/>
            <w:tcBorders>
              <w:top w:val="single" w:color="000000" w:sz="8" w:space="0"/>
              <w:left w:val="nil"/>
              <w:bottom w:val="single" w:color="000000" w:sz="8" w:space="0"/>
              <w:right w:val="single" w:color="000000" w:sz="8" w:space="0"/>
            </w:tcBorders>
            <w:shd w:val="clear" w:color="auto" w:fill="B8CCE4"/>
            <w:noWrap w:val="0"/>
            <w:tcMar>
              <w:top w:w="12" w:type="dxa"/>
              <w:left w:w="12" w:type="dxa"/>
              <w:bottom w:w="0" w:type="dxa"/>
              <w:right w:w="12" w:type="dxa"/>
            </w:tcMar>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项目说明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3"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488"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数据上传</w:t>
            </w: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上传文件</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病案数据上传、文件及数据的初审。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数据审核</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上传后的数据进行DRGs审核：无效主诊、非标准编码、新生儿不符等。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数据量查询</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分月查看数据上报质量及入组率等指标。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488"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院级DRGs分析</w:t>
            </w: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DRGs分组明细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查询某时间范围内每一条病案的DRG组，权重等入组信息。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手术明细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按手术级别查询某一段时间内该手术级别的病案及手术的基本信息。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重点监控病种明细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按重点监控病种查询某一时间段内该单病种的所有病案明细。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死亡明细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查询某时间范围内的死亡病案的病案基本信息，DRGs死亡风险，DRGs组及诊断信息等。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6"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低风险组明细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按照出院类别查询某时间范围内的低风险组的病案的DRG组，权重，死亡风险等入组信息。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6"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9</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术后并发症</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按照出院类别查询某时间范围内的手术患者的术后并发症的病案明细，符合国家三级公立医院绩效考核要求。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10</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综合明细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可选择DRGs组、病种、重点监控病种、手术级别、RW范围等条件组合查询相关的病案明细。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11</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综合能力分析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查看全院CMI值、DRGs总量、组数、平均费用、平均住院天数等指标以及同环比对比分析。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12</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外科能力分析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查看全院平均术前天数、平均术后天数、三四级手术占比等指标以及同环比对比分析。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vMerge w:val="restart"/>
            <w:tcBorders>
              <w:top w:val="nil"/>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疑难病例分析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疑难病例即RW值大于2(即难度较大的病种)的病例。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vMerge w:val="continue"/>
            <w:tcBorders>
              <w:top w:val="nil"/>
              <w:left w:val="single" w:color="000000" w:sz="8" w:space="0"/>
              <w:bottom w:val="single" w:color="000000" w:sz="8" w:space="0"/>
              <w:right w:val="single" w:color="000000" w:sz="8" w:space="0"/>
            </w:tcBorders>
            <w:shd w:val="clear" w:color="auto" w:fill="auto"/>
            <w:noWrap w:val="0"/>
            <w:vAlign w:val="center"/>
          </w:tcPr>
          <w:p>
            <w:pPr>
              <w:rPr>
                <w:rFonts w:hint="eastAsia" w:ascii="仿宋" w:hAnsi="仿宋" w:eastAsia="仿宋" w:cs="仿宋"/>
                <w:color w:val="auto"/>
                <w:kern w:val="2"/>
                <w:sz w:val="21"/>
                <w:szCs w:val="21"/>
                <w:highlight w:val="none"/>
                <w:lang w:val="en-US" w:eastAsia="zh-CN" w:bidi="ar-SA"/>
              </w:rPr>
            </w:pP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查看全院疑难病例的平均住院天数、均次费用、药占比、材料费占比等指标以及同环比对比分析。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14</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重点监控病种分析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查看全院某重点监控病种的出院人次、平均住院天数、均次费用、药占比、材料费占比、术前术后天数等指标以及同环比对比分析。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vMerge w:val="restart"/>
            <w:tcBorders>
              <w:top w:val="nil"/>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医疗质量分析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查看全院住院患者、手术患者、围手术、新生儿等病案的死亡人次及死亡率。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7" w:hRule="atLeast"/>
        </w:trPr>
        <w:tc>
          <w:tcPr>
            <w:tcW w:w="552" w:type="dxa"/>
            <w:vMerge w:val="continue"/>
            <w:tcBorders>
              <w:top w:val="nil"/>
              <w:left w:val="single" w:color="000000" w:sz="8" w:space="0"/>
              <w:bottom w:val="single" w:color="000000" w:sz="8" w:space="0"/>
              <w:right w:val="single" w:color="000000" w:sz="8" w:space="0"/>
            </w:tcBorders>
            <w:shd w:val="clear" w:color="auto" w:fill="auto"/>
            <w:noWrap w:val="0"/>
            <w:vAlign w:val="center"/>
          </w:tcPr>
          <w:p>
            <w:pPr>
              <w:rPr>
                <w:rFonts w:hint="eastAsia" w:ascii="仿宋" w:hAnsi="仿宋" w:eastAsia="仿宋" w:cs="仿宋"/>
                <w:color w:val="auto"/>
                <w:kern w:val="2"/>
                <w:sz w:val="21"/>
                <w:szCs w:val="21"/>
                <w:highlight w:val="none"/>
                <w:lang w:val="en-US" w:eastAsia="zh-CN" w:bidi="ar-SA"/>
              </w:rPr>
            </w:pP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图形化显示恶性肿瘤手术死亡人次分布、死亡病例病种分布、中低风险死亡占比、科室死亡人次、0-31日重返病种分布、2-31日重返科室分布、术后并发症病种、非计划再次手术等信息。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vMerge w:val="restart"/>
            <w:tcBorders>
              <w:top w:val="nil"/>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病种结构分析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查看全院各病种的平均住院天数、均次费用、平均Rw、药占比、材料费占比、时间指数、费用指数等指标。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vMerge w:val="continue"/>
            <w:tcBorders>
              <w:top w:val="nil"/>
              <w:left w:val="single" w:color="000000" w:sz="8" w:space="0"/>
              <w:bottom w:val="single" w:color="000000" w:sz="8" w:space="0"/>
              <w:right w:val="single" w:color="000000" w:sz="8" w:space="0"/>
            </w:tcBorders>
            <w:shd w:val="clear" w:color="auto" w:fill="auto"/>
            <w:noWrap w:val="0"/>
            <w:vAlign w:val="center"/>
          </w:tcPr>
          <w:p>
            <w:pPr>
              <w:rPr>
                <w:rFonts w:hint="eastAsia" w:ascii="仿宋" w:hAnsi="仿宋" w:eastAsia="仿宋" w:cs="仿宋"/>
                <w:color w:val="auto"/>
                <w:kern w:val="2"/>
                <w:sz w:val="21"/>
                <w:szCs w:val="21"/>
                <w:highlight w:val="none"/>
                <w:lang w:val="en-US" w:eastAsia="zh-CN" w:bidi="ar-SA"/>
              </w:rPr>
            </w:pP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图形化显示全院各病种出院人次及平均Rw的变化趋势。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79" w:hRule="atLeast"/>
        </w:trPr>
        <w:tc>
          <w:tcPr>
            <w:tcW w:w="552" w:type="dxa"/>
            <w:vMerge w:val="restart"/>
            <w:tcBorders>
              <w:top w:val="nil"/>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17</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医生综合能力分析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查看全院某医生类型下各医生的出院人次、DRG总量、药占比、材料费占比、费用指数、时间指数等指标。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7" w:hRule="atLeast"/>
        </w:trPr>
        <w:tc>
          <w:tcPr>
            <w:tcW w:w="552" w:type="dxa"/>
            <w:vMerge w:val="continue"/>
            <w:tcBorders>
              <w:top w:val="nil"/>
              <w:left w:val="single" w:color="000000" w:sz="8" w:space="0"/>
              <w:bottom w:val="single" w:color="000000" w:sz="8" w:space="0"/>
              <w:right w:val="single" w:color="000000" w:sz="8" w:space="0"/>
            </w:tcBorders>
            <w:shd w:val="clear" w:color="auto" w:fill="auto"/>
            <w:noWrap w:val="0"/>
            <w:vAlign w:val="center"/>
          </w:tcPr>
          <w:p>
            <w:pPr>
              <w:rPr>
                <w:rFonts w:hint="eastAsia" w:ascii="仿宋" w:hAnsi="仿宋" w:eastAsia="仿宋" w:cs="仿宋"/>
                <w:color w:val="auto"/>
                <w:kern w:val="2"/>
                <w:sz w:val="21"/>
                <w:szCs w:val="21"/>
                <w:highlight w:val="none"/>
                <w:lang w:val="en-US" w:eastAsia="zh-CN" w:bidi="ar-SA"/>
              </w:rPr>
            </w:pP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图形化显示全院各医生均次费用、平均住院天数、CMI变化趋势，各病种平均住院天数及均次费用变化，各DRG组平均住院天数、均次费用分布等信息。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79"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18</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医生外科能力分析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图形化显示全院某手术医生类型下各医生的各级手术人次变化趋势，各医生三四级手术占比排名。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19</w:t>
            </w:r>
          </w:p>
        </w:tc>
        <w:tc>
          <w:tcPr>
            <w:tcW w:w="1488"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科室级DRGs分析</w:t>
            </w: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科室DRGs分组明细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查询某时间范围内某个或多个科室每一条病案的DRG组，权重等入组信息。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20</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科室手术明细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按手术级别查询某一段时间内某个或多个科室该手术级别的病案及手术的基本信息。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21</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科室重点监控病种明细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按重点监控病种查询某一时间段内某个或多个科室该单病种的所有病案明细。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22</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科室死亡明细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查询某时间范围内某个或多个科室的死亡病案的病案基本信息，DRGs死亡风险，DRGs组及诊断信息等。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23</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科室低风险组明细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按照出院类别查询某时间范围内某个或多个科室的低风险组的病案的DRG组，权重，死亡风险等入组信息。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24</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科室综合明细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可选择DRGs组、病种、重点监控病种、手术级别、RW范围等条件组合查询某个或多个科室相关的病案明细。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25</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科室综合能力分析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查看某个或多个科室CMI值、DRGs总量、组数、平均费用、平均住院天数等指标以及同环比对比分析。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26</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科室外科能力分析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查看某个或多个科室平均术前天数、平均术后天数、三四级手术占比等指标以及同环比对比分析。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vMerge w:val="restart"/>
            <w:tcBorders>
              <w:top w:val="nil"/>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27</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科室疑难病例分析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疑难病例即RW值大于2(即难度较大的病种)的病例。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vMerge w:val="continue"/>
            <w:tcBorders>
              <w:top w:val="nil"/>
              <w:left w:val="single" w:color="000000" w:sz="8" w:space="0"/>
              <w:bottom w:val="single" w:color="000000" w:sz="8" w:space="0"/>
              <w:right w:val="single" w:color="000000" w:sz="8" w:space="0"/>
            </w:tcBorders>
            <w:shd w:val="clear" w:color="auto" w:fill="auto"/>
            <w:noWrap w:val="0"/>
            <w:vAlign w:val="center"/>
          </w:tcPr>
          <w:p>
            <w:pPr>
              <w:rPr>
                <w:rFonts w:hint="eastAsia" w:ascii="仿宋" w:hAnsi="仿宋" w:eastAsia="仿宋" w:cs="仿宋"/>
                <w:color w:val="auto"/>
                <w:kern w:val="2"/>
                <w:sz w:val="21"/>
                <w:szCs w:val="21"/>
                <w:highlight w:val="none"/>
                <w:lang w:val="en-US" w:eastAsia="zh-CN" w:bidi="ar-SA"/>
              </w:rPr>
            </w:pP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查看全院疑难病例的平均住院天数、均次费用、药占比、材料费占比等指标以及同环比对比分析。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28</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科室重点监控病种分析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查看全院某重点监控病种的出院人次、平均住院天数、均次费用、药占比、材料费占比、术前术后天数等指标以及同环比对比分析。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vMerge w:val="restart"/>
            <w:tcBorders>
              <w:top w:val="nil"/>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29</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科室医疗质量分析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查看全院住院患者、手术患者、围手术、新生儿等病案的死亡人次及死亡率。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7" w:hRule="atLeast"/>
        </w:trPr>
        <w:tc>
          <w:tcPr>
            <w:tcW w:w="552" w:type="dxa"/>
            <w:vMerge w:val="continue"/>
            <w:tcBorders>
              <w:top w:val="nil"/>
              <w:left w:val="single" w:color="000000" w:sz="8" w:space="0"/>
              <w:bottom w:val="single" w:color="000000" w:sz="8" w:space="0"/>
              <w:right w:val="single" w:color="000000" w:sz="8" w:space="0"/>
            </w:tcBorders>
            <w:shd w:val="clear" w:color="auto" w:fill="auto"/>
            <w:noWrap w:val="0"/>
            <w:vAlign w:val="center"/>
          </w:tcPr>
          <w:p>
            <w:pPr>
              <w:rPr>
                <w:rFonts w:hint="eastAsia" w:ascii="仿宋" w:hAnsi="仿宋" w:eastAsia="仿宋" w:cs="仿宋"/>
                <w:color w:val="auto"/>
                <w:kern w:val="2"/>
                <w:sz w:val="21"/>
                <w:szCs w:val="21"/>
                <w:highlight w:val="none"/>
                <w:lang w:val="en-US" w:eastAsia="zh-CN" w:bidi="ar-SA"/>
              </w:rPr>
            </w:pP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图形化显示恶性肿瘤手术死亡人次分布、死亡病例病种分布、中低风险死亡占比、科室死亡人次、2-31日重返病种分布、2-31日重返科室分布等信息。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552" w:type="dxa"/>
            <w:vMerge w:val="restart"/>
            <w:tcBorders>
              <w:top w:val="nil"/>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30</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科室病种结构分析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查看全院各病种的平均住院天数、均次费用、平均Rw、药占比、材料费占比、时间指数、费用指数等指标。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vMerge w:val="continue"/>
            <w:tcBorders>
              <w:top w:val="nil"/>
              <w:left w:val="single" w:color="000000" w:sz="8" w:space="0"/>
              <w:bottom w:val="single" w:color="000000" w:sz="8" w:space="0"/>
              <w:right w:val="single" w:color="000000" w:sz="8" w:space="0"/>
            </w:tcBorders>
            <w:shd w:val="clear" w:color="auto" w:fill="auto"/>
            <w:noWrap w:val="0"/>
            <w:vAlign w:val="center"/>
          </w:tcPr>
          <w:p>
            <w:pPr>
              <w:rPr>
                <w:rFonts w:hint="eastAsia" w:ascii="仿宋" w:hAnsi="仿宋" w:eastAsia="仿宋" w:cs="仿宋"/>
                <w:color w:val="auto"/>
                <w:kern w:val="2"/>
                <w:sz w:val="21"/>
                <w:szCs w:val="21"/>
                <w:highlight w:val="none"/>
                <w:lang w:val="en-US" w:eastAsia="zh-CN" w:bidi="ar-SA"/>
              </w:rPr>
            </w:pP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图形化显示全院各病种出院人次及平均Rw的变化趋势。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79" w:hRule="atLeast"/>
        </w:trPr>
        <w:tc>
          <w:tcPr>
            <w:tcW w:w="552" w:type="dxa"/>
            <w:vMerge w:val="restart"/>
            <w:tcBorders>
              <w:top w:val="nil"/>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31</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restart"/>
            <w:tcBorders>
              <w:top w:val="nil"/>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医生综合能力分析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查看全院某医生类型下各医生的出院人次、DRG总量、药占比、材料费占比、费用指数、时间指数等指标。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7" w:hRule="atLeast"/>
        </w:trPr>
        <w:tc>
          <w:tcPr>
            <w:tcW w:w="552" w:type="dxa"/>
            <w:vMerge w:val="continue"/>
            <w:tcBorders>
              <w:top w:val="nil"/>
              <w:left w:val="single" w:color="000000" w:sz="8" w:space="0"/>
              <w:bottom w:val="single" w:color="000000" w:sz="8" w:space="0"/>
              <w:right w:val="single" w:color="000000" w:sz="8" w:space="0"/>
            </w:tcBorders>
            <w:shd w:val="clear" w:color="auto" w:fill="auto"/>
            <w:noWrap w:val="0"/>
            <w:vAlign w:val="center"/>
          </w:tcPr>
          <w:p>
            <w:pPr>
              <w:rPr>
                <w:rFonts w:hint="eastAsia" w:ascii="仿宋" w:hAnsi="仿宋" w:eastAsia="仿宋" w:cs="仿宋"/>
                <w:color w:val="auto"/>
                <w:kern w:val="2"/>
                <w:sz w:val="21"/>
                <w:szCs w:val="21"/>
                <w:highlight w:val="none"/>
                <w:lang w:val="en-US" w:eastAsia="zh-CN" w:bidi="ar-SA"/>
              </w:rPr>
            </w:pP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图形化显示全院各医生均次费用、平均住院天数、CMI变化趋势，各病种平均住院天数及均次费用变化，各DRG组平均住院天数、均次费用分布等信息。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79"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32</w:t>
            </w:r>
          </w:p>
        </w:tc>
        <w:tc>
          <w:tcPr>
            <w:tcW w:w="1488" w:type="dxa"/>
            <w:vMerge w:val="continue"/>
            <w:tcBorders>
              <w:top w:val="nil"/>
              <w:left w:val="nil"/>
              <w:bottom w:val="single" w:color="000000" w:sz="8" w:space="0"/>
              <w:right w:val="single" w:color="000000" w:sz="8" w:space="0"/>
            </w:tcBorders>
            <w:shd w:val="clear" w:color="auto" w:fill="auto"/>
            <w:noWrap w:val="0"/>
            <w:vAlign w:val="center"/>
          </w:tcPr>
          <w:p>
            <w:pPr>
              <w:widowControl/>
              <w:jc w:val="left"/>
              <w:rPr>
                <w:rFonts w:hint="eastAsia" w:ascii="仿宋" w:hAnsi="仿宋" w:eastAsia="仿宋" w:cs="仿宋"/>
                <w:color w:val="auto"/>
                <w:szCs w:val="21"/>
                <w:highlight w:val="none"/>
              </w:rPr>
            </w:pP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科室医生外科能力分析</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图形化显示全院某手术医生类型下各医生的各级手术人次变化趋势，各医生三四级手术占比排名。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552" w:type="dxa"/>
            <w:tcBorders>
              <w:top w:val="single" w:color="000000" w:sz="8" w:space="0"/>
              <w:left w:val="single" w:color="000000" w:sz="8" w:space="0"/>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33</w:t>
            </w:r>
          </w:p>
        </w:tc>
        <w:tc>
          <w:tcPr>
            <w:tcW w:w="1488"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系统管理</w:t>
            </w:r>
          </w:p>
        </w:tc>
        <w:tc>
          <w:tcPr>
            <w:tcW w:w="191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用户管理</w:t>
            </w:r>
          </w:p>
        </w:tc>
        <w:tc>
          <w:tcPr>
            <w:tcW w:w="4350" w:type="dxa"/>
            <w:tcBorders>
              <w:top w:val="single" w:color="000000" w:sz="8" w:space="0"/>
              <w:left w:val="nil"/>
              <w:bottom w:val="single" w:color="000000" w:sz="8" w:space="0"/>
              <w:right w:val="single" w:color="000000" w:sz="8" w:space="0"/>
            </w:tcBorders>
            <w:shd w:val="clear" w:color="auto" w:fill="FFFFFF"/>
            <w:noWrap w:val="0"/>
            <w:tcMar>
              <w:top w:w="12" w:type="dxa"/>
              <w:left w:w="12" w:type="dxa"/>
              <w:bottom w:w="0" w:type="dxa"/>
              <w:right w:w="12" w:type="dxa"/>
            </w:tcMar>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院方可进行用户的增删改等管理。同时可以对各用户进行权限分配。</w:t>
            </w:r>
          </w:p>
        </w:tc>
      </w:tr>
    </w:tbl>
    <w:p>
      <w:pPr>
        <w:pStyle w:val="41"/>
        <w:ind w:firstLine="211"/>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三、售后服务要求</w:t>
      </w:r>
    </w:p>
    <w:p>
      <w:pPr>
        <w:spacing w:line="360" w:lineRule="auto"/>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1.提供“7x24小时”的技术支持服务，保证系统连续运行，解答操作疑问与响应故障受理。</w:t>
      </w:r>
    </w:p>
    <w:p>
      <w:pPr>
        <w:spacing w:line="360" w:lineRule="auto"/>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2.接到用户方的故障确认通知后，2小时内完成远程调试的排障尝试，并进行故障的初判反馈。</w:t>
      </w:r>
    </w:p>
    <w:p>
      <w:pPr>
        <w:spacing w:line="360" w:lineRule="auto"/>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3.初判反馈后，若远程调试无法解决故障，在接到客户要求现场排障的通知后，24小时内到达故障现场解决问题。</w:t>
      </w:r>
    </w:p>
    <w:p>
      <w:pPr>
        <w:widowControl/>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4.提供详细的培训，确保用户能独立操作和运行系统，熟知各指标意义和用法。</w:t>
      </w:r>
      <w:r>
        <w:rPr>
          <w:rFonts w:hint="eastAsia" w:ascii="仿宋" w:hAnsi="仿宋" w:eastAsia="仿宋" w:cs="仿宋"/>
          <w:color w:val="auto"/>
          <w:szCs w:val="21"/>
          <w:highlight w:val="none"/>
        </w:rPr>
        <w:t xml:space="preserve">  </w:t>
      </w:r>
      <w:r>
        <w:rPr>
          <w:rFonts w:hint="eastAsia" w:ascii="仿宋" w:hAnsi="仿宋" w:eastAsia="仿宋" w:cs="仿宋"/>
          <w:color w:val="auto"/>
          <w:highlight w:val="none"/>
        </w:rPr>
        <w:t xml:space="preserve"> </w:t>
      </w:r>
    </w:p>
    <w:p>
      <w:pPr>
        <w:pStyle w:val="6"/>
        <w:ind w:firstLine="316" w:firstLineChars="150"/>
        <w:rPr>
          <w:rFonts w:hint="eastAsia" w:ascii="仿宋" w:hAnsi="仿宋" w:eastAsia="仿宋" w:cs="仿宋"/>
          <w:b/>
          <w:color w:val="auto"/>
          <w:sz w:val="21"/>
          <w:szCs w:val="21"/>
          <w:highlight w:val="none"/>
          <w:lang w:val="en-US" w:eastAsia="zh-CN" w:bidi="ar"/>
        </w:rPr>
      </w:pPr>
      <w:r>
        <w:rPr>
          <w:rFonts w:hint="eastAsia" w:ascii="仿宋" w:hAnsi="仿宋" w:eastAsia="仿宋" w:cs="仿宋"/>
          <w:b/>
          <w:color w:val="auto"/>
          <w:sz w:val="21"/>
          <w:szCs w:val="21"/>
          <w:highlight w:val="none"/>
          <w:lang w:val="en-US" w:eastAsia="zh-CN" w:bidi="ar"/>
        </w:rPr>
        <w:t>四、付款方式</w:t>
      </w:r>
    </w:p>
    <w:p>
      <w:pPr>
        <w:pStyle w:val="6"/>
        <w:ind w:firstLine="300" w:firstLineChars="150"/>
        <w:rPr>
          <w:rFonts w:hint="eastAsia" w:ascii="仿宋" w:hAnsi="仿宋" w:eastAsia="仿宋" w:cs="仿宋"/>
          <w:color w:val="auto"/>
          <w:spacing w:val="-5"/>
          <w:sz w:val="21"/>
          <w:szCs w:val="21"/>
          <w:highlight w:val="none"/>
          <w:lang w:val="en-US" w:eastAsia="zh-CN"/>
        </w:rPr>
      </w:pPr>
      <w:r>
        <w:rPr>
          <w:rFonts w:hint="eastAsia" w:ascii="仿宋" w:hAnsi="仿宋" w:eastAsia="仿宋" w:cs="仿宋"/>
          <w:color w:val="auto"/>
          <w:spacing w:val="-5"/>
          <w:sz w:val="21"/>
          <w:szCs w:val="21"/>
          <w:highlight w:val="none"/>
          <w:lang w:val="en-US" w:eastAsia="zh-Hans"/>
        </w:rPr>
        <w:t>抗疫期间，按照浙财采监[2020]3号文件精神执行，具体支付条款双方协商。</w:t>
      </w:r>
    </w:p>
    <w:p>
      <w:pPr>
        <w:spacing w:line="360" w:lineRule="auto"/>
        <w:ind w:firstLine="310" w:firstLineChars="147"/>
        <w:jc w:val="left"/>
        <w:rPr>
          <w:rFonts w:hint="eastAsia" w:ascii="仿宋" w:hAnsi="仿宋" w:eastAsia="仿宋" w:cs="仿宋"/>
          <w:b/>
          <w:color w:val="auto"/>
          <w:kern w:val="0"/>
          <w:szCs w:val="21"/>
          <w:highlight w:val="none"/>
          <w:lang w:bidi="ar"/>
        </w:rPr>
      </w:pPr>
      <w:r>
        <w:rPr>
          <w:rFonts w:hint="eastAsia" w:ascii="仿宋" w:hAnsi="仿宋" w:eastAsia="仿宋" w:cs="仿宋"/>
          <w:b/>
          <w:color w:val="auto"/>
          <w:kern w:val="0"/>
          <w:szCs w:val="21"/>
          <w:highlight w:val="none"/>
          <w:lang w:bidi="ar"/>
        </w:rPr>
        <w:t>五、其他要求</w:t>
      </w:r>
    </w:p>
    <w:p>
      <w:pPr>
        <w:widowControl/>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1、中标单位无条件配合我院电子病历评级、互联互通成熟度测评和智慧医院工作；</w:t>
      </w:r>
    </w:p>
    <w:p>
      <w:pPr>
        <w:widowControl/>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2、中标单位无条件接受我院通过招标决定的信息化监理公司对项目做全流程全链条监控，监理费用为项目中标价的2.78%，监理费用由中标单位负担；</w:t>
      </w:r>
    </w:p>
    <w:p>
      <w:pPr>
        <w:widowControl/>
        <w:spacing w:line="360" w:lineRule="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3、项目验收所需费用由中标单位承担；</w:t>
      </w:r>
    </w:p>
    <w:p>
      <w:pPr>
        <w:pStyle w:val="2"/>
        <w:ind w:firstLine="0" w:firstLineChars="0"/>
        <w:rPr>
          <w:rFonts w:hint="eastAsia"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4、中标方必须在投标文件里对免费维保期限、软件维保费支付/续保费用等问题做专门详细说明和承诺。</w:t>
      </w:r>
    </w:p>
    <w:p>
      <w:pPr>
        <w:widowControl/>
        <w:spacing w:line="360" w:lineRule="auto"/>
        <w:ind w:firstLine="472" w:firstLineChars="196"/>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02标</w:t>
      </w:r>
      <w:r>
        <w:rPr>
          <w:rFonts w:hint="eastAsia" w:ascii="仿宋" w:hAnsi="仿宋" w:eastAsia="仿宋" w:cs="仿宋"/>
          <w:b/>
          <w:bCs/>
          <w:color w:val="auto"/>
          <w:sz w:val="24"/>
          <w:highlight w:val="none"/>
        </w:rPr>
        <w:t>院前准备中心系统</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总预算</w:t>
      </w:r>
      <w:r>
        <w:rPr>
          <w:rFonts w:hint="eastAsia" w:ascii="仿宋" w:hAnsi="仿宋" w:eastAsia="仿宋" w:cs="仿宋"/>
          <w:b/>
          <w:bCs/>
          <w:color w:val="auto"/>
          <w:sz w:val="24"/>
          <w:highlight w:val="none"/>
          <w:lang w:val="en-US" w:eastAsia="zh-CN"/>
        </w:rPr>
        <w:t>15</w:t>
      </w:r>
      <w:r>
        <w:rPr>
          <w:rFonts w:hint="eastAsia" w:ascii="仿宋" w:hAnsi="仿宋" w:eastAsia="仿宋" w:cs="仿宋"/>
          <w:b/>
          <w:bCs/>
          <w:color w:val="auto"/>
          <w:sz w:val="24"/>
          <w:highlight w:val="none"/>
        </w:rPr>
        <w:t>万，服务期限：自合同签订之日起一年。</w:t>
      </w:r>
    </w:p>
    <w:bookmarkEnd w:id="8"/>
    <w:bookmarkEnd w:id="13"/>
    <w:bookmarkEnd w:id="14"/>
    <w:p>
      <w:pPr>
        <w:widowControl/>
        <w:spacing w:line="360" w:lineRule="auto"/>
        <w:jc w:val="left"/>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一、项目介绍</w:t>
      </w:r>
    </w:p>
    <w:p>
      <w:pPr>
        <w:widowControl/>
        <w:snapToGrid w:val="0"/>
        <w:spacing w:line="360" w:lineRule="auto"/>
        <w:ind w:firstLine="420" w:firstLineChars="200"/>
        <w:rPr>
          <w:rFonts w:hint="eastAsia" w:ascii="仿宋" w:hAnsi="仿宋" w:eastAsia="仿宋" w:cs="仿宋"/>
          <w:color w:val="auto"/>
          <w:kern w:val="0"/>
          <w:szCs w:val="21"/>
          <w:highlight w:val="none"/>
        </w:rPr>
      </w:pPr>
      <w:bookmarkStart w:id="15" w:name="_Hlk14340192"/>
      <w:r>
        <w:rPr>
          <w:rFonts w:hint="eastAsia" w:ascii="仿宋" w:hAnsi="仿宋" w:eastAsia="仿宋" w:cs="仿宋"/>
          <w:color w:val="auto"/>
          <w:kern w:val="0"/>
          <w:szCs w:val="21"/>
          <w:highlight w:val="none"/>
        </w:rPr>
        <w:t>通过院前准备中心系统的建设，确保急危重患者优先收治，可以让需要住院治疗的病人及时得到诊治，体现了以人为本，以病人为中心，医院处处为病人着想，以病人利益为重的服务理念；解决“看病难”、“住院难”，危急重病人“一床难求”问题，减少病人等待时间，提高了医院的社会效益。可以充分利用每一张床位，缓解了科室床位紧松不一的矛盾，有效地提高资源使用效率。</w:t>
      </w:r>
    </w:p>
    <w:p>
      <w:pPr>
        <w:widowControl/>
        <w:snapToGrid w:val="0"/>
        <w:spacing w:line="360" w:lineRule="auto"/>
        <w:ind w:firstLine="420" w:firstLineChars="20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通过院前准备中心的应用，完成门诊</w:t>
      </w:r>
      <w:r>
        <w:rPr>
          <w:rFonts w:hint="eastAsia" w:ascii="仿宋" w:hAnsi="仿宋" w:eastAsia="仿宋" w:cs="仿宋"/>
          <w:color w:val="auto"/>
          <w:kern w:val="0"/>
          <w:szCs w:val="21"/>
          <w:highlight w:val="none"/>
          <w:lang w:eastAsia="zh-CN"/>
        </w:rPr>
        <w:t>急诊</w:t>
      </w:r>
      <w:r>
        <w:rPr>
          <w:rFonts w:hint="eastAsia" w:ascii="仿宋" w:hAnsi="仿宋" w:eastAsia="仿宋" w:cs="仿宋"/>
          <w:color w:val="auto"/>
          <w:kern w:val="0"/>
          <w:szCs w:val="21"/>
          <w:highlight w:val="none"/>
        </w:rPr>
        <w:t>转住院病人的住院床位分配，病人入院检验、检查通知，跨病区医生查房通知等工作。院前准备中心是为住院患者服务的重要窗口，要求能及时准确地管理病区资源，提高医院床位利用率，为患者和临床医护人员提供高效的住院资源分配，及时准确地为患者办理门诊病人入院床位分配、入院准备工作，提供信息共享和减轻工作人员劳动强度。</w:t>
      </w:r>
    </w:p>
    <w:bookmarkEnd w:id="15"/>
    <w:p>
      <w:pPr>
        <w:pStyle w:val="4"/>
        <w:pageBreakBefore w:val="0"/>
        <w:numPr>
          <w:ilvl w:val="0"/>
          <w:numId w:val="0"/>
        </w:numPr>
        <w:kinsoku/>
        <w:wordWrap/>
        <w:overflowPunct/>
        <w:topLinePunct w:val="0"/>
        <w:autoSpaceDE/>
        <w:autoSpaceDN/>
        <w:bidi w:val="0"/>
        <w:adjustRightInd/>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项目参数</w:t>
      </w:r>
    </w:p>
    <w:p>
      <w:pPr>
        <w:pageBreakBefore w:val="0"/>
        <w:widowControl/>
        <w:kinsoku/>
        <w:wordWrap/>
        <w:overflowPunct/>
        <w:topLinePunct w:val="0"/>
        <w:autoSpaceDE/>
        <w:autoSpaceDN/>
        <w:bidi w:val="0"/>
        <w:adjustRightInd/>
        <w:snapToGrid w:val="0"/>
        <w:spacing w:line="320" w:lineRule="exact"/>
        <w:textAlignment w:val="auto"/>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功能要求：</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床位登记及取消：</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当医院暂无空床且病人病情允许时，可先登记，等有空床时再通知病人。</w:t>
      </w:r>
    </w:p>
    <w:p>
      <w:pPr>
        <w:pStyle w:val="288"/>
        <w:pageBreakBefore w:val="0"/>
        <w:kinsoku/>
        <w:wordWrap/>
        <w:overflowPunct/>
        <w:topLinePunct w:val="0"/>
        <w:autoSpaceDE/>
        <w:autoSpaceDN/>
        <w:bidi w:val="0"/>
        <w:adjustRightInd/>
        <w:spacing w:before="156" w:after="156" w:line="320" w:lineRule="exact"/>
        <w:ind w:left="420" w:firstLine="210" w:firstLineChars="100"/>
        <w:textAlignment w:val="auto"/>
        <w:rPr>
          <w:rFonts w:hint="eastAsia" w:ascii="仿宋" w:hAnsi="仿宋" w:eastAsia="仿宋" w:cs="仿宋"/>
          <w:color w:val="auto"/>
          <w:highlight w:val="none"/>
        </w:rPr>
      </w:pPr>
      <w:r>
        <w:rPr>
          <w:rFonts w:hint="eastAsia" w:ascii="仿宋" w:hAnsi="仿宋" w:eastAsia="仿宋" w:cs="仿宋"/>
          <w:color w:val="auto"/>
          <w:highlight w:val="none"/>
        </w:rPr>
        <w:t>不用人工电话通知，可以以短信的形式通知预约患者来院办理住院手续。内容包括：防控要求特别提醒，办理手续时间提醒等，比如确认住院回复“100”，取消住院回复“200”，改期住院回复“300”，并注明住院大致时间，安排床位后再另行通知。院前准备中心收到患者回复短信，可以查询并自动回复“您的短信已受理，请勿回复！”。</w:t>
      </w:r>
    </w:p>
    <w:p>
      <w:pPr>
        <w:pStyle w:val="288"/>
        <w:pageBreakBefore w:val="0"/>
        <w:kinsoku/>
        <w:wordWrap/>
        <w:overflowPunct/>
        <w:topLinePunct w:val="0"/>
        <w:autoSpaceDE/>
        <w:autoSpaceDN/>
        <w:bidi w:val="0"/>
        <w:adjustRightInd/>
        <w:spacing w:before="156" w:after="156" w:line="320" w:lineRule="exact"/>
        <w:ind w:firstLine="840" w:firstLineChars="400"/>
        <w:textAlignment w:val="auto"/>
        <w:rPr>
          <w:rFonts w:hint="eastAsia" w:ascii="仿宋" w:hAnsi="仿宋" w:eastAsia="仿宋" w:cs="仿宋"/>
          <w:color w:val="auto"/>
          <w:highlight w:val="none"/>
        </w:rPr>
      </w:pPr>
      <w:r>
        <w:rPr>
          <w:rFonts w:hint="eastAsia" w:ascii="仿宋" w:hAnsi="仿宋" w:eastAsia="仿宋" w:cs="仿宋"/>
          <w:color w:val="auto"/>
          <w:highlight w:val="none"/>
        </w:rPr>
        <w:t>●床位登记时需要登记患者的基本信息以及拟入院科室、拟入院日期；</w:t>
      </w:r>
    </w:p>
    <w:p>
      <w:pPr>
        <w:pStyle w:val="288"/>
        <w:pageBreakBefore w:val="0"/>
        <w:numPr>
          <w:ilvl w:val="0"/>
          <w:numId w:val="9"/>
        </w:numPr>
        <w:kinsoku/>
        <w:wordWrap/>
        <w:overflowPunct/>
        <w:topLinePunct w:val="0"/>
        <w:autoSpaceDE/>
        <w:autoSpaceDN/>
        <w:bidi w:val="0"/>
        <w:adjustRightInd/>
        <w:spacing w:before="156" w:after="156" w:line="320" w:lineRule="exact"/>
        <w:ind w:left="420" w:firstLine="420"/>
        <w:textAlignment w:val="auto"/>
        <w:rPr>
          <w:rFonts w:hint="eastAsia" w:ascii="仿宋" w:hAnsi="仿宋" w:eastAsia="仿宋" w:cs="仿宋"/>
          <w:color w:val="auto"/>
          <w:highlight w:val="none"/>
        </w:rPr>
      </w:pPr>
      <w:r>
        <w:rPr>
          <w:rFonts w:hint="eastAsia" w:ascii="仿宋" w:hAnsi="仿宋" w:eastAsia="仿宋" w:cs="仿宋"/>
          <w:color w:val="auto"/>
          <w:highlight w:val="none"/>
        </w:rPr>
        <w:t>登记后，打印床位登记单交病人作为凭证；</w:t>
      </w:r>
    </w:p>
    <w:p>
      <w:pPr>
        <w:pStyle w:val="288"/>
        <w:pageBreakBefore w:val="0"/>
        <w:numPr>
          <w:ilvl w:val="0"/>
          <w:numId w:val="9"/>
        </w:numPr>
        <w:kinsoku/>
        <w:wordWrap/>
        <w:overflowPunct/>
        <w:topLinePunct w:val="0"/>
        <w:autoSpaceDE/>
        <w:autoSpaceDN/>
        <w:bidi w:val="0"/>
        <w:adjustRightInd/>
        <w:spacing w:before="156" w:after="156" w:line="320" w:lineRule="exact"/>
        <w:ind w:left="420" w:firstLine="420"/>
        <w:textAlignment w:val="auto"/>
        <w:rPr>
          <w:rFonts w:hint="eastAsia" w:ascii="仿宋" w:hAnsi="仿宋" w:eastAsia="仿宋" w:cs="仿宋"/>
          <w:color w:val="auto"/>
          <w:highlight w:val="none"/>
        </w:rPr>
      </w:pPr>
      <w:r>
        <w:rPr>
          <w:rFonts w:hint="eastAsia" w:ascii="仿宋" w:hAnsi="仿宋" w:eastAsia="仿宋" w:cs="仿宋"/>
          <w:color w:val="auto"/>
          <w:highlight w:val="none"/>
        </w:rPr>
        <w:t>系统需通过权限设置来控制修改和取消，普通权限只允许修改或取消本人的记录，高级权限可以修改或取消全部信息。</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床位预约及取消 ：</w:t>
      </w:r>
    </w:p>
    <w:p>
      <w:pPr>
        <w:pStyle w:val="288"/>
        <w:pageBreakBefore w:val="0"/>
        <w:numPr>
          <w:ilvl w:val="0"/>
          <w:numId w:val="9"/>
        </w:numPr>
        <w:kinsoku/>
        <w:wordWrap/>
        <w:overflowPunct/>
        <w:topLinePunct w:val="0"/>
        <w:autoSpaceDE/>
        <w:autoSpaceDN/>
        <w:bidi w:val="0"/>
        <w:adjustRightInd/>
        <w:spacing w:before="156" w:after="156" w:line="320" w:lineRule="exact"/>
        <w:ind w:left="420" w:firstLine="420"/>
        <w:textAlignment w:val="auto"/>
        <w:rPr>
          <w:rFonts w:hint="eastAsia" w:ascii="仿宋" w:hAnsi="仿宋" w:eastAsia="仿宋" w:cs="仿宋"/>
          <w:color w:val="auto"/>
          <w:highlight w:val="none"/>
        </w:rPr>
      </w:pPr>
      <w:r>
        <w:rPr>
          <w:rFonts w:hint="eastAsia" w:ascii="仿宋" w:hAnsi="仿宋" w:eastAsia="仿宋" w:cs="仿宋"/>
          <w:color w:val="auto"/>
          <w:highlight w:val="none"/>
        </w:rPr>
        <w:t>▲医院有空床且病人可立即入院时，可直接将病人填入病区，由病区护士对患者进行床位分配。 床位预约的操作与床位登记的相似，除了记录预约患者的基本信息外，还需指定住院科室。也可通过读取登记记录进行预约，方便操作。预约后，打印床位预约单交病人作为预约凭证办理入院手续，预约单还提示病人应办理入院的时间；</w:t>
      </w:r>
    </w:p>
    <w:p>
      <w:pPr>
        <w:pStyle w:val="288"/>
        <w:pageBreakBefore w:val="0"/>
        <w:numPr>
          <w:ilvl w:val="0"/>
          <w:numId w:val="9"/>
        </w:numPr>
        <w:kinsoku/>
        <w:wordWrap/>
        <w:overflowPunct/>
        <w:topLinePunct w:val="0"/>
        <w:autoSpaceDE/>
        <w:autoSpaceDN/>
        <w:bidi w:val="0"/>
        <w:adjustRightInd/>
        <w:spacing w:before="156" w:after="156" w:line="320" w:lineRule="exact"/>
        <w:ind w:left="420" w:firstLine="420"/>
        <w:textAlignment w:val="auto"/>
        <w:rPr>
          <w:rFonts w:hint="eastAsia" w:ascii="仿宋" w:hAnsi="仿宋" w:eastAsia="仿宋" w:cs="仿宋"/>
          <w:color w:val="auto"/>
          <w:highlight w:val="none"/>
        </w:rPr>
      </w:pPr>
      <w:r>
        <w:rPr>
          <w:rFonts w:hint="eastAsia" w:ascii="仿宋" w:hAnsi="仿宋" w:eastAsia="仿宋" w:cs="仿宋"/>
          <w:color w:val="auto"/>
          <w:highlight w:val="none"/>
        </w:rPr>
        <w:t>系统还需提供设定预约有效期的功能，可通过设置最长的预约有效期，可减少因预约使医院病床长期空置的可能；</w:t>
      </w:r>
    </w:p>
    <w:p>
      <w:pPr>
        <w:pStyle w:val="288"/>
        <w:pageBreakBefore w:val="0"/>
        <w:numPr>
          <w:ilvl w:val="0"/>
          <w:numId w:val="9"/>
        </w:numPr>
        <w:kinsoku/>
        <w:wordWrap/>
        <w:overflowPunct/>
        <w:topLinePunct w:val="0"/>
        <w:autoSpaceDE/>
        <w:autoSpaceDN/>
        <w:bidi w:val="0"/>
        <w:adjustRightInd/>
        <w:spacing w:before="156" w:after="156" w:line="320" w:lineRule="exact"/>
        <w:ind w:left="420" w:firstLine="420"/>
        <w:textAlignment w:val="auto"/>
        <w:rPr>
          <w:rFonts w:hint="eastAsia" w:ascii="仿宋" w:hAnsi="仿宋" w:eastAsia="仿宋" w:cs="仿宋"/>
          <w:color w:val="auto"/>
          <w:highlight w:val="none"/>
        </w:rPr>
      </w:pPr>
      <w:r>
        <w:rPr>
          <w:rFonts w:hint="eastAsia" w:ascii="仿宋" w:hAnsi="仿宋" w:eastAsia="仿宋" w:cs="仿宋"/>
          <w:color w:val="auto"/>
          <w:highlight w:val="none"/>
        </w:rPr>
        <w:t>系统需提供床位预约取消及修改功能，但同样有权限限制。可以检索浏览全院空床（包括加床），各病区抢救病床的特殊标识，病区预出院病人有特殊标识，待转床、待日间手术病人使用有特殊标识，院前准备中心能够实时查看相关情况。</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▲登记及预约的查询 ：</w:t>
      </w:r>
    </w:p>
    <w:p>
      <w:pPr>
        <w:pStyle w:val="288"/>
        <w:pageBreakBefore w:val="0"/>
        <w:numPr>
          <w:ilvl w:val="0"/>
          <w:numId w:val="0"/>
        </w:numPr>
        <w:kinsoku/>
        <w:wordWrap/>
        <w:overflowPunct/>
        <w:topLinePunct w:val="0"/>
        <w:autoSpaceDE/>
        <w:autoSpaceDN/>
        <w:bidi w:val="0"/>
        <w:adjustRightInd/>
        <w:spacing w:before="156" w:after="156" w:line="320" w:lineRule="exact"/>
        <w:ind w:left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可以根据患者的基本信息、拟住院科室、操作时间、拟住院日期段、状态（录入、入院、在院、取消、过期）等多条件组合查询，还可以在查询界面取消预约或登记记录；查询结果可打印；根据操作日期、操作员工等条件统计科室及员工的登记或预约工作量，并支持导出功能。 </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空床查询：需提供查询医院空床情况，在同一界面可同时显示多个科室的信息；</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▲入院登记：入院登记时，系统直接读出登记或预约记录，不需重复输入，提高操作效率，也减少差错；</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床位预约在病区的体现：病区一览表可显示床位预约信息，方便管理。在床位分配时，系统默认 分配到预约的床位，操作员可修改；病区床位为日间或转床病人使用可做标记。</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病人费用、住院单或申请单的修改；</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需住院患者在门诊就诊时医生需要开住院单，同时需要备注拟似手术；</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医生诊间及院前准备中心系统中均有开入院前医嘱功能，且如果医生诊间开具入院前医嘱的，院前准备中心系统中应能查询、修改或全部由院前准备中心开启医嘱的功能，待病人预缴费完成后医嘱生成，待病人入院后医嘱自动接入住院医嘱系统中；</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病人根据住院单办理入院（院前病区），进行床位预约；</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▲院前准备中心有开启手术通知单的功能并与手麻系统相接，一般要求在术前一天下午13：30之前开出。（系统</w:t>
      </w:r>
      <w:r>
        <w:rPr>
          <w:rFonts w:hint="eastAsia" w:ascii="仿宋" w:hAnsi="仿宋" w:eastAsia="仿宋" w:cs="仿宋"/>
          <w:color w:val="auto"/>
          <w:highlight w:val="none"/>
          <w:lang w:eastAsia="zh-CN"/>
        </w:rPr>
        <w:t>支持</w:t>
      </w:r>
      <w:r>
        <w:rPr>
          <w:rFonts w:hint="eastAsia" w:ascii="仿宋" w:hAnsi="仿宋" w:eastAsia="仿宋" w:cs="仿宋"/>
          <w:color w:val="auto"/>
          <w:highlight w:val="none"/>
        </w:rPr>
        <w:t>手术通知单</w:t>
      </w:r>
      <w:r>
        <w:rPr>
          <w:rFonts w:hint="eastAsia" w:ascii="仿宋" w:hAnsi="仿宋" w:eastAsia="仿宋" w:cs="仿宋"/>
          <w:color w:val="auto"/>
          <w:highlight w:val="none"/>
          <w:lang w:eastAsia="zh-CN"/>
        </w:rPr>
        <w:t>预提交</w:t>
      </w:r>
      <w:r>
        <w:rPr>
          <w:rFonts w:hint="eastAsia" w:ascii="仿宋" w:hAnsi="仿宋" w:eastAsia="仿宋" w:cs="仿宋"/>
          <w:color w:val="auto"/>
          <w:highlight w:val="none"/>
        </w:rPr>
        <w:t>，医生术前谈话后补填</w:t>
      </w:r>
      <w:r>
        <w:rPr>
          <w:rFonts w:hint="eastAsia" w:ascii="仿宋" w:hAnsi="仿宋" w:eastAsia="仿宋" w:cs="仿宋"/>
          <w:color w:val="auto"/>
          <w:highlight w:val="none"/>
          <w:lang w:eastAsia="zh-CN"/>
        </w:rPr>
        <w:t>功能</w:t>
      </w:r>
      <w:r>
        <w:rPr>
          <w:rFonts w:hint="eastAsia" w:ascii="仿宋" w:hAnsi="仿宋" w:eastAsia="仿宋" w:cs="仿宋"/>
          <w:color w:val="auto"/>
          <w:highlight w:val="none"/>
        </w:rPr>
        <w:t>）；</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日间病房概念：手术室和主治医院需要根据门诊开具的拟手术准备好手术间，实现病人当天入院当天手术；</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知情告知书嵌入到院前准备中心系统中，只要该病人有入院前检查医嘱，就生成知情告知书；</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术前检验检查完成状态查询检索功能：可以检索待日间手术病人、未完成检查、已完成检查待确认、已完成检查已确认可手术、已完成检查不符合日间手术、已通知病人等不同状态，院前准备中心以上检索功能均应实现，各诊间及专科医生可以查询本专科病人的信息及检验检查结果；</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待入院病人信息录入后，能按优先级排序，实现人工查询和派床，建立候床、已签床、违约（有原因说明）等标识，医生可以了解；</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系统中有病人预出院标识，便于入院中心对床位提前统筹安排，预通知病人入院。</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医生可以诊间浏览全院空床情况（包括可以看到空床已预约、日间手术使用、待转床使用）</w:t>
      </w:r>
    </w:p>
    <w:p>
      <w:pPr>
        <w:pStyle w:val="288"/>
        <w:pageBreakBefore w:val="0"/>
        <w:numPr>
          <w:ilvl w:val="0"/>
          <w:numId w:val="8"/>
        </w:numPr>
        <w:kinsoku/>
        <w:wordWrap/>
        <w:overflowPunct/>
        <w:topLinePunct w:val="0"/>
        <w:autoSpaceDE/>
        <w:autoSpaceDN/>
        <w:bidi w:val="0"/>
        <w:adjustRightInd/>
        <w:spacing w:before="156" w:after="156" w:line="32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该系统与医院在用系统的全部接口，均需完全满足医院在用系统的安全性、稳定性并无缝实时对接，不得影响医院在用业务且院方不再另外支付接口费用。</w:t>
      </w:r>
    </w:p>
    <w:p>
      <w:pPr>
        <w:pStyle w:val="4"/>
        <w:pageBreakBefore w:val="0"/>
        <w:numPr>
          <w:ilvl w:val="0"/>
          <w:numId w:val="0"/>
        </w:numPr>
        <w:kinsoku/>
        <w:wordWrap/>
        <w:overflowPunct/>
        <w:topLinePunct w:val="0"/>
        <w:autoSpaceDE/>
        <w:autoSpaceDN/>
        <w:bidi w:val="0"/>
        <w:adjustRightInd/>
        <w:spacing w:line="320" w:lineRule="exact"/>
        <w:ind w:left="-145" w:leftChars="0" w:firstLine="422"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三、</w:t>
      </w:r>
      <w:r>
        <w:rPr>
          <w:rFonts w:hint="eastAsia" w:ascii="仿宋" w:hAnsi="仿宋" w:eastAsia="仿宋" w:cs="仿宋"/>
          <w:color w:val="auto"/>
          <w:sz w:val="21"/>
          <w:szCs w:val="21"/>
          <w:highlight w:val="none"/>
        </w:rPr>
        <w:t>商务条款</w:t>
      </w:r>
    </w:p>
    <w:p>
      <w:pPr>
        <w:numPr>
          <w:ilvl w:val="0"/>
          <w:numId w:val="10"/>
        </w:num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项目实施要求：</w:t>
      </w:r>
    </w:p>
    <w:p>
      <w:pPr>
        <w:numPr>
          <w:ilvl w:val="0"/>
          <w:numId w:val="11"/>
        </w:numPr>
        <w:spacing w:line="360" w:lineRule="auto"/>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提供7x24级别的技术支持服务，对于系统故障，要求提供快速响应机制，满足医院业务连续性要求。</w:t>
      </w:r>
    </w:p>
    <w:p>
      <w:pPr>
        <w:pStyle w:val="41"/>
        <w:spacing w:after="0"/>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（2）提供全面、灵活的服务支持方式和手段，包括不限于网站服务、热线支持、邮件支持、现场支持等。</w:t>
      </w:r>
    </w:p>
    <w:p>
      <w:pPr>
        <w:pStyle w:val="41"/>
        <w:spacing w:after="0"/>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（3）工期：合同签订后60个工作日。</w:t>
      </w:r>
    </w:p>
    <w:p>
      <w:pPr>
        <w:ind w:firstLine="412"/>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w:t>
      </w:r>
      <w:r>
        <w:rPr>
          <w:rFonts w:hint="eastAsia" w:ascii="仿宋" w:hAnsi="仿宋" w:eastAsia="仿宋" w:cs="仿宋"/>
          <w:color w:val="auto"/>
          <w:szCs w:val="21"/>
          <w:highlight w:val="none"/>
        </w:rPr>
        <w:t>、项目售后要求</w:t>
      </w:r>
    </w:p>
    <w:p>
      <w:pPr>
        <w:pStyle w:val="2"/>
        <w:numPr>
          <w:ilvl w:val="0"/>
          <w:numId w:val="12"/>
        </w:numPr>
        <w:ind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本项目质保期一年</w:t>
      </w:r>
      <w:bookmarkStart w:id="16" w:name="_Hlk526943987"/>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rPr>
        <w:t>免费维保期、软件维保费支付/续保费用等</w:t>
      </w:r>
      <w:r>
        <w:rPr>
          <w:rFonts w:hint="eastAsia" w:ascii="仿宋" w:hAnsi="仿宋" w:eastAsia="仿宋" w:cs="仿宋"/>
          <w:color w:val="auto"/>
          <w:kern w:val="0"/>
          <w:sz w:val="21"/>
          <w:szCs w:val="21"/>
          <w:highlight w:val="none"/>
          <w:lang w:val="en-US"/>
        </w:rPr>
        <w:t>需在投标文件中</w:t>
      </w:r>
      <w:r>
        <w:rPr>
          <w:rFonts w:hint="eastAsia" w:ascii="仿宋" w:hAnsi="仿宋" w:eastAsia="仿宋" w:cs="仿宋"/>
          <w:color w:val="auto"/>
          <w:kern w:val="0"/>
          <w:sz w:val="21"/>
          <w:szCs w:val="21"/>
          <w:highlight w:val="none"/>
        </w:rPr>
        <w:t>详细说明和承诺。</w:t>
      </w:r>
    </w:p>
    <w:p>
      <w:pPr>
        <w:numPr>
          <w:ilvl w:val="0"/>
          <w:numId w:val="13"/>
        </w:numP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中标人</w:t>
      </w:r>
      <w:r>
        <w:rPr>
          <w:rFonts w:hint="eastAsia" w:ascii="仿宋" w:hAnsi="仿宋" w:eastAsia="仿宋" w:cs="仿宋"/>
          <w:color w:val="auto"/>
          <w:szCs w:val="21"/>
          <w:highlight w:val="none"/>
        </w:rPr>
        <w:t>需</w:t>
      </w:r>
      <w:r>
        <w:rPr>
          <w:rFonts w:hint="eastAsia" w:ascii="仿宋" w:hAnsi="仿宋" w:eastAsia="仿宋" w:cs="仿宋"/>
          <w:color w:val="auto"/>
          <w:szCs w:val="21"/>
          <w:highlight w:val="none"/>
          <w:lang w:val="zh-CN"/>
        </w:rPr>
        <w:t>本项目配备技术服务团队，并提供一年以上免费维保服务和承诺永久技术支持，包括各种突发事件采取应急措施等。</w:t>
      </w:r>
    </w:p>
    <w:p>
      <w:pPr>
        <w:numPr>
          <w:ilvl w:val="0"/>
          <w:numId w:val="13"/>
        </w:numPr>
        <w:spacing w:line="360" w:lineRule="auto"/>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免费维保服务内容包括：应急维护；客户化修改；数据库优化；系统更新；（</w:t>
      </w:r>
      <w:r>
        <w:rPr>
          <w:rFonts w:hint="eastAsia" w:ascii="仿宋" w:hAnsi="仿宋" w:eastAsia="仿宋" w:cs="仿宋"/>
          <w:color w:val="auto"/>
          <w:szCs w:val="21"/>
          <w:highlight w:val="none"/>
        </w:rPr>
        <w:t>不含医保涉及的医保政策改动和系统大的变化调整</w:t>
      </w:r>
      <w:r>
        <w:rPr>
          <w:rFonts w:hint="eastAsia" w:ascii="仿宋" w:hAnsi="仿宋" w:eastAsia="仿宋" w:cs="仿宋"/>
          <w:color w:val="auto"/>
          <w:szCs w:val="21"/>
          <w:highlight w:val="none"/>
          <w:lang w:val="zh-CN"/>
        </w:rPr>
        <w:t>）</w:t>
      </w:r>
    </w:p>
    <w:p>
      <w:pPr>
        <w:numPr>
          <w:ilvl w:val="0"/>
          <w:numId w:val="13"/>
        </w:numPr>
        <w:spacing w:line="360" w:lineRule="auto"/>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免费维保服务期间人员要求：售后服务人员须在接到维修电话后30分钟内进行技术响应，4小时内赶到现场，提供不间断的服务直到结束。</w:t>
      </w:r>
    </w:p>
    <w:p>
      <w:pPr>
        <w:pStyle w:val="2"/>
        <w:numPr>
          <w:ilvl w:val="0"/>
          <w:numId w:val="13"/>
        </w:numPr>
        <w:ind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非正常工作时间中标人接到维护电话后，中标人在1小时内派工程师到现场实施维护，及时排除软件故障，以保证医院业务工作正常运行。合同期内提供24小时技术电话支持（7x24）。所有费用由中标人承担。</w:t>
      </w:r>
      <w:bookmarkEnd w:id="16"/>
    </w:p>
    <w:p>
      <w:pPr>
        <w:spacing w:line="360" w:lineRule="auto"/>
        <w:ind w:left="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3、项目验收要求</w: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提供的货物在使用前进行调试、培训，符合技术要求后进行最终验收，并提供验收报告。</w:t>
      </w:r>
    </w:p>
    <w:p>
      <w:pPr>
        <w:spacing w:line="360" w:lineRule="auto"/>
        <w:ind w:left="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4、付款方式</w:t>
      </w:r>
    </w:p>
    <w:p>
      <w:pPr>
        <w:pStyle w:val="2"/>
        <w:ind w:firstLine="420" w:firstLineChars="0"/>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抗疫期间，按照浙财采监[2020]3号文件精神执行，具体支付条款双方协商。</w:t>
      </w:r>
    </w:p>
    <w:p>
      <w:pPr>
        <w:spacing w:line="360" w:lineRule="auto"/>
        <w:ind w:left="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5、其他：</w:t>
      </w:r>
    </w:p>
    <w:p>
      <w:pPr>
        <w:numPr>
          <w:ilvl w:val="0"/>
          <w:numId w:val="14"/>
        </w:numPr>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本次招标的项目内容需实现与现有信息管理系统软件的无缝衔接，中标公司承担所产生的接口费用、改造费用</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采购方不再另行支付费用。</w:t>
      </w:r>
    </w:p>
    <w:p>
      <w:pPr>
        <w:numPr>
          <w:ilvl w:val="0"/>
          <w:numId w:val="14"/>
        </w:numPr>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中标单位无条件接受我院通过招标决定的信息化监理公司对项目做全流程全链条监控，监理费用为项目中标价的2.78%，监理费用由中标单位负担；</w:t>
      </w:r>
    </w:p>
    <w:p>
      <w:pPr>
        <w:widowControl/>
        <w:jc w:val="left"/>
        <w:rPr>
          <w:rFonts w:hint="eastAsia" w:ascii="仿宋" w:hAnsi="仿宋" w:eastAsia="仿宋" w:cs="仿宋"/>
          <w:b/>
          <w:bCs/>
          <w:color w:val="auto"/>
          <w:szCs w:val="21"/>
          <w:highlight w:val="none"/>
        </w:rPr>
      </w:pPr>
    </w:p>
    <w:p>
      <w:pPr>
        <w:widowControl/>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eastAsia="zh-CN"/>
        </w:rPr>
        <w:t>四、</w:t>
      </w:r>
      <w:r>
        <w:rPr>
          <w:rFonts w:hint="eastAsia" w:ascii="仿宋" w:hAnsi="仿宋" w:eastAsia="仿宋" w:cs="仿宋"/>
          <w:b/>
          <w:bCs/>
          <w:color w:val="auto"/>
          <w:szCs w:val="21"/>
          <w:highlight w:val="none"/>
        </w:rPr>
        <w:t>付款方式</w:t>
      </w:r>
    </w:p>
    <w:p>
      <w:pPr>
        <w:ind w:firstLine="480"/>
        <w:rPr>
          <w:rFonts w:hint="eastAsia" w:ascii="仿宋" w:hAnsi="仿宋" w:eastAsia="仿宋" w:cs="仿宋"/>
          <w:color w:val="auto"/>
          <w:highlight w:val="none"/>
        </w:rPr>
      </w:pPr>
      <w:r>
        <w:rPr>
          <w:rFonts w:hint="eastAsia" w:ascii="仿宋" w:hAnsi="仿宋" w:eastAsia="仿宋" w:cs="仿宋"/>
          <w:color w:val="auto"/>
          <w:highlight w:val="none"/>
        </w:rPr>
        <w:t>抗疫期间，按照浙财采监[2020]3号文件精神执行，具体支付条款双方协商。</w:t>
      </w:r>
    </w:p>
    <w:p>
      <w:pPr>
        <w:pStyle w:val="24"/>
        <w:pageBreakBefore/>
        <w:spacing w:line="800" w:lineRule="exact"/>
        <w:ind w:firstLine="726"/>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ascii="仿宋" w:hAnsi="仿宋" w:eastAsia="仿宋" w:cs="仿宋"/>
          <w:color w:val="auto"/>
          <w:sz w:val="24"/>
          <w:highlight w:val="none"/>
        </w:rPr>
      </w:pP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282"/>
        <w:rPr>
          <w:rFonts w:ascii="仿宋" w:hAnsi="仿宋" w:eastAsia="仿宋" w:cs="仿宋"/>
          <w:color w:val="auto"/>
          <w:szCs w:val="24"/>
          <w:highlight w:val="none"/>
        </w:rPr>
      </w:pPr>
    </w:p>
    <w:p>
      <w:pPr>
        <w:pStyle w:val="282"/>
        <w:rPr>
          <w:rFonts w:ascii="仿宋" w:hAnsi="仿宋" w:eastAsia="仿宋" w:cs="仿宋"/>
          <w:color w:val="auto"/>
          <w:szCs w:val="24"/>
          <w:highlight w:val="none"/>
        </w:rPr>
      </w:pPr>
    </w:p>
    <w:p>
      <w:pPr>
        <w:pStyle w:val="282"/>
        <w:jc w:val="center"/>
        <w:rPr>
          <w:rFonts w:ascii="仿宋" w:hAnsi="仿宋" w:eastAsia="仿宋" w:cs="仿宋"/>
          <w:color w:val="auto"/>
          <w:szCs w:val="24"/>
          <w:highlight w:val="none"/>
        </w:rPr>
      </w:pPr>
    </w:p>
    <w:p>
      <w:pPr>
        <w:pStyle w:val="282"/>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282"/>
        <w:rPr>
          <w:rFonts w:ascii="仿宋" w:hAnsi="仿宋" w:eastAsia="仿宋" w:cs="仿宋"/>
          <w:color w:val="auto"/>
          <w:szCs w:val="24"/>
          <w:highlight w:val="none"/>
        </w:rPr>
      </w:pPr>
    </w:p>
    <w:p>
      <w:pPr>
        <w:pStyle w:val="282"/>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81"/>
        <w:spacing w:before="120" w:line="22" w:lineRule="atLeast"/>
        <w:rPr>
          <w:rFonts w:ascii="仿宋" w:hAnsi="仿宋" w:eastAsia="仿宋" w:cs="仿宋"/>
          <w:color w:val="auto"/>
          <w:szCs w:val="24"/>
          <w:highlight w:val="none"/>
        </w:rPr>
      </w:pPr>
    </w:p>
    <w:p>
      <w:pPr>
        <w:pStyle w:val="281"/>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17" w:name="_Toc2232"/>
      <w:bookmarkStart w:id="18" w:name="_Toc24059"/>
      <w:bookmarkStart w:id="19" w:name="_Toc3029"/>
      <w:r>
        <w:rPr>
          <w:rFonts w:hint="eastAsia" w:ascii="仿宋" w:hAnsi="仿宋" w:eastAsia="仿宋" w:cs="仿宋"/>
          <w:b/>
          <w:color w:val="auto"/>
          <w:sz w:val="24"/>
          <w:highlight w:val="none"/>
        </w:rPr>
        <w:t>1.1 合同组成部分</w:t>
      </w:r>
      <w:bookmarkEnd w:id="17"/>
      <w:bookmarkEnd w:id="18"/>
      <w:bookmarkEnd w:id="1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20" w:name="_Toc27126"/>
      <w:bookmarkStart w:id="21" w:name="_Toc24300"/>
      <w:bookmarkStart w:id="22" w:name="_Toc21295"/>
      <w:r>
        <w:rPr>
          <w:rFonts w:hint="eastAsia" w:ascii="仿宋" w:hAnsi="仿宋" w:eastAsia="仿宋" w:cs="仿宋"/>
          <w:b/>
          <w:color w:val="auto"/>
          <w:sz w:val="24"/>
          <w:highlight w:val="none"/>
        </w:rPr>
        <w:t>1.2 货物</w:t>
      </w:r>
      <w:bookmarkEnd w:id="20"/>
      <w:bookmarkEnd w:id="21"/>
      <w:bookmarkEnd w:id="22"/>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23" w:name="_Toc21551"/>
      <w:bookmarkStart w:id="24" w:name="_Toc23292"/>
      <w:bookmarkStart w:id="25" w:name="_Toc21631"/>
      <w:r>
        <w:rPr>
          <w:rFonts w:hint="eastAsia" w:ascii="仿宋" w:hAnsi="仿宋" w:eastAsia="仿宋" w:cs="仿宋"/>
          <w:b/>
          <w:color w:val="auto"/>
          <w:sz w:val="24"/>
          <w:highlight w:val="none"/>
        </w:rPr>
        <w:t>1.3 价款</w:t>
      </w:r>
      <w:bookmarkEnd w:id="23"/>
      <w:bookmarkEnd w:id="24"/>
      <w:bookmarkEnd w:id="2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auto"/>
                <w:sz w:val="24"/>
                <w:szCs w:val="24"/>
                <w:highlight w:val="none"/>
              </w:rPr>
            </w:pPr>
          </w:p>
        </w:tc>
      </w:tr>
    </w:tbl>
    <w:p>
      <w:pPr>
        <w:spacing w:line="440" w:lineRule="exact"/>
        <w:ind w:firstLine="482" w:firstLineChars="200"/>
        <w:outlineLvl w:val="0"/>
        <w:rPr>
          <w:rFonts w:ascii="仿宋" w:hAnsi="仿宋" w:eastAsia="仿宋" w:cs="仿宋"/>
          <w:b/>
          <w:color w:val="auto"/>
          <w:sz w:val="24"/>
          <w:highlight w:val="none"/>
        </w:rPr>
      </w:pPr>
      <w:bookmarkStart w:id="26" w:name="_Toc10340"/>
      <w:bookmarkStart w:id="27" w:name="_Toc22618"/>
      <w:bookmarkStart w:id="28" w:name="_Toc1814"/>
      <w:r>
        <w:rPr>
          <w:rFonts w:hint="eastAsia" w:ascii="仿宋" w:hAnsi="仿宋" w:eastAsia="仿宋" w:cs="仿宋"/>
          <w:b/>
          <w:color w:val="auto"/>
          <w:sz w:val="24"/>
          <w:highlight w:val="none"/>
        </w:rPr>
        <w:t>1.4 付款</w:t>
      </w:r>
      <w:bookmarkEnd w:id="26"/>
      <w:bookmarkEnd w:id="27"/>
      <w:bookmarkEnd w:id="28"/>
      <w:r>
        <w:rPr>
          <w:rFonts w:hint="eastAsia" w:ascii="仿宋" w:hAnsi="仿宋" w:eastAsia="仿宋" w:cs="仿宋"/>
          <w:b/>
          <w:color w:val="auto"/>
          <w:sz w:val="24"/>
          <w:highlight w:val="none"/>
        </w:rPr>
        <w:t>方式、时间和条件</w:t>
      </w:r>
    </w:p>
    <w:p>
      <w:pPr>
        <w:pStyle w:val="283"/>
        <w:spacing w:before="0" w:beforeAutospacing="0" w:after="0" w:afterAutospacing="0" w:line="440" w:lineRule="exact"/>
        <w:ind w:firstLine="480"/>
        <w:rPr>
          <w:rFonts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bookmarkStart w:id="29" w:name="_Toc32071"/>
      <w:bookmarkStart w:id="30" w:name="_Toc19304"/>
      <w:bookmarkStart w:id="31" w:name="_Toc2846"/>
      <w:r>
        <w:rPr>
          <w:rFonts w:hint="eastAsia" w:ascii="仿宋" w:hAnsi="仿宋" w:eastAsia="仿宋" w:cs="仿宋"/>
          <w:b/>
          <w:color w:val="auto"/>
          <w:sz w:val="24"/>
          <w:highlight w:val="none"/>
        </w:rPr>
        <w:t>1.5 货物交付期限、地点和方式</w:t>
      </w:r>
      <w:bookmarkEnd w:id="29"/>
      <w:bookmarkEnd w:id="30"/>
      <w:bookmarkEnd w:id="31"/>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32" w:name="_Toc19554"/>
      <w:bookmarkStart w:id="33" w:name="_Toc27250"/>
      <w:bookmarkStart w:id="34" w:name="_Toc21423"/>
      <w:r>
        <w:rPr>
          <w:rFonts w:hint="eastAsia" w:ascii="仿宋" w:hAnsi="仿宋" w:eastAsia="仿宋" w:cs="仿宋"/>
          <w:b/>
          <w:color w:val="auto"/>
          <w:sz w:val="24"/>
          <w:highlight w:val="none"/>
        </w:rPr>
        <w:t>1.6 违约责任</w:t>
      </w:r>
      <w:bookmarkEnd w:id="32"/>
      <w:bookmarkEnd w:id="33"/>
      <w:bookmarkEnd w:id="3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35" w:name="_Toc16021"/>
      <w:bookmarkStart w:id="36" w:name="_Toc15583"/>
      <w:bookmarkStart w:id="37" w:name="_Toc28375"/>
      <w:r>
        <w:rPr>
          <w:rFonts w:hint="eastAsia" w:ascii="仿宋" w:hAnsi="仿宋" w:eastAsia="仿宋" w:cs="仿宋"/>
          <w:b/>
          <w:color w:val="auto"/>
          <w:sz w:val="24"/>
          <w:highlight w:val="none"/>
        </w:rPr>
        <w:t>1.7 合同争议的解决</w:t>
      </w:r>
      <w:bookmarkEnd w:id="35"/>
      <w:bookmarkEnd w:id="36"/>
      <w:bookmarkEnd w:id="37"/>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38" w:name="_Toc15322"/>
      <w:bookmarkStart w:id="39" w:name="_Toc7245"/>
      <w:bookmarkStart w:id="40" w:name="_Toc11173"/>
      <w:r>
        <w:rPr>
          <w:rFonts w:hint="eastAsia" w:ascii="仿宋" w:hAnsi="仿宋" w:eastAsia="仿宋" w:cs="仿宋"/>
          <w:b/>
          <w:color w:val="auto"/>
          <w:sz w:val="24"/>
          <w:highlight w:val="none"/>
        </w:rPr>
        <w:t>1.8 合同生效</w:t>
      </w:r>
      <w:bookmarkEnd w:id="38"/>
      <w:bookmarkEnd w:id="39"/>
      <w:bookmarkEnd w:id="40"/>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24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24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spacing w:line="560" w:lineRule="exact"/>
        <w:jc w:val="left"/>
        <w:rPr>
          <w:rFonts w:ascii="仿宋" w:hAnsi="仿宋" w:eastAsia="仿宋" w:cs="仿宋"/>
          <w:b/>
          <w:color w:val="auto"/>
          <w:sz w:val="24"/>
          <w:highlight w:val="none"/>
        </w:rPr>
      </w:pPr>
      <w:bookmarkStart w:id="41" w:name="_Toc331685783"/>
    </w:p>
    <w:p>
      <w:pPr>
        <w:pStyle w:val="282"/>
        <w:pageBreakBefore/>
        <w:spacing w:line="560" w:lineRule="exact"/>
        <w:ind w:firstLine="723"/>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合同一般条款</w:t>
      </w:r>
      <w:bookmarkEnd w:id="41"/>
    </w:p>
    <w:p>
      <w:pPr>
        <w:spacing w:line="560" w:lineRule="exact"/>
        <w:ind w:firstLine="482" w:firstLineChars="200"/>
        <w:outlineLvl w:val="0"/>
        <w:rPr>
          <w:rFonts w:ascii="仿宋" w:hAnsi="仿宋" w:eastAsia="仿宋" w:cs="仿宋"/>
          <w:b/>
          <w:color w:val="auto"/>
          <w:sz w:val="24"/>
          <w:highlight w:val="none"/>
        </w:rPr>
      </w:pPr>
      <w:bookmarkStart w:id="42" w:name="_Toc28763"/>
      <w:bookmarkStart w:id="43" w:name="_Ref467379094"/>
      <w:bookmarkStart w:id="44" w:name="_Toc487900349"/>
      <w:bookmarkStart w:id="45" w:name="_Ref467378404"/>
      <w:bookmarkStart w:id="46" w:name="_Ref467379109"/>
      <w:bookmarkStart w:id="47" w:name="_Ref467379225"/>
      <w:bookmarkStart w:id="48" w:name="_Toc16917"/>
      <w:bookmarkStart w:id="49" w:name="_Toc279701240"/>
      <w:bookmarkStart w:id="50" w:name="_Ref467379195"/>
      <w:bookmarkStart w:id="51" w:name="_Ref467379205"/>
      <w:bookmarkStart w:id="52" w:name="_Ref467379214"/>
      <w:bookmarkStart w:id="53" w:name="_Toc259093669"/>
      <w:bookmarkStart w:id="54" w:name="_Ref467379101"/>
      <w:bookmarkStart w:id="55" w:name="_Ref467378499"/>
      <w:bookmarkStart w:id="56" w:name="_Ref467378463"/>
      <w:bookmarkStart w:id="57" w:name="_Toc19614"/>
      <w:r>
        <w:rPr>
          <w:rFonts w:hint="eastAsia" w:ascii="仿宋" w:hAnsi="仿宋" w:eastAsia="仿宋" w:cs="仿宋"/>
          <w:b/>
          <w:color w:val="auto"/>
          <w:sz w:val="24"/>
          <w:highlight w:val="none"/>
        </w:rPr>
        <w:t>2.1 定义</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58" w:name="_Ref467378840"/>
      <w:r>
        <w:rPr>
          <w:rFonts w:hint="eastAsia" w:ascii="仿宋" w:hAnsi="仿宋" w:eastAsia="仿宋" w:cs="仿宋"/>
          <w:color w:val="auto"/>
          <w:sz w:val="24"/>
          <w:highlight w:val="none"/>
        </w:rPr>
        <w:t>2.1.4 “甲方”系指与中标供应商签署合同的采购人</w:t>
      </w:r>
      <w:bookmarkEnd w:id="58"/>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bookmarkStart w:id="59" w:name="_Ref467379400"/>
      <w:r>
        <w:rPr>
          <w:rFonts w:hint="eastAsia" w:ascii="仿宋" w:hAnsi="仿宋" w:eastAsia="仿宋" w:cs="仿宋"/>
          <w:color w:val="auto"/>
          <w:sz w:val="24"/>
          <w:highlight w:val="none"/>
        </w:rPr>
        <w:t>2.1.5 “乙方”系指根据合同约定交付货物的中标供应商</w:t>
      </w:r>
      <w:bookmarkEnd w:id="5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60" w:name="_Ref467379436"/>
      <w:r>
        <w:rPr>
          <w:rFonts w:hint="eastAsia" w:ascii="仿宋" w:hAnsi="仿宋" w:eastAsia="仿宋" w:cs="仿宋"/>
          <w:color w:val="auto"/>
          <w:sz w:val="24"/>
          <w:highlight w:val="none"/>
        </w:rPr>
        <w:t>2.1.6 “现场”系指合同约定货物将要运至或者安装的地点。</w:t>
      </w:r>
      <w:bookmarkEnd w:id="60"/>
    </w:p>
    <w:p>
      <w:pPr>
        <w:spacing w:line="560" w:lineRule="exact"/>
        <w:ind w:firstLine="482" w:firstLineChars="200"/>
        <w:outlineLvl w:val="0"/>
        <w:rPr>
          <w:rFonts w:ascii="仿宋" w:hAnsi="仿宋" w:eastAsia="仿宋" w:cs="仿宋"/>
          <w:b/>
          <w:color w:val="auto"/>
          <w:sz w:val="24"/>
          <w:highlight w:val="none"/>
        </w:rPr>
      </w:pPr>
      <w:bookmarkStart w:id="61" w:name="_Toc27635"/>
      <w:bookmarkStart w:id="62" w:name="_Toc487900350"/>
      <w:bookmarkStart w:id="63" w:name="_Toc279701241"/>
      <w:bookmarkStart w:id="64" w:name="_Toc13336"/>
      <w:bookmarkStart w:id="65" w:name="_Toc259093670"/>
      <w:bookmarkStart w:id="66" w:name="_Toc32504"/>
      <w:r>
        <w:rPr>
          <w:rFonts w:hint="eastAsia" w:ascii="仿宋" w:hAnsi="仿宋" w:eastAsia="仿宋" w:cs="仿宋"/>
          <w:b/>
          <w:color w:val="auto"/>
          <w:sz w:val="24"/>
          <w:highlight w:val="none"/>
        </w:rPr>
        <w:t>2.2 技术规范</w:t>
      </w:r>
      <w:bookmarkEnd w:id="61"/>
      <w:bookmarkEnd w:id="62"/>
      <w:bookmarkEnd w:id="63"/>
      <w:bookmarkEnd w:id="64"/>
      <w:bookmarkEnd w:id="65"/>
      <w:bookmarkEnd w:id="6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67" w:name="_Toc31634"/>
      <w:bookmarkStart w:id="68" w:name="_Toc487900351"/>
      <w:bookmarkStart w:id="69" w:name="_Toc27853"/>
      <w:bookmarkStart w:id="70" w:name="_Toc259093671"/>
      <w:bookmarkStart w:id="71" w:name="_Toc279701242"/>
      <w:bookmarkStart w:id="72" w:name="_Toc9829"/>
      <w:r>
        <w:rPr>
          <w:rFonts w:hint="eastAsia" w:ascii="仿宋" w:hAnsi="仿宋" w:eastAsia="仿宋" w:cs="仿宋"/>
          <w:b/>
          <w:color w:val="auto"/>
          <w:sz w:val="24"/>
          <w:highlight w:val="none"/>
        </w:rPr>
        <w:t>2.3 知识产权</w:t>
      </w:r>
      <w:bookmarkEnd w:id="67"/>
      <w:bookmarkEnd w:id="68"/>
      <w:bookmarkEnd w:id="69"/>
      <w:bookmarkEnd w:id="70"/>
      <w:bookmarkEnd w:id="71"/>
      <w:bookmarkEnd w:id="7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73" w:name="_Toc29149"/>
      <w:bookmarkStart w:id="74" w:name="_Toc4194"/>
      <w:bookmarkStart w:id="75" w:name="_Toc11932"/>
      <w:r>
        <w:rPr>
          <w:rFonts w:hint="eastAsia" w:ascii="仿宋" w:hAnsi="仿宋" w:eastAsia="仿宋" w:cs="仿宋"/>
          <w:b/>
          <w:color w:val="auto"/>
          <w:sz w:val="24"/>
          <w:highlight w:val="none"/>
        </w:rPr>
        <w:t>2.4 包装和装运</w:t>
      </w:r>
      <w:bookmarkEnd w:id="73"/>
      <w:bookmarkEnd w:id="74"/>
      <w:bookmarkEnd w:id="7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76" w:name="_Toc487900354"/>
      <w:bookmarkStart w:id="77" w:name="_Ref467379527"/>
      <w:bookmarkStart w:id="78" w:name="_Ref467379536"/>
      <w:bookmarkStart w:id="79" w:name="_Ref467379542"/>
      <w:bookmarkStart w:id="80" w:name="_Ref467378591"/>
      <w:bookmarkStart w:id="81" w:name="_Toc259093674"/>
      <w:bookmarkStart w:id="82" w:name="_Ref467378541"/>
      <w:bookmarkStart w:id="83" w:name="_Toc279701245"/>
      <w:bookmarkStart w:id="84" w:name="_Toc30272"/>
      <w:bookmarkStart w:id="85" w:name="_Toc26182"/>
      <w:bookmarkStart w:id="86" w:name="_Toc19074"/>
      <w:r>
        <w:rPr>
          <w:rFonts w:hint="eastAsia" w:ascii="仿宋" w:hAnsi="仿宋" w:eastAsia="仿宋" w:cs="仿宋"/>
          <w:b/>
          <w:color w:val="auto"/>
          <w:sz w:val="24"/>
          <w:highlight w:val="none"/>
        </w:rPr>
        <w:t>2.</w:t>
      </w:r>
      <w:bookmarkEnd w:id="76"/>
      <w:bookmarkEnd w:id="77"/>
      <w:bookmarkEnd w:id="78"/>
      <w:bookmarkEnd w:id="79"/>
      <w:bookmarkEnd w:id="80"/>
      <w:bookmarkEnd w:id="81"/>
      <w:bookmarkEnd w:id="82"/>
      <w:bookmarkEnd w:id="83"/>
      <w:r>
        <w:rPr>
          <w:rFonts w:hint="eastAsia" w:ascii="仿宋" w:hAnsi="仿宋" w:eastAsia="仿宋" w:cs="仿宋"/>
          <w:b/>
          <w:color w:val="auto"/>
          <w:sz w:val="24"/>
          <w:highlight w:val="none"/>
        </w:rPr>
        <w:t>5 履约检查和问题反馈</w:t>
      </w:r>
      <w:bookmarkEnd w:id="84"/>
      <w:bookmarkEnd w:id="85"/>
      <w:bookmarkEnd w:id="86"/>
    </w:p>
    <w:p>
      <w:pPr>
        <w:spacing w:line="560" w:lineRule="exact"/>
        <w:ind w:firstLine="480" w:firstLineChars="200"/>
        <w:rPr>
          <w:rFonts w:ascii="仿宋" w:hAnsi="仿宋" w:eastAsia="仿宋" w:cs="仿宋"/>
          <w:color w:val="auto"/>
          <w:sz w:val="24"/>
          <w:highlight w:val="none"/>
        </w:rPr>
      </w:pPr>
      <w:bookmarkStart w:id="87" w:name="_Ref467379657"/>
      <w:r>
        <w:rPr>
          <w:rFonts w:hint="eastAsia" w:ascii="仿宋" w:hAnsi="仿宋" w:eastAsia="仿宋" w:cs="仿宋"/>
          <w:color w:val="auto"/>
          <w:sz w:val="24"/>
          <w:highlight w:val="none"/>
        </w:rPr>
        <w:t>2.5.1</w:t>
      </w:r>
      <w:bookmarkEnd w:id="87"/>
      <w:bookmarkStart w:id="88" w:name="_Toc186431854"/>
      <w:bookmarkStart w:id="89" w:name="_Toc279701247"/>
      <w:bookmarkStart w:id="90" w:name="_Ref467379807"/>
      <w:bookmarkStart w:id="91" w:name="_Toc487900357"/>
      <w:bookmarkStart w:id="92" w:name="_Ref467379793"/>
      <w:bookmarkStart w:id="93"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8"/>
      <w:bookmarkStart w:id="94" w:name="_Toc186431855"/>
      <w:r>
        <w:rPr>
          <w:rFonts w:hint="eastAsia" w:ascii="仿宋" w:hAnsi="仿宋" w:eastAsia="仿宋" w:cs="仿宋"/>
          <w:color w:val="auto"/>
          <w:sz w:val="24"/>
          <w:highlight w:val="none"/>
        </w:rPr>
        <w:t>。</w:t>
      </w:r>
    </w:p>
    <w:bookmarkEnd w:id="89"/>
    <w:bookmarkEnd w:id="90"/>
    <w:bookmarkEnd w:id="91"/>
    <w:bookmarkEnd w:id="92"/>
    <w:bookmarkEnd w:id="93"/>
    <w:bookmarkEnd w:id="94"/>
    <w:p>
      <w:pPr>
        <w:spacing w:line="560" w:lineRule="exact"/>
        <w:ind w:firstLine="482" w:firstLineChars="200"/>
        <w:outlineLvl w:val="0"/>
        <w:rPr>
          <w:rFonts w:ascii="仿宋" w:hAnsi="仿宋" w:eastAsia="仿宋" w:cs="仿宋"/>
          <w:b/>
          <w:color w:val="auto"/>
          <w:sz w:val="24"/>
          <w:highlight w:val="none"/>
        </w:rPr>
      </w:pPr>
      <w:bookmarkStart w:id="95" w:name="_Ref467379923"/>
      <w:bookmarkStart w:id="96" w:name="_Toc259093677"/>
      <w:bookmarkStart w:id="97" w:name="_Ref467379863"/>
      <w:bookmarkStart w:id="98" w:name="_Ref467379852"/>
      <w:bookmarkStart w:id="99" w:name="_Toc279701248"/>
      <w:bookmarkStart w:id="100" w:name="_Toc487900358"/>
      <w:bookmarkStart w:id="101" w:name="_Toc3225"/>
      <w:bookmarkStart w:id="102" w:name="_Toc774"/>
      <w:bookmarkStart w:id="103" w:name="_Toc16110"/>
      <w:r>
        <w:rPr>
          <w:rFonts w:hint="eastAsia" w:ascii="仿宋" w:hAnsi="仿宋" w:eastAsia="仿宋" w:cs="仿宋"/>
          <w:b/>
          <w:color w:val="auto"/>
          <w:sz w:val="24"/>
          <w:highlight w:val="none"/>
        </w:rPr>
        <w:t>2.6 技术资料</w:t>
      </w:r>
      <w:bookmarkEnd w:id="95"/>
      <w:bookmarkEnd w:id="96"/>
      <w:bookmarkEnd w:id="97"/>
      <w:bookmarkEnd w:id="98"/>
      <w:bookmarkEnd w:id="99"/>
      <w:bookmarkEnd w:id="100"/>
      <w:r>
        <w:rPr>
          <w:rFonts w:hint="eastAsia" w:ascii="仿宋" w:hAnsi="仿宋" w:eastAsia="仿宋" w:cs="仿宋"/>
          <w:b/>
          <w:color w:val="auto"/>
          <w:sz w:val="24"/>
          <w:highlight w:val="none"/>
        </w:rPr>
        <w:t>和保密义务</w:t>
      </w:r>
      <w:bookmarkEnd w:id="101"/>
      <w:bookmarkEnd w:id="102"/>
      <w:bookmarkEnd w:id="10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04" w:name="_Toc7860"/>
      <w:r>
        <w:rPr>
          <w:rFonts w:hint="eastAsia" w:ascii="仿宋" w:hAnsi="仿宋" w:eastAsia="仿宋" w:cs="仿宋"/>
          <w:b/>
          <w:color w:val="auto"/>
          <w:sz w:val="24"/>
          <w:highlight w:val="none"/>
        </w:rPr>
        <w:t>2.7 质量保证</w:t>
      </w:r>
      <w:bookmarkEnd w:id="10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05" w:name="_Toc17244"/>
      <w:bookmarkStart w:id="106" w:name="_Toc487900362"/>
      <w:bookmarkStart w:id="107" w:name="_Toc279701252"/>
      <w:bookmarkStart w:id="108" w:name="_Toc259093681"/>
      <w:r>
        <w:rPr>
          <w:rFonts w:hint="eastAsia" w:ascii="仿宋" w:hAnsi="仿宋" w:eastAsia="仿宋" w:cs="仿宋"/>
          <w:b/>
          <w:color w:val="auto"/>
          <w:sz w:val="24"/>
          <w:highlight w:val="none"/>
        </w:rPr>
        <w:t>2.8 货物的风险负担</w:t>
      </w:r>
      <w:bookmarkEnd w:id="105"/>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09" w:name="_Toc14055"/>
      <w:r>
        <w:rPr>
          <w:rFonts w:hint="eastAsia" w:ascii="仿宋" w:hAnsi="仿宋" w:eastAsia="仿宋" w:cs="仿宋"/>
          <w:b/>
          <w:color w:val="auto"/>
          <w:sz w:val="24"/>
          <w:highlight w:val="none"/>
        </w:rPr>
        <w:t>2.9 延迟交货</w:t>
      </w:r>
      <w:bookmarkEnd w:id="106"/>
      <w:bookmarkEnd w:id="107"/>
      <w:bookmarkEnd w:id="108"/>
      <w:bookmarkEnd w:id="10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110" w:name="_Toc7502"/>
      <w:bookmarkStart w:id="111" w:name="_Toc259093683"/>
      <w:bookmarkStart w:id="112" w:name="_Toc279701254"/>
      <w:bookmarkStart w:id="113" w:name="_Toc487900364"/>
      <w:bookmarkStart w:id="114" w:name="_Ref467378121"/>
      <w:r>
        <w:rPr>
          <w:rFonts w:hint="eastAsia" w:ascii="仿宋" w:hAnsi="仿宋" w:eastAsia="仿宋" w:cs="仿宋"/>
          <w:b/>
          <w:color w:val="auto"/>
          <w:sz w:val="24"/>
          <w:highlight w:val="none"/>
        </w:rPr>
        <w:t>2.10 合同变更</w:t>
      </w:r>
      <w:bookmarkEnd w:id="11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5" w:name="_Toc487900369"/>
      <w:bookmarkStart w:id="116" w:name="_Toc259093688"/>
      <w:bookmarkStart w:id="117" w:name="_Toc279701259"/>
    </w:p>
    <w:p>
      <w:pPr>
        <w:spacing w:line="560" w:lineRule="exact"/>
        <w:ind w:firstLine="482" w:firstLineChars="200"/>
        <w:outlineLvl w:val="0"/>
        <w:rPr>
          <w:rFonts w:ascii="仿宋" w:hAnsi="仿宋" w:eastAsia="仿宋" w:cs="仿宋"/>
          <w:b/>
          <w:color w:val="auto"/>
          <w:sz w:val="24"/>
          <w:highlight w:val="none"/>
        </w:rPr>
      </w:pPr>
      <w:bookmarkStart w:id="118" w:name="_Toc10366"/>
      <w:bookmarkStart w:id="119" w:name="_Toc15237"/>
      <w:bookmarkStart w:id="120" w:name="_Toc22955"/>
      <w:r>
        <w:rPr>
          <w:rFonts w:hint="eastAsia" w:ascii="仿宋" w:hAnsi="仿宋" w:eastAsia="仿宋" w:cs="仿宋"/>
          <w:b/>
          <w:color w:val="auto"/>
          <w:sz w:val="24"/>
          <w:highlight w:val="none"/>
        </w:rPr>
        <w:t>2.11 合同转让</w:t>
      </w:r>
      <w:bookmarkEnd w:id="115"/>
      <w:bookmarkEnd w:id="116"/>
      <w:bookmarkEnd w:id="117"/>
      <w:r>
        <w:rPr>
          <w:rFonts w:hint="eastAsia" w:ascii="仿宋" w:hAnsi="仿宋" w:eastAsia="仿宋" w:cs="仿宋"/>
          <w:b/>
          <w:color w:val="auto"/>
          <w:sz w:val="24"/>
          <w:highlight w:val="none"/>
        </w:rPr>
        <w:t>和分包</w:t>
      </w:r>
      <w:bookmarkEnd w:id="118"/>
      <w:bookmarkEnd w:id="119"/>
      <w:bookmarkEnd w:id="120"/>
      <w:r>
        <w:rPr>
          <w:rFonts w:hint="eastAsia" w:ascii="仿宋" w:hAnsi="仿宋" w:eastAsia="仿宋" w:cs="仿宋"/>
          <w:b/>
          <w:color w:val="auto"/>
          <w:sz w:val="24"/>
          <w:highlight w:val="none"/>
        </w:rPr>
        <w:t>（如有）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121" w:name="_Toc13566"/>
      <w:bookmarkStart w:id="122" w:name="_Toc14066"/>
      <w:bookmarkStart w:id="123" w:name="_Toc16508"/>
      <w:r>
        <w:rPr>
          <w:rFonts w:hint="eastAsia" w:ascii="仿宋" w:hAnsi="仿宋" w:eastAsia="仿宋" w:cs="仿宋"/>
          <w:b/>
          <w:color w:val="auto"/>
          <w:sz w:val="24"/>
          <w:highlight w:val="none"/>
        </w:rPr>
        <w:t>2.12 不可抗力</w:t>
      </w:r>
      <w:bookmarkEnd w:id="121"/>
      <w:bookmarkEnd w:id="122"/>
      <w:bookmarkEnd w:id="12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24" w:name="_Toc689"/>
      <w:bookmarkStart w:id="125" w:name="_Toc30676"/>
      <w:bookmarkStart w:id="126" w:name="_Toc487900365"/>
      <w:bookmarkStart w:id="127" w:name="_Toc6969"/>
      <w:bookmarkStart w:id="128" w:name="_Toc279701255"/>
      <w:bookmarkStart w:id="129" w:name="_Toc259093684"/>
      <w:r>
        <w:rPr>
          <w:rFonts w:hint="eastAsia" w:ascii="仿宋" w:hAnsi="仿宋" w:eastAsia="仿宋" w:cs="仿宋"/>
          <w:b/>
          <w:color w:val="auto"/>
          <w:sz w:val="24"/>
          <w:highlight w:val="none"/>
        </w:rPr>
        <w:t>2.13 税费</w:t>
      </w:r>
      <w:bookmarkEnd w:id="124"/>
      <w:bookmarkEnd w:id="125"/>
      <w:bookmarkEnd w:id="126"/>
      <w:bookmarkEnd w:id="127"/>
      <w:bookmarkEnd w:id="128"/>
      <w:bookmarkEnd w:id="12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130" w:name="_Toc16959"/>
      <w:bookmarkStart w:id="131" w:name="_Toc279701258"/>
      <w:bookmarkStart w:id="132" w:name="_Toc259093687"/>
      <w:bookmarkStart w:id="133" w:name="_Toc7102"/>
      <w:bookmarkStart w:id="134" w:name="_Toc8298"/>
      <w:bookmarkStart w:id="135" w:name="_Toc487900368"/>
      <w:r>
        <w:rPr>
          <w:rFonts w:hint="eastAsia" w:ascii="仿宋" w:hAnsi="仿宋" w:eastAsia="仿宋" w:cs="仿宋"/>
          <w:b/>
          <w:color w:val="auto"/>
          <w:sz w:val="24"/>
          <w:highlight w:val="none"/>
        </w:rPr>
        <w:t>2.14乙方破产</w:t>
      </w:r>
      <w:bookmarkEnd w:id="130"/>
      <w:bookmarkEnd w:id="131"/>
      <w:bookmarkEnd w:id="132"/>
      <w:bookmarkEnd w:id="133"/>
      <w:bookmarkEnd w:id="134"/>
      <w:bookmarkEnd w:id="13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36" w:name="_Toc6134"/>
      <w:bookmarkStart w:id="137" w:name="_Toc29333"/>
      <w:bookmarkStart w:id="138" w:name="_Toc15387"/>
      <w:r>
        <w:rPr>
          <w:rFonts w:hint="eastAsia" w:ascii="仿宋" w:hAnsi="仿宋" w:eastAsia="仿宋" w:cs="仿宋"/>
          <w:b/>
          <w:color w:val="auto"/>
          <w:sz w:val="24"/>
          <w:highlight w:val="none"/>
        </w:rPr>
        <w:t>2.15 合同中止、终止</w:t>
      </w:r>
      <w:bookmarkEnd w:id="136"/>
      <w:bookmarkEnd w:id="137"/>
      <w:bookmarkEnd w:id="13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39" w:name="_Toc6596"/>
      <w:bookmarkStart w:id="140" w:name="_Toc1125"/>
      <w:bookmarkStart w:id="141" w:name="_Toc14563"/>
      <w:r>
        <w:rPr>
          <w:rFonts w:hint="eastAsia" w:ascii="仿宋" w:hAnsi="仿宋" w:eastAsia="仿宋" w:cs="仿宋"/>
          <w:b/>
          <w:color w:val="auto"/>
          <w:sz w:val="24"/>
          <w:highlight w:val="none"/>
        </w:rPr>
        <w:t>2.16检验和验收</w:t>
      </w:r>
      <w:bookmarkEnd w:id="139"/>
      <w:bookmarkEnd w:id="140"/>
      <w:bookmarkEnd w:id="141"/>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11"/>
    <w:bookmarkEnd w:id="112"/>
    <w:bookmarkEnd w:id="113"/>
    <w:bookmarkEnd w:id="114"/>
    <w:p>
      <w:pPr>
        <w:spacing w:line="560" w:lineRule="exact"/>
        <w:ind w:firstLine="482" w:firstLineChars="200"/>
        <w:outlineLvl w:val="0"/>
        <w:rPr>
          <w:rFonts w:ascii="仿宋" w:hAnsi="仿宋" w:eastAsia="仿宋" w:cs="仿宋"/>
          <w:b/>
          <w:color w:val="auto"/>
          <w:sz w:val="24"/>
          <w:highlight w:val="none"/>
        </w:rPr>
      </w:pPr>
      <w:bookmarkStart w:id="142" w:name="_Toc487900371"/>
      <w:bookmarkStart w:id="143" w:name="_Toc279701261"/>
      <w:bookmarkStart w:id="144" w:name="_Toc259093690"/>
      <w:bookmarkStart w:id="145" w:name="_Toc11284"/>
      <w:bookmarkStart w:id="146" w:name="_Toc19604"/>
      <w:bookmarkStart w:id="147" w:name="_Toc25182"/>
      <w:r>
        <w:rPr>
          <w:rFonts w:hint="eastAsia" w:ascii="仿宋" w:hAnsi="仿宋" w:eastAsia="仿宋" w:cs="仿宋"/>
          <w:b/>
          <w:color w:val="auto"/>
          <w:sz w:val="24"/>
          <w:highlight w:val="none"/>
        </w:rPr>
        <w:t>2.17 通知</w:t>
      </w:r>
      <w:bookmarkEnd w:id="142"/>
      <w:bookmarkEnd w:id="143"/>
      <w:bookmarkEnd w:id="144"/>
      <w:r>
        <w:rPr>
          <w:rFonts w:hint="eastAsia" w:ascii="仿宋" w:hAnsi="仿宋" w:eastAsia="仿宋" w:cs="仿宋"/>
          <w:b/>
          <w:color w:val="auto"/>
          <w:sz w:val="24"/>
          <w:highlight w:val="none"/>
        </w:rPr>
        <w:t>和送达</w:t>
      </w:r>
      <w:bookmarkEnd w:id="145"/>
      <w:bookmarkEnd w:id="146"/>
      <w:bookmarkEnd w:id="147"/>
    </w:p>
    <w:p>
      <w:pPr>
        <w:spacing w:line="560" w:lineRule="exact"/>
        <w:ind w:firstLine="480" w:firstLineChars="200"/>
        <w:rPr>
          <w:rFonts w:ascii="仿宋" w:hAnsi="仿宋" w:eastAsia="仿宋" w:cs="仿宋"/>
          <w:color w:val="auto"/>
          <w:sz w:val="24"/>
          <w:highlight w:val="none"/>
        </w:rPr>
      </w:pPr>
      <w:bookmarkStart w:id="148" w:name="_Toc3135"/>
      <w:bookmarkStart w:id="149" w:name="_Toc6698"/>
      <w:bookmarkStart w:id="150" w:name="_Toc279701262"/>
      <w:bookmarkStart w:id="151" w:name="_Toc487900372"/>
      <w:bookmarkStart w:id="152"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48"/>
      <w:bookmarkEnd w:id="149"/>
    </w:p>
    <w:p>
      <w:pPr>
        <w:spacing w:line="560" w:lineRule="exact"/>
        <w:ind w:firstLine="480" w:firstLineChars="200"/>
        <w:rPr>
          <w:rFonts w:ascii="仿宋" w:hAnsi="仿宋" w:eastAsia="仿宋" w:cs="仿宋"/>
          <w:color w:val="auto"/>
          <w:sz w:val="24"/>
          <w:highlight w:val="none"/>
        </w:rPr>
      </w:pPr>
      <w:bookmarkStart w:id="153" w:name="_Toc23128"/>
      <w:bookmarkStart w:id="154"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pPr>
        <w:spacing w:line="560" w:lineRule="exact"/>
        <w:ind w:firstLine="482" w:firstLineChars="200"/>
        <w:outlineLvl w:val="0"/>
        <w:rPr>
          <w:rFonts w:ascii="仿宋" w:hAnsi="仿宋" w:eastAsia="仿宋" w:cs="仿宋"/>
          <w:b/>
          <w:color w:val="auto"/>
          <w:sz w:val="24"/>
          <w:highlight w:val="none"/>
        </w:rPr>
      </w:pPr>
      <w:bookmarkStart w:id="155" w:name="_Toc4355"/>
      <w:bookmarkStart w:id="156" w:name="_Toc18540"/>
      <w:bookmarkStart w:id="157" w:name="_Toc30599"/>
      <w:r>
        <w:rPr>
          <w:rFonts w:hint="eastAsia" w:ascii="仿宋" w:hAnsi="仿宋" w:eastAsia="仿宋" w:cs="仿宋"/>
          <w:b/>
          <w:color w:val="auto"/>
          <w:sz w:val="24"/>
          <w:highlight w:val="none"/>
        </w:rPr>
        <w:t>2.18 计量单位</w:t>
      </w:r>
      <w:bookmarkEnd w:id="150"/>
      <w:bookmarkEnd w:id="151"/>
      <w:bookmarkEnd w:id="152"/>
      <w:bookmarkEnd w:id="155"/>
      <w:bookmarkEnd w:id="156"/>
      <w:bookmarkEnd w:id="15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58" w:name="_Toc10330"/>
      <w:bookmarkStart w:id="159" w:name="_Toc487900373"/>
      <w:bookmarkStart w:id="160" w:name="_Toc12773"/>
      <w:bookmarkStart w:id="161" w:name="_Toc18567"/>
      <w:bookmarkStart w:id="162" w:name="_Toc259093692"/>
      <w:bookmarkStart w:id="163" w:name="_Toc279701263"/>
      <w:r>
        <w:rPr>
          <w:rFonts w:hint="eastAsia" w:ascii="仿宋" w:hAnsi="仿宋" w:eastAsia="仿宋" w:cs="仿宋"/>
          <w:b/>
          <w:color w:val="auto"/>
          <w:sz w:val="24"/>
          <w:highlight w:val="none"/>
        </w:rPr>
        <w:t>2.19 合同使用的文字和适用的法律</w:t>
      </w:r>
      <w:bookmarkEnd w:id="158"/>
      <w:bookmarkEnd w:id="159"/>
      <w:bookmarkEnd w:id="160"/>
      <w:bookmarkEnd w:id="161"/>
      <w:bookmarkEnd w:id="162"/>
      <w:bookmarkEnd w:id="16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64" w:name="_Toc259093693"/>
      <w:bookmarkStart w:id="165" w:name="_Toc12004"/>
      <w:bookmarkStart w:id="166" w:name="_Toc3148"/>
      <w:bookmarkStart w:id="167" w:name="_Toc16673"/>
      <w:bookmarkStart w:id="168" w:name="_Toc279701264"/>
      <w:bookmarkStart w:id="169" w:name="_Toc487900374"/>
      <w:r>
        <w:rPr>
          <w:rFonts w:hint="eastAsia" w:ascii="仿宋" w:hAnsi="仿宋" w:eastAsia="仿宋" w:cs="仿宋"/>
          <w:b/>
          <w:color w:val="auto"/>
          <w:sz w:val="24"/>
          <w:highlight w:val="none"/>
        </w:rPr>
        <w:t>2.20 履约保证金</w:t>
      </w:r>
      <w:bookmarkEnd w:id="164"/>
      <w:bookmarkEnd w:id="165"/>
      <w:bookmarkEnd w:id="166"/>
      <w:bookmarkEnd w:id="167"/>
      <w:bookmarkEnd w:id="168"/>
    </w:p>
    <w:p>
      <w:pPr>
        <w:pStyle w:val="283"/>
        <w:spacing w:before="0" w:beforeAutospacing="0" w:after="0" w:afterAutospacing="0" w:line="360" w:lineRule="auto"/>
        <w:ind w:firstLine="420"/>
        <w:rPr>
          <w:rFonts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约定的方式，以支票、汇票、本票或者金融机构、担保机构出具的保函等非现金形式，提交不超过合同金额2.5%的履约保证金；鼓励和支持乙方以银行、保险公司出具的保函形式提供履约保证。</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9"/>
    <w:p>
      <w:pPr>
        <w:spacing w:line="560" w:lineRule="exact"/>
        <w:ind w:firstLine="482" w:firstLineChars="200"/>
        <w:outlineLvl w:val="0"/>
        <w:rPr>
          <w:rFonts w:ascii="仿宋" w:hAnsi="仿宋" w:eastAsia="仿宋" w:cs="仿宋"/>
          <w:b/>
          <w:color w:val="auto"/>
          <w:sz w:val="24"/>
          <w:highlight w:val="none"/>
        </w:rPr>
      </w:pPr>
      <w:bookmarkStart w:id="170" w:name="_Toc19890"/>
      <w:bookmarkStart w:id="171" w:name="_Toc6885"/>
      <w:bookmarkStart w:id="172" w:name="_Toc14001"/>
      <w:r>
        <w:rPr>
          <w:rFonts w:hint="eastAsia" w:ascii="仿宋" w:hAnsi="仿宋" w:eastAsia="仿宋" w:cs="仿宋"/>
          <w:b/>
          <w:color w:val="auto"/>
          <w:sz w:val="24"/>
          <w:highlight w:val="none"/>
        </w:rPr>
        <w:t>2.22合同份数</w:t>
      </w:r>
      <w:bookmarkEnd w:id="170"/>
      <w:bookmarkEnd w:id="171"/>
      <w:bookmarkEnd w:id="17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pStyle w:val="282"/>
        <w:spacing w:line="560" w:lineRule="exact"/>
        <w:jc w:val="center"/>
        <w:rPr>
          <w:rFonts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73" w:name="_Toc331685784"/>
      <w:r>
        <w:rPr>
          <w:rFonts w:hint="eastAsia" w:ascii="仿宋" w:hAnsi="仿宋" w:eastAsia="仿宋" w:cs="仿宋"/>
          <w:b/>
          <w:color w:val="auto"/>
          <w:szCs w:val="24"/>
          <w:highlight w:val="none"/>
        </w:rPr>
        <w:t xml:space="preserve"> </w:t>
      </w:r>
      <w:bookmarkEnd w:id="173"/>
      <w:r>
        <w:rPr>
          <w:rFonts w:hint="eastAsia" w:ascii="仿宋" w:hAnsi="仿宋" w:eastAsia="仿宋" w:cs="仿宋"/>
          <w:b/>
          <w:color w:val="auto"/>
          <w:szCs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2.22 </w:t>
            </w:r>
          </w:p>
        </w:tc>
        <w:tc>
          <w:tcPr>
            <w:tcW w:w="8275" w:type="dxa"/>
            <w:vAlign w:val="center"/>
          </w:tcPr>
          <w:p>
            <w:pPr>
              <w:spacing w:line="360" w:lineRule="auto"/>
              <w:rPr>
                <w:rFonts w:ascii="仿宋" w:hAnsi="仿宋" w:eastAsia="仿宋" w:cs="仿宋"/>
                <w:color w:val="auto"/>
                <w:sz w:val="24"/>
                <w:highlight w:val="none"/>
              </w:rPr>
            </w:pP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4"/>
        <w:spacing w:line="800" w:lineRule="exact"/>
        <w:ind w:firstLine="723"/>
        <w:jc w:val="center"/>
        <w:rPr>
          <w:rFonts w:ascii="仿宋" w:hAnsi="仿宋" w:eastAsia="仿宋" w:cs="仿宋"/>
          <w:b/>
          <w:color w:val="auto"/>
          <w:sz w:val="36"/>
          <w:szCs w:val="36"/>
          <w:highlight w:val="none"/>
        </w:rPr>
      </w:pPr>
    </w:p>
    <w:p>
      <w:pPr>
        <w:pStyle w:val="24"/>
        <w:pageBreakBefore/>
        <w:spacing w:line="800" w:lineRule="exact"/>
        <w:ind w:firstLine="726"/>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2.1.商务技术分（70分）</w:t>
      </w:r>
    </w:p>
    <w:p>
      <w:pPr>
        <w:pStyle w:val="2"/>
        <w:ind w:firstLine="482"/>
        <w:rPr>
          <w:color w:val="auto"/>
          <w:highlight w:val="none"/>
        </w:rPr>
      </w:pPr>
      <w:r>
        <w:rPr>
          <w:rFonts w:hint="eastAsia" w:ascii="仿宋" w:hAnsi="仿宋" w:eastAsia="仿宋" w:cs="仿宋"/>
          <w:b/>
          <w:bCs/>
          <w:color w:val="auto"/>
          <w:highlight w:val="none"/>
          <w:bdr w:val="single" w:color="auto" w:sz="4" w:space="0"/>
        </w:rPr>
        <w:t>0</w:t>
      </w:r>
      <w:r>
        <w:rPr>
          <w:rFonts w:hint="eastAsia" w:ascii="仿宋" w:hAnsi="仿宋" w:eastAsia="仿宋" w:cs="仿宋"/>
          <w:b/>
          <w:bCs/>
          <w:color w:val="auto"/>
          <w:highlight w:val="none"/>
          <w:bdr w:val="single" w:color="auto" w:sz="4" w:space="0"/>
          <w:lang w:val="en-US"/>
        </w:rPr>
        <w:t>1</w:t>
      </w:r>
      <w:r>
        <w:rPr>
          <w:rFonts w:hint="eastAsia" w:ascii="仿宋" w:hAnsi="仿宋" w:eastAsia="仿宋" w:cs="仿宋"/>
          <w:b/>
          <w:bCs/>
          <w:color w:val="auto"/>
          <w:highlight w:val="none"/>
          <w:bdr w:val="single" w:color="auto" w:sz="4" w:space="0"/>
        </w:rPr>
        <w:t>标</w:t>
      </w:r>
    </w:p>
    <w:tbl>
      <w:tblPr>
        <w:tblStyle w:val="43"/>
        <w:tblW w:w="5000" w:type="pct"/>
        <w:jc w:val="center"/>
        <w:tblLayout w:type="autofit"/>
        <w:tblCellMar>
          <w:top w:w="0" w:type="dxa"/>
          <w:left w:w="0" w:type="dxa"/>
          <w:bottom w:w="0" w:type="dxa"/>
          <w:right w:w="0" w:type="dxa"/>
        </w:tblCellMar>
      </w:tblPr>
      <w:tblGrid>
        <w:gridCol w:w="547"/>
        <w:gridCol w:w="1013"/>
        <w:gridCol w:w="775"/>
        <w:gridCol w:w="6759"/>
      </w:tblGrid>
      <w:tr>
        <w:tblPrEx>
          <w:tblCellMar>
            <w:top w:w="0" w:type="dxa"/>
            <w:left w:w="0" w:type="dxa"/>
            <w:bottom w:w="0" w:type="dxa"/>
            <w:right w:w="0" w:type="dxa"/>
          </w:tblCellMar>
        </w:tblPrEx>
        <w:trPr>
          <w:trHeight w:val="384" w:hRule="atLeast"/>
          <w:jc w:val="center"/>
        </w:trPr>
        <w:tc>
          <w:tcPr>
            <w:tcW w:w="301"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557"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评分因素</w:t>
            </w: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分值</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评分标准</w:t>
            </w:r>
          </w:p>
        </w:tc>
      </w:tr>
      <w:tr>
        <w:tblPrEx>
          <w:tblCellMar>
            <w:top w:w="0" w:type="dxa"/>
            <w:left w:w="0" w:type="dxa"/>
            <w:bottom w:w="0" w:type="dxa"/>
            <w:right w:w="0" w:type="dxa"/>
          </w:tblCellMar>
        </w:tblPrEx>
        <w:trPr>
          <w:trHeight w:val="1464" w:hRule="atLeast"/>
          <w:jc w:val="center"/>
        </w:trPr>
        <w:tc>
          <w:tcPr>
            <w:tcW w:w="301"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57"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管理资质</w:t>
            </w: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1.投标人具有ISO/IEC27001信息安全管理体系认证、ISO20000信息技术服务管理体系认证证书，每项得1分，最高得2分，需提供证书复印件并加盖投标人公章，否则不得分。</w:t>
            </w:r>
          </w:p>
          <w:p>
            <w:pPr>
              <w:pStyle w:val="2"/>
              <w:spacing w:line="240" w:lineRule="auto"/>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rPr>
              <w:t>投标人具有高新技术企业、软件企业证书、企业信用AAA等级认证，每个得1分，最高3分，投标文件中提供证书复印件，否则不得分。</w:t>
            </w:r>
          </w:p>
        </w:tc>
      </w:tr>
      <w:tr>
        <w:tblPrEx>
          <w:tblCellMar>
            <w:top w:w="0" w:type="dxa"/>
            <w:left w:w="0" w:type="dxa"/>
            <w:bottom w:w="0" w:type="dxa"/>
            <w:right w:w="0" w:type="dxa"/>
          </w:tblCellMar>
        </w:tblPrEx>
        <w:trPr>
          <w:trHeight w:val="90" w:hRule="atLeast"/>
          <w:jc w:val="center"/>
        </w:trPr>
        <w:tc>
          <w:tcPr>
            <w:tcW w:w="301" w:type="pct"/>
            <w:vMerge w:val="restart"/>
            <w:tcBorders>
              <w:top w:val="nil"/>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557" w:type="pct"/>
            <w:vMerge w:val="restart"/>
            <w:tcBorders>
              <w:top w:val="nil"/>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服务能力</w:t>
            </w: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投标人具有软件能力成熟度模型集成认证，CMMI5认证的得5分，CMMI4认证的得2分，CMMI3认证的得1分,CMMI2(含)以下不得分。需提供CMMI认证证书复印件并加盖投标人公章，否则不得分。</w:t>
            </w:r>
          </w:p>
        </w:tc>
      </w:tr>
      <w:tr>
        <w:tblPrEx>
          <w:tblCellMar>
            <w:top w:w="0" w:type="dxa"/>
            <w:left w:w="0" w:type="dxa"/>
            <w:bottom w:w="0" w:type="dxa"/>
            <w:right w:w="0" w:type="dxa"/>
          </w:tblCellMar>
        </w:tblPrEx>
        <w:trPr>
          <w:trHeight w:val="688" w:hRule="atLeast"/>
          <w:jc w:val="center"/>
        </w:trPr>
        <w:tc>
          <w:tcPr>
            <w:tcW w:w="30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szCs w:val="21"/>
                <w:highlight w:val="none"/>
              </w:rPr>
            </w:pPr>
          </w:p>
        </w:tc>
        <w:tc>
          <w:tcPr>
            <w:tcW w:w="557"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szCs w:val="21"/>
                <w:highlight w:val="none"/>
              </w:rPr>
            </w:pP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投标人获得过省级高新技术成果转化项目证书得4分</w:t>
            </w:r>
            <w:r>
              <w:rPr>
                <w:rFonts w:hint="eastAsia" w:ascii="仿宋" w:hAnsi="仿宋" w:eastAsia="仿宋" w:cs="仿宋"/>
                <w:color w:val="auto"/>
                <w:szCs w:val="21"/>
                <w:highlight w:val="none"/>
                <w:lang w:eastAsia="zh-CN"/>
              </w:rPr>
              <w:t>，需</w:t>
            </w:r>
            <w:r>
              <w:rPr>
                <w:rFonts w:hint="eastAsia" w:ascii="仿宋" w:hAnsi="仿宋" w:eastAsia="仿宋" w:cs="仿宋"/>
                <w:color w:val="auto"/>
                <w:szCs w:val="21"/>
                <w:highlight w:val="none"/>
              </w:rPr>
              <w:t>提供证书复印件并加盖公章，否则不得分</w:t>
            </w:r>
            <w:r>
              <w:rPr>
                <w:rFonts w:hint="eastAsia" w:ascii="仿宋" w:hAnsi="仿宋" w:eastAsia="仿宋" w:cs="仿宋"/>
                <w:color w:val="auto"/>
                <w:szCs w:val="21"/>
                <w:highlight w:val="none"/>
                <w:lang w:eastAsia="zh-CN"/>
              </w:rPr>
              <w:t>。</w:t>
            </w:r>
          </w:p>
        </w:tc>
      </w:tr>
      <w:tr>
        <w:tblPrEx>
          <w:tblCellMar>
            <w:top w:w="0" w:type="dxa"/>
            <w:left w:w="0" w:type="dxa"/>
            <w:bottom w:w="0" w:type="dxa"/>
            <w:right w:w="0" w:type="dxa"/>
          </w:tblCellMar>
        </w:tblPrEx>
        <w:trPr>
          <w:trHeight w:val="688" w:hRule="atLeast"/>
          <w:jc w:val="center"/>
        </w:trPr>
        <w:tc>
          <w:tcPr>
            <w:tcW w:w="30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szCs w:val="21"/>
                <w:highlight w:val="none"/>
              </w:rPr>
            </w:pPr>
          </w:p>
        </w:tc>
        <w:tc>
          <w:tcPr>
            <w:tcW w:w="557"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szCs w:val="21"/>
                <w:highlight w:val="none"/>
              </w:rPr>
            </w:pP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投标人具有知识产权管理体系认证证书，得3分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需提供证书复印件并加盖投标人公章，否则不得分。</w:t>
            </w:r>
          </w:p>
        </w:tc>
      </w:tr>
      <w:tr>
        <w:tblPrEx>
          <w:tblCellMar>
            <w:top w:w="0" w:type="dxa"/>
            <w:left w:w="0" w:type="dxa"/>
            <w:bottom w:w="0" w:type="dxa"/>
            <w:right w:w="0" w:type="dxa"/>
          </w:tblCellMar>
        </w:tblPrEx>
        <w:trPr>
          <w:trHeight w:val="1309" w:hRule="atLeast"/>
          <w:jc w:val="center"/>
        </w:trPr>
        <w:tc>
          <w:tcPr>
            <w:tcW w:w="301"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szCs w:val="21"/>
                <w:highlight w:val="none"/>
              </w:rPr>
            </w:pPr>
          </w:p>
        </w:tc>
        <w:tc>
          <w:tcPr>
            <w:tcW w:w="557" w:type="pct"/>
            <w:vMerge w:val="continue"/>
            <w:tcBorders>
              <w:top w:val="nil"/>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szCs w:val="21"/>
                <w:highlight w:val="none"/>
              </w:rPr>
            </w:pP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具有本次招标信息系统各软件《软件产品证书》的，具有“DRG分组器”、“手术分级”、“DRG绩效考核”、“DRG数据分析”、“医院医疗质量分析”关键字（或具有相同功能表述的字段）每提供一份得2分，最高得10分，需提供证书复印件并加盖投标人公章，否则不得分。</w:t>
            </w:r>
          </w:p>
        </w:tc>
      </w:tr>
      <w:tr>
        <w:tblPrEx>
          <w:tblCellMar>
            <w:top w:w="0" w:type="dxa"/>
            <w:left w:w="0" w:type="dxa"/>
            <w:bottom w:w="0" w:type="dxa"/>
            <w:right w:w="0" w:type="dxa"/>
          </w:tblCellMar>
        </w:tblPrEx>
        <w:trPr>
          <w:trHeight w:val="456" w:hRule="atLeast"/>
          <w:jc w:val="center"/>
        </w:trPr>
        <w:tc>
          <w:tcPr>
            <w:tcW w:w="301"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557"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项目业绩</w:t>
            </w: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投标人提供自2019年5月（以合同签订时间为准）以来其DRG信息系统应用于同类项目成功案例，每提供一个成功案例得1分，最高得3分，需提供合同复印件并加盖投标人公章，否则不得分。</w:t>
            </w:r>
          </w:p>
        </w:tc>
      </w:tr>
      <w:tr>
        <w:tblPrEx>
          <w:tblCellMar>
            <w:top w:w="0" w:type="dxa"/>
            <w:left w:w="0" w:type="dxa"/>
            <w:bottom w:w="0" w:type="dxa"/>
            <w:right w:w="0" w:type="dxa"/>
          </w:tblCellMar>
        </w:tblPrEx>
        <w:trPr>
          <w:trHeight w:val="1583" w:hRule="atLeast"/>
          <w:jc w:val="center"/>
        </w:trPr>
        <w:tc>
          <w:tcPr>
            <w:tcW w:w="301"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557"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项目团队</w:t>
            </w: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1.项目负责人具有PMP证书的得2分；</w:t>
            </w:r>
          </w:p>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2.团队人员中有10年</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以上工作经验(从学历证明日期起视为参加工作</w:t>
            </w:r>
            <w:r>
              <w:rPr>
                <w:rFonts w:hint="eastAsia" w:ascii="仿宋" w:hAnsi="仿宋" w:eastAsia="仿宋" w:cs="仿宋"/>
                <w:color w:val="auto"/>
                <w:szCs w:val="21"/>
                <w:highlight w:val="none"/>
                <w:lang w:eastAsia="zh-CN"/>
              </w:rPr>
              <w:t>，团队人员不包括项目负责人</w:t>
            </w:r>
            <w:r>
              <w:rPr>
                <w:rFonts w:hint="eastAsia" w:ascii="仿宋" w:hAnsi="仿宋" w:eastAsia="仿宋" w:cs="仿宋"/>
                <w:color w:val="auto"/>
                <w:szCs w:val="21"/>
                <w:highlight w:val="none"/>
              </w:rPr>
              <w:t>)的得2分。</w:t>
            </w:r>
          </w:p>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需提供证书复印件及投标截止之日前3个月内的社保证明复印件并加盖投标人公章，否则不得分。</w:t>
            </w:r>
          </w:p>
        </w:tc>
      </w:tr>
      <w:tr>
        <w:tblPrEx>
          <w:tblCellMar>
            <w:top w:w="0" w:type="dxa"/>
            <w:left w:w="0" w:type="dxa"/>
            <w:bottom w:w="0" w:type="dxa"/>
            <w:right w:w="0" w:type="dxa"/>
          </w:tblCellMar>
        </w:tblPrEx>
        <w:trPr>
          <w:trHeight w:val="375" w:hRule="atLeast"/>
          <w:jc w:val="center"/>
        </w:trPr>
        <w:tc>
          <w:tcPr>
            <w:tcW w:w="301"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557"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项目方案设计</w:t>
            </w: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1.项目背景及需求分析：投标人对政策背景、信息化现状、目标、需求、问题措施等方面整体情况的分析</w:t>
            </w:r>
            <w:r>
              <w:rPr>
                <w:rFonts w:hint="eastAsia" w:ascii="仿宋" w:hAnsi="仿宋" w:eastAsia="仿宋" w:cs="仿宋"/>
                <w:color w:val="auto"/>
                <w:szCs w:val="21"/>
                <w:highlight w:val="none"/>
                <w:lang w:eastAsia="zh-CN"/>
              </w:rPr>
              <w:t>进行</w:t>
            </w:r>
            <w:r>
              <w:rPr>
                <w:rFonts w:hint="eastAsia" w:ascii="仿宋" w:hAnsi="仿宋" w:eastAsia="仿宋" w:cs="仿宋"/>
                <w:color w:val="auto"/>
                <w:szCs w:val="21"/>
                <w:highlight w:val="none"/>
              </w:rPr>
              <w:t>综合</w:t>
            </w:r>
            <w:r>
              <w:rPr>
                <w:rFonts w:hint="eastAsia" w:ascii="仿宋" w:hAnsi="仿宋" w:eastAsia="仿宋" w:cs="仿宋"/>
                <w:color w:val="auto"/>
                <w:szCs w:val="21"/>
                <w:highlight w:val="none"/>
                <w:lang w:eastAsia="zh-CN"/>
              </w:rPr>
              <w:t>评审</w:t>
            </w:r>
            <w:r>
              <w:rPr>
                <w:rFonts w:hint="eastAsia" w:ascii="仿宋" w:hAnsi="仿宋" w:eastAsia="仿宋" w:cs="仿宋"/>
                <w:color w:val="auto"/>
                <w:szCs w:val="21"/>
                <w:highlight w:val="none"/>
              </w:rPr>
              <w:t>，优得2.1-4.0分，良得1.1-2.0分，一般得0.1-1.0分；</w:t>
            </w:r>
          </w:p>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2.项目总体设计：投标人能根据项目需求目标提出具有针对性的项目总体设计方案</w:t>
            </w:r>
            <w:r>
              <w:rPr>
                <w:rFonts w:hint="eastAsia" w:ascii="仿宋" w:hAnsi="仿宋" w:eastAsia="仿宋" w:cs="仿宋"/>
                <w:color w:val="auto"/>
                <w:szCs w:val="21"/>
                <w:highlight w:val="none"/>
                <w:lang w:eastAsia="zh-CN"/>
              </w:rPr>
              <w:t>的进行评审，</w:t>
            </w:r>
            <w:r>
              <w:rPr>
                <w:rFonts w:hint="eastAsia" w:ascii="仿宋" w:hAnsi="仿宋" w:eastAsia="仿宋" w:cs="仿宋"/>
                <w:color w:val="auto"/>
                <w:szCs w:val="21"/>
                <w:highlight w:val="none"/>
              </w:rPr>
              <w:t>优得2.1-4.0分，良得1.1-2.0分，一般得0.1-1.0分；</w:t>
            </w:r>
          </w:p>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3.根据投标人提供方案的针对性、可行性、完整性进行综合评审，优得2.1-4.0分，良得1.1-2.0分，一般得0.1-1.0分。</w:t>
            </w:r>
          </w:p>
        </w:tc>
      </w:tr>
      <w:tr>
        <w:tblPrEx>
          <w:tblCellMar>
            <w:top w:w="0" w:type="dxa"/>
            <w:left w:w="0" w:type="dxa"/>
            <w:bottom w:w="0" w:type="dxa"/>
            <w:right w:w="0" w:type="dxa"/>
          </w:tblCellMar>
        </w:tblPrEx>
        <w:trPr>
          <w:trHeight w:val="539" w:hRule="atLeast"/>
          <w:jc w:val="center"/>
        </w:trPr>
        <w:tc>
          <w:tcPr>
            <w:tcW w:w="301"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557"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项目培训</w:t>
            </w: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投标人针对项目实施制定有培训方案和培训计划，培训范围至少覆盖DRG信息系统管理人员、操作人员、中层管理者及医院决策者等。查看培训方案和培训计划的完善度、以及对项目需求的满足度和响应性。优得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.0分，良得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.0分，一般得0.1-</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.0分。</w:t>
            </w:r>
          </w:p>
        </w:tc>
      </w:tr>
      <w:tr>
        <w:tblPrEx>
          <w:tblCellMar>
            <w:top w:w="0" w:type="dxa"/>
            <w:left w:w="0" w:type="dxa"/>
            <w:bottom w:w="0" w:type="dxa"/>
            <w:right w:w="0" w:type="dxa"/>
          </w:tblCellMar>
        </w:tblPrEx>
        <w:trPr>
          <w:trHeight w:val="1034" w:hRule="atLeast"/>
          <w:jc w:val="center"/>
        </w:trPr>
        <w:tc>
          <w:tcPr>
            <w:tcW w:w="301"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557"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系统功能</w:t>
            </w: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投标人所投产品具有招标文件技术参数中标注“△”的功能模块，最高得分12分，需提供的信息系统截图、方案、合同、证书等相关证明材料复印件并加盖投标人公章；未提供依次扣减，每项扣减2分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扣完为止。</w:t>
            </w:r>
          </w:p>
        </w:tc>
      </w:tr>
      <w:tr>
        <w:tblPrEx>
          <w:tblCellMar>
            <w:top w:w="0" w:type="dxa"/>
            <w:left w:w="0" w:type="dxa"/>
            <w:bottom w:w="0" w:type="dxa"/>
            <w:right w:w="0" w:type="dxa"/>
          </w:tblCellMar>
        </w:tblPrEx>
        <w:trPr>
          <w:trHeight w:val="468" w:hRule="atLeast"/>
          <w:jc w:val="center"/>
        </w:trPr>
        <w:tc>
          <w:tcPr>
            <w:tcW w:w="301"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557" w:type="pct"/>
            <w:tcBorders>
              <w:top w:val="single" w:color="000000" w:sz="4" w:space="0"/>
              <w:left w:val="single" w:color="000000" w:sz="4" w:space="0"/>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服务承诺及措施</w:t>
            </w:r>
          </w:p>
        </w:tc>
        <w:tc>
          <w:tcPr>
            <w:tcW w:w="42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rPr>
              <w:t>6分</w:t>
            </w:r>
          </w:p>
        </w:tc>
        <w:tc>
          <w:tcPr>
            <w:tcW w:w="3716" w:type="pct"/>
            <w:tcBorders>
              <w:top w:val="single" w:color="000000" w:sz="4" w:space="0"/>
              <w:left w:val="nil"/>
              <w:bottom w:val="single" w:color="000000" w:sz="4" w:space="0"/>
              <w:right w:val="single" w:color="000000" w:sz="4" w:space="0"/>
            </w:tcBorders>
            <w:noWrap w:val="0"/>
            <w:tcMar>
              <w:top w:w="12" w:type="dxa"/>
              <w:left w:w="12" w:type="dxa"/>
              <w:bottom w:w="0" w:type="dxa"/>
              <w:right w:w="12" w:type="dxa"/>
            </w:tcMar>
            <w:vAlign w:val="center"/>
          </w:tcPr>
          <w:p>
            <w:pPr>
              <w:spacing w:line="32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承诺项目实施达到预期目标，提供项目管理及实施方案，对实施人员分工、项目计划和进度，对系统的供货、安装调试、验收和应用系统上线等进行合理安排和规划等方面进行综合评审，优得4.1-6.0分，良得2.1-4.0分，一般得0.1-2.0分。</w:t>
            </w:r>
          </w:p>
        </w:tc>
      </w:tr>
    </w:tbl>
    <w:p>
      <w:pPr>
        <w:spacing w:line="440" w:lineRule="exact"/>
        <w:rPr>
          <w:rFonts w:ascii="仿宋" w:hAnsi="仿宋" w:eastAsia="仿宋" w:cs="仿宋"/>
          <w:b/>
          <w:bCs/>
          <w:iCs/>
          <w:color w:val="auto"/>
          <w:sz w:val="24"/>
          <w:highlight w:val="none"/>
        </w:rPr>
      </w:pPr>
      <w:r>
        <w:rPr>
          <w:rFonts w:hint="eastAsia" w:ascii="仿宋" w:hAnsi="仿宋" w:eastAsia="仿宋" w:cs="仿宋"/>
          <w:b/>
          <w:bCs/>
          <w:color w:val="auto"/>
          <w:sz w:val="24"/>
          <w:highlight w:val="none"/>
          <w:bdr w:val="single" w:color="auto" w:sz="4" w:space="0"/>
        </w:rPr>
        <w:t>02标</w:t>
      </w:r>
    </w:p>
    <w:tbl>
      <w:tblPr>
        <w:tblStyle w:val="43"/>
        <w:tblW w:w="8910" w:type="dxa"/>
        <w:tblInd w:w="113" w:type="dxa"/>
        <w:tblLayout w:type="fixed"/>
        <w:tblCellMar>
          <w:top w:w="0" w:type="dxa"/>
          <w:left w:w="108" w:type="dxa"/>
          <w:bottom w:w="0" w:type="dxa"/>
          <w:right w:w="108" w:type="dxa"/>
        </w:tblCellMar>
      </w:tblPr>
      <w:tblGrid>
        <w:gridCol w:w="740"/>
        <w:gridCol w:w="1227"/>
        <w:gridCol w:w="6273"/>
        <w:gridCol w:w="670"/>
      </w:tblGrid>
      <w:tr>
        <w:tblPrEx>
          <w:tblCellMar>
            <w:top w:w="0" w:type="dxa"/>
            <w:left w:w="108" w:type="dxa"/>
            <w:bottom w:w="0" w:type="dxa"/>
            <w:right w:w="108" w:type="dxa"/>
          </w:tblCellMar>
        </w:tblPrEx>
        <w:trPr>
          <w:trHeight w:val="513"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227"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w:t>
            </w: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评分细则</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分值</w:t>
            </w:r>
          </w:p>
        </w:tc>
      </w:tr>
      <w:tr>
        <w:tblPrEx>
          <w:tblCellMar>
            <w:top w:w="0" w:type="dxa"/>
            <w:left w:w="108" w:type="dxa"/>
            <w:bottom w:w="0" w:type="dxa"/>
            <w:right w:w="108" w:type="dxa"/>
          </w:tblCellMar>
        </w:tblPrEx>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ind w:left="210" w:leftChars="100"/>
              <w:jc w:val="both"/>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27" w:type="dxa"/>
            <w:vMerge w:val="restart"/>
            <w:tcBorders>
              <w:top w:val="single" w:color="000000" w:sz="4" w:space="0"/>
              <w:left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商务及资信</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（13分）</w:t>
            </w: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投标人具有ISO9001、ISO45001、ISO14001、ISO20000、ISO27001体系认证证书，全部满足得4分，缺一项扣1分，扣完为止。</w:t>
            </w:r>
            <w:r>
              <w:rPr>
                <w:rFonts w:hint="eastAsia" w:ascii="仿宋" w:hAnsi="仿宋" w:eastAsia="仿宋" w:cs="仿宋"/>
                <w:color w:val="auto"/>
                <w:szCs w:val="21"/>
                <w:highlight w:val="none"/>
                <w:lang w:eastAsia="zh-CN"/>
              </w:rPr>
              <w:t>需</w:t>
            </w:r>
            <w:r>
              <w:rPr>
                <w:rFonts w:hint="eastAsia" w:ascii="仿宋" w:hAnsi="仿宋" w:eastAsia="仿宋" w:cs="仿宋"/>
                <w:color w:val="auto"/>
                <w:szCs w:val="21"/>
                <w:highlight w:val="none"/>
              </w:rPr>
              <w:t>提供证书复印件并加盖投标人公章</w:t>
            </w:r>
            <w:r>
              <w:rPr>
                <w:rFonts w:hint="eastAsia" w:ascii="仿宋" w:hAnsi="仿宋" w:eastAsia="仿宋" w:cs="仿宋"/>
                <w:color w:val="auto"/>
                <w:szCs w:val="21"/>
                <w:highlight w:val="none"/>
                <w:lang w:eastAsia="zh-CN"/>
              </w:rPr>
              <w:t>，未提供不得分。</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CellMar>
            <w:top w:w="0" w:type="dxa"/>
            <w:left w:w="108" w:type="dxa"/>
            <w:bottom w:w="0" w:type="dxa"/>
            <w:right w:w="108" w:type="dxa"/>
          </w:tblCellMar>
        </w:tblPrEx>
        <w:trPr>
          <w:trHeight w:val="558"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227" w:type="dxa"/>
            <w:vMerge w:val="continue"/>
            <w:tcBorders>
              <w:left w:val="single" w:color="000000" w:sz="4" w:space="0"/>
              <w:right w:val="single" w:color="000000" w:sz="4" w:space="0"/>
            </w:tcBorders>
            <w:noWrap w:val="0"/>
            <w:vAlign w:val="center"/>
          </w:tcPr>
          <w:p>
            <w:pPr>
              <w:ind w:firstLine="420" w:firstLineChars="200"/>
              <w:jc w:val="left"/>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投标人拥有信息化能力和信用评价证书，拥有一级证书得4分，拥有二级证书得2分，</w:t>
            </w:r>
            <w:r>
              <w:rPr>
                <w:rFonts w:hint="eastAsia" w:ascii="仿宋" w:hAnsi="仿宋" w:eastAsia="仿宋" w:cs="仿宋"/>
                <w:color w:val="auto"/>
                <w:szCs w:val="21"/>
                <w:highlight w:val="none"/>
                <w:lang w:eastAsia="zh-CN"/>
              </w:rPr>
              <w:t>需</w:t>
            </w:r>
            <w:r>
              <w:rPr>
                <w:rFonts w:hint="eastAsia" w:ascii="仿宋" w:hAnsi="仿宋" w:eastAsia="仿宋" w:cs="仿宋"/>
                <w:color w:val="auto"/>
                <w:szCs w:val="21"/>
                <w:highlight w:val="none"/>
              </w:rPr>
              <w:t>提供证书复印件并加盖投标人公章</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否则不得分。</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CellMar>
            <w:top w:w="0" w:type="dxa"/>
            <w:left w:w="108" w:type="dxa"/>
            <w:bottom w:w="0" w:type="dxa"/>
            <w:right w:w="108" w:type="dxa"/>
          </w:tblCellMar>
        </w:tblPrEx>
        <w:trPr>
          <w:trHeight w:val="774"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227" w:type="dxa"/>
            <w:vMerge w:val="continue"/>
            <w:tcBorders>
              <w:left w:val="single" w:color="000000" w:sz="4" w:space="0"/>
              <w:right w:val="single" w:color="000000" w:sz="4" w:space="0"/>
            </w:tcBorders>
            <w:noWrap w:val="0"/>
            <w:vAlign w:val="center"/>
          </w:tcPr>
          <w:p>
            <w:pPr>
              <w:ind w:firstLine="420" w:firstLineChars="200"/>
              <w:jc w:val="left"/>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投标人自2018年1月1日以来取得市场监督管理局颁发的省级（或工商管理部门颁发的）AAA级“守合同重信用”企业证书，得2分，AA级得1分，</w:t>
            </w:r>
            <w:r>
              <w:rPr>
                <w:rFonts w:hint="eastAsia" w:ascii="仿宋" w:hAnsi="仿宋" w:eastAsia="仿宋" w:cs="仿宋"/>
                <w:color w:val="auto"/>
                <w:szCs w:val="21"/>
                <w:highlight w:val="none"/>
                <w:lang w:eastAsia="zh-CN"/>
              </w:rPr>
              <w:t>需</w:t>
            </w:r>
            <w:r>
              <w:rPr>
                <w:rFonts w:hint="eastAsia" w:ascii="仿宋" w:hAnsi="仿宋" w:eastAsia="仿宋" w:cs="仿宋"/>
                <w:color w:val="auto"/>
                <w:szCs w:val="21"/>
                <w:highlight w:val="none"/>
              </w:rPr>
              <w:t>提供证书复印件并加盖投标人公章</w:t>
            </w:r>
            <w:r>
              <w:rPr>
                <w:rFonts w:hint="eastAsia" w:ascii="仿宋" w:hAnsi="仿宋" w:eastAsia="仿宋" w:cs="仿宋"/>
                <w:color w:val="auto"/>
                <w:szCs w:val="21"/>
                <w:highlight w:val="none"/>
                <w:lang w:eastAsia="zh-CN"/>
              </w:rPr>
              <w:t>，未提供</w:t>
            </w:r>
            <w:r>
              <w:rPr>
                <w:rFonts w:hint="eastAsia" w:ascii="仿宋" w:hAnsi="仿宋" w:eastAsia="仿宋" w:cs="仿宋"/>
                <w:color w:val="auto"/>
                <w:szCs w:val="21"/>
                <w:highlight w:val="none"/>
              </w:rPr>
              <w:t>不得分。</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CellMar>
            <w:top w:w="0" w:type="dxa"/>
            <w:left w:w="108" w:type="dxa"/>
            <w:bottom w:w="0" w:type="dxa"/>
            <w:right w:w="108" w:type="dxa"/>
          </w:tblCellMar>
        </w:tblPrEx>
        <w:trPr>
          <w:trHeight w:val="41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227" w:type="dxa"/>
            <w:vMerge w:val="continue"/>
            <w:tcBorders>
              <w:left w:val="single" w:color="000000" w:sz="4" w:space="0"/>
              <w:bottom w:val="single" w:color="000000" w:sz="4" w:space="0"/>
              <w:right w:val="single" w:color="000000" w:sz="4" w:space="0"/>
            </w:tcBorders>
            <w:noWrap w:val="0"/>
            <w:vAlign w:val="center"/>
          </w:tcPr>
          <w:p>
            <w:pPr>
              <w:ind w:firstLine="420" w:firstLineChars="200"/>
              <w:jc w:val="left"/>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为保证系统的稳定度，投标人有类似项目建设的成功经验，需提供2019年5月1日以来（以签</w:t>
            </w:r>
            <w:r>
              <w:rPr>
                <w:rFonts w:hint="eastAsia" w:ascii="仿宋" w:hAnsi="仿宋" w:eastAsia="仿宋" w:cs="仿宋"/>
                <w:color w:val="auto"/>
                <w:szCs w:val="21"/>
                <w:highlight w:val="none"/>
                <w:lang w:eastAsia="zh-CN"/>
              </w:rPr>
              <w:t>订</w:t>
            </w:r>
            <w:r>
              <w:rPr>
                <w:rFonts w:hint="eastAsia" w:ascii="仿宋" w:hAnsi="仿宋" w:eastAsia="仿宋" w:cs="仿宋"/>
                <w:color w:val="auto"/>
                <w:szCs w:val="21"/>
                <w:highlight w:val="none"/>
              </w:rPr>
              <w:t>合同时间为准）类似项目案例，满足要求并提供5家</w:t>
            </w:r>
            <w:r>
              <w:rPr>
                <w:rFonts w:hint="eastAsia" w:ascii="仿宋" w:hAnsi="仿宋" w:eastAsia="仿宋" w:cs="仿宋"/>
                <w:color w:val="auto"/>
                <w:szCs w:val="21"/>
                <w:highlight w:val="none"/>
                <w:lang w:eastAsia="zh-CN"/>
              </w:rPr>
              <w:t>及以上</w:t>
            </w:r>
            <w:r>
              <w:rPr>
                <w:rFonts w:hint="eastAsia" w:ascii="仿宋" w:hAnsi="仿宋" w:eastAsia="仿宋" w:cs="仿宋"/>
                <w:color w:val="auto"/>
                <w:szCs w:val="21"/>
                <w:highlight w:val="none"/>
              </w:rPr>
              <w:t>成功实施案例得3分，3-4家成功实施案例得2分，1-2家成功实施案例得1分，</w:t>
            </w:r>
            <w:r>
              <w:rPr>
                <w:rFonts w:hint="eastAsia" w:ascii="仿宋" w:hAnsi="仿宋" w:eastAsia="仿宋" w:cs="仿宋"/>
                <w:color w:val="auto"/>
                <w:szCs w:val="21"/>
                <w:highlight w:val="none"/>
                <w:lang w:eastAsia="zh-CN"/>
              </w:rPr>
              <w:t>需</w:t>
            </w:r>
            <w:r>
              <w:rPr>
                <w:rFonts w:hint="eastAsia" w:ascii="仿宋" w:hAnsi="仿宋" w:eastAsia="仿宋" w:cs="仿宋"/>
                <w:color w:val="auto"/>
                <w:szCs w:val="21"/>
                <w:highlight w:val="none"/>
              </w:rPr>
              <w:t>提供</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highlight w:val="none"/>
              </w:rPr>
              <w:t>复印件并加盖投标人公章</w:t>
            </w:r>
            <w:r>
              <w:rPr>
                <w:rFonts w:hint="eastAsia" w:ascii="仿宋" w:hAnsi="仿宋" w:eastAsia="仿宋" w:cs="仿宋"/>
                <w:color w:val="auto"/>
                <w:szCs w:val="21"/>
                <w:highlight w:val="none"/>
                <w:lang w:eastAsia="zh-CN"/>
              </w:rPr>
              <w:t>，未提供</w:t>
            </w:r>
            <w:r>
              <w:rPr>
                <w:rFonts w:hint="eastAsia" w:ascii="仿宋" w:hAnsi="仿宋" w:eastAsia="仿宋" w:cs="仿宋"/>
                <w:color w:val="auto"/>
                <w:szCs w:val="21"/>
                <w:highlight w:val="none"/>
              </w:rPr>
              <w:t>不得分</w:t>
            </w:r>
            <w:r>
              <w:rPr>
                <w:rFonts w:hint="eastAsia" w:ascii="仿宋" w:hAnsi="仿宋" w:eastAsia="仿宋" w:cs="仿宋"/>
                <w:color w:val="auto"/>
                <w:szCs w:val="21"/>
                <w:highlight w:val="none"/>
                <w:lang w:eastAsia="zh-CN"/>
              </w:rPr>
              <w:t>。</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CellMar>
            <w:top w:w="0" w:type="dxa"/>
            <w:left w:w="108" w:type="dxa"/>
            <w:bottom w:w="0" w:type="dxa"/>
            <w:right w:w="108" w:type="dxa"/>
          </w:tblCellMar>
        </w:tblPrEx>
        <w:trPr>
          <w:trHeight w:val="899"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227" w:type="dxa"/>
            <w:vMerge w:val="restart"/>
            <w:tcBorders>
              <w:top w:val="single" w:color="000000" w:sz="4" w:space="0"/>
              <w:left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总体方案</w:t>
            </w:r>
          </w:p>
          <w:p>
            <w:pPr>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（47分）</w:t>
            </w: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满足全部的技术条款和参数，得10分。带▲条件为重点指标，一项不满足扣2分，扣完为止。其他设备性能指标中，每有一项偏离的扣1分，扣完为止</w:t>
            </w:r>
            <w:r>
              <w:rPr>
                <w:rFonts w:hint="eastAsia" w:ascii="仿宋" w:hAnsi="仿宋" w:eastAsia="仿宋" w:cs="仿宋"/>
                <w:color w:val="auto"/>
                <w:szCs w:val="21"/>
                <w:highlight w:val="none"/>
                <w:lang w:eastAsia="zh-CN"/>
              </w:rPr>
              <w:t>。</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r>
      <w:tr>
        <w:tblPrEx>
          <w:tblCellMar>
            <w:top w:w="0" w:type="dxa"/>
            <w:left w:w="108" w:type="dxa"/>
            <w:bottom w:w="0" w:type="dxa"/>
            <w:right w:w="108" w:type="dxa"/>
          </w:tblCellMar>
        </w:tblPrEx>
        <w:trPr>
          <w:trHeight w:val="991"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227" w:type="dxa"/>
            <w:vMerge w:val="continue"/>
            <w:tcBorders>
              <w:left w:val="single" w:color="000000" w:sz="4" w:space="0"/>
              <w:right w:val="single" w:color="000000" w:sz="4" w:space="0"/>
            </w:tcBorders>
            <w:noWrap w:val="0"/>
            <w:vAlign w:val="center"/>
          </w:tcPr>
          <w:p>
            <w:pPr>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w:t>
            </w:r>
            <w:r>
              <w:rPr>
                <w:rFonts w:hint="eastAsia" w:ascii="仿宋" w:hAnsi="仿宋" w:eastAsia="仿宋" w:cs="仿宋"/>
                <w:color w:val="auto"/>
                <w:szCs w:val="21"/>
                <w:highlight w:val="none"/>
                <w:lang w:eastAsia="zh-CN"/>
              </w:rPr>
              <w:t>人</w:t>
            </w:r>
            <w:r>
              <w:rPr>
                <w:rFonts w:hint="eastAsia" w:ascii="仿宋" w:hAnsi="仿宋" w:eastAsia="仿宋" w:cs="仿宋"/>
                <w:color w:val="auto"/>
                <w:szCs w:val="21"/>
                <w:highlight w:val="none"/>
              </w:rPr>
              <w:t>对项目与医院在用系统的整合方案、二次开发，无缝对接等综合打分。优得4.1-6</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分；良得2.1-4</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分；一般得0-2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r>
      <w:tr>
        <w:tblPrEx>
          <w:tblCellMar>
            <w:top w:w="0" w:type="dxa"/>
            <w:left w:w="108" w:type="dxa"/>
            <w:bottom w:w="0" w:type="dxa"/>
            <w:right w:w="108" w:type="dxa"/>
          </w:tblCellMar>
        </w:tblPrEx>
        <w:trPr>
          <w:trHeight w:val="1141"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1227" w:type="dxa"/>
            <w:vMerge w:val="continue"/>
            <w:tcBorders>
              <w:left w:val="single" w:color="000000" w:sz="4" w:space="0"/>
              <w:right w:val="single" w:color="000000" w:sz="4" w:space="0"/>
            </w:tcBorders>
            <w:noWrap w:val="0"/>
            <w:vAlign w:val="center"/>
          </w:tcPr>
          <w:p>
            <w:pPr>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根据投标人提供的项目总体设计方案，任务目标明确，设计内容全面等，根据方案的合理性、可行性、针对性、完整性等，进行综合打分。</w:t>
            </w:r>
            <w:r>
              <w:rPr>
                <w:rFonts w:hint="eastAsia" w:ascii="仿宋" w:hAnsi="仿宋" w:eastAsia="仿宋" w:cs="仿宋"/>
                <w:color w:val="auto"/>
                <w:szCs w:val="21"/>
                <w:highlight w:val="none"/>
                <w:lang w:eastAsia="zh-CN"/>
              </w:rPr>
              <w:t>优</w:t>
            </w:r>
            <w:r>
              <w:rPr>
                <w:rFonts w:hint="eastAsia" w:ascii="仿宋" w:hAnsi="仿宋" w:eastAsia="仿宋" w:cs="仿宋"/>
                <w:color w:val="auto"/>
                <w:szCs w:val="21"/>
                <w:highlight w:val="none"/>
              </w:rPr>
              <w:t>得6.1-8</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，良得</w:t>
            </w:r>
            <w:r>
              <w:rPr>
                <w:rFonts w:hint="eastAsia" w:ascii="仿宋" w:hAnsi="仿宋" w:eastAsia="仿宋" w:cs="仿宋"/>
                <w:color w:val="auto"/>
                <w:szCs w:val="21"/>
                <w:highlight w:val="none"/>
              </w:rPr>
              <w:t>3.1-6</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，一般得</w:t>
            </w:r>
            <w:r>
              <w:rPr>
                <w:rFonts w:hint="eastAsia" w:ascii="仿宋" w:hAnsi="仿宋" w:eastAsia="仿宋" w:cs="仿宋"/>
                <w:color w:val="auto"/>
                <w:szCs w:val="21"/>
                <w:highlight w:val="none"/>
              </w:rPr>
              <w:t>0-3</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未提供不得分。</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tblPrEx>
          <w:tblCellMar>
            <w:top w:w="0" w:type="dxa"/>
            <w:left w:w="108" w:type="dxa"/>
            <w:bottom w:w="0" w:type="dxa"/>
            <w:right w:w="108" w:type="dxa"/>
          </w:tblCellMar>
        </w:tblPrEx>
        <w:trPr>
          <w:trHeight w:val="690"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227" w:type="dxa"/>
            <w:vMerge w:val="continue"/>
            <w:tcBorders>
              <w:left w:val="single" w:color="000000" w:sz="4" w:space="0"/>
              <w:right w:val="single" w:color="000000" w:sz="4" w:space="0"/>
            </w:tcBorders>
            <w:noWrap w:val="0"/>
            <w:vAlign w:val="center"/>
          </w:tcPr>
          <w:p>
            <w:pPr>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1、拟投入本项目的管理与作业人员总数、人员素质、技术能力、专业分布、项目经验等综合水平情况，评委酌情给分0-2分；需提供以上所有人员的近三个月的社保证明，否则不得分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2、投标人的项目组人员具有PMP项目经理证书、IHE中国委员认证证书、ORACLEOCP认证工程师资质证书、ORACLEOCM认证工程师资质证书（不同人员相同证书</w:t>
            </w:r>
            <w:r>
              <w:rPr>
                <w:rFonts w:hint="eastAsia" w:ascii="仿宋" w:hAnsi="仿宋" w:eastAsia="仿宋" w:cs="仿宋"/>
                <w:color w:val="auto"/>
                <w:szCs w:val="21"/>
                <w:highlight w:val="none"/>
                <w:lang w:eastAsia="zh-CN"/>
              </w:rPr>
              <w:t>及一人多证</w:t>
            </w:r>
            <w:r>
              <w:rPr>
                <w:rFonts w:hint="eastAsia" w:ascii="仿宋" w:hAnsi="仿宋" w:eastAsia="仿宋" w:cs="仿宋"/>
                <w:color w:val="auto"/>
                <w:szCs w:val="21"/>
                <w:highlight w:val="none"/>
              </w:rPr>
              <w:t>不重复计分），全部满足得4分，缺一项扣1分。</w:t>
            </w:r>
            <w:r>
              <w:rPr>
                <w:rFonts w:hint="eastAsia" w:ascii="仿宋" w:hAnsi="仿宋" w:eastAsia="仿宋" w:cs="仿宋"/>
                <w:color w:val="auto"/>
                <w:szCs w:val="21"/>
                <w:highlight w:val="none"/>
                <w:lang w:eastAsia="zh-CN"/>
              </w:rPr>
              <w:t>需</w:t>
            </w:r>
            <w:r>
              <w:rPr>
                <w:rFonts w:hint="eastAsia" w:ascii="仿宋" w:hAnsi="仿宋" w:eastAsia="仿宋" w:cs="仿宋"/>
                <w:color w:val="auto"/>
                <w:szCs w:val="21"/>
                <w:highlight w:val="none"/>
              </w:rPr>
              <w:t>提供相关资格证书复印件及近</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个月的社保缴纳证明复印件</w:t>
            </w:r>
            <w:r>
              <w:rPr>
                <w:rFonts w:hint="eastAsia" w:ascii="仿宋" w:hAnsi="仿宋" w:eastAsia="仿宋" w:cs="仿宋"/>
                <w:color w:val="auto"/>
                <w:szCs w:val="21"/>
                <w:highlight w:val="none"/>
                <w:lang w:eastAsia="zh-CN"/>
              </w:rPr>
              <w:t>均加盖投标人公章，未提供不得分</w:t>
            </w:r>
            <w:r>
              <w:rPr>
                <w:rFonts w:hint="eastAsia" w:ascii="仿宋" w:hAnsi="仿宋" w:eastAsia="仿宋" w:cs="仿宋"/>
                <w:color w:val="auto"/>
                <w:szCs w:val="21"/>
                <w:highlight w:val="none"/>
              </w:rPr>
              <w:t>。</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r>
      <w:tr>
        <w:tblPrEx>
          <w:tblCellMar>
            <w:top w:w="0" w:type="dxa"/>
            <w:left w:w="108" w:type="dxa"/>
            <w:bottom w:w="0" w:type="dxa"/>
            <w:right w:w="108" w:type="dxa"/>
          </w:tblCellMar>
        </w:tblPrEx>
        <w:trPr>
          <w:trHeight w:val="90"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1227" w:type="dxa"/>
            <w:vMerge w:val="continue"/>
            <w:tcBorders>
              <w:left w:val="single" w:color="000000" w:sz="4" w:space="0"/>
              <w:right w:val="single" w:color="000000" w:sz="4" w:space="0"/>
            </w:tcBorders>
            <w:noWrap w:val="0"/>
            <w:vAlign w:val="center"/>
          </w:tcPr>
          <w:p>
            <w:pPr>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w:t>
            </w:r>
            <w:r>
              <w:rPr>
                <w:rFonts w:hint="eastAsia" w:ascii="仿宋" w:hAnsi="仿宋" w:eastAsia="仿宋" w:cs="仿宋"/>
                <w:color w:val="auto"/>
                <w:szCs w:val="21"/>
                <w:highlight w:val="none"/>
                <w:lang w:eastAsia="zh-CN"/>
              </w:rPr>
              <w:t>人提供的</w:t>
            </w:r>
            <w:r>
              <w:rPr>
                <w:rFonts w:hint="eastAsia" w:ascii="仿宋" w:hAnsi="仿宋" w:eastAsia="仿宋" w:cs="仿宋"/>
                <w:color w:val="auto"/>
                <w:szCs w:val="21"/>
                <w:highlight w:val="none"/>
              </w:rPr>
              <w:t>质量及进度相关保障措施，及相关人员配备进行综合评</w:t>
            </w:r>
            <w:r>
              <w:rPr>
                <w:rFonts w:hint="eastAsia" w:ascii="仿宋" w:hAnsi="仿宋" w:eastAsia="仿宋" w:cs="仿宋"/>
                <w:color w:val="auto"/>
                <w:szCs w:val="21"/>
                <w:highlight w:val="none"/>
                <w:lang w:eastAsia="zh-CN"/>
              </w:rPr>
              <w:t>审（</w:t>
            </w:r>
            <w:r>
              <w:rPr>
                <w:rFonts w:hint="eastAsia" w:ascii="仿宋" w:hAnsi="仿宋" w:eastAsia="仿宋" w:cs="仿宋"/>
                <w:color w:val="auto"/>
                <w:szCs w:val="21"/>
                <w:highlight w:val="none"/>
              </w:rPr>
              <w:t>要求投标</w:t>
            </w:r>
            <w:r>
              <w:rPr>
                <w:rFonts w:hint="eastAsia" w:ascii="仿宋" w:hAnsi="仿宋" w:eastAsia="仿宋" w:cs="仿宋"/>
                <w:color w:val="auto"/>
                <w:szCs w:val="21"/>
                <w:highlight w:val="none"/>
                <w:lang w:eastAsia="zh-CN"/>
              </w:rPr>
              <w:t>人</w:t>
            </w:r>
            <w:r>
              <w:rPr>
                <w:rFonts w:hint="eastAsia" w:ascii="仿宋" w:hAnsi="仿宋" w:eastAsia="仿宋" w:cs="仿宋"/>
                <w:color w:val="auto"/>
                <w:szCs w:val="21"/>
                <w:highlight w:val="none"/>
              </w:rPr>
              <w:t>提供的质量、进度保障措施详细、完善，人员配备情况合理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优得5.1-8</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分，良得3.1-5</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分，一般得0-3</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分，未提供不得分。</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tblPrEx>
          <w:tblCellMar>
            <w:top w:w="0" w:type="dxa"/>
            <w:left w:w="108" w:type="dxa"/>
            <w:bottom w:w="0" w:type="dxa"/>
            <w:right w:w="108" w:type="dxa"/>
          </w:tblCellMar>
        </w:tblPrEx>
        <w:trPr>
          <w:trHeight w:val="987"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1227" w:type="dxa"/>
            <w:vMerge w:val="continue"/>
            <w:tcBorders>
              <w:left w:val="single" w:color="000000" w:sz="4" w:space="0"/>
              <w:right w:val="single" w:color="000000" w:sz="4" w:space="0"/>
            </w:tcBorders>
            <w:noWrap w:val="0"/>
            <w:vAlign w:val="center"/>
          </w:tcPr>
          <w:p>
            <w:pPr>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根据项目实施进度计划安排进行评</w:t>
            </w:r>
            <w:r>
              <w:rPr>
                <w:rFonts w:hint="eastAsia" w:ascii="仿宋" w:hAnsi="仿宋" w:eastAsia="仿宋" w:cs="仿宋"/>
                <w:color w:val="auto"/>
                <w:szCs w:val="21"/>
                <w:highlight w:val="none"/>
                <w:lang w:eastAsia="zh-CN"/>
              </w:rPr>
              <w:t>审（</w:t>
            </w:r>
            <w:r>
              <w:rPr>
                <w:rFonts w:hint="eastAsia" w:ascii="仿宋" w:hAnsi="仿宋" w:eastAsia="仿宋" w:cs="仿宋"/>
                <w:color w:val="auto"/>
                <w:szCs w:val="21"/>
                <w:highlight w:val="none"/>
              </w:rPr>
              <w:t>要求实施进度计划安排完整、满足建设需要和周期要求</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，优得3.1-5</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分；良得1.1-3</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分；一般得0-1</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分；未提供不得分。</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tblPrEx>
          <w:tblCellMar>
            <w:top w:w="0" w:type="dxa"/>
            <w:left w:w="108" w:type="dxa"/>
            <w:bottom w:w="0" w:type="dxa"/>
            <w:right w:w="108" w:type="dxa"/>
          </w:tblCellMar>
        </w:tblPrEx>
        <w:trPr>
          <w:trHeight w:val="1008"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1227" w:type="dxa"/>
            <w:vMerge w:val="continue"/>
            <w:tcBorders>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根据项目培训方案进行综合评</w:t>
            </w:r>
            <w:r>
              <w:rPr>
                <w:rFonts w:hint="eastAsia" w:ascii="仿宋" w:hAnsi="仿宋" w:eastAsia="仿宋" w:cs="仿宋"/>
                <w:color w:val="auto"/>
                <w:szCs w:val="21"/>
                <w:highlight w:val="none"/>
                <w:lang w:eastAsia="zh-CN"/>
              </w:rPr>
              <w:t>审（</w:t>
            </w:r>
            <w:r>
              <w:rPr>
                <w:rFonts w:hint="eastAsia" w:ascii="仿宋" w:hAnsi="仿宋" w:eastAsia="仿宋" w:cs="仿宋"/>
                <w:color w:val="auto"/>
                <w:szCs w:val="21"/>
                <w:highlight w:val="none"/>
              </w:rPr>
              <w:t>要求培训方案完整、详细，满足业务要求</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，优得2.1-4</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分；良得1.1-2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分；一般得0-1</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分；未提供不得分。</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CellMar>
            <w:top w:w="0" w:type="dxa"/>
            <w:left w:w="108" w:type="dxa"/>
            <w:bottom w:w="0" w:type="dxa"/>
            <w:right w:w="108" w:type="dxa"/>
          </w:tblCellMar>
        </w:tblPrEx>
        <w:trPr>
          <w:trHeight w:val="613"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1227" w:type="dxa"/>
            <w:vMerge w:val="restart"/>
            <w:tcBorders>
              <w:top w:val="single" w:color="000000" w:sz="4" w:space="0"/>
              <w:left w:val="single" w:color="000000" w:sz="4" w:space="0"/>
              <w:right w:val="single" w:color="000000" w:sz="4" w:space="0"/>
            </w:tcBorders>
            <w:noWrap w:val="0"/>
            <w:vAlign w:val="center"/>
          </w:tcPr>
          <w:p>
            <w:pPr>
              <w:ind w:right="-57"/>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售后服务</w:t>
            </w:r>
          </w:p>
          <w:p>
            <w:pPr>
              <w:ind w:right="-57"/>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（10分）</w:t>
            </w:r>
          </w:p>
          <w:p>
            <w:pPr>
              <w:ind w:right="-57"/>
              <w:jc w:val="center"/>
              <w:textAlignment w:val="center"/>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提供对本项目的售后服务方案，投标人针对本项目制定的售后服务管理体系方案内容完整合理，切实可行，根据服务人员数量、资质和分工、服务机制、响应时间、故障解决等内容的合理性和可行性进行综合</w:t>
            </w:r>
            <w:r>
              <w:rPr>
                <w:rFonts w:hint="eastAsia" w:ascii="仿宋" w:hAnsi="仿宋" w:eastAsia="仿宋" w:cs="仿宋"/>
                <w:color w:val="auto"/>
                <w:szCs w:val="21"/>
                <w:highlight w:val="none"/>
                <w:lang w:eastAsia="zh-CN"/>
              </w:rPr>
              <w:t>评审，优</w:t>
            </w:r>
            <w:r>
              <w:rPr>
                <w:rFonts w:hint="eastAsia" w:ascii="仿宋" w:hAnsi="仿宋" w:eastAsia="仿宋" w:cs="仿宋"/>
                <w:color w:val="auto"/>
                <w:szCs w:val="21"/>
                <w:highlight w:val="none"/>
              </w:rPr>
              <w:t>得3.1-5分；</w:t>
            </w:r>
            <w:r>
              <w:rPr>
                <w:rFonts w:hint="eastAsia" w:ascii="仿宋" w:hAnsi="仿宋" w:eastAsia="仿宋" w:cs="仿宋"/>
                <w:color w:val="auto"/>
                <w:szCs w:val="21"/>
                <w:highlight w:val="none"/>
                <w:lang w:eastAsia="zh-CN"/>
              </w:rPr>
              <w:t>良</w:t>
            </w:r>
            <w:r>
              <w:rPr>
                <w:rFonts w:hint="eastAsia" w:ascii="仿宋" w:hAnsi="仿宋" w:eastAsia="仿宋" w:cs="仿宋"/>
                <w:color w:val="auto"/>
                <w:szCs w:val="21"/>
                <w:highlight w:val="none"/>
              </w:rPr>
              <w:t>得1.1-3</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一般</w:t>
            </w:r>
            <w:r>
              <w:rPr>
                <w:rFonts w:hint="eastAsia" w:ascii="仿宋" w:hAnsi="仿宋" w:eastAsia="仿宋" w:cs="仿宋"/>
                <w:color w:val="auto"/>
                <w:szCs w:val="21"/>
                <w:highlight w:val="none"/>
              </w:rPr>
              <w:t>得0-1</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分；未提供方案不得分。</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ind w:right="-57"/>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tblPrEx>
          <w:tblCellMar>
            <w:top w:w="0" w:type="dxa"/>
            <w:left w:w="108" w:type="dxa"/>
            <w:bottom w:w="0" w:type="dxa"/>
            <w:right w:w="108" w:type="dxa"/>
          </w:tblCellMar>
        </w:tblPrEx>
        <w:trPr>
          <w:trHeight w:val="950"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1227" w:type="dxa"/>
            <w:vMerge w:val="continue"/>
            <w:tcBorders>
              <w:left w:val="single" w:color="000000" w:sz="4" w:space="0"/>
              <w:bottom w:val="single" w:color="000000" w:sz="4" w:space="0"/>
              <w:right w:val="single" w:color="000000" w:sz="4" w:space="0"/>
            </w:tcBorders>
            <w:noWrap w:val="0"/>
            <w:vAlign w:val="center"/>
          </w:tcPr>
          <w:p>
            <w:pPr>
              <w:ind w:right="-57"/>
              <w:jc w:val="center"/>
              <w:textAlignment w:val="center"/>
              <w:rPr>
                <w:rFonts w:hint="eastAsia" w:ascii="仿宋" w:hAnsi="仿宋" w:eastAsia="仿宋" w:cs="仿宋"/>
                <w:color w:val="auto"/>
                <w:szCs w:val="21"/>
                <w:highlight w:val="none"/>
              </w:rPr>
            </w:pPr>
          </w:p>
        </w:tc>
        <w:tc>
          <w:tcPr>
            <w:tcW w:w="6273"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auto"/>
                <w:szCs w:val="21"/>
                <w:highlight w:val="none"/>
              </w:rPr>
            </w:pPr>
            <w:r>
              <w:rPr>
                <w:rFonts w:hint="eastAsia" w:ascii="仿宋" w:hAnsi="仿宋" w:eastAsia="仿宋" w:cs="仿宋"/>
                <w:color w:val="auto"/>
                <w:szCs w:val="21"/>
                <w:highlight w:val="none"/>
              </w:rPr>
              <w:t>为保证售后服务质量，投标人具有有效期内的信息技术服务运行维护标准符合性证书（ITSS）成熟度等级2级及以上的得5分，提供证书提供复印件加盖投标人公章</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否则不得分</w:t>
            </w:r>
            <w:r>
              <w:rPr>
                <w:rFonts w:hint="eastAsia" w:ascii="仿宋" w:hAnsi="仿宋" w:eastAsia="仿宋" w:cs="仿宋"/>
                <w:color w:val="auto"/>
                <w:szCs w:val="21"/>
                <w:highlight w:val="none"/>
                <w:lang w:eastAsia="zh-CN"/>
              </w:rPr>
              <w:t>。</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bl>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bookmarkEnd w:id="9"/>
    <w:bookmarkEnd w:id="10"/>
    <w:bookmarkEnd w:id="11"/>
    <w:bookmarkEnd w:id="12"/>
    <w:p>
      <w:pPr>
        <w:snapToGrid w:val="0"/>
        <w:spacing w:line="360" w:lineRule="auto"/>
        <w:rPr>
          <w:rFonts w:ascii="仿宋" w:hAnsi="仿宋" w:eastAsia="仿宋" w:cs="仿宋"/>
          <w:b/>
          <w:color w:val="auto"/>
          <w:sz w:val="36"/>
          <w:szCs w:val="20"/>
          <w:highlight w:val="none"/>
        </w:rPr>
      </w:pPr>
    </w:p>
    <w:p>
      <w:pPr>
        <w:pageBreakBefore/>
        <w:snapToGrid w:val="0"/>
        <w:spacing w:line="360" w:lineRule="auto"/>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napToGrid w:val="0"/>
        <w:spacing w:line="360"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24"/>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20"/>
        <w:spacing w:line="800" w:lineRule="atLeast"/>
        <w:ind w:left="0" w:leftChars="0"/>
        <w:rPr>
          <w:rFonts w:ascii="仿宋" w:hAnsi="仿宋" w:eastAsia="仿宋" w:cs="仿宋"/>
          <w:b/>
          <w:color w:val="auto"/>
          <w:sz w:val="36"/>
          <w:szCs w:val="36"/>
          <w:highlight w:val="none"/>
        </w:rPr>
      </w:pPr>
    </w:p>
    <w:p>
      <w:pPr>
        <w:pStyle w:val="20"/>
        <w:spacing w:line="800" w:lineRule="atLeast"/>
        <w:ind w:left="0" w:leftChars="0"/>
        <w:rPr>
          <w:rFonts w:ascii="仿宋" w:hAnsi="仿宋" w:eastAsia="仿宋" w:cs="仿宋"/>
          <w:b/>
          <w:color w:val="auto"/>
          <w:sz w:val="36"/>
          <w:szCs w:val="36"/>
          <w:highlight w:val="none"/>
        </w:rPr>
      </w:pPr>
    </w:p>
    <w:p>
      <w:pPr>
        <w:pStyle w:val="20"/>
        <w:spacing w:line="800" w:lineRule="atLeast"/>
        <w:ind w:left="0" w:leftChars="0"/>
        <w:rPr>
          <w:rFonts w:ascii="仿宋" w:hAnsi="仿宋" w:eastAsia="仿宋" w:cs="仿宋"/>
          <w:b/>
          <w:color w:val="auto"/>
          <w:sz w:val="36"/>
          <w:szCs w:val="36"/>
          <w:highlight w:val="none"/>
        </w:rPr>
      </w:pPr>
    </w:p>
    <w:p>
      <w:pPr>
        <w:rPr>
          <w:rFonts w:ascii="仿宋" w:hAnsi="仿宋" w:eastAsia="仿宋" w:cs="仿宋"/>
          <w:b/>
          <w:color w:val="auto"/>
          <w:sz w:val="30"/>
          <w:szCs w:val="30"/>
          <w:highlight w:val="none"/>
        </w:rPr>
      </w:pPr>
    </w:p>
    <w:p>
      <w:pPr>
        <w:rPr>
          <w:rFonts w:ascii="仿宋" w:hAnsi="仿宋" w:eastAsia="仿宋" w:cs="仿宋"/>
          <w:b/>
          <w:color w:val="auto"/>
          <w:sz w:val="30"/>
          <w:szCs w:val="30"/>
          <w:highlight w:val="none"/>
        </w:rPr>
      </w:pPr>
    </w:p>
    <w:p>
      <w:pPr>
        <w:pageBreakBefore/>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9"/>
        <w:spacing w:afterLines="0" w:line="440" w:lineRule="exact"/>
        <w:ind w:firstLine="0" w:firstLineChars="0"/>
        <w:rPr>
          <w:rFonts w:ascii="仿宋" w:hAnsi="仿宋" w:eastAsia="仿宋" w:cs="仿宋"/>
          <w:color w:val="auto"/>
          <w:szCs w:val="24"/>
          <w:highlight w:val="none"/>
        </w:rPr>
      </w:pPr>
    </w:p>
    <w:p>
      <w:pPr>
        <w:pStyle w:val="69"/>
        <w:spacing w:afterLines="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绍兴市中医院、泰宇建筑工程技术咨询有限公司</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本公司投标文件中填列的技术参数、配置、服务、数量等相关内容都是真实、准确的。保证在本次项目中所提供的资料全部真实和合法。同意向代理机构提供可能另外要求的与投标有关的任何数据或资料。</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9"/>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69"/>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9"/>
        <w:spacing w:afterLines="0" w:line="440" w:lineRule="exact"/>
        <w:ind w:firstLine="480"/>
        <w:rPr>
          <w:rFonts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ascii="仿宋" w:hAnsi="仿宋" w:eastAsia="仿宋" w:cs="仿宋"/>
          <w:color w:val="auto"/>
          <w:sz w:val="24"/>
          <w:highlight w:val="none"/>
        </w:rPr>
      </w:pP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spacing w:line="240" w:lineRule="exact"/>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zCs w:val="21"/>
                <w:highlight w:val="none"/>
              </w:rPr>
              <w:t>电子票据改造</w:t>
            </w: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spacing w:line="300" w:lineRule="exact"/>
              <w:textAlignment w:val="baseline"/>
              <w:rPr>
                <w:rStyle w:val="287"/>
                <w:rFonts w:ascii="仿宋" w:hAnsi="仿宋" w:eastAsia="仿宋" w:cs="仿宋"/>
                <w:color w:val="auto"/>
                <w:szCs w:val="21"/>
                <w:highlight w:val="none"/>
              </w:rPr>
            </w:pPr>
          </w:p>
        </w:tc>
        <w:tc>
          <w:tcPr>
            <w:tcW w:w="720" w:type="dxa"/>
            <w:vAlign w:val="center"/>
          </w:tcPr>
          <w:p>
            <w:pPr>
              <w:spacing w:line="300" w:lineRule="exact"/>
              <w:textAlignment w:val="baseline"/>
              <w:rPr>
                <w:rStyle w:val="287"/>
                <w:rFonts w:ascii="仿宋" w:hAnsi="仿宋" w:eastAsia="仿宋" w:cs="仿宋"/>
                <w:color w:val="auto"/>
                <w:szCs w:val="21"/>
                <w:highlight w:val="none"/>
              </w:rPr>
            </w:pPr>
            <w:r>
              <w:rPr>
                <w:rStyle w:val="287"/>
                <w:rFonts w:hint="eastAsia" w:ascii="仿宋" w:hAnsi="仿宋" w:eastAsia="仿宋" w:cs="仿宋"/>
                <w:color w:val="auto"/>
                <w:szCs w:val="21"/>
                <w:highlight w:val="none"/>
              </w:rPr>
              <w:t>1次</w:t>
            </w:r>
          </w:p>
        </w:tc>
        <w:tc>
          <w:tcPr>
            <w:tcW w:w="144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spacing w:line="240" w:lineRule="exact"/>
              <w:jc w:val="center"/>
              <w:textAlignment w:val="baseline"/>
              <w:rPr>
                <w:rFonts w:ascii="仿宋" w:hAnsi="仿宋" w:eastAsia="仿宋" w:cs="仿宋"/>
                <w:color w:val="auto"/>
                <w:spacing w:val="20"/>
                <w:sz w:val="18"/>
                <w:szCs w:val="18"/>
                <w:highlight w:val="none"/>
              </w:rPr>
            </w:pPr>
            <w:r>
              <w:rPr>
                <w:rStyle w:val="287"/>
                <w:rFonts w:hint="eastAsia" w:ascii="仿宋" w:hAnsi="仿宋" w:eastAsia="仿宋" w:cs="仿宋"/>
                <w:color w:val="auto"/>
                <w:szCs w:val="21"/>
                <w:highlight w:val="none"/>
              </w:rPr>
              <w:t>票据打印自助机</w:t>
            </w:r>
          </w:p>
        </w:tc>
        <w:tc>
          <w:tcPr>
            <w:tcW w:w="1261" w:type="dxa"/>
            <w:tcBorders>
              <w:left w:val="single" w:color="auto" w:sz="4" w:space="0"/>
            </w:tcBorders>
            <w:vAlign w:val="center"/>
          </w:tcPr>
          <w:p>
            <w:pPr>
              <w:spacing w:line="300" w:lineRule="exact"/>
              <w:jc w:val="center"/>
              <w:textAlignment w:val="baseline"/>
              <w:rPr>
                <w:rFonts w:ascii="仿宋" w:hAnsi="仿宋" w:eastAsia="仿宋" w:cs="仿宋"/>
                <w:color w:val="auto"/>
                <w:spacing w:val="20"/>
                <w:sz w:val="18"/>
                <w:szCs w:val="18"/>
                <w:highlight w:val="none"/>
              </w:rPr>
            </w:pPr>
          </w:p>
        </w:tc>
        <w:tc>
          <w:tcPr>
            <w:tcW w:w="900" w:type="dxa"/>
            <w:vAlign w:val="center"/>
          </w:tcPr>
          <w:p>
            <w:pPr>
              <w:spacing w:line="300" w:lineRule="exact"/>
              <w:jc w:val="center"/>
              <w:textAlignment w:val="baseline"/>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spacing w:line="300" w:lineRule="exact"/>
              <w:textAlignment w:val="baseline"/>
              <w:rPr>
                <w:rFonts w:ascii="仿宋" w:hAnsi="仿宋" w:eastAsia="仿宋" w:cs="仿宋"/>
                <w:color w:val="auto"/>
                <w:spacing w:val="20"/>
                <w:sz w:val="18"/>
                <w:szCs w:val="18"/>
                <w:highlight w:val="none"/>
              </w:rPr>
            </w:pPr>
            <w:r>
              <w:rPr>
                <w:rStyle w:val="287"/>
                <w:rFonts w:hint="eastAsia" w:ascii="仿宋" w:hAnsi="仿宋" w:eastAsia="仿宋" w:cs="仿宋"/>
                <w:color w:val="auto"/>
                <w:szCs w:val="21"/>
                <w:highlight w:val="none"/>
              </w:rPr>
              <w:t>1台</w:t>
            </w: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spacing w:line="240" w:lineRule="exact"/>
              <w:jc w:val="center"/>
              <w:textAlignment w:val="baseline"/>
              <w:rPr>
                <w:rFonts w:ascii="仿宋" w:hAnsi="仿宋" w:eastAsia="仿宋" w:cs="仿宋"/>
                <w:color w:val="auto"/>
                <w:spacing w:val="20"/>
                <w:sz w:val="18"/>
                <w:szCs w:val="18"/>
                <w:highlight w:val="none"/>
              </w:rPr>
            </w:pPr>
            <w:r>
              <w:rPr>
                <w:rStyle w:val="287"/>
                <w:rFonts w:hint="eastAsia" w:ascii="仿宋" w:hAnsi="仿宋" w:eastAsia="仿宋" w:cs="仿宋"/>
                <w:color w:val="auto"/>
                <w:szCs w:val="21"/>
                <w:highlight w:val="none"/>
              </w:rPr>
              <w:t>票据打印自助机（改造）</w:t>
            </w:r>
          </w:p>
        </w:tc>
        <w:tc>
          <w:tcPr>
            <w:tcW w:w="1261" w:type="dxa"/>
            <w:tcBorders>
              <w:left w:val="single" w:color="auto" w:sz="4" w:space="0"/>
            </w:tcBorders>
            <w:vAlign w:val="center"/>
          </w:tcPr>
          <w:p>
            <w:pPr>
              <w:spacing w:line="300" w:lineRule="exact"/>
              <w:jc w:val="center"/>
              <w:textAlignment w:val="baseline"/>
              <w:rPr>
                <w:rFonts w:ascii="仿宋" w:hAnsi="仿宋" w:eastAsia="仿宋" w:cs="仿宋"/>
                <w:color w:val="auto"/>
                <w:spacing w:val="20"/>
                <w:sz w:val="18"/>
                <w:szCs w:val="18"/>
                <w:highlight w:val="none"/>
              </w:rPr>
            </w:pPr>
          </w:p>
        </w:tc>
        <w:tc>
          <w:tcPr>
            <w:tcW w:w="900" w:type="dxa"/>
            <w:vAlign w:val="center"/>
          </w:tcPr>
          <w:p>
            <w:pPr>
              <w:spacing w:line="300" w:lineRule="exact"/>
              <w:jc w:val="center"/>
              <w:textAlignment w:val="baseline"/>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spacing w:line="300" w:lineRule="exact"/>
              <w:textAlignment w:val="baseline"/>
              <w:rPr>
                <w:rFonts w:ascii="仿宋" w:hAnsi="仿宋" w:eastAsia="仿宋" w:cs="仿宋"/>
                <w:color w:val="auto"/>
                <w:spacing w:val="20"/>
                <w:sz w:val="18"/>
                <w:szCs w:val="18"/>
                <w:highlight w:val="none"/>
              </w:rPr>
            </w:pPr>
            <w:r>
              <w:rPr>
                <w:rStyle w:val="287"/>
                <w:rFonts w:hint="eastAsia" w:ascii="仿宋" w:hAnsi="仿宋" w:eastAsia="仿宋" w:cs="仿宋"/>
                <w:color w:val="auto"/>
                <w:szCs w:val="21"/>
                <w:highlight w:val="none"/>
              </w:rPr>
              <w:t>2台</w:t>
            </w: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spacing w:line="240" w:lineRule="exact"/>
              <w:jc w:val="center"/>
              <w:textAlignment w:val="baseline"/>
              <w:rPr>
                <w:rFonts w:ascii="仿宋" w:hAnsi="仿宋" w:eastAsia="仿宋" w:cs="仿宋"/>
                <w:color w:val="auto"/>
                <w:spacing w:val="20"/>
                <w:sz w:val="18"/>
                <w:szCs w:val="18"/>
                <w:highlight w:val="none"/>
              </w:rPr>
            </w:pPr>
            <w:r>
              <w:rPr>
                <w:rStyle w:val="287"/>
                <w:rFonts w:hint="eastAsia" w:ascii="仿宋" w:hAnsi="仿宋" w:eastAsia="仿宋" w:cs="仿宋"/>
                <w:color w:val="auto"/>
                <w:szCs w:val="21"/>
                <w:highlight w:val="none"/>
              </w:rPr>
              <w:t>桌面型发票打印机</w:t>
            </w:r>
          </w:p>
        </w:tc>
        <w:tc>
          <w:tcPr>
            <w:tcW w:w="1261" w:type="dxa"/>
            <w:tcBorders>
              <w:left w:val="single" w:color="auto" w:sz="4" w:space="0"/>
            </w:tcBorders>
            <w:vAlign w:val="center"/>
          </w:tcPr>
          <w:p>
            <w:pPr>
              <w:spacing w:line="300" w:lineRule="exact"/>
              <w:jc w:val="center"/>
              <w:textAlignment w:val="baseline"/>
              <w:rPr>
                <w:rFonts w:ascii="仿宋" w:hAnsi="仿宋" w:eastAsia="仿宋" w:cs="仿宋"/>
                <w:color w:val="auto"/>
                <w:spacing w:val="20"/>
                <w:sz w:val="18"/>
                <w:szCs w:val="18"/>
                <w:highlight w:val="none"/>
              </w:rPr>
            </w:pPr>
          </w:p>
        </w:tc>
        <w:tc>
          <w:tcPr>
            <w:tcW w:w="900" w:type="dxa"/>
            <w:vAlign w:val="center"/>
          </w:tcPr>
          <w:p>
            <w:pPr>
              <w:spacing w:line="300" w:lineRule="exact"/>
              <w:jc w:val="center"/>
              <w:textAlignment w:val="baseline"/>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spacing w:line="300" w:lineRule="exact"/>
              <w:textAlignment w:val="baseline"/>
              <w:rPr>
                <w:rFonts w:ascii="仿宋" w:hAnsi="仿宋" w:eastAsia="仿宋" w:cs="仿宋"/>
                <w:color w:val="auto"/>
                <w:spacing w:val="20"/>
                <w:sz w:val="18"/>
                <w:szCs w:val="18"/>
                <w:highlight w:val="none"/>
              </w:rPr>
            </w:pPr>
            <w:r>
              <w:rPr>
                <w:rStyle w:val="287"/>
                <w:rFonts w:hint="eastAsia" w:ascii="仿宋" w:hAnsi="仿宋" w:eastAsia="仿宋" w:cs="仿宋"/>
                <w:color w:val="auto"/>
                <w:szCs w:val="21"/>
                <w:highlight w:val="none"/>
              </w:rPr>
              <w:t>11台</w:t>
            </w: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color w:val="auto"/>
          <w:sz w:val="24"/>
          <w:highlight w:val="none"/>
        </w:rPr>
      </w:pPr>
    </w:p>
    <w:p>
      <w:pPr>
        <w:spacing w:line="360" w:lineRule="auto"/>
        <w:ind w:left="-4" w:leftChars="-2" w:right="-817" w:rightChars="-389" w:firstLine="2"/>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ascii="仿宋" w:hAnsi="仿宋" w:eastAsia="仿宋" w:cs="仿宋"/>
          <w:b/>
          <w:color w:val="auto"/>
          <w:kern w:val="0"/>
          <w:sz w:val="24"/>
          <w:highlight w:val="none"/>
        </w:rPr>
      </w:pPr>
    </w:p>
    <w:p>
      <w:pPr>
        <w:spacing w:line="360"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3"/>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（1）法定代表人授权书 …………………………………………………………（页码）</w:t>
      </w:r>
    </w:p>
    <w:p>
      <w:pPr>
        <w:pStyle w:val="193"/>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（2）授权代表社保证明（复印件）………………………………………………（页码）</w:t>
      </w:r>
    </w:p>
    <w:p>
      <w:pPr>
        <w:pStyle w:val="193"/>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（3）法定代表人及其授权代表的身份证（复印件）……………………………（页码）</w:t>
      </w:r>
    </w:p>
    <w:p>
      <w:pPr>
        <w:pStyle w:val="193"/>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（4）法定代表人身份证明书………………………………………………………（页码）</w:t>
      </w:r>
    </w:p>
    <w:p>
      <w:pPr>
        <w:spacing w:line="360" w:lineRule="auto"/>
        <w:outlineLvl w:val="0"/>
        <w:rPr>
          <w:rFonts w:ascii="仿宋" w:hAnsi="仿宋" w:eastAsia="仿宋" w:cs="仿宋"/>
          <w:color w:val="auto"/>
          <w:sz w:val="24"/>
          <w:highlight w:val="none"/>
        </w:rPr>
      </w:pPr>
      <w:r>
        <w:rPr>
          <w:rFonts w:hint="eastAsia" w:ascii="仿宋" w:hAnsi="仿宋" w:eastAsia="仿宋" w:cs="仿宋"/>
          <w:color w:val="auto"/>
          <w:sz w:val="24"/>
          <w:highlight w:val="none"/>
        </w:rPr>
        <w:t>（5）所有与符合性审查有关的资信文件（复印件）（营业执照、2021年度财务报表、纳税和社保缴纳证明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kern w:val="0"/>
          <w:sz w:val="24"/>
          <w:highlight w:val="none"/>
        </w:rPr>
        <w:t>（页码）</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（6）具有履</w:t>
      </w:r>
      <w:r>
        <w:rPr>
          <w:rFonts w:hint="eastAsia" w:ascii="仿宋" w:hAnsi="仿宋" w:eastAsia="仿宋" w:cs="仿宋"/>
          <w:color w:val="auto"/>
          <w:kern w:val="0"/>
          <w:sz w:val="24"/>
          <w:highlight w:val="none"/>
        </w:rPr>
        <w:t>行合同所必需的设备和专业技术能力的承诺函……………………（页码）</w:t>
      </w:r>
    </w:p>
    <w:p>
      <w:pPr>
        <w:pStyle w:val="193"/>
        <w:spacing w:line="360" w:lineRule="auto"/>
        <w:ind w:firstLine="0" w:firstLineChars="0"/>
        <w:rPr>
          <w:rFonts w:ascii="仿宋" w:eastAsia="仿宋" w:cs="仿宋"/>
          <w:color w:val="auto"/>
          <w:kern w:val="0"/>
          <w:highlight w:val="none"/>
        </w:rPr>
      </w:pPr>
      <w:r>
        <w:rPr>
          <w:rFonts w:hint="eastAsia" w:ascii="仿宋" w:eastAsia="仿宋" w:cs="仿宋"/>
          <w:color w:val="auto"/>
          <w:highlight w:val="none"/>
        </w:rPr>
        <w:t>（7）重大违法记录的声明</w:t>
      </w:r>
      <w:r>
        <w:rPr>
          <w:rFonts w:hint="eastAsia" w:ascii="仿宋" w:eastAsia="仿宋" w:cs="仿宋"/>
          <w:color w:val="auto"/>
          <w:kern w:val="0"/>
          <w:highlight w:val="none"/>
        </w:rPr>
        <w:t xml:space="preserve"> …</w:t>
      </w:r>
      <w:r>
        <w:rPr>
          <w:rFonts w:hint="eastAsia" w:ascii="仿宋" w:eastAsia="仿宋" w:cs="仿宋"/>
          <w:color w:val="auto"/>
          <w:highlight w:val="none"/>
        </w:rPr>
        <w:t>……………………………………………………</w:t>
      </w:r>
      <w:r>
        <w:rPr>
          <w:rFonts w:hint="eastAsia" w:ascii="仿宋" w:eastAsia="仿宋" w:cs="仿宋"/>
          <w:color w:val="auto"/>
          <w:kern w:val="0"/>
          <w:highlight w:val="none"/>
        </w:rPr>
        <w:t>（页码）</w:t>
      </w:r>
    </w:p>
    <w:p>
      <w:pPr>
        <w:pStyle w:val="193"/>
        <w:spacing w:line="360" w:lineRule="auto"/>
        <w:ind w:firstLine="0" w:firstLineChars="0"/>
        <w:rPr>
          <w:rFonts w:ascii="仿宋" w:eastAsia="仿宋" w:cs="仿宋"/>
          <w:color w:val="auto"/>
          <w:highlight w:val="none"/>
        </w:rPr>
      </w:pPr>
      <w:r>
        <w:rPr>
          <w:rFonts w:hint="eastAsia" w:ascii="仿宋" w:eastAsia="仿宋" w:cs="仿宋"/>
          <w:color w:val="auto"/>
          <w:highlight w:val="none"/>
        </w:rPr>
        <w:t>（8）符合特定资格条件（如果项目要求）的有关证明材料（复印件）………（页码）</w:t>
      </w:r>
    </w:p>
    <w:p>
      <w:pPr>
        <w:pStyle w:val="193"/>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（9）</w:t>
      </w:r>
      <w:r>
        <w:rPr>
          <w:rFonts w:hint="eastAsia" w:ascii="仿宋" w:eastAsia="仿宋" w:cs="仿宋"/>
          <w:snapToGrid w:val="0"/>
          <w:color w:val="auto"/>
          <w:highlight w:val="none"/>
        </w:rPr>
        <w:t>非本地投标人售后服务机构证明材料</w:t>
      </w:r>
      <w:r>
        <w:rPr>
          <w:rFonts w:hint="eastAsia" w:ascii="仿宋" w:eastAsia="仿宋" w:cs="仿宋"/>
          <w:color w:val="auto"/>
          <w:highlight w:val="none"/>
        </w:rPr>
        <w:t>……………………………………（页码）</w:t>
      </w:r>
    </w:p>
    <w:p>
      <w:pPr>
        <w:pStyle w:val="193"/>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（10）</w:t>
      </w:r>
      <w:r>
        <w:rPr>
          <w:rFonts w:hint="eastAsia" w:ascii="仿宋" w:eastAsia="仿宋" w:cs="仿宋"/>
          <w:color w:val="auto"/>
          <w:highlight w:val="none"/>
          <w:lang w:val="zh-CN"/>
        </w:rPr>
        <w:t>主要业绩证明…………………………………………………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93"/>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（11）廉政承诺书 …………………………………………………………………（页码）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（22）</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color w:val="auto"/>
          <w:kern w:val="0"/>
          <w:sz w:val="24"/>
          <w:highlight w:val="none"/>
        </w:rPr>
        <w:t>（23）中小企业声明函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color w:val="auto"/>
          <w:kern w:val="0"/>
          <w:sz w:val="24"/>
          <w:highlight w:val="none"/>
        </w:rPr>
        <w:t>（24）</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院内版DRGS系统及院前准备中心系统项目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院内版DRGS系统及院前准备中心系统项目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ascii="仿宋" w:hAnsi="仿宋" w:eastAsia="仿宋" w:cs="仿宋"/>
          <w:b/>
          <w:color w:val="auto"/>
          <w:sz w:val="24"/>
          <w:highlight w:val="none"/>
        </w:rPr>
      </w:pPr>
    </w:p>
    <w:p>
      <w:pPr>
        <w:pageBreakBefore/>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ascii="仿宋" w:hAnsi="仿宋" w:eastAsia="仿宋" w:cs="仿宋"/>
          <w:color w:val="auto"/>
          <w:sz w:val="24"/>
          <w:highlight w:val="none"/>
        </w:rPr>
      </w:pPr>
    </w:p>
    <w:p>
      <w:pPr>
        <w:spacing w:line="800" w:lineRule="exact"/>
        <w:ind w:firstLine="4337" w:firstLineChars="1800"/>
        <w:rPr>
          <w:rFonts w:ascii="仿宋" w:hAnsi="仿宋" w:eastAsia="仿宋" w:cs="仿宋"/>
          <w:b/>
          <w:color w:val="auto"/>
          <w:sz w:val="24"/>
          <w:highlight w:val="none"/>
        </w:rPr>
      </w:pPr>
    </w:p>
    <w:p>
      <w:pPr>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rPr>
          <w:rFonts w:ascii="仿宋" w:hAnsi="仿宋" w:eastAsia="仿宋" w:cs="仿宋"/>
          <w:b/>
          <w:color w:val="auto"/>
          <w:sz w:val="28"/>
          <w:szCs w:val="28"/>
          <w:highlight w:val="none"/>
        </w:rPr>
      </w:pPr>
      <w:r>
        <w:rPr>
          <w:rFonts w:hint="eastAsia" w:ascii="仿宋" w:hAnsi="仿宋" w:eastAsia="仿宋" w:cs="仿宋"/>
          <w:b/>
          <w:color w:val="auto"/>
          <w:sz w:val="30"/>
          <w:szCs w:val="30"/>
          <w:highlight w:val="none"/>
        </w:rPr>
        <w:t>5、与符合性审查有关的资信文件（复印件）</w:t>
      </w:r>
      <w:r>
        <w:rPr>
          <w:rFonts w:hint="eastAsia" w:ascii="仿宋" w:hAnsi="仿宋" w:eastAsia="仿宋" w:cs="仿宋"/>
          <w:b/>
          <w:color w:val="auto"/>
          <w:sz w:val="28"/>
          <w:szCs w:val="28"/>
          <w:highlight w:val="none"/>
        </w:rPr>
        <w:t>（1</w:t>
      </w:r>
      <w:r>
        <w:rPr>
          <w:rFonts w:hint="eastAsia" w:ascii="仿宋" w:hAnsi="仿宋" w:eastAsia="仿宋" w:cs="仿宋"/>
          <w:b/>
          <w:color w:val="auto"/>
          <w:kern w:val="0"/>
          <w:sz w:val="28"/>
          <w:szCs w:val="28"/>
          <w:highlight w:val="none"/>
          <w:lang w:val="zh-CN"/>
        </w:rPr>
        <w:t>.</w:t>
      </w:r>
      <w:r>
        <w:rPr>
          <w:rFonts w:hint="eastAsia" w:ascii="仿宋" w:hAnsi="仿宋" w:eastAsia="仿宋" w:cs="仿宋"/>
          <w:b/>
          <w:color w:val="auto"/>
          <w:sz w:val="28"/>
          <w:szCs w:val="28"/>
          <w:highlight w:val="none"/>
        </w:rPr>
        <w:t>营业执照（或事业法人登记证或其他登记证明材料）（复印件）；2.财务报表资料文件（2021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napToGrid w:val="0"/>
        <w:spacing w:line="360" w:lineRule="auto"/>
        <w:ind w:right="480"/>
        <w:jc w:val="center"/>
        <w:rPr>
          <w:rFonts w:ascii="仿宋" w:hAnsi="仿宋" w:eastAsia="仿宋" w:cs="仿宋"/>
          <w:b/>
          <w:color w:val="auto"/>
          <w:kern w:val="0"/>
          <w:sz w:val="32"/>
          <w:szCs w:val="32"/>
          <w:highlight w:val="none"/>
          <w:lang w:val="zh-CN"/>
        </w:rPr>
      </w:pPr>
    </w:p>
    <w:p>
      <w:pPr>
        <w:snapToGrid w:val="0"/>
        <w:spacing w:line="360" w:lineRule="auto"/>
        <w:ind w:right="48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6、具有履行合同所必需的设备和专业技术能力的承诺函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我方郑重承诺，我方具有履行绍兴市中医院</w:t>
      </w:r>
      <w:r>
        <w:rPr>
          <w:rFonts w:hint="eastAsia" w:ascii="仿宋" w:hAnsi="仿宋" w:eastAsia="仿宋" w:cs="仿宋"/>
          <w:color w:val="auto"/>
          <w:sz w:val="24"/>
          <w:highlight w:val="none"/>
          <w:lang w:eastAsia="zh-CN"/>
        </w:rPr>
        <w:t>院内版DRGS系统及院前准备中心系统项目</w:t>
      </w:r>
      <w:r>
        <w:rPr>
          <w:rFonts w:hint="eastAsia" w:ascii="仿宋" w:hAnsi="仿宋" w:eastAsia="仿宋" w:cs="仿宋"/>
          <w:color w:val="auto"/>
          <w:sz w:val="24"/>
          <w:highlight w:val="none"/>
        </w:rPr>
        <w:t>（招标编号:TYJZ2022）合同所必需的设备和专业技术能力。如中标，我方将保证合同顺利履行。</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  日</w:t>
      </w:r>
    </w:p>
    <w:p>
      <w:pPr>
        <w:spacing w:line="360" w:lineRule="auto"/>
        <w:jc w:val="center"/>
        <w:rPr>
          <w:rFonts w:ascii="仿宋" w:hAnsi="仿宋" w:eastAsia="仿宋" w:cs="仿宋"/>
          <w:b/>
          <w:color w:val="auto"/>
          <w:kern w:val="0"/>
          <w:sz w:val="32"/>
          <w:szCs w:val="32"/>
          <w:highlight w:val="none"/>
        </w:rPr>
      </w:pPr>
    </w:p>
    <w:p>
      <w:pPr>
        <w:spacing w:line="360" w:lineRule="auto"/>
        <w:jc w:val="center"/>
        <w:rPr>
          <w:rFonts w:ascii="仿宋" w:hAnsi="仿宋" w:eastAsia="仿宋" w:cs="仿宋"/>
          <w:b/>
          <w:color w:val="auto"/>
          <w:kern w:val="0"/>
          <w:sz w:val="32"/>
          <w:szCs w:val="32"/>
          <w:highlight w:val="none"/>
        </w:rPr>
      </w:pP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7、重大违法记录的声明</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sz w:val="24"/>
          <w:szCs w:val="20"/>
          <w:highlight w:val="none"/>
        </w:rPr>
      </w:pP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，在</w:t>
      </w:r>
      <w:r>
        <w:rPr>
          <w:rFonts w:hint="eastAsia" w:ascii="仿宋" w:hAnsi="仿宋" w:eastAsia="仿宋" w:cs="仿宋"/>
          <w:color w:val="auto"/>
          <w:kern w:val="0"/>
          <w:sz w:val="24"/>
          <w:highlight w:val="none"/>
        </w:rPr>
        <w:t>经营活动中</w:t>
      </w:r>
      <w:r>
        <w:rPr>
          <w:rFonts w:hint="eastAsia" w:ascii="仿宋" w:hAnsi="仿宋" w:eastAsia="仿宋" w:cs="仿宋"/>
          <w:color w:val="auto"/>
          <w:sz w:val="24"/>
          <w:highlight w:val="none"/>
        </w:rPr>
        <w:t>没有重大违法记录</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ascii="仿宋" w:hAnsi="仿宋" w:eastAsia="仿宋" w:cs="仿宋"/>
          <w:b/>
          <w:color w:val="auto"/>
          <w:sz w:val="30"/>
          <w:szCs w:val="30"/>
          <w:highlight w:val="none"/>
        </w:rPr>
      </w:pPr>
    </w:p>
    <w:p>
      <w:pPr>
        <w:snapToGrid w:val="0"/>
        <w:spacing w:line="360" w:lineRule="auto"/>
        <w:rPr>
          <w:rFonts w:ascii="仿宋" w:hAnsi="仿宋" w:eastAsia="仿宋" w:cs="仿宋"/>
          <w:b/>
          <w:color w:val="auto"/>
          <w:sz w:val="30"/>
          <w:szCs w:val="30"/>
          <w:highlight w:val="none"/>
        </w:rPr>
      </w:pPr>
    </w:p>
    <w:p>
      <w:pPr>
        <w:snapToGrid w:val="0"/>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8、特定资格条件要求的资质文件（复印件）</w:t>
      </w:r>
    </w:p>
    <w:p>
      <w:pPr>
        <w:widowControl/>
        <w:spacing w:line="360" w:lineRule="auto"/>
        <w:ind w:firstLine="480" w:firstLineChars="200"/>
        <w:jc w:val="left"/>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9、非本地投标人售后服务机构证明材料</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（由非本地投标人根据采购需求及招标文件要求编制）</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4"/>
        <w:ind w:firstLine="0"/>
        <w:jc w:val="both"/>
        <w:rPr>
          <w:rFonts w:ascii="仿宋" w:eastAsia="仿宋" w:cs="仿宋"/>
          <w:color w:val="auto"/>
          <w:highlight w:val="none"/>
        </w:rPr>
      </w:pPr>
    </w:p>
    <w:p>
      <w:pPr>
        <w:pStyle w:val="194"/>
        <w:pageBreakBefore/>
        <w:ind w:firstLine="0"/>
        <w:jc w:val="both"/>
        <w:rPr>
          <w:rFonts w:ascii="仿宋" w:eastAsia="仿宋" w:cs="仿宋"/>
          <w:color w:val="auto"/>
          <w:highlight w:val="none"/>
        </w:rPr>
      </w:pPr>
      <w:r>
        <w:rPr>
          <w:rFonts w:hint="eastAsia" w:ascii="仿宋" w:eastAsia="仿宋" w:cs="仿宋"/>
          <w:color w:val="auto"/>
          <w:highlight w:val="none"/>
        </w:rPr>
        <w:t>11、廉政承诺书</w:t>
      </w:r>
    </w:p>
    <w:p>
      <w:pPr>
        <w:autoSpaceDE w:val="0"/>
        <w:autoSpaceDN w:val="0"/>
        <w:spacing w:line="360" w:lineRule="auto"/>
        <w:ind w:left="2"/>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12、技术解决方案</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ascii="仿宋" w:hAnsi="仿宋" w:eastAsia="仿宋" w:cs="仿宋"/>
          <w:color w:val="auto"/>
          <w:sz w:val="24"/>
          <w:highlight w:val="none"/>
        </w:rPr>
      </w:pPr>
    </w:p>
    <w:p>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2.8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1.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13、技术偏离说明表</w:t>
      </w:r>
    </w:p>
    <w:p>
      <w:pPr>
        <w:spacing w:line="360" w:lineRule="auto"/>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bl>
    <w:p>
      <w:pPr>
        <w:tabs>
          <w:tab w:val="left" w:pos="570"/>
        </w:tabs>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color w:val="auto"/>
          <w:kern w:val="0"/>
          <w:sz w:val="24"/>
          <w:highlight w:val="none"/>
          <w:lang w:val="zh-CN"/>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14、组织实施方案</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15、售后服务方案</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highlight w:val="none"/>
              </w:rPr>
            </w:pPr>
          </w:p>
        </w:tc>
        <w:tc>
          <w:tcPr>
            <w:tcW w:w="2160" w:type="dxa"/>
          </w:tcPr>
          <w:p>
            <w:pPr>
              <w:autoSpaceDE w:val="0"/>
              <w:autoSpaceDN w:val="0"/>
              <w:spacing w:line="360" w:lineRule="auto"/>
              <w:jc w:val="center"/>
              <w:rPr>
                <w:rFonts w:ascii="仿宋" w:hAnsi="仿宋" w:eastAsia="仿宋" w:cs="仿宋"/>
                <w:color w:val="auto"/>
                <w:sz w:val="24"/>
                <w:highlight w:val="none"/>
              </w:rPr>
            </w:pPr>
          </w:p>
        </w:tc>
        <w:tc>
          <w:tcPr>
            <w:tcW w:w="1620" w:type="dxa"/>
          </w:tcPr>
          <w:p>
            <w:pPr>
              <w:autoSpaceDE w:val="0"/>
              <w:autoSpaceDN w:val="0"/>
              <w:spacing w:line="360" w:lineRule="auto"/>
              <w:jc w:val="center"/>
              <w:rPr>
                <w:rFonts w:ascii="仿宋" w:hAnsi="仿宋" w:eastAsia="仿宋" w:cs="仿宋"/>
                <w:color w:val="auto"/>
                <w:sz w:val="24"/>
                <w:highlight w:val="none"/>
              </w:rPr>
            </w:pPr>
          </w:p>
        </w:tc>
        <w:tc>
          <w:tcPr>
            <w:tcW w:w="1245" w:type="dxa"/>
          </w:tcPr>
          <w:p>
            <w:pPr>
              <w:autoSpaceDE w:val="0"/>
              <w:autoSpaceDN w:val="0"/>
              <w:spacing w:line="360" w:lineRule="auto"/>
              <w:jc w:val="center"/>
              <w:rPr>
                <w:rFonts w:ascii="仿宋" w:hAnsi="仿宋" w:eastAsia="仿宋" w:cs="仿宋"/>
                <w:color w:val="auto"/>
                <w:sz w:val="24"/>
                <w:highlight w:val="none"/>
              </w:rPr>
            </w:pPr>
          </w:p>
        </w:tc>
        <w:tc>
          <w:tcPr>
            <w:tcW w:w="2175" w:type="dxa"/>
          </w:tcPr>
          <w:p>
            <w:pPr>
              <w:autoSpaceDE w:val="0"/>
              <w:autoSpaceDN w:val="0"/>
              <w:spacing w:line="360" w:lineRule="auto"/>
              <w:jc w:val="center"/>
              <w:rPr>
                <w:rFonts w:ascii="仿宋" w:hAnsi="仿宋" w:eastAsia="仿宋" w:cs="仿宋"/>
                <w:color w:val="auto"/>
                <w:sz w:val="24"/>
                <w:highlight w:val="none"/>
              </w:rPr>
            </w:pPr>
          </w:p>
        </w:tc>
        <w:tc>
          <w:tcPr>
            <w:tcW w:w="1260" w:type="dxa"/>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highlight w:val="none"/>
              </w:rPr>
            </w:pPr>
          </w:p>
        </w:tc>
        <w:tc>
          <w:tcPr>
            <w:tcW w:w="2160" w:type="dxa"/>
          </w:tcPr>
          <w:p>
            <w:pPr>
              <w:autoSpaceDE w:val="0"/>
              <w:autoSpaceDN w:val="0"/>
              <w:spacing w:line="360" w:lineRule="auto"/>
              <w:jc w:val="center"/>
              <w:rPr>
                <w:rFonts w:ascii="仿宋" w:hAnsi="仿宋" w:eastAsia="仿宋" w:cs="仿宋"/>
                <w:color w:val="auto"/>
                <w:sz w:val="24"/>
                <w:highlight w:val="none"/>
              </w:rPr>
            </w:pPr>
          </w:p>
        </w:tc>
        <w:tc>
          <w:tcPr>
            <w:tcW w:w="1620" w:type="dxa"/>
          </w:tcPr>
          <w:p>
            <w:pPr>
              <w:autoSpaceDE w:val="0"/>
              <w:autoSpaceDN w:val="0"/>
              <w:spacing w:line="360" w:lineRule="auto"/>
              <w:jc w:val="center"/>
              <w:rPr>
                <w:rFonts w:ascii="仿宋" w:hAnsi="仿宋" w:eastAsia="仿宋" w:cs="仿宋"/>
                <w:color w:val="auto"/>
                <w:sz w:val="24"/>
                <w:highlight w:val="none"/>
              </w:rPr>
            </w:pPr>
          </w:p>
        </w:tc>
        <w:tc>
          <w:tcPr>
            <w:tcW w:w="1245" w:type="dxa"/>
          </w:tcPr>
          <w:p>
            <w:pPr>
              <w:autoSpaceDE w:val="0"/>
              <w:autoSpaceDN w:val="0"/>
              <w:spacing w:line="360" w:lineRule="auto"/>
              <w:jc w:val="center"/>
              <w:rPr>
                <w:rFonts w:ascii="仿宋" w:hAnsi="仿宋" w:eastAsia="仿宋" w:cs="仿宋"/>
                <w:color w:val="auto"/>
                <w:sz w:val="24"/>
                <w:highlight w:val="none"/>
              </w:rPr>
            </w:pPr>
          </w:p>
        </w:tc>
        <w:tc>
          <w:tcPr>
            <w:tcW w:w="2175" w:type="dxa"/>
          </w:tcPr>
          <w:p>
            <w:pPr>
              <w:autoSpaceDE w:val="0"/>
              <w:autoSpaceDN w:val="0"/>
              <w:spacing w:line="360" w:lineRule="auto"/>
              <w:jc w:val="center"/>
              <w:rPr>
                <w:rFonts w:ascii="仿宋" w:hAnsi="仿宋" w:eastAsia="仿宋" w:cs="仿宋"/>
                <w:color w:val="auto"/>
                <w:sz w:val="24"/>
                <w:highlight w:val="none"/>
              </w:rPr>
            </w:pPr>
          </w:p>
        </w:tc>
        <w:tc>
          <w:tcPr>
            <w:tcW w:w="1260" w:type="dxa"/>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highlight w:val="none"/>
              </w:rPr>
            </w:pPr>
          </w:p>
        </w:tc>
        <w:tc>
          <w:tcPr>
            <w:tcW w:w="2160" w:type="dxa"/>
          </w:tcPr>
          <w:p>
            <w:pPr>
              <w:autoSpaceDE w:val="0"/>
              <w:autoSpaceDN w:val="0"/>
              <w:spacing w:line="360" w:lineRule="auto"/>
              <w:jc w:val="center"/>
              <w:rPr>
                <w:rFonts w:ascii="仿宋" w:hAnsi="仿宋" w:eastAsia="仿宋" w:cs="仿宋"/>
                <w:color w:val="auto"/>
                <w:sz w:val="24"/>
                <w:highlight w:val="none"/>
              </w:rPr>
            </w:pPr>
          </w:p>
        </w:tc>
        <w:tc>
          <w:tcPr>
            <w:tcW w:w="1620" w:type="dxa"/>
          </w:tcPr>
          <w:p>
            <w:pPr>
              <w:autoSpaceDE w:val="0"/>
              <w:autoSpaceDN w:val="0"/>
              <w:spacing w:line="360" w:lineRule="auto"/>
              <w:jc w:val="center"/>
              <w:rPr>
                <w:rFonts w:ascii="仿宋" w:hAnsi="仿宋" w:eastAsia="仿宋" w:cs="仿宋"/>
                <w:color w:val="auto"/>
                <w:sz w:val="24"/>
                <w:highlight w:val="none"/>
              </w:rPr>
            </w:pPr>
          </w:p>
        </w:tc>
        <w:tc>
          <w:tcPr>
            <w:tcW w:w="1245" w:type="dxa"/>
          </w:tcPr>
          <w:p>
            <w:pPr>
              <w:autoSpaceDE w:val="0"/>
              <w:autoSpaceDN w:val="0"/>
              <w:spacing w:line="360" w:lineRule="auto"/>
              <w:jc w:val="center"/>
              <w:rPr>
                <w:rFonts w:ascii="仿宋" w:hAnsi="仿宋" w:eastAsia="仿宋" w:cs="仿宋"/>
                <w:color w:val="auto"/>
                <w:sz w:val="24"/>
                <w:highlight w:val="none"/>
              </w:rPr>
            </w:pPr>
          </w:p>
        </w:tc>
        <w:tc>
          <w:tcPr>
            <w:tcW w:w="2175" w:type="dxa"/>
          </w:tcPr>
          <w:p>
            <w:pPr>
              <w:autoSpaceDE w:val="0"/>
              <w:autoSpaceDN w:val="0"/>
              <w:spacing w:line="360" w:lineRule="auto"/>
              <w:jc w:val="center"/>
              <w:rPr>
                <w:rFonts w:ascii="仿宋" w:hAnsi="仿宋" w:eastAsia="仿宋" w:cs="仿宋"/>
                <w:color w:val="auto"/>
                <w:sz w:val="24"/>
                <w:highlight w:val="none"/>
              </w:rPr>
            </w:pPr>
          </w:p>
        </w:tc>
        <w:tc>
          <w:tcPr>
            <w:tcW w:w="1260" w:type="dxa"/>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bl>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16、项目小组人员名单</w:t>
      </w:r>
    </w:p>
    <w:p>
      <w:pPr>
        <w:spacing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优惠条件及特殊承诺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18"/>
          <w:szCs w:val="18"/>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ascii="仿宋" w:hAnsi="仿宋" w:eastAsia="仿宋" w:cs="仿宋"/>
          <w:b/>
          <w:bCs/>
          <w:color w:val="auto"/>
          <w:sz w:val="18"/>
          <w:szCs w:val="18"/>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18、</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napToGrid w:val="0"/>
        <w:spacing w:line="360" w:lineRule="auto"/>
        <w:ind w:right="1440"/>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w:t>
      </w:r>
      <w:r>
        <w:rPr>
          <w:rFonts w:hint="eastAsia" w:ascii="仿宋" w:hAnsi="仿宋" w:eastAsia="仿宋" w:cs="仿宋"/>
          <w:b/>
          <w:color w:val="auto"/>
          <w:kern w:val="0"/>
          <w:sz w:val="32"/>
          <w:szCs w:val="32"/>
          <w:highlight w:val="none"/>
          <w:lang w:val="zh-CN"/>
        </w:rPr>
        <w:t>培训计划</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20、验收方案</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21、认为需要的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30%以上，对联合体报价给予3%的扣除，须提供《中小企业声明函》。）</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联合体成员名称(电子签章/公章)：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ascii="仿宋" w:hAnsi="仿宋" w:eastAsia="仿宋" w:cs="仿宋"/>
          <w:b/>
          <w:color w:val="auto"/>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23、分包意向协议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w:t>
      </w:r>
    </w:p>
    <w:p>
      <w:pPr>
        <w:snapToGrid w:val="0"/>
        <w:spacing w:line="360" w:lineRule="auto"/>
        <w:ind w:firstLine="5640" w:firstLineChars="23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24、落实政府采购政策需满足的资格要求</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jc w:val="center"/>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ascii="仿宋" w:hAnsi="仿宋" w:eastAsia="仿宋" w:cs="仿宋"/>
          <w:color w:val="auto"/>
          <w:sz w:val="24"/>
          <w:highlight w:val="none"/>
        </w:rPr>
      </w:pPr>
    </w:p>
    <w:p>
      <w:pPr>
        <w:spacing w:line="360" w:lineRule="auto"/>
        <w:ind w:firstLine="482" w:firstLineChars="200"/>
        <w:rPr>
          <w:rFonts w:ascii="仿宋" w:hAnsi="仿宋" w:eastAsia="仿宋" w:cs="仿宋"/>
          <w:b/>
          <w:color w:val="auto"/>
          <w:sz w:val="24"/>
          <w:highlight w:val="none"/>
        </w:rPr>
      </w:pPr>
    </w:p>
    <w:p>
      <w:pPr>
        <w:spacing w:line="360" w:lineRule="auto"/>
        <w:ind w:firstLine="482" w:firstLineChars="200"/>
        <w:rPr>
          <w:rFonts w:ascii="仿宋" w:hAnsi="仿宋" w:eastAsia="仿宋" w:cs="仿宋"/>
          <w:b/>
          <w:color w:val="auto"/>
          <w:sz w:val="24"/>
          <w:highlight w:val="none"/>
        </w:rPr>
      </w:pPr>
    </w:p>
    <w:p>
      <w:pPr>
        <w:spacing w:line="360" w:lineRule="auto"/>
        <w:ind w:firstLine="482" w:firstLineChars="200"/>
        <w:rPr>
          <w:rFonts w:ascii="仿宋" w:hAnsi="仿宋" w:eastAsia="仿宋" w:cs="仿宋"/>
          <w:b/>
          <w:color w:val="auto"/>
          <w:sz w:val="24"/>
          <w:highlight w:val="none"/>
        </w:rPr>
      </w:pPr>
    </w:p>
    <w:p>
      <w:pPr>
        <w:pageBreakBefore/>
        <w:spacing w:line="360" w:lineRule="auto"/>
        <w:ind w:firstLine="482" w:firstLineChars="200"/>
        <w:rPr>
          <w:rFonts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205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">
            <v:path/>
            <v:fill focussize="0,0"/>
            <v:stroke miterlimit="2"/>
            <v:imagedata o:title=""/>
            <o:lock v:ext="edit"/>
          </v:rect>
        </w:pict>
      </w:r>
      <w:r>
        <w:rPr>
          <w:rFonts w:ascii="仿宋" w:hAnsi="仿宋" w:eastAsia="仿宋" w:cs="仿宋"/>
          <w:b/>
          <w:bCs/>
          <w:color w:val="auto"/>
          <w:sz w:val="24"/>
          <w:highlight w:val="none"/>
        </w:rPr>
        <w:pict>
          <v:rect id="Rectangle 16" o:spid="_x0000_s2051"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pageBreakBefore/>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w:t>
      </w:r>
      <w:bookmarkStart w:id="174" w:name="_Hlk96960687"/>
      <w:r>
        <w:rPr>
          <w:rFonts w:hint="eastAsia" w:ascii="仿宋" w:hAnsi="仿宋" w:eastAsia="仿宋" w:cs="仿宋"/>
          <w:b/>
          <w:color w:val="auto"/>
          <w:sz w:val="24"/>
          <w:highlight w:val="none"/>
        </w:rPr>
        <w:t>《政府采购促进中小企业发展管理办法》</w:t>
      </w:r>
      <w:bookmarkEnd w:id="174"/>
      <w:r>
        <w:rPr>
          <w:rFonts w:hint="eastAsia" w:ascii="仿宋" w:hAnsi="仿宋" w:eastAsia="仿宋" w:cs="仿宋"/>
          <w:b/>
          <w:color w:val="auto"/>
          <w:sz w:val="24"/>
          <w:highlight w:val="none"/>
        </w:rPr>
        <w:t>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color w:val="auto"/>
          <w:sz w:val="32"/>
          <w:szCs w:val="32"/>
          <w:highlight w:val="none"/>
        </w:rPr>
      </w:pPr>
    </w:p>
    <w:p>
      <w:pPr>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ascii="仿宋" w:hAnsi="仿宋" w:eastAsia="仿宋" w:cs="仿宋"/>
          <w:b/>
          <w:color w:val="auto"/>
          <w:sz w:val="18"/>
          <w:highlight w:val="none"/>
        </w:rPr>
      </w:pPr>
    </w:p>
    <w:p>
      <w:pPr>
        <w:jc w:val="center"/>
        <w:rPr>
          <w:rFonts w:ascii="仿宋" w:hAnsi="仿宋" w:eastAsia="仿宋" w:cs="仿宋"/>
          <w:b/>
          <w:color w:val="auto"/>
          <w:sz w:val="32"/>
          <w:highlight w:val="none"/>
        </w:rPr>
      </w:pPr>
    </w:p>
    <w:p>
      <w:pPr>
        <w:jc w:val="center"/>
        <w:rPr>
          <w:rFonts w:ascii="仿宋" w:hAnsi="仿宋" w:eastAsia="仿宋" w:cs="仿宋"/>
          <w:b/>
          <w:color w:val="auto"/>
          <w:sz w:val="32"/>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color w:val="auto"/>
          <w:sz w:val="24"/>
          <w:highlight w:val="none"/>
        </w:rPr>
      </w:pPr>
    </w:p>
    <w:p>
      <w:pPr>
        <w:pageBreakBefore/>
        <w:spacing w:line="588"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ascii="仿宋" w:hAnsi="仿宋" w:eastAsia="仿宋" w:cs="仿宋"/>
          <w:b/>
          <w:color w:val="auto"/>
          <w:spacing w:val="6"/>
          <w:sz w:val="30"/>
          <w:szCs w:val="30"/>
          <w:highlight w:val="none"/>
        </w:rPr>
      </w:pPr>
    </w:p>
    <w:p>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ascii="仿宋" w:hAnsi="仿宋" w:eastAsia="仿宋" w:cs="仿宋"/>
          <w:color w:val="auto"/>
          <w:sz w:val="24"/>
          <w:highlight w:val="none"/>
        </w:rPr>
      </w:pPr>
    </w:p>
    <w:p>
      <w:pPr>
        <w:spacing w:line="588" w:lineRule="exact"/>
        <w:ind w:firstLine="480" w:firstLineChars="200"/>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ascii="仿宋" w:hAnsi="仿宋" w:eastAsia="仿宋" w:cs="仿宋"/>
          <w:color w:val="auto"/>
          <w:sz w:val="24"/>
          <w:highlight w:val="none"/>
        </w:rPr>
      </w:pPr>
    </w:p>
    <w:p>
      <w:pPr>
        <w:rPr>
          <w:rFonts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ascii="仿宋" w:hAnsi="仿宋" w:eastAsia="仿宋" w:cs="仿宋"/>
          <w:color w:val="auto"/>
          <w:highlight w:val="none"/>
        </w:rPr>
      </w:pPr>
    </w:p>
    <w:p>
      <w:pPr>
        <w:tabs>
          <w:tab w:val="left" w:pos="4860"/>
        </w:tabs>
        <w:ind w:right="1559"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1pt;width:389.9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 w:hAnsi="仿宋" w:eastAsia="仿宋" w:cs="仿宋"/>
          <w:color w:val="auto"/>
          <w:highlight w:val="none"/>
        </w:rPr>
      </w:pPr>
    </w:p>
    <w:p>
      <w:pPr>
        <w:ind w:firstLine="420" w:firstLineChars="200"/>
        <w:rPr>
          <w:rFonts w:ascii="仿宋" w:hAnsi="仿宋" w:eastAsia="仿宋" w:cs="仿宋"/>
          <w:color w:val="auto"/>
          <w:highlight w:val="none"/>
        </w:rPr>
      </w:pPr>
    </w:p>
    <w:p>
      <w:pPr>
        <w:ind w:firstLine="420" w:firstLineChars="200"/>
        <w:rPr>
          <w:rFonts w:ascii="仿宋" w:hAnsi="仿宋" w:eastAsia="仿宋" w:cs="仿宋"/>
          <w:color w:val="auto"/>
          <w:highlight w:val="none"/>
        </w:rPr>
      </w:pPr>
    </w:p>
    <w:p>
      <w:pPr>
        <w:ind w:firstLine="420" w:firstLineChars="200"/>
        <w:rPr>
          <w:rFonts w:ascii="仿宋" w:hAnsi="仿宋" w:eastAsia="仿宋" w:cs="仿宋"/>
          <w:color w:val="auto"/>
          <w:highlight w:val="none"/>
        </w:rPr>
      </w:pPr>
    </w:p>
    <w:p>
      <w:pPr>
        <w:rPr>
          <w:rFonts w:ascii="仿宋" w:hAnsi="仿宋" w:eastAsia="仿宋" w:cs="仿宋"/>
          <w:b/>
          <w:color w:val="auto"/>
          <w:sz w:val="24"/>
          <w:highlight w:val="none"/>
        </w:rPr>
      </w:pPr>
    </w:p>
    <w:p>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highlight w:val="none"/>
        </w:rPr>
      </w:pP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pStyle w:val="2"/>
        <w:rPr>
          <w:color w:val="auto"/>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pStyle w:val="2"/>
        <w:rPr>
          <w:color w:val="auto"/>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pStyle w:val="2"/>
        <w:rPr>
          <w:color w:val="auto"/>
          <w:highlight w:val="none"/>
        </w:rPr>
      </w:pPr>
    </w:p>
    <w:p>
      <w:pPr>
        <w:pStyle w:val="2"/>
        <w:rPr>
          <w:color w:val="auto"/>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rPr>
          <w:rFonts w:ascii="仿宋" w:hAnsi="仿宋" w:eastAsia="仿宋" w:cs="仿宋"/>
          <w:color w:val="auto"/>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321F39"/>
    <w:multiLevelType w:val="singleLevel"/>
    <w:tmpl w:val="C1321F39"/>
    <w:lvl w:ilvl="0" w:tentative="0">
      <w:start w:val="1"/>
      <w:numFmt w:val="bullet"/>
      <w:lvlText w:val=""/>
      <w:lvlJc w:val="left"/>
      <w:pPr>
        <w:ind w:left="420" w:hanging="420"/>
      </w:pPr>
      <w:rPr>
        <w:rFonts w:hint="default" w:ascii="Wingdings" w:hAnsi="Wingdings"/>
      </w:rPr>
    </w:lvl>
  </w:abstractNum>
  <w:abstractNum w:abstractNumId="1">
    <w:nsid w:val="C9901725"/>
    <w:multiLevelType w:val="singleLevel"/>
    <w:tmpl w:val="C9901725"/>
    <w:lvl w:ilvl="0" w:tentative="0">
      <w:start w:val="1"/>
      <w:numFmt w:val="bullet"/>
      <w:lvlText w:val=""/>
      <w:lvlJc w:val="left"/>
      <w:pPr>
        <w:ind w:left="420" w:hanging="420"/>
      </w:pPr>
      <w:rPr>
        <w:rFonts w:hint="default" w:ascii="Wingdings" w:hAnsi="Wingdings"/>
      </w:rPr>
    </w:lvl>
  </w:abstractNum>
  <w:abstractNum w:abstractNumId="2">
    <w:nsid w:val="E3566CD1"/>
    <w:multiLevelType w:val="singleLevel"/>
    <w:tmpl w:val="E3566CD1"/>
    <w:lvl w:ilvl="0" w:tentative="0">
      <w:start w:val="1"/>
      <w:numFmt w:val="bullet"/>
      <w:lvlText w:val=""/>
      <w:lvlJc w:val="left"/>
      <w:pPr>
        <w:ind w:left="420" w:hanging="420"/>
      </w:pPr>
      <w:rPr>
        <w:rFonts w:hint="default" w:ascii="Wingdings" w:hAnsi="Wingdings"/>
      </w:rPr>
    </w:lvl>
  </w:abstractNum>
  <w:abstractNum w:abstractNumId="3">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3C0424C2"/>
    <w:multiLevelType w:val="multilevel"/>
    <w:tmpl w:val="3C0424C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D1F7FDB"/>
    <w:multiLevelType w:val="multilevel"/>
    <w:tmpl w:val="3D1F7FD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51EC1DFE"/>
    <w:multiLevelType w:val="multilevel"/>
    <w:tmpl w:val="51EC1DF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5ADC7243"/>
    <w:multiLevelType w:val="multilevel"/>
    <w:tmpl w:val="5ADC724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5BC3203"/>
    <w:multiLevelType w:val="multilevel"/>
    <w:tmpl w:val="65BC320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3">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7D0915A9"/>
    <w:multiLevelType w:val="multilevel"/>
    <w:tmpl w:val="7D0915A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0"/>
  </w:num>
  <w:num w:numId="2">
    <w:abstractNumId w:val="4"/>
  </w:num>
  <w:num w:numId="3">
    <w:abstractNumId w:val="3"/>
  </w:num>
  <w:num w:numId="4">
    <w:abstractNumId w:val="12"/>
  </w:num>
  <w:num w:numId="5">
    <w:abstractNumId w:val="13"/>
  </w:num>
  <w:num w:numId="6">
    <w:abstractNumId w:val="11"/>
  </w:num>
  <w:num w:numId="7">
    <w:abstractNumId w:val="9"/>
  </w:num>
  <w:num w:numId="8">
    <w:abstractNumId w:val="6"/>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02AD"/>
    <w:rsid w:val="00074373"/>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23848"/>
    <w:rsid w:val="00223A5B"/>
    <w:rsid w:val="00224A52"/>
    <w:rsid w:val="002261D7"/>
    <w:rsid w:val="002266CD"/>
    <w:rsid w:val="0022698F"/>
    <w:rsid w:val="00230A8D"/>
    <w:rsid w:val="00231CB7"/>
    <w:rsid w:val="00233356"/>
    <w:rsid w:val="00235AC1"/>
    <w:rsid w:val="002362A5"/>
    <w:rsid w:val="0023638E"/>
    <w:rsid w:val="00240411"/>
    <w:rsid w:val="00243D9A"/>
    <w:rsid w:val="002442F3"/>
    <w:rsid w:val="00244766"/>
    <w:rsid w:val="00247AB8"/>
    <w:rsid w:val="00251888"/>
    <w:rsid w:val="0025660E"/>
    <w:rsid w:val="00256A92"/>
    <w:rsid w:val="0025749B"/>
    <w:rsid w:val="002608A0"/>
    <w:rsid w:val="00260A0D"/>
    <w:rsid w:val="00261168"/>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4FFA"/>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14D1"/>
    <w:rsid w:val="00403FEC"/>
    <w:rsid w:val="00407D88"/>
    <w:rsid w:val="004109FD"/>
    <w:rsid w:val="0041394C"/>
    <w:rsid w:val="00413B7A"/>
    <w:rsid w:val="0041460B"/>
    <w:rsid w:val="00414F64"/>
    <w:rsid w:val="00417C8A"/>
    <w:rsid w:val="0042136D"/>
    <w:rsid w:val="00424C70"/>
    <w:rsid w:val="0042557D"/>
    <w:rsid w:val="00426003"/>
    <w:rsid w:val="00432C68"/>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C61"/>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96B5B"/>
    <w:rsid w:val="005A3003"/>
    <w:rsid w:val="005A32FB"/>
    <w:rsid w:val="005A3E6E"/>
    <w:rsid w:val="005A7A4A"/>
    <w:rsid w:val="005B180C"/>
    <w:rsid w:val="005B243A"/>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F510E"/>
    <w:rsid w:val="005F5691"/>
    <w:rsid w:val="005F78A5"/>
    <w:rsid w:val="006029F2"/>
    <w:rsid w:val="00604458"/>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4A3"/>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42D"/>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64AD"/>
    <w:rsid w:val="008A7376"/>
    <w:rsid w:val="008B3818"/>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B80"/>
    <w:rsid w:val="008E6364"/>
    <w:rsid w:val="008F03D5"/>
    <w:rsid w:val="008F07DF"/>
    <w:rsid w:val="008F1A2E"/>
    <w:rsid w:val="00900D76"/>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5F05"/>
    <w:rsid w:val="009C6549"/>
    <w:rsid w:val="009C725B"/>
    <w:rsid w:val="009C76D3"/>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4A99"/>
    <w:rsid w:val="00AF4AF3"/>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754BA"/>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51C1B"/>
    <w:rsid w:val="00E52E4C"/>
    <w:rsid w:val="00E56E61"/>
    <w:rsid w:val="00E57296"/>
    <w:rsid w:val="00E62041"/>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23E5"/>
    <w:rsid w:val="00ED3A71"/>
    <w:rsid w:val="00ED448F"/>
    <w:rsid w:val="00ED758C"/>
    <w:rsid w:val="00EE06ED"/>
    <w:rsid w:val="00EE232E"/>
    <w:rsid w:val="00EE4212"/>
    <w:rsid w:val="00EE54FE"/>
    <w:rsid w:val="00EE55D8"/>
    <w:rsid w:val="00EE5E15"/>
    <w:rsid w:val="00EF1A94"/>
    <w:rsid w:val="00EF20FA"/>
    <w:rsid w:val="00EF4168"/>
    <w:rsid w:val="00EF52D6"/>
    <w:rsid w:val="00EF7E5B"/>
    <w:rsid w:val="00F00B43"/>
    <w:rsid w:val="00F0162F"/>
    <w:rsid w:val="00F01C96"/>
    <w:rsid w:val="00F0661F"/>
    <w:rsid w:val="00F11AA9"/>
    <w:rsid w:val="00F12CBB"/>
    <w:rsid w:val="00F1355C"/>
    <w:rsid w:val="00F226E8"/>
    <w:rsid w:val="00F2566F"/>
    <w:rsid w:val="00F30E51"/>
    <w:rsid w:val="00F31980"/>
    <w:rsid w:val="00F31AD0"/>
    <w:rsid w:val="00F33527"/>
    <w:rsid w:val="00F3506F"/>
    <w:rsid w:val="00F35DF7"/>
    <w:rsid w:val="00F37F36"/>
    <w:rsid w:val="00F41632"/>
    <w:rsid w:val="00F42267"/>
    <w:rsid w:val="00F43CE8"/>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1781"/>
    <w:rsid w:val="00F825E8"/>
    <w:rsid w:val="00F82E38"/>
    <w:rsid w:val="00F83C52"/>
    <w:rsid w:val="00F83D25"/>
    <w:rsid w:val="00F84A1B"/>
    <w:rsid w:val="00F85561"/>
    <w:rsid w:val="00F85A41"/>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51C3007"/>
    <w:rsid w:val="06A43CE5"/>
    <w:rsid w:val="11A437DA"/>
    <w:rsid w:val="12E35DEC"/>
    <w:rsid w:val="163B5992"/>
    <w:rsid w:val="173268F0"/>
    <w:rsid w:val="1A1A126D"/>
    <w:rsid w:val="1BEB670A"/>
    <w:rsid w:val="1D4B508F"/>
    <w:rsid w:val="1D836C66"/>
    <w:rsid w:val="28035D95"/>
    <w:rsid w:val="290112FB"/>
    <w:rsid w:val="2D362D8F"/>
    <w:rsid w:val="2DF27B27"/>
    <w:rsid w:val="30D916C0"/>
    <w:rsid w:val="31AB221D"/>
    <w:rsid w:val="34804F88"/>
    <w:rsid w:val="353254A0"/>
    <w:rsid w:val="38F10753"/>
    <w:rsid w:val="3F94530D"/>
    <w:rsid w:val="41952301"/>
    <w:rsid w:val="4CFC3B0D"/>
    <w:rsid w:val="4FEB1EA0"/>
    <w:rsid w:val="576739FF"/>
    <w:rsid w:val="59460CED"/>
    <w:rsid w:val="5AC5122C"/>
    <w:rsid w:val="60596455"/>
    <w:rsid w:val="66513E75"/>
    <w:rsid w:val="67167A87"/>
    <w:rsid w:val="6DD77E7C"/>
    <w:rsid w:val="72715BFC"/>
    <w:rsid w:val="72E87C49"/>
    <w:rsid w:val="75432727"/>
    <w:rsid w:val="7DFBB8BB"/>
    <w:rsid w:val="7E7B0947"/>
    <w:rsid w:val="7F777168"/>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6">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table of authorities"/>
    <w:basedOn w:val="1"/>
    <w:next w:val="1"/>
    <w:qFormat/>
    <w:uiPriority w:val="0"/>
    <w:pPr>
      <w:ind w:left="420" w:leftChars="200"/>
    </w:pPr>
    <w:rPr>
      <w:rFonts w:ascii="Calibri" w:hAnsi="Calibri"/>
      <w:szCs w:val="22"/>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0"/>
    <w:qFormat/>
    <w:uiPriority w:val="0"/>
    <w:pPr>
      <w:spacing w:line="360" w:lineRule="auto"/>
      <w:jc w:val="center"/>
    </w:pPr>
    <w:rPr>
      <w:rFonts w:ascii="Calibri" w:hAnsi="Calibri"/>
      <w:sz w:val="20"/>
      <w:szCs w:val="20"/>
    </w:rPr>
  </w:style>
  <w:style w:type="paragraph" w:styleId="17">
    <w:name w:val="Document Map"/>
    <w:basedOn w:val="1"/>
    <w:link w:val="119"/>
    <w:semiHidden/>
    <w:qFormat/>
    <w:uiPriority w:val="0"/>
    <w:pPr>
      <w:shd w:val="clear" w:color="auto" w:fill="000080"/>
    </w:pPr>
  </w:style>
  <w:style w:type="paragraph" w:styleId="18">
    <w:name w:val="annotation text"/>
    <w:basedOn w:val="1"/>
    <w:link w:val="71"/>
    <w:qFormat/>
    <w:uiPriority w:val="0"/>
    <w:pPr>
      <w:jc w:val="left"/>
    </w:pPr>
  </w:style>
  <w:style w:type="paragraph" w:styleId="19">
    <w:name w:val="Body Text"/>
    <w:basedOn w:val="1"/>
    <w:link w:val="84"/>
    <w:qFormat/>
    <w:uiPriority w:val="0"/>
    <w:pPr>
      <w:spacing w:line="360" w:lineRule="auto"/>
    </w:pPr>
    <w:rPr>
      <w:rFonts w:eastAsia="仿宋_GB2312"/>
      <w:sz w:val="28"/>
    </w:rPr>
  </w:style>
  <w:style w:type="paragraph" w:styleId="20">
    <w:name w:val="Body Text Indent"/>
    <w:basedOn w:val="1"/>
    <w:link w:val="65"/>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8"/>
    <w:semiHidden/>
    <w:qFormat/>
    <w:uiPriority w:val="0"/>
    <w:rPr>
      <w:sz w:val="18"/>
      <w:szCs w:val="18"/>
    </w:rPr>
  </w:style>
  <w:style w:type="paragraph" w:styleId="28">
    <w:name w:val="footer"/>
    <w:basedOn w:val="1"/>
    <w:link w:val="68"/>
    <w:qFormat/>
    <w:uiPriority w:val="99"/>
    <w:pPr>
      <w:tabs>
        <w:tab w:val="center" w:pos="4153"/>
        <w:tab w:val="right" w:pos="8306"/>
      </w:tabs>
      <w:snapToGrid w:val="0"/>
      <w:jc w:val="left"/>
    </w:pPr>
    <w:rPr>
      <w:sz w:val="18"/>
      <w:szCs w:val="18"/>
    </w:rPr>
  </w:style>
  <w:style w:type="paragraph" w:styleId="29">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201"/>
    <w:semiHidden/>
    <w:qFormat/>
    <w:uiPriority w:val="0"/>
    <w:pPr>
      <w:widowControl/>
      <w:spacing w:afterLines="50"/>
    </w:pPr>
    <w:rPr>
      <w:b/>
      <w:bCs/>
      <w:kern w:val="0"/>
      <w:sz w:val="24"/>
      <w:szCs w:val="20"/>
    </w:rPr>
  </w:style>
  <w:style w:type="paragraph" w:styleId="41">
    <w:name w:val="Body Text First Indent"/>
    <w:basedOn w:val="19"/>
    <w:link w:val="202"/>
    <w:qFormat/>
    <w:uiPriority w:val="0"/>
    <w:pPr>
      <w:spacing w:after="120" w:line="240" w:lineRule="auto"/>
      <w:ind w:firstLine="420" w:firstLineChars="100"/>
    </w:pPr>
    <w:rPr>
      <w:rFonts w:eastAsia="宋体"/>
      <w:sz w:val="21"/>
    </w:rPr>
  </w:style>
  <w:style w:type="paragraph" w:styleId="42">
    <w:name w:val="Body Text First Indent 2"/>
    <w:basedOn w:val="20"/>
    <w:link w:val="20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6"/>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20"/>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8"/>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9"/>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7"/>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7"/>
    <w:qFormat/>
    <w:uiPriority w:val="0"/>
    <w:rPr>
      <w:rFonts w:ascii="Tahoma" w:hAnsi="Tahoma"/>
      <w:sz w:val="24"/>
    </w:rPr>
  </w:style>
  <w:style w:type="paragraph" w:customStyle="1" w:styleId="139">
    <w:name w:val="Char Char Char"/>
    <w:basedOn w:val="17"/>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6"/>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5"/>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5"/>
    <w:link w:val="27"/>
    <w:semiHidden/>
    <w:qFormat/>
    <w:uiPriority w:val="0"/>
    <w:rPr>
      <w:kern w:val="2"/>
      <w:sz w:val="18"/>
      <w:szCs w:val="18"/>
    </w:rPr>
  </w:style>
  <w:style w:type="character" w:customStyle="1" w:styleId="199">
    <w:name w:val="正文文本缩进 3 Char"/>
    <w:basedOn w:val="45"/>
    <w:link w:val="32"/>
    <w:qFormat/>
    <w:uiPriority w:val="0"/>
    <w:rPr>
      <w:kern w:val="2"/>
      <w:sz w:val="16"/>
      <w:szCs w:val="16"/>
    </w:rPr>
  </w:style>
  <w:style w:type="character" w:customStyle="1" w:styleId="200">
    <w:name w:val="HTML 预设格式 Char"/>
    <w:basedOn w:val="45"/>
    <w:link w:val="36"/>
    <w:qFormat/>
    <w:uiPriority w:val="0"/>
    <w:rPr>
      <w:rFonts w:ascii="黑体" w:hAnsi="Courier New" w:eastAsia="黑体" w:cs="Courier New"/>
    </w:rPr>
  </w:style>
  <w:style w:type="character" w:customStyle="1" w:styleId="201">
    <w:name w:val="批注主题 Char"/>
    <w:basedOn w:val="168"/>
    <w:link w:val="40"/>
    <w:semiHidden/>
    <w:qFormat/>
    <w:uiPriority w:val="0"/>
    <w:rPr>
      <w:rFonts w:eastAsia="宋体"/>
      <w:b/>
      <w:bCs/>
      <w:kern w:val="2"/>
      <w:sz w:val="24"/>
      <w:szCs w:val="24"/>
      <w:lang w:val="en-US" w:eastAsia="zh-CN" w:bidi="ar-SA"/>
    </w:rPr>
  </w:style>
  <w:style w:type="character" w:customStyle="1" w:styleId="202">
    <w:name w:val="正文首行缩进 Char"/>
    <w:basedOn w:val="163"/>
    <w:link w:val="41"/>
    <w:qFormat/>
    <w:uiPriority w:val="0"/>
    <w:rPr>
      <w:rFonts w:eastAsia="仿宋_GB2312"/>
      <w:kern w:val="2"/>
      <w:sz w:val="21"/>
      <w:szCs w:val="24"/>
      <w:lang w:val="en-US" w:eastAsia="zh-CN" w:bidi="ar-SA"/>
    </w:rPr>
  </w:style>
  <w:style w:type="character" w:customStyle="1" w:styleId="203">
    <w:name w:val="正文首行缩进 2 Char"/>
    <w:basedOn w:val="65"/>
    <w:link w:val="42"/>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5"/>
    <w:qFormat/>
    <w:uiPriority w:val="0"/>
    <w:rPr>
      <w:rFonts w:hint="eastAsia" w:ascii="宋体" w:hAnsi="宋体" w:eastAsia="宋体" w:cs="宋体"/>
      <w:color w:val="000000"/>
      <w:sz w:val="22"/>
      <w:szCs w:val="22"/>
      <w:u w:val="none"/>
    </w:rPr>
  </w:style>
  <w:style w:type="character" w:customStyle="1" w:styleId="266">
    <w:name w:val="font11"/>
    <w:basedOn w:val="45"/>
    <w:qFormat/>
    <w:uiPriority w:val="0"/>
    <w:rPr>
      <w:rFonts w:hint="eastAsia" w:ascii="宋体" w:hAnsi="宋体" w:eastAsia="宋体" w:cs="宋体"/>
      <w:color w:val="FF0000"/>
      <w:sz w:val="22"/>
      <w:szCs w:val="22"/>
      <w:u w:val="none"/>
    </w:rPr>
  </w:style>
  <w:style w:type="character" w:customStyle="1" w:styleId="267">
    <w:name w:val="font41"/>
    <w:basedOn w:val="45"/>
    <w:qFormat/>
    <w:uiPriority w:val="0"/>
    <w:rPr>
      <w:rFonts w:hint="default" w:ascii="等线" w:hAnsi="等线" w:eastAsia="等线" w:cs="等线"/>
      <w:color w:val="FF0000"/>
      <w:sz w:val="22"/>
      <w:szCs w:val="22"/>
      <w:u w:val="none"/>
    </w:rPr>
  </w:style>
  <w:style w:type="character" w:customStyle="1" w:styleId="268">
    <w:name w:val="font21"/>
    <w:basedOn w:val="45"/>
    <w:qFormat/>
    <w:uiPriority w:val="0"/>
    <w:rPr>
      <w:rFonts w:hint="default" w:ascii="等线" w:hAnsi="等线" w:eastAsia="等线" w:cs="等线"/>
      <w:color w:val="000000"/>
      <w:sz w:val="22"/>
      <w:szCs w:val="22"/>
      <w:u w:val="none"/>
    </w:rPr>
  </w:style>
  <w:style w:type="character" w:customStyle="1" w:styleId="269">
    <w:name w:val="font51"/>
    <w:basedOn w:val="45"/>
    <w:qFormat/>
    <w:uiPriority w:val="0"/>
    <w:rPr>
      <w:rFonts w:hint="default" w:ascii="等线" w:hAnsi="等线" w:eastAsia="等线" w:cs="等线"/>
      <w:color w:val="FF0000"/>
      <w:sz w:val="22"/>
      <w:szCs w:val="22"/>
      <w:u w:val="none"/>
    </w:rPr>
  </w:style>
  <w:style w:type="character" w:customStyle="1" w:styleId="270">
    <w:name w:val="font61"/>
    <w:basedOn w:val="45"/>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5"/>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5"/>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6"/>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paragraph" w:customStyle="1" w:styleId="286">
    <w:name w:val="my正文"/>
    <w:basedOn w:val="1"/>
    <w:qFormat/>
    <w:uiPriority w:val="0"/>
    <w:pPr>
      <w:adjustRightInd w:val="0"/>
      <w:ind w:firstLine="480" w:firstLineChars="200"/>
    </w:pPr>
    <w:rPr>
      <w:kern w:val="0"/>
      <w:sz w:val="24"/>
    </w:rPr>
  </w:style>
  <w:style w:type="character" w:customStyle="1" w:styleId="287">
    <w:name w:val="NormalCharacter"/>
    <w:qFormat/>
    <w:uiPriority w:val="0"/>
    <w:rPr>
      <w:rFonts w:ascii="Calibri" w:hAnsi="Calibri" w:eastAsia="宋体" w:cs="Times New Roman"/>
      <w:kern w:val="2"/>
      <w:sz w:val="21"/>
      <w:szCs w:val="22"/>
      <w:lang w:val="en-US" w:eastAsia="zh-CN" w:bidi="ar-SA"/>
    </w:rPr>
  </w:style>
  <w:style w:type="paragraph" w:customStyle="1" w:styleId="288">
    <w:name w:val="__正文"/>
    <w:qFormat/>
    <w:uiPriority w:val="0"/>
    <w:pPr>
      <w:spacing w:line="360" w:lineRule="auto"/>
      <w:ind w:firstLine="200" w:firstLineChars="200"/>
    </w:pPr>
    <w:rPr>
      <w:rFonts w:ascii="Calibri" w:hAnsi="Calibri" w:eastAsia="微软雅黑"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D40E64-940D-4000-BF26-E70D7715598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53599</Words>
  <Characters>57301</Characters>
  <Lines>447</Lines>
  <Paragraphs>126</Paragraphs>
  <TotalTime>31</TotalTime>
  <ScaleCrop>false</ScaleCrop>
  <LinksUpToDate>false</LinksUpToDate>
  <CharactersWithSpaces>64314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2022-02-28T03:43:00Z</dcterms:created>
  <dc:creator>USER</dc:creator>
  <cp:lastModifiedBy>無珂鲰玳k&amp;o_O</cp:lastModifiedBy>
  <cp:lastPrinted>2022-02-14T11:21:00Z</cp:lastPrinted>
  <dcterms:modified xsi:type="dcterms:W3CDTF">2022-05-24T05:56:11Z</dcterms:modified>
  <dc:title>绍兴文理学院计算机机房设备及录播系统供货项目</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EC3256658ABD4F5ABBD8BFDEC8602000</vt:lpwstr>
  </property>
  <property fmtid="{D5CDD505-2E9C-101B-9397-08002B2CF9AE}" pid="6" name="commondata">
    <vt:lpwstr>eyJoZGlkIjoiODJiMTc5Mjg0YWFmNjAwZTBjOGFiODc5N2VmNzc1NDQifQ==</vt:lpwstr>
  </property>
</Properties>
</file>