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hint="eastAsia" w:ascii="仿宋" w:hAnsi="仿宋" w:eastAsia="仿宋" w:cs="仿宋"/>
          <w:b/>
          <w:color w:val="auto"/>
          <w:spacing w:val="-12"/>
          <w:sz w:val="48"/>
          <w:szCs w:val="48"/>
          <w:highlight w:val="none"/>
        </w:rPr>
      </w:pPr>
    </w:p>
    <w:p>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绍兴市中医院</w:t>
      </w:r>
    </w:p>
    <w:p>
      <w:pPr>
        <w:jc w:val="center"/>
        <w:outlineLvl w:val="0"/>
        <w:rPr>
          <w:rFonts w:hint="eastAsia" w:ascii="仿宋" w:hAnsi="仿宋" w:eastAsia="仿宋" w:cs="仿宋"/>
          <w:b/>
          <w:color w:val="auto"/>
          <w:spacing w:val="-12"/>
          <w:sz w:val="48"/>
          <w:szCs w:val="48"/>
          <w:highlight w:val="none"/>
        </w:rPr>
      </w:pPr>
      <w:r>
        <w:rPr>
          <w:rFonts w:hint="eastAsia" w:ascii="仿宋" w:hAnsi="仿宋" w:eastAsia="仿宋" w:cs="仿宋"/>
          <w:b/>
          <w:color w:val="auto"/>
          <w:spacing w:val="-12"/>
          <w:sz w:val="48"/>
          <w:szCs w:val="48"/>
          <w:highlight w:val="none"/>
          <w:lang w:eastAsia="zh-CN"/>
        </w:rPr>
        <w:t>手术衣鞋智能管理系统项目</w:t>
      </w: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r>
        <w:rPr>
          <w:rFonts w:hint="eastAsia" w:ascii="仿宋" w:hAnsi="仿宋" w:eastAsia="仿宋" w:cs="仿宋"/>
          <w:color w:val="auto"/>
          <w:sz w:val="44"/>
          <w:highlight w:val="none"/>
        </w:rPr>
        <w:t>（电子招投标）</w:t>
      </w:r>
    </w:p>
    <w:p>
      <w:pPr>
        <w:jc w:val="cente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TYJZ2022</w:t>
      </w:r>
    </w:p>
    <w:tbl>
      <w:tblPr>
        <w:tblStyle w:val="4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二○二二年</w:t>
            </w:r>
            <w:r>
              <w:rPr>
                <w:rFonts w:hint="eastAsia" w:ascii="仿宋" w:hAnsi="仿宋" w:eastAsia="仿宋" w:cs="仿宋"/>
                <w:color w:val="auto"/>
                <w:sz w:val="28"/>
                <w:szCs w:val="28"/>
                <w:highlight w:val="none"/>
                <w:lang w:eastAsia="zh-CN"/>
              </w:rPr>
              <w:t>十二</w:t>
            </w:r>
            <w:r>
              <w:rPr>
                <w:rFonts w:hint="eastAsia" w:ascii="仿宋" w:hAnsi="仿宋" w:eastAsia="仿宋" w:cs="仿宋"/>
                <w:color w:val="auto"/>
                <w:sz w:val="28"/>
                <w:szCs w:val="28"/>
                <w:highlight w:val="none"/>
              </w:rPr>
              <w:t>月</w:t>
            </w:r>
          </w:p>
        </w:tc>
      </w:tr>
    </w:tbl>
    <w:p>
      <w:pPr>
        <w:pageBreakBefore/>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2"/>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2"/>
              <w:tblW w:w="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8205" w:type="dxa"/>
                </w:tcPr>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绍兴市中医院手术衣鞋智能管理系统项目</w:t>
                  </w:r>
                  <w:r>
                    <w:rPr>
                      <w:rFonts w:hint="eastAsia" w:ascii="仿宋" w:hAnsi="仿宋" w:eastAsia="仿宋" w:cs="仿宋"/>
                      <w:color w:val="auto"/>
                      <w:szCs w:val="24"/>
                      <w:highlight w:val="none"/>
                    </w:rPr>
                    <w:t>的潜在投标人应在</w:t>
                  </w:r>
                  <w:r>
                    <w:rPr>
                      <w:rStyle w:val="278"/>
                      <w:rFonts w:hint="eastAsia" w:ascii="仿宋" w:hAnsi="仿宋" w:eastAsia="仿宋" w:cs="仿宋"/>
                      <w:color w:val="auto"/>
                      <w:sz w:val="27"/>
                      <w:szCs w:val="27"/>
                      <w:highlight w:val="none"/>
                    </w:rPr>
                    <w:t>https://www.zcygov.cn</w:t>
                  </w:r>
                  <w:r>
                    <w:rPr>
                      <w:rFonts w:hint="eastAsia" w:ascii="仿宋" w:hAnsi="仿宋" w:eastAsia="仿宋" w:cs="仿宋"/>
                      <w:color w:val="auto"/>
                      <w:szCs w:val="24"/>
                      <w:highlight w:val="none"/>
                    </w:rPr>
                    <w:t xml:space="preserve">获取（下载）招标文件，并于2022年月日 </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0</w:t>
                  </w:r>
                  <w:r>
                    <w:rPr>
                      <w:rFonts w:hint="eastAsia" w:ascii="仿宋" w:hAnsi="仿宋" w:eastAsia="仿宋" w:cs="仿宋"/>
                      <w:color w:val="auto"/>
                      <w:szCs w:val="24"/>
                      <w:highlight w:val="none"/>
                    </w:rPr>
                    <w:t>0（北京时间）前递交（上传）投标文件。</w:t>
                  </w:r>
                </w:p>
              </w:tc>
            </w:tr>
          </w:tbl>
          <w:p>
            <w:pPr>
              <w:pStyle w:val="69"/>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TYJZ2022</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绍兴市中医院手术衣鞋智能管理系统项目</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850000</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850000</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eastAsia="zh-CN"/>
              </w:rPr>
              <w:t>绍兴市中医院手术衣鞋智能管理系统项目</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数量:1</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850000</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简要规格描述或项目基本概况介绍、用途：详见采购文件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备注：无</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69"/>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pPr>
              <w:pStyle w:val="69"/>
              <w:spacing w:afterLines="0" w:line="440" w:lineRule="exact"/>
              <w:ind w:firstLine="420"/>
              <w:rPr>
                <w:rFonts w:hint="eastAsia" w:ascii="仿宋" w:hAnsi="仿宋" w:eastAsia="仿宋" w:cs="仿宋"/>
                <w:color w:val="auto"/>
                <w:szCs w:val="24"/>
                <w:highlight w:val="none"/>
              </w:rPr>
            </w:pPr>
            <w:sdt>
              <w:sdtPr>
                <w:rPr>
                  <w:rFonts w:hint="eastAsia" w:ascii="仿宋" w:hAnsi="仿宋" w:eastAsia="仿宋" w:cs="仿宋"/>
                  <w:color w:val="auto"/>
                  <w:szCs w:val="21"/>
                  <w:highlight w:val="none"/>
                </w:rPr>
                <w:id w:val="29060800"/>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sdt>
            <w:r>
              <w:rPr>
                <w:rFonts w:hint="eastAsia" w:ascii="仿宋" w:hAnsi="仿宋" w:eastAsia="仿宋" w:cs="仿宋"/>
                <w:color w:val="auto"/>
                <w:highlight w:val="none"/>
              </w:rPr>
              <w:t>无；</w:t>
            </w:r>
          </w:p>
          <w:p>
            <w:pPr>
              <w:spacing w:line="360" w:lineRule="auto"/>
              <w:ind w:firstLine="420" w:firstLineChars="200"/>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29060800"/>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785" w:firstLineChars="374"/>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2906080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2365989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2906080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sz w:val="24"/>
                <w:highlight w:val="none"/>
              </w:rPr>
              <w:t>货物全部由符合政策要求的小微企业制造，提供中小企业声明函；</w:t>
            </w:r>
            <w:bookmarkStart w:id="254" w:name="_GoBack"/>
            <w:bookmarkEnd w:id="254"/>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2906080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6959412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2906080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 ，小微企业合同金额应当达到%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4.本项目的特定资格要求：无</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时间：/至2022年月日，每天上午00:00至12:00 ，下午12:00至23:59（北京时间，线上获取法定节假日均可，线下获取文件法定节假日除外）</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地点（网址）：</w:t>
            </w:r>
            <w:r>
              <w:rPr>
                <w:rFonts w:hint="eastAsia" w:ascii="仿宋" w:hAnsi="仿宋" w:eastAsia="仿宋" w:cs="仿宋"/>
                <w:bCs/>
                <w:color w:val="auto"/>
                <w:highlight w:val="none"/>
              </w:rPr>
              <w:t>http://www.zcygov.cn/</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方式：</w:t>
            </w:r>
            <w:r>
              <w:rPr>
                <w:rFonts w:hint="eastAsia" w:ascii="仿宋" w:hAnsi="仿宋" w:eastAsia="仿宋" w:cs="仿宋"/>
                <w:bCs/>
                <w:color w:val="auto"/>
                <w:highlight w:val="none"/>
              </w:rPr>
              <w:t>供应商登陆政采云平台http://www.zcygov.cn/，在线申请获取采购文件（进入“项目采购”应用，在获取采购文件菜单中选择项目，申请获取采购文件）。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售价（元）：0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提交投标文件截止时间：2022年月日</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0</w:t>
            </w:r>
            <w:r>
              <w:rPr>
                <w:rFonts w:hint="eastAsia" w:ascii="仿宋" w:hAnsi="仿宋" w:eastAsia="仿宋" w:cs="仿宋"/>
                <w:color w:val="auto"/>
                <w:szCs w:val="24"/>
                <w:highlight w:val="none"/>
              </w:rPr>
              <w:t>0（北京时间）</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投标地点（网址）：政采云平台</w:t>
            </w:r>
            <w:r>
              <w:rPr>
                <w:rFonts w:hint="eastAsia" w:ascii="仿宋" w:hAnsi="仿宋" w:eastAsia="仿宋" w:cs="仿宋"/>
                <w:bCs/>
                <w:color w:val="auto"/>
                <w:highlight w:val="none"/>
              </w:rPr>
              <w:t>http://www.zcygov.cn/</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开标时间：2022年月日</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0</w:t>
            </w:r>
            <w:r>
              <w:rPr>
                <w:rFonts w:hint="eastAsia" w:ascii="仿宋" w:hAnsi="仿宋" w:eastAsia="仿宋" w:cs="仿宋"/>
                <w:color w:val="auto"/>
                <w:szCs w:val="24"/>
                <w:highlight w:val="none"/>
              </w:rPr>
              <w:t>0</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开标地点（网址）：</w:t>
            </w:r>
            <w:r>
              <w:rPr>
                <w:rFonts w:hint="eastAsia" w:ascii="仿宋" w:hAnsi="仿宋" w:eastAsia="仿宋" w:cs="仿宋"/>
                <w:color w:val="auto"/>
                <w:highlight w:val="none"/>
              </w:rPr>
              <w:t>绍兴市越城区朝皇路58号正大综合楼601泰宇咨询会议室</w:t>
            </w:r>
            <w:r>
              <w:rPr>
                <w:rFonts w:hint="eastAsia" w:ascii="仿宋" w:hAnsi="仿宋" w:eastAsia="仿宋" w:cs="仿宋"/>
                <w:color w:val="auto"/>
                <w:szCs w:val="24"/>
                <w:highlight w:val="none"/>
              </w:rPr>
              <w:t>，在政府采购云平台（www.zcygov.cn）上开启响应文件。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highlight w:val="none"/>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名称：绍兴市中医院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highlight w:val="none"/>
              </w:rPr>
              <w:t>绍兴市越城区人民中路651号</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项目联系人（询问）：王宁</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项目联系方式（询问）：0575-89102270</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pPr>
              <w:widowControl/>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highlight w:val="none"/>
              </w:rPr>
              <w:t> </w:t>
            </w:r>
          </w:p>
          <w:p>
            <w:pPr>
              <w:pStyle w:val="69"/>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2.采购代理机构信息       </w:t>
            </w:r>
            <w:r>
              <w:rPr>
                <w:rFonts w:hint="eastAsia" w:ascii="仿宋" w:hAnsi="仿宋" w:eastAsia="仿宋" w:cs="仿宋"/>
                <w:color w:val="auto"/>
                <w:highlight w:val="none"/>
              </w:rPr>
              <w:t xml:space="preserve">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名称：泰宇建筑工程技术咨询有限公司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质疑联系方式：0575-85080066</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：宋晓林       </w:t>
            </w:r>
          </w:p>
          <w:p>
            <w:pPr>
              <w:pStyle w:val="69"/>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监督投诉电话：0575-85209697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sdt>
              <w:sdtPr>
                <w:rPr>
                  <w:rFonts w:hint="eastAsia" w:ascii="仿宋" w:hAnsi="仿宋" w:eastAsia="仿宋" w:cs="仿宋"/>
                  <w:color w:val="auto"/>
                  <w:kern w:val="0"/>
                  <w:sz w:val="24"/>
                  <w:highlight w:val="none"/>
                </w:rPr>
                <w:id w:val="2906080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r>
              <w:rPr>
                <w:rFonts w:hint="eastAsia" w:ascii="仿宋" w:hAnsi="仿宋" w:eastAsia="仿宋" w:cs="仿宋"/>
                <w:b/>
                <w:bCs/>
                <w:color w:val="auto"/>
                <w:sz w:val="24"/>
                <w:highlight w:val="none"/>
              </w:rPr>
              <w:t>供应商须在收到中标通知书5个工作日内提供二份与电子投标文件一致的纸质投标文件，并邮寄到绍兴市越城区朝皇路正大综合楼601。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74078883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2906081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bCs w:val="0"/>
                <w:color w:val="auto"/>
                <w:kern w:val="0"/>
                <w:sz w:val="24"/>
                <w:szCs w:val="24"/>
                <w:highlight w:val="none"/>
                <w:u w:val="single"/>
              </w:rPr>
              <w:t>智能发衣机</w:t>
            </w:r>
            <w:r>
              <w:rPr>
                <w:rFonts w:hint="eastAsia" w:ascii="仿宋" w:hAnsi="仿宋" w:eastAsia="仿宋" w:cs="仿宋"/>
                <w:color w:val="auto"/>
                <w:sz w:val="24"/>
                <w:highlight w:val="none"/>
              </w:rPr>
              <w:t>。</w:t>
            </w:r>
          </w:p>
          <w:p>
            <w:pP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906081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ind w:left="-18" w:leftChars="-9" w:right="-50" w:rightChars="-24" w:hanging="1"/>
              <w:jc w:val="both"/>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（1）标的：标项一，属于行业</w:t>
            </w:r>
            <w:r>
              <w:rPr>
                <w:rFonts w:hint="default" w:ascii="仿宋" w:hAnsi="仿宋" w:eastAsia="仿宋" w:cs="仿宋"/>
                <w:color w:val="auto"/>
                <w:kern w:val="0"/>
                <w:sz w:val="24"/>
                <w:highlight w:val="none"/>
              </w:rPr>
              <w:t>：</w:t>
            </w:r>
            <w:r>
              <w:rPr>
                <w:rFonts w:hint="eastAsia" w:ascii="仿宋" w:hAnsi="仿宋" w:eastAsia="仿宋" w:cs="仿宋"/>
                <w:color w:val="auto"/>
                <w:kern w:val="0"/>
                <w:sz w:val="24"/>
                <w:highlight w:val="none"/>
                <w:u w:val="single"/>
                <w:lang w:eastAsia="zh-CN"/>
              </w:rPr>
              <w:t>工</w:t>
            </w:r>
            <w:r>
              <w:rPr>
                <w:rFonts w:hint="default" w:ascii="仿宋" w:hAnsi="仿宋" w:eastAsia="仿宋" w:cs="仿宋"/>
                <w:color w:val="auto"/>
                <w:kern w:val="0"/>
                <w:sz w:val="24"/>
                <w:highlight w:val="none"/>
                <w:u w:val="single"/>
              </w:rPr>
              <w:t>业</w:t>
            </w:r>
            <w:r>
              <w:rPr>
                <w:rFonts w:hint="eastAsia" w:ascii="仿宋" w:hAnsi="仿宋" w:eastAsia="仿宋" w:cs="仿宋"/>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highlight w:val="none"/>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highlight w:val="none"/>
              </w:rPr>
              <w:t>联合体投标的，联合体各方均需按招标文件第四部分评标标准要求提供资信证明文件，否则视为不符合相关要求。</w:t>
            </w:r>
          </w:p>
          <w:p>
            <w:pPr>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spacing w:line="440" w:lineRule="exact"/>
              <w:rPr>
                <w:rFonts w:hint="eastAsia" w:ascii="仿宋" w:hAnsi="仿宋" w:eastAsia="仿宋" w:cs="仿宋"/>
                <w:color w:val="auto"/>
                <w:kern w:val="0"/>
                <w:sz w:val="24"/>
                <w:szCs w:val="21"/>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解释：凡涉及本招标文件的解释权属于采购人和本</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为本项目的采购人（合同中的甲方），</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为采购</w:t>
      </w:r>
      <w:r>
        <w:rPr>
          <w:rFonts w:hint="eastAsia" w:ascii="仿宋" w:hAnsi="仿宋" w:eastAsia="仿宋" w:cs="仿宋"/>
          <w:color w:val="auto"/>
          <w:sz w:val="24"/>
          <w:highlight w:val="none"/>
          <w:lang w:eastAsia="zh-CN"/>
        </w:rPr>
        <w:t>代理</w:t>
      </w:r>
      <w:r>
        <w:rPr>
          <w:rFonts w:hint="eastAsia" w:ascii="仿宋" w:hAnsi="仿宋" w:eastAsia="仿宋" w:cs="仿宋"/>
          <w:color w:val="auto"/>
          <w:sz w:val="24"/>
          <w:highlight w:val="none"/>
        </w:rPr>
        <w:t>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2.6“电子交易平台”是指本项目政府采购活动所依托的政府采购云平台（https://www.zcygov.cn/）。</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2.8因特殊原因需要使用冠以法定名称的业务专用章的，投标时须提供《业务专用章使用说明函》(详见附件)。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6"/>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472" w:firstLineChars="196"/>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投标文件由“报价文件资料”、“商务技术（资信）文件资料”两部分组成，其中</w:t>
      </w:r>
      <w:r>
        <w:rPr>
          <w:rFonts w:hint="eastAsia" w:ascii="仿宋" w:hAnsi="仿宋" w:eastAsia="仿宋" w:cs="仿宋"/>
          <w:b/>
          <w:color w:val="auto"/>
          <w:sz w:val="24"/>
          <w:highlight w:val="none"/>
        </w:rPr>
        <w:t>电子投标文件中所须加盖公章部分均应采用电子签章。</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3"/>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3"/>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pPr>
        <w:pStyle w:val="22"/>
        <w:snapToGrid w:val="0"/>
        <w:spacing w:line="440" w:lineRule="exact"/>
        <w:rPr>
          <w:rFonts w:hint="eastAsia" w:ascii="仿宋" w:hAnsi="仿宋" w:eastAsia="仿宋" w:cs="仿宋"/>
          <w:color w:val="auto"/>
          <w:sz w:val="24"/>
          <w:highlight w:val="none"/>
          <w:lang w:val="zh-CN"/>
        </w:rPr>
      </w:pPr>
      <w:bookmarkStart w:id="1" w:name="_Hlt68073093"/>
      <w:bookmarkEnd w:id="1"/>
      <w:bookmarkStart w:id="2" w:name="_Hlt68072998"/>
      <w:bookmarkEnd w:id="2"/>
      <w:bookmarkStart w:id="3" w:name="_Hlt68403820"/>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2"/>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5.投标文件的规定</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5.1投标文件由“商务技术（资信）文件资料”、“报价文件资料”两部分文件组成，应按统一格式填写。</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5.2投标文件须按附件格式要求进行电子签章，投标人应写全称。</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kern w:val="0"/>
          <w:sz w:val="24"/>
          <w:highlight w:val="none"/>
        </w:rPr>
        <w:t>投标文件的补充和修改</w:t>
      </w:r>
    </w:p>
    <w:p>
      <w:pPr>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3.6评</w:t>
      </w:r>
      <w:r>
        <w:rPr>
          <w:rFonts w:hint="eastAsia" w:ascii="仿宋" w:hAnsi="仿宋" w:eastAsia="仿宋" w:cs="仿宋"/>
          <w:color w:val="auto"/>
          <w:sz w:val="24"/>
          <w:highlight w:val="none"/>
        </w:rPr>
        <w:t>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 《政府采购货物和服务招标投标管理办法》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6.8评标委员会依据招标文件规定的评标标准和方法，对投标文件进行评审和比较后，向本</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8.9报</w:t>
      </w:r>
      <w:r>
        <w:rPr>
          <w:rFonts w:hint="eastAsia" w:ascii="仿宋" w:hAnsi="仿宋" w:eastAsia="仿宋" w:cs="仿宋"/>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8.10</w:t>
      </w:r>
      <w:r>
        <w:rPr>
          <w:rFonts w:hint="eastAsia" w:ascii="仿宋" w:hAnsi="仿宋" w:eastAsia="仿宋" w:cs="仿宋"/>
          <w:b/>
          <w:color w:val="auto"/>
          <w:sz w:val="24"/>
          <w:highlight w:val="none"/>
        </w:rPr>
        <w:t>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8.11出现同一标的物或本次招标产品(服务)内的主要产品(重要组成部分)出现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8.12《技</w:t>
      </w:r>
      <w:r>
        <w:rPr>
          <w:rFonts w:hint="eastAsia" w:ascii="仿宋" w:hAnsi="仿宋" w:eastAsia="仿宋" w:cs="仿宋"/>
          <w:b/>
          <w:color w:val="auto"/>
          <w:sz w:val="24"/>
          <w:highlight w:val="none"/>
        </w:rPr>
        <w:t>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8.13投</w:t>
      </w:r>
      <w:r>
        <w:rPr>
          <w:rFonts w:hint="eastAsia" w:ascii="仿宋" w:hAnsi="仿宋" w:eastAsia="仿宋" w:cs="仿宋"/>
          <w:b/>
          <w:color w:val="auto"/>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8.14评</w:t>
      </w:r>
      <w:r>
        <w:rPr>
          <w:rFonts w:hint="eastAsia" w:ascii="仿宋" w:hAnsi="仿宋" w:eastAsia="仿宋" w:cs="仿宋"/>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8.22.5供应商之间事先约定由某一特定供应商中标、成交；</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8.23</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pacing w:line="440" w:lineRule="exac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2"/>
        <w:spacing w:line="800" w:lineRule="exact"/>
        <w:ind w:firstLine="726"/>
        <w:jc w:val="center"/>
        <w:rPr>
          <w:rFonts w:hint="eastAsia" w:ascii="仿宋" w:hAnsi="仿宋" w:eastAsia="仿宋" w:cs="仿宋"/>
          <w:b/>
          <w:color w:val="auto"/>
          <w:sz w:val="36"/>
          <w:szCs w:val="36"/>
          <w:highlight w:val="none"/>
        </w:rPr>
      </w:pPr>
      <w:bookmarkStart w:id="4" w:name="_Toc84325929"/>
      <w:bookmarkStart w:id="5" w:name="_Toc81372776"/>
      <w:bookmarkStart w:id="6" w:name="_Toc81372953"/>
      <w:r>
        <w:rPr>
          <w:rFonts w:hint="eastAsia" w:ascii="仿宋" w:hAnsi="仿宋" w:eastAsia="仿宋" w:cs="仿宋"/>
          <w:b/>
          <w:color w:val="auto"/>
          <w:sz w:val="36"/>
          <w:szCs w:val="36"/>
          <w:highlight w:val="none"/>
        </w:rPr>
        <w:t>五、授予合同</w:t>
      </w:r>
    </w:p>
    <w:p>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bookmarkEnd w:id="4"/>
    <w:bookmarkEnd w:id="5"/>
    <w:bookmarkEnd w:id="6"/>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3"/>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Style w:val="49"/>
          <w:rFonts w:hint="eastAsia" w:ascii="仿宋" w:hAnsi="仿宋" w:eastAsia="仿宋" w:cs="仿宋"/>
          <w:color w:val="auto"/>
          <w:kern w:val="0"/>
          <w:highlight w:val="none"/>
        </w:rPr>
        <w:t>http://zfcg.czt.zj.gov.cn/</w:t>
      </w:r>
      <w:r>
        <w:rPr>
          <w:rStyle w:val="49"/>
          <w:rFonts w:hint="eastAsia" w:ascii="仿宋" w:hAnsi="仿宋" w:eastAsia="仿宋" w:cs="仿宋"/>
          <w:color w:val="auto"/>
          <w:kern w:val="0"/>
          <w:highlight w:val="none"/>
        </w:rPr>
        <w:fldChar w:fldCharType="end"/>
      </w:r>
      <w:r>
        <w:rPr>
          <w:rFonts w:hint="eastAsia" w:ascii="仿宋" w:hAnsi="仿宋" w:eastAsia="仿宋" w:cs="仿宋"/>
          <w:color w:val="auto"/>
          <w:kern w:val="0"/>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Style w:val="49"/>
          <w:rFonts w:hint="eastAsia" w:ascii="仿宋" w:hAnsi="仿宋" w:eastAsia="仿宋" w:cs="仿宋"/>
          <w:color w:val="auto"/>
          <w:highlight w:val="none"/>
        </w:rPr>
        <w:t>http://ggb.sx.gov.cn</w:t>
      </w:r>
      <w:r>
        <w:rPr>
          <w:rStyle w:val="49"/>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2"/>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69"/>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69"/>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69"/>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69"/>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19"/>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19"/>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19"/>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19"/>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19"/>
        <w:widowControl w:val="0"/>
        <w:tabs>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6"/>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color w:val="auto"/>
          <w:sz w:val="24"/>
          <w:highlight w:val="none"/>
        </w:rPr>
      </w:pPr>
      <w:bookmarkStart w:id="7" w:name="_Toc151354173"/>
      <w:bookmarkStart w:id="8" w:name="_Toc81372964"/>
      <w:bookmarkStart w:id="9" w:name="_Toc80157775"/>
      <w:bookmarkStart w:id="10" w:name="_Toc84325981"/>
      <w:bookmarkStart w:id="11" w:name="_Toc81372787"/>
      <w:r>
        <w:rPr>
          <w:rFonts w:hint="eastAsia" w:ascii="仿宋" w:hAnsi="仿宋" w:eastAsia="仿宋" w:cs="仿宋"/>
          <w:b/>
          <w:color w:val="auto"/>
          <w:sz w:val="24"/>
          <w:highlight w:val="none"/>
        </w:rPr>
        <w:t>8.招标项目设备名称及数量：</w:t>
      </w:r>
    </w:p>
    <w:p>
      <w:pPr>
        <w:spacing w:line="440" w:lineRule="exact"/>
        <w:ind w:right="420"/>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bdr w:val="single" w:color="auto" w:sz="4" w:space="0"/>
        </w:rPr>
        <w:t>01标</w:t>
      </w:r>
      <w:bookmarkStart w:id="12" w:name="_Toc32678"/>
      <w:bookmarkStart w:id="13" w:name="_Toc7206"/>
      <w:r>
        <w:rPr>
          <w:rFonts w:hint="eastAsia" w:ascii="仿宋" w:hAnsi="仿宋" w:eastAsia="仿宋" w:cs="仿宋"/>
          <w:b/>
          <w:bCs/>
          <w:color w:val="auto"/>
          <w:sz w:val="24"/>
          <w:highlight w:val="none"/>
          <w:lang w:eastAsia="zh-CN"/>
        </w:rPr>
        <w:t>绍兴市中医院手术衣鞋智能管理系统项目，</w:t>
      </w:r>
      <w:r>
        <w:rPr>
          <w:rFonts w:hint="eastAsia" w:ascii="仿宋" w:hAnsi="仿宋" w:eastAsia="仿宋" w:cs="仿宋"/>
          <w:b/>
          <w:bCs/>
          <w:color w:val="auto"/>
          <w:highlight w:val="none"/>
        </w:rPr>
        <w:t>总预算</w:t>
      </w:r>
      <w:r>
        <w:rPr>
          <w:rFonts w:hint="eastAsia" w:ascii="仿宋" w:hAnsi="仿宋" w:eastAsia="仿宋" w:cs="仿宋"/>
          <w:b/>
          <w:bCs/>
          <w:color w:val="auto"/>
          <w:highlight w:val="none"/>
          <w:lang w:val="en-US" w:eastAsia="zh-CN"/>
        </w:rPr>
        <w:t>85</w:t>
      </w:r>
      <w:r>
        <w:rPr>
          <w:rFonts w:hint="eastAsia" w:ascii="仿宋" w:hAnsi="仿宋" w:eastAsia="仿宋" w:cs="仿宋"/>
          <w:b/>
          <w:bCs/>
          <w:color w:val="auto"/>
          <w:highlight w:val="none"/>
        </w:rPr>
        <w:t>万</w:t>
      </w:r>
      <w:r>
        <w:rPr>
          <w:rFonts w:hint="eastAsia" w:ascii="仿宋" w:hAnsi="仿宋" w:eastAsia="仿宋" w:cs="仿宋"/>
          <w:b/>
          <w:bCs/>
          <w:color w:val="auto"/>
          <w:sz w:val="24"/>
          <w:highlight w:val="none"/>
          <w:lang w:eastAsia="zh-CN"/>
        </w:rPr>
        <w:t>。</w:t>
      </w:r>
    </w:p>
    <w:bookmarkEnd w:id="7"/>
    <w:bookmarkEnd w:id="12"/>
    <w:bookmarkEnd w:id="13"/>
    <w:p>
      <w:pPr>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一、采购内容一览表</w:t>
      </w:r>
    </w:p>
    <w:tbl>
      <w:tblPr>
        <w:tblStyle w:val="42"/>
        <w:tblW w:w="770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3015"/>
        <w:gridCol w:w="1185"/>
        <w:gridCol w:w="780"/>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序号</w:t>
            </w:r>
          </w:p>
        </w:tc>
        <w:tc>
          <w:tcPr>
            <w:tcW w:w="301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产品名称</w:t>
            </w:r>
          </w:p>
        </w:tc>
        <w:tc>
          <w:tcPr>
            <w:tcW w:w="118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数量</w:t>
            </w:r>
          </w:p>
        </w:tc>
        <w:tc>
          <w:tcPr>
            <w:tcW w:w="780"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单位</w:t>
            </w:r>
          </w:p>
        </w:tc>
        <w:tc>
          <w:tcPr>
            <w:tcW w:w="166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301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智能发衣机</w:t>
            </w:r>
          </w:p>
        </w:tc>
        <w:tc>
          <w:tcPr>
            <w:tcW w:w="118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780"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301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智能衣服回收机</w:t>
            </w:r>
          </w:p>
        </w:tc>
        <w:tc>
          <w:tcPr>
            <w:tcW w:w="118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780"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w:t>
            </w:r>
          </w:p>
        </w:tc>
        <w:tc>
          <w:tcPr>
            <w:tcW w:w="301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智能更衣柜控制柜（主柜）</w:t>
            </w:r>
          </w:p>
        </w:tc>
        <w:tc>
          <w:tcPr>
            <w:tcW w:w="118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w:t>
            </w:r>
          </w:p>
        </w:tc>
        <w:tc>
          <w:tcPr>
            <w:tcW w:w="780"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w:t>
            </w:r>
          </w:p>
        </w:tc>
        <w:tc>
          <w:tcPr>
            <w:tcW w:w="301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智能衣柜（辅柜）（二列单层）</w:t>
            </w:r>
          </w:p>
        </w:tc>
        <w:tc>
          <w:tcPr>
            <w:tcW w:w="118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26</w:t>
            </w:r>
          </w:p>
        </w:tc>
        <w:tc>
          <w:tcPr>
            <w:tcW w:w="780"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52门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w:t>
            </w:r>
          </w:p>
        </w:tc>
        <w:tc>
          <w:tcPr>
            <w:tcW w:w="301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智能衣柜（辅柜）（二列双层）</w:t>
            </w:r>
          </w:p>
        </w:tc>
        <w:tc>
          <w:tcPr>
            <w:tcW w:w="118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29</w:t>
            </w:r>
          </w:p>
        </w:tc>
        <w:tc>
          <w:tcPr>
            <w:tcW w:w="780"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116门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6</w:t>
            </w:r>
          </w:p>
        </w:tc>
        <w:tc>
          <w:tcPr>
            <w:tcW w:w="301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智能衣柜（辅柜）（二列三层）</w:t>
            </w:r>
          </w:p>
        </w:tc>
        <w:tc>
          <w:tcPr>
            <w:tcW w:w="118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p>
        </w:tc>
        <w:tc>
          <w:tcPr>
            <w:tcW w:w="780"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78门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7</w:t>
            </w:r>
          </w:p>
        </w:tc>
        <w:tc>
          <w:tcPr>
            <w:tcW w:w="301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智能发鞋机</w:t>
            </w:r>
          </w:p>
        </w:tc>
        <w:tc>
          <w:tcPr>
            <w:tcW w:w="118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780"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8</w:t>
            </w:r>
          </w:p>
        </w:tc>
        <w:tc>
          <w:tcPr>
            <w:tcW w:w="301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智能拖鞋回收机</w:t>
            </w:r>
          </w:p>
        </w:tc>
        <w:tc>
          <w:tcPr>
            <w:tcW w:w="118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780"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9</w:t>
            </w:r>
          </w:p>
        </w:tc>
        <w:tc>
          <w:tcPr>
            <w:tcW w:w="301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智能鞋柜控制柜（主柜）</w:t>
            </w:r>
          </w:p>
        </w:tc>
        <w:tc>
          <w:tcPr>
            <w:tcW w:w="118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780"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w:t>
            </w:r>
          </w:p>
        </w:tc>
        <w:tc>
          <w:tcPr>
            <w:tcW w:w="301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智能鞋柜（辅柜）（二列六层）</w:t>
            </w:r>
          </w:p>
        </w:tc>
        <w:tc>
          <w:tcPr>
            <w:tcW w:w="118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780"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24门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11</w:t>
            </w:r>
          </w:p>
        </w:tc>
        <w:tc>
          <w:tcPr>
            <w:tcW w:w="301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智能鞋柜（辅柜）（二列十二层）</w:t>
            </w:r>
          </w:p>
        </w:tc>
        <w:tc>
          <w:tcPr>
            <w:tcW w:w="118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w:t>
            </w:r>
          </w:p>
        </w:tc>
        <w:tc>
          <w:tcPr>
            <w:tcW w:w="780"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240门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tcBorders>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12</w:t>
            </w:r>
          </w:p>
        </w:tc>
        <w:tc>
          <w:tcPr>
            <w:tcW w:w="3015" w:type="dxa"/>
            <w:tcBorders>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矮凳柜</w:t>
            </w:r>
          </w:p>
        </w:tc>
        <w:tc>
          <w:tcPr>
            <w:tcW w:w="1185" w:type="dxa"/>
            <w:tcBorders>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780" w:type="dxa"/>
            <w:tcBorders>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tcBorders>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p>
        </w:tc>
        <w:tc>
          <w:tcPr>
            <w:tcW w:w="301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口罩帽柜</w:t>
            </w:r>
          </w:p>
        </w:tc>
        <w:tc>
          <w:tcPr>
            <w:tcW w:w="11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78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14</w:t>
            </w:r>
          </w:p>
        </w:tc>
        <w:tc>
          <w:tcPr>
            <w:tcW w:w="301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白大衣柜</w:t>
            </w:r>
          </w:p>
        </w:tc>
        <w:tc>
          <w:tcPr>
            <w:tcW w:w="11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w:t>
            </w:r>
          </w:p>
        </w:tc>
        <w:tc>
          <w:tcPr>
            <w:tcW w:w="78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15</w:t>
            </w:r>
          </w:p>
        </w:tc>
        <w:tc>
          <w:tcPr>
            <w:tcW w:w="301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储存柜</w:t>
            </w:r>
          </w:p>
        </w:tc>
        <w:tc>
          <w:tcPr>
            <w:tcW w:w="11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78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16</w:t>
            </w:r>
          </w:p>
        </w:tc>
        <w:tc>
          <w:tcPr>
            <w:tcW w:w="301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管理端</w:t>
            </w:r>
          </w:p>
        </w:tc>
        <w:tc>
          <w:tcPr>
            <w:tcW w:w="11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78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default" w:ascii="仿宋" w:hAnsi="仿宋" w:eastAsia="仿宋" w:cs="仿宋"/>
                <w:bCs/>
                <w:color w:val="auto"/>
                <w:szCs w:val="21"/>
                <w:highlight w:val="none"/>
              </w:rPr>
              <w:t>17</w:t>
            </w:r>
          </w:p>
        </w:tc>
        <w:tc>
          <w:tcPr>
            <w:tcW w:w="301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RFID标签</w:t>
            </w:r>
          </w:p>
        </w:tc>
        <w:tc>
          <w:tcPr>
            <w:tcW w:w="11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3000</w:t>
            </w:r>
          </w:p>
        </w:tc>
        <w:tc>
          <w:tcPr>
            <w:tcW w:w="78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个</w:t>
            </w:r>
          </w:p>
        </w:tc>
        <w:tc>
          <w:tcPr>
            <w:tcW w:w="166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tcBorders>
              <w:top w:val="single" w:color="auto" w:sz="4" w:space="0"/>
              <w:left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default" w:ascii="仿宋" w:hAnsi="仿宋" w:eastAsia="仿宋" w:cs="仿宋"/>
                <w:bCs/>
                <w:color w:val="auto"/>
                <w:szCs w:val="21"/>
                <w:highlight w:val="none"/>
              </w:rPr>
              <w:t>18</w:t>
            </w:r>
          </w:p>
        </w:tc>
        <w:tc>
          <w:tcPr>
            <w:tcW w:w="3015" w:type="dxa"/>
            <w:tcBorders>
              <w:top w:val="single" w:color="auto" w:sz="4" w:space="0"/>
              <w:left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雨伞架</w:t>
            </w:r>
          </w:p>
        </w:tc>
        <w:tc>
          <w:tcPr>
            <w:tcW w:w="1185" w:type="dxa"/>
            <w:tcBorders>
              <w:top w:val="single" w:color="auto" w:sz="4" w:space="0"/>
              <w:left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780" w:type="dxa"/>
            <w:tcBorders>
              <w:top w:val="single" w:color="auto" w:sz="4" w:space="0"/>
              <w:left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tcBorders>
              <w:top w:val="single" w:color="auto" w:sz="4" w:space="0"/>
              <w:left w:val="single" w:color="auto" w:sz="4" w:space="0"/>
              <w:right w:val="single" w:color="auto" w:sz="4" w:space="0"/>
            </w:tcBorders>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6" w:type="dxa"/>
            <w:noWrap/>
            <w:vAlign w:val="center"/>
          </w:tcPr>
          <w:p>
            <w:pPr>
              <w:jc w:val="center"/>
              <w:rPr>
                <w:rFonts w:hint="eastAsia" w:ascii="仿宋" w:hAnsi="仿宋" w:eastAsia="仿宋" w:cs="仿宋"/>
                <w:bCs/>
                <w:color w:val="auto"/>
                <w:szCs w:val="21"/>
                <w:highlight w:val="none"/>
              </w:rPr>
            </w:pPr>
            <w:r>
              <w:rPr>
                <w:rFonts w:hint="default" w:ascii="仿宋" w:hAnsi="仿宋" w:eastAsia="仿宋" w:cs="仿宋"/>
                <w:bCs/>
                <w:color w:val="auto"/>
                <w:szCs w:val="21"/>
                <w:highlight w:val="none"/>
              </w:rPr>
              <w:t>19</w:t>
            </w:r>
          </w:p>
        </w:tc>
        <w:tc>
          <w:tcPr>
            <w:tcW w:w="301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RFID行为报警仪</w:t>
            </w:r>
          </w:p>
        </w:tc>
        <w:tc>
          <w:tcPr>
            <w:tcW w:w="1185"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w:t>
            </w:r>
          </w:p>
        </w:tc>
        <w:tc>
          <w:tcPr>
            <w:tcW w:w="780" w:type="dxa"/>
            <w:noWrap/>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c>
          <w:tcPr>
            <w:tcW w:w="1665" w:type="dxa"/>
            <w:noWrap/>
            <w:vAlign w:val="center"/>
          </w:tcPr>
          <w:p>
            <w:pPr>
              <w:numPr>
                <w:ins w:id="0" w:author="王宁" w:date="2022-12-05T16:04:27Z"/>
              </w:numPr>
              <w:jc w:val="center"/>
              <w:rPr>
                <w:rFonts w:hint="eastAsia"/>
                <w:color w:val="auto"/>
                <w:highlight w:val="none"/>
              </w:rPr>
            </w:pPr>
            <w:r>
              <w:rPr>
                <w:rFonts w:hint="eastAsia" w:ascii="仿宋" w:hAnsi="仿宋" w:eastAsia="仿宋" w:cs="仿宋"/>
                <w:bCs/>
                <w:color w:val="auto"/>
                <w:szCs w:val="21"/>
                <w:highlight w:val="none"/>
              </w:rPr>
              <w:t>/</w:t>
            </w:r>
          </w:p>
        </w:tc>
      </w:tr>
    </w:tbl>
    <w:p>
      <w:pPr>
        <w:ind w:firstLine="422" w:firstLineChars="200"/>
        <w:rPr>
          <w:rFonts w:hint="default" w:ascii="仿宋" w:hAnsi="仿宋" w:eastAsia="仿宋" w:cs="仿宋"/>
          <w:b/>
          <w:bCs/>
          <w:color w:val="auto"/>
          <w:szCs w:val="21"/>
          <w:highlight w:val="none"/>
        </w:rPr>
      </w:pPr>
      <w:r>
        <w:rPr>
          <w:rFonts w:hint="default" w:ascii="仿宋" w:hAnsi="仿宋" w:eastAsia="仿宋" w:cs="仿宋"/>
          <w:b/>
          <w:bCs/>
          <w:color w:val="auto"/>
          <w:szCs w:val="21"/>
          <w:highlight w:val="none"/>
        </w:rPr>
        <w:t>中标方提供医院所需的查询和信息展示</w:t>
      </w:r>
    </w:p>
    <w:p>
      <w:pPr>
        <w:ind w:firstLine="42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Cs w:val="21"/>
          <w:highlight w:val="none"/>
        </w:rPr>
        <w:t>二、详细功能参数</w:t>
      </w:r>
    </w:p>
    <w:p>
      <w:pPr>
        <w:shd w:val="clear" w:color="auto" w:fill="FFFFFF"/>
        <w:adjustRightInd w:val="0"/>
        <w:snapToGrid w:val="0"/>
        <w:spacing w:line="360" w:lineRule="auto"/>
        <w:outlineLvl w:val="1"/>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2.1系统软件功能要求</w:t>
      </w:r>
    </w:p>
    <w:tbl>
      <w:tblPr>
        <w:tblStyle w:val="42"/>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346"/>
        <w:gridCol w:w="6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系统</w:t>
            </w:r>
          </w:p>
        </w:tc>
        <w:tc>
          <w:tcPr>
            <w:tcW w:w="1346"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功能</w:t>
            </w:r>
          </w:p>
        </w:tc>
        <w:tc>
          <w:tcPr>
            <w:tcW w:w="6422"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5" w:type="dxa"/>
            <w:vMerge w:val="restart"/>
            <w:tcBorders>
              <w:top w:val="single" w:color="auto" w:sz="4" w:space="0"/>
              <w:left w:val="single" w:color="auto" w:sz="4" w:space="0"/>
              <w:right w:val="single" w:color="auto" w:sz="4" w:space="0"/>
            </w:tcBorders>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管理系统</w:t>
            </w:r>
          </w:p>
        </w:tc>
        <w:tc>
          <w:tcPr>
            <w:tcW w:w="1346"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标签与设备管理</w:t>
            </w:r>
          </w:p>
        </w:tc>
        <w:tc>
          <w:tcPr>
            <w:tcW w:w="6422"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手术室更衣系统综合管理系统中手术衣及人员工作卡等不同类别的标签，能注册分组管理标签，并变更标签的类别及状态信息。实现对IC卡的初始化及登记管理；同时可以实现对衣服与IC卡、衣服与衣柜、IC卡与衣柜之间的分配管理。更换新的洗手衣裤时开始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5" w:type="dxa"/>
            <w:vMerge w:val="continue"/>
            <w:tcBorders>
              <w:left w:val="single" w:color="auto" w:sz="4" w:space="0"/>
              <w:right w:val="single" w:color="auto" w:sz="4" w:space="0"/>
            </w:tcBorders>
            <w:noWrap w:val="0"/>
            <w:vAlign w:val="center"/>
          </w:tcPr>
          <w:p>
            <w:pPr>
              <w:rPr>
                <w:rFonts w:hint="eastAsia" w:ascii="仿宋" w:hAnsi="仿宋" w:eastAsia="仿宋" w:cs="仿宋"/>
                <w:bCs/>
                <w:color w:val="auto"/>
                <w:szCs w:val="21"/>
                <w:highlight w:val="none"/>
              </w:rPr>
            </w:pPr>
          </w:p>
        </w:tc>
        <w:tc>
          <w:tcPr>
            <w:tcW w:w="1346" w:type="dxa"/>
            <w:tcBorders>
              <w:left w:val="single" w:color="auto" w:sz="4" w:space="0"/>
            </w:tcBorders>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用户信息及权限管理</w:t>
            </w:r>
          </w:p>
        </w:tc>
        <w:tc>
          <w:tcPr>
            <w:tcW w:w="642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系统和医院信息系统进行无缝对接，自动同步医护人员的信息，并指定用户分配角色以获得相应的系统访问权限。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5" w:type="dxa"/>
            <w:vMerge w:val="continue"/>
            <w:tcBorders>
              <w:left w:val="single" w:color="auto" w:sz="4" w:space="0"/>
              <w:right w:val="single" w:color="auto" w:sz="4" w:space="0"/>
            </w:tcBorders>
            <w:noWrap w:val="0"/>
            <w:vAlign w:val="center"/>
          </w:tcPr>
          <w:p>
            <w:pPr>
              <w:rPr>
                <w:rFonts w:hint="eastAsia" w:ascii="仿宋" w:hAnsi="仿宋" w:eastAsia="仿宋" w:cs="仿宋"/>
                <w:bCs/>
                <w:color w:val="auto"/>
                <w:szCs w:val="21"/>
                <w:highlight w:val="none"/>
              </w:rPr>
            </w:pPr>
          </w:p>
        </w:tc>
        <w:tc>
          <w:tcPr>
            <w:tcW w:w="1346" w:type="dxa"/>
            <w:tcBorders>
              <w:left w:val="single" w:color="auto" w:sz="4" w:space="0"/>
            </w:tcBorders>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流程控制管理</w:t>
            </w:r>
          </w:p>
        </w:tc>
        <w:tc>
          <w:tcPr>
            <w:tcW w:w="642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手术室更衣系统能根据医院手术室实际管理流程设定手术室出入、取鞋、换鞋、取衣、换衣等流程，能够借助门禁、自动发衣机、自动衣鞋柜等自动化设备，自动通过设备屏幕进行视窗提示或语音提示违反相关流程的医护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5" w:type="dxa"/>
            <w:vMerge w:val="continue"/>
            <w:tcBorders>
              <w:left w:val="single" w:color="auto" w:sz="4" w:space="0"/>
              <w:right w:val="single" w:color="auto" w:sz="4" w:space="0"/>
            </w:tcBorders>
            <w:noWrap w:val="0"/>
            <w:vAlign w:val="center"/>
          </w:tcPr>
          <w:p>
            <w:pPr>
              <w:rPr>
                <w:rFonts w:hint="eastAsia" w:ascii="仿宋" w:hAnsi="仿宋" w:eastAsia="仿宋" w:cs="仿宋"/>
                <w:bCs/>
                <w:color w:val="auto"/>
                <w:szCs w:val="21"/>
                <w:highlight w:val="none"/>
              </w:rPr>
            </w:pPr>
          </w:p>
        </w:tc>
        <w:tc>
          <w:tcPr>
            <w:tcW w:w="1346" w:type="dxa"/>
            <w:tcBorders>
              <w:left w:val="single" w:color="auto" w:sz="4" w:space="0"/>
            </w:tcBorders>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统计查询</w:t>
            </w:r>
          </w:p>
        </w:tc>
        <w:tc>
          <w:tcPr>
            <w:tcW w:w="642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柜子状态查询及远程开柜：管理员可以在管理端上直接查看各柜子使用情况，可以远程打开柜子。方便管理员对意外情况的处理。</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更衣柜信息统计：统计更衣柜的各类尺码的衣服的数量。</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还衣统计：将污衣置入回收桶，回收桶即时扫描标签，将对应的标签衣服设置为已归还，并记录操作数据。</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开柜记录统计：所有刷卡或标签开柜的记录将被记录，可以查询更衣柜的开柜时间、开柜标签号、开柜卡号、关柜时间。</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异常数据统计：用以查询禁用的柜、标签数据不对等意外情况。</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基于无线射频技术，自动记录衣服的领用、归还等重要的节点相关信息，支持手术室管理人员随时统计并查询一个完整流程中各个环节、各个控制点的信息数据，如手术衣使用数据，污衣回收数据等。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5" w:type="dxa"/>
            <w:vMerge w:val="continue"/>
            <w:tcBorders>
              <w:left w:val="single" w:color="auto" w:sz="4" w:space="0"/>
              <w:right w:val="single" w:color="auto" w:sz="4" w:space="0"/>
            </w:tcBorders>
            <w:noWrap w:val="0"/>
            <w:vAlign w:val="center"/>
          </w:tcPr>
          <w:p>
            <w:pPr>
              <w:rPr>
                <w:rFonts w:hint="eastAsia" w:ascii="仿宋" w:hAnsi="仿宋" w:eastAsia="仿宋" w:cs="仿宋"/>
                <w:bCs/>
                <w:color w:val="auto"/>
                <w:szCs w:val="21"/>
                <w:highlight w:val="none"/>
              </w:rPr>
            </w:pPr>
          </w:p>
        </w:tc>
        <w:tc>
          <w:tcPr>
            <w:tcW w:w="1346" w:type="dxa"/>
            <w:tcBorders>
              <w:left w:val="single" w:color="auto" w:sz="4" w:space="0"/>
            </w:tcBorders>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自动换鞋柜控制</w:t>
            </w:r>
          </w:p>
        </w:tc>
        <w:tc>
          <w:tcPr>
            <w:tcW w:w="642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鞋柜分配使用：使用者刷工作卡，系统自动分配空闲鞋柜并打开。为防止在高峰时间人群拥挤，分配鞋柜采用随机分配的原则。打开鞋柜时，语音提示鞋柜位置。</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鞋柜回收：使用者第二次刷卡时，系统将回收鞋柜，为防止使用者此时进行错误的存鞋操作，系统需要用户点击确认按钮打开鞋柜，并语音提示。</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支持IC临时用户功能：通过管理端可以将标签设定为标签IC卡用户，使用者通过刷IC卡就可以分配鞋柜。</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自助开柜功能：鞋柜使用者可以刷卡查询历史使用记录，系统允许/禁止使用者根据历史记录打开曾经使用的鞋柜。用于找回遗忘物品。</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鞋柜绑定：可给使用者绑定指定的鞋柜。绑定后，该鞋柜只供绑定者使用。</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鞋柜后台管理：鞋柜测试、柜子禁用/启用，记录查询、状态查询、绑定管理等。</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逾期自动回收：系统配置有逾期时间、逾期的鞋柜将自动回收。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5" w:type="dxa"/>
            <w:vMerge w:val="continue"/>
            <w:tcBorders>
              <w:left w:val="single" w:color="auto" w:sz="4" w:space="0"/>
              <w:right w:val="single" w:color="auto" w:sz="4" w:space="0"/>
            </w:tcBorders>
            <w:noWrap w:val="0"/>
            <w:vAlign w:val="center"/>
          </w:tcPr>
          <w:p>
            <w:pPr>
              <w:rPr>
                <w:rFonts w:hint="eastAsia" w:ascii="仿宋" w:hAnsi="仿宋" w:eastAsia="仿宋" w:cs="仿宋"/>
                <w:bCs/>
                <w:color w:val="auto"/>
                <w:szCs w:val="21"/>
                <w:highlight w:val="none"/>
              </w:rPr>
            </w:pPr>
          </w:p>
        </w:tc>
        <w:tc>
          <w:tcPr>
            <w:tcW w:w="1346" w:type="dxa"/>
            <w:tcBorders>
              <w:left w:val="single" w:color="auto" w:sz="4" w:space="0"/>
            </w:tcBorders>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自动更衣柜控制</w:t>
            </w:r>
          </w:p>
        </w:tc>
        <w:tc>
          <w:tcPr>
            <w:tcW w:w="642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临时柜分配使用：使用者刷工作卡，系统自动分配空闲的存有和使用者默认尺码一致的干净洗手衣的更衣柜。为防止在高峰时间人群拥挤，分配更衣柜采用随机分配的原则。</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更衣柜回收：更衣柜可以任意打开，洗手衣被回收或使用逾期后，更衣柜将被回收。</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存干净洗手衣：管理员输入密码后，可以扫描标签，并打开空的更衣柜存入干净的洗手衣，供用户使用。</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支持标签临时用户功能：通过管理端可以将标签设定为标签支持IC临时用户功能：通过管理端可以将标签设定为标签IC卡用户，使用者通过刷IC卡就可以分配更衣柜柜。</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自助查询功能：更衣柜使用者可以刷卡查询历史使用记录</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更衣柜绑定：可给使用者绑定指定的更衣柜。绑定后，该柜只供绑定者使用。</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逾期自动回收：系统配置有逾期时间、逾期的更衣柜将自动回收</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开柜记录存档：所有刷卡或标签开柜的记录将被记录，可以查询更衣柜的开柜时间、开柜标签号、开柜卡号、关柜时间。</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权限设置：分为多级权限配置、低级权限可以打开管理后台，但为了安全不能打开已有使用者的柜子（供存衣服人员使用），高级权限才能进行所有后台开柜操作。</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更衣柜后台管理：更衣柜测试、柜子禁用/启用，记录查询、状态查询、绑定管理等。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5" w:type="dxa"/>
            <w:vMerge w:val="continue"/>
            <w:tcBorders>
              <w:left w:val="single" w:color="auto" w:sz="4" w:space="0"/>
              <w:right w:val="single" w:color="auto" w:sz="4" w:space="0"/>
            </w:tcBorders>
            <w:noWrap w:val="0"/>
            <w:vAlign w:val="center"/>
          </w:tcPr>
          <w:p>
            <w:pPr>
              <w:rPr>
                <w:rFonts w:hint="eastAsia" w:ascii="仿宋" w:hAnsi="仿宋" w:eastAsia="仿宋" w:cs="仿宋"/>
                <w:bCs/>
                <w:color w:val="auto"/>
                <w:szCs w:val="21"/>
                <w:highlight w:val="none"/>
              </w:rPr>
            </w:pPr>
          </w:p>
        </w:tc>
        <w:tc>
          <w:tcPr>
            <w:tcW w:w="1346" w:type="dxa"/>
            <w:tcBorders>
              <w:left w:val="single" w:color="auto" w:sz="4" w:space="0"/>
            </w:tcBorders>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其他</w:t>
            </w:r>
          </w:p>
        </w:tc>
        <w:tc>
          <w:tcPr>
            <w:tcW w:w="642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软件接口开发、管理软件升级,如配合甲方提供相应的接口，开放数据库，及说明文档等。</w:t>
            </w:r>
          </w:p>
        </w:tc>
      </w:tr>
    </w:tbl>
    <w:p>
      <w:pPr>
        <w:rPr>
          <w:rFonts w:hint="eastAsia" w:ascii="仿宋" w:hAnsi="仿宋" w:eastAsia="仿宋" w:cs="仿宋"/>
          <w:b/>
          <w:color w:val="auto"/>
          <w:szCs w:val="21"/>
          <w:highlight w:val="none"/>
        </w:rPr>
      </w:pPr>
    </w:p>
    <w:p>
      <w:pP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2.2硬件技术要求</w:t>
      </w:r>
    </w:p>
    <w:tbl>
      <w:tblPr>
        <w:tblStyle w:val="42"/>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505"/>
        <w:gridCol w:w="5682"/>
        <w:gridCol w:w="680"/>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序号</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产品名称</w:t>
            </w:r>
          </w:p>
        </w:tc>
        <w:tc>
          <w:tcPr>
            <w:tcW w:w="568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主要技术参数</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数量</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智能发衣机</w:t>
            </w:r>
          </w:p>
        </w:tc>
        <w:tc>
          <w:tcPr>
            <w:tcW w:w="568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1、为起到更好的显示及视觉效果，显示模块采用15寸以上液晶显示及触摸屏。</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2、操作性能：应用操作响应时间</w:t>
            </w:r>
            <w:r>
              <w:rPr>
                <w:rFonts w:hint="eastAsia" w:ascii="仿宋" w:hAnsi="仿宋" w:eastAsia="仿宋" w:cs="仿宋"/>
                <w:color w:val="auto"/>
                <w:szCs w:val="21"/>
                <w:highlight w:val="none"/>
              </w:rPr>
              <w:t>≤</w:t>
            </w:r>
            <w:r>
              <w:rPr>
                <w:rFonts w:hint="eastAsia" w:ascii="仿宋" w:hAnsi="仿宋" w:eastAsia="仿宋" w:cs="仿宋"/>
                <w:bCs/>
                <w:color w:val="auto"/>
                <w:szCs w:val="21"/>
                <w:highlight w:val="none"/>
              </w:rPr>
              <w:t>400ms；</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3、读卡模块：支持IC等多介质卡（可根据医院一卡通类型定制）或指纹扫描模块等多介体取衣方式；</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 xml:space="preserve">4、控制模块：自动分配相应型号服装给用户；可同时领取整套手术服；可控制用户领取衣服的数量； </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5、衣物存贮：≥110套/台（可按尺码分组）；手工加衣，简单折叠就能存衣，单件衣服不需外包装，无需卷成圆筒状或者挤压打包。为了提高取衣效率，防止高峰期取衣拥挤，一台发衣机需要有两个取衣口，考虑到空间利用可在设计时分开使用（须提供相关截图证明，否则该条款视为不满足）。</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6、发衣速度：≤5S，具有缺衣提醒功能；可显示相关衣服存取信息，方便管理员查看；可设置特殊权限；（投标时提供相关的视频和图片证明文件，否则该条款视为不满足）</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7、柜体：柜体尺寸（高*宽*深）</w:t>
            </w:r>
            <w:r>
              <w:rPr>
                <w:rFonts w:hint="eastAsia" w:ascii="仿宋" w:hAnsi="仿宋" w:eastAsia="仿宋" w:cs="仿宋"/>
                <w:color w:val="auto"/>
                <w:kern w:val="0"/>
                <w:sz w:val="22"/>
                <w:highlight w:val="none"/>
              </w:rPr>
              <w:t>2030</w:t>
            </w:r>
            <w:r>
              <w:rPr>
                <w:rFonts w:hint="eastAsia" w:ascii="仿宋" w:hAnsi="仿宋" w:eastAsia="仿宋" w:cs="仿宋"/>
                <w:color w:val="auto"/>
                <w:szCs w:val="21"/>
                <w:highlight w:val="none"/>
              </w:rPr>
              <w:t>高*2020宽*550</w:t>
            </w:r>
            <w:r>
              <w:rPr>
                <w:rFonts w:hint="eastAsia" w:ascii="仿宋" w:hAnsi="仿宋" w:eastAsia="仿宋" w:cs="仿宋"/>
                <w:bCs/>
                <w:color w:val="auto"/>
                <w:szCs w:val="21"/>
                <w:highlight w:val="none"/>
              </w:rPr>
              <w:t xml:space="preserve">±100mm。  </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8、功能：支持自动选择大、中、小号手术衣类型自动发放手术衣，在自助取衣机上刷IC等卡或指纹扫描领取模块等多介体取衣方式对应人尺码的手术衣，并自动绑定IC等卡或者指纹进行信息关联登记。有良好的人机操作界面, 可对于手术衣按大、中、小号类别进行综合的管理。手术衣自助取放机库存提醒功能：当各尺码衣服库存数量低于设定值时，在管理系统中要弹出提醒信息框，提醒工作人员及时添加衣物的类别及数量。</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9、工作原理：采用成熟RFID应用技术，衣服与库位进行绑定管理，医务人员取衣时和衣物有绑定关系。发衣机械机构采用翻板结构，刷卡后翻开一层挡板即可掉落衣服，既方便速度又快；（发衣机机械结构提供相关截图或视频证明）</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w:t>
            </w:r>
            <w:r>
              <w:rPr>
                <w:rFonts w:hint="eastAsia" w:ascii="仿宋" w:hAnsi="仿宋" w:eastAsia="仿宋" w:cs="仿宋"/>
                <w:color w:val="auto"/>
                <w:highlight w:val="none"/>
              </w:rPr>
              <w:t>离线与流程自动修复：系统具备在断网状态下工作的能力，脱机完成衣服发放并记录，联网后系统自动与数据库对接完成异常数据的修复。</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智能衣服回收机</w:t>
            </w:r>
          </w:p>
        </w:tc>
        <w:tc>
          <w:tcPr>
            <w:tcW w:w="568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1、为起到更好的显示及视觉效果，显示模块采用15寸以上液晶显示及触摸屏。</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2、传感单元：回收通道感应功能、红外感应功能、衣满提示功能</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3、操作性能：应用操作响应时间</w:t>
            </w:r>
            <w:r>
              <w:rPr>
                <w:rFonts w:hint="eastAsia" w:ascii="仿宋" w:hAnsi="仿宋" w:eastAsia="仿宋" w:cs="仿宋"/>
                <w:color w:val="auto"/>
                <w:szCs w:val="21"/>
                <w:highlight w:val="none"/>
              </w:rPr>
              <w:t>≤</w:t>
            </w:r>
            <w:r>
              <w:rPr>
                <w:rFonts w:hint="eastAsia" w:ascii="仿宋" w:hAnsi="仿宋" w:eastAsia="仿宋" w:cs="仿宋"/>
                <w:bCs/>
                <w:color w:val="auto"/>
                <w:szCs w:val="21"/>
                <w:highlight w:val="none"/>
              </w:rPr>
              <w:t>500ms；</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4、接口要求：RJ45、DC OUT、AC OUT等</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5、柜体：柜体尺寸（高*宽*深）1650*1000*650±100mm</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6、功能：自动回收使用过的手术衣。产品采用工业级设计，能够适应低温、恶劣的工作环境。医务人员术后更衣将手术衣物投入回收机时，回收机自动记录衣物的归还信息，并将信息回传至管理系统。手术衣自动回收机超量提醒功能：超过设定值时，在管理系统中要弹出提醒信息框，提醒工作人员及时清理对应回收机内的污衣。</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7、工作原理：利用RFID芯片识别技术，衣服归还时通过超高频RFID扫描归还衣服（植入RFID芯片），马上判断出医务人员归还信息，有可视界面展现归还情况，无需刷卡无需红外技术即可实现衣物的归还流程；</w:t>
            </w:r>
          </w:p>
          <w:p>
            <w:pPr>
              <w:rPr>
                <w:rFonts w:hint="eastAsia" w:ascii="仿宋" w:hAnsi="仿宋" w:eastAsia="仿宋" w:cs="仿宋"/>
                <w:bCs/>
                <w:color w:val="auto"/>
                <w:szCs w:val="21"/>
                <w:highlight w:val="none"/>
              </w:rPr>
            </w:pPr>
            <w:r>
              <w:rPr>
                <w:rFonts w:hint="eastAsia" w:ascii="仿宋" w:hAnsi="仿宋" w:eastAsia="仿宋" w:cs="仿宋"/>
                <w:color w:val="auto"/>
                <w:highlight w:val="none"/>
              </w:rPr>
              <w:t>8、离线与流程自动修复：系统具备在断网状态下工作的能力，脱机完成衣服发放并记录，联网后系统自动与数据库对接完成异常数据的修复。</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智能更衣柜控制柜（主柜）</w:t>
            </w:r>
          </w:p>
        </w:tc>
        <w:tc>
          <w:tcPr>
            <w:tcW w:w="568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1、为起到更好的显示及视觉效果，显示模块采用15寸以上液晶显示及触摸屏。</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2、传感单元：缺衣提醒功能</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3、读卡模块：支持IC等多介质卡（可根据医院一卡通类型定制）、支持指纹方式模块等多介体取衣方式；</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4、控制</w:t>
            </w:r>
            <w:r>
              <w:rPr>
                <w:rFonts w:hint="eastAsia" w:ascii="仿宋" w:hAnsi="仿宋" w:eastAsia="仿宋" w:cs="仿宋"/>
                <w:bCs/>
                <w:color w:val="auto"/>
                <w:szCs w:val="21"/>
                <w:highlight w:val="none"/>
                <w:lang w:val="en-US" w:eastAsia="zh-CN"/>
              </w:rPr>
              <w:t>单元</w:t>
            </w:r>
            <w:r>
              <w:rPr>
                <w:rFonts w:hint="eastAsia" w:ascii="仿宋" w:hAnsi="仿宋" w:eastAsia="仿宋" w:cs="仿宋"/>
                <w:bCs/>
                <w:color w:val="auto"/>
                <w:szCs w:val="21"/>
                <w:highlight w:val="none"/>
              </w:rPr>
              <w:t>：采用4核CPU、4G内存、128G硬盘或以上</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5、供电单元：AC220V，500W以上供电模块，防浪涌及雷击功能</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6、操作性能：应用操作响应时间</w:t>
            </w:r>
            <w:r>
              <w:rPr>
                <w:rFonts w:hint="eastAsia" w:ascii="仿宋" w:hAnsi="仿宋" w:eastAsia="仿宋" w:cs="仿宋"/>
                <w:color w:val="auto"/>
                <w:szCs w:val="21"/>
                <w:highlight w:val="none"/>
              </w:rPr>
              <w:t>≤</w:t>
            </w:r>
            <w:r>
              <w:rPr>
                <w:rFonts w:hint="eastAsia" w:ascii="仿宋" w:hAnsi="仿宋" w:eastAsia="仿宋" w:cs="仿宋"/>
                <w:bCs/>
                <w:color w:val="auto"/>
                <w:szCs w:val="21"/>
                <w:highlight w:val="none"/>
              </w:rPr>
              <w:t>400ms；</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7、接口：RJ45、DC OUT、AC OUT；可并轨接口，可扩容</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8、电控锁：360度防撬、防软片插入，安全可靠，寿命达30万次以上</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9、功能：自动将所检测验证到的医护人员相关信息，根据持卡人的身份权限就近开启智能衣柜的柜门或进行相应的提示，并自动记录柜门开启时间。可对更衣柜进行清箱操作。</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10、柜体尺寸（高*宽*深） 2080*300*450±100mm</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11、离线与流程自动修复：系统具备在断网状态下工作的能力，脱机完成衣服发放并记录，联网后系统自动与数据库对接完成异常数据的修复。</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智能衣柜（辅柜）（二列单层）</w:t>
            </w:r>
          </w:p>
        </w:tc>
        <w:tc>
          <w:tcPr>
            <w:tcW w:w="568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1、更衣柜要求：单箱规格（高*宽*深）：（1900-1950）*（290-310）*（440-460）；单位：mm；每台设备2个单箱；组合后总高度不超过2100mm。具体尺寸如有特殊调动，可根据现场实际情况定制。接受更衣主柜控制；</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2、柜体尺寸（高*宽*深）：2080*670*450±100mm</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3、每套辅柜都需要配置机械锁，以便管理员能够在断电等特殊情况下采取有效的应急措施，及时开锁，不影响工作。</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26</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智能衣柜（辅柜）（二列双层）</w:t>
            </w:r>
          </w:p>
        </w:tc>
        <w:tc>
          <w:tcPr>
            <w:tcW w:w="568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1、衣柜：单箱规格（高*宽*深）：（930-960）*（290-310）*（440-460）；单位：mm；每台设备4个单箱；组合后总高度不超过2100mm。具体尺寸如有特殊调动，可根据现场实际情况定制。接受更衣主柜控制。</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2、柜体尺寸（高*宽*深）：2080*670*450±100mm</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3、每套辅柜都需要配置机械锁，以便管理员能够在断电等特殊情况下采取有效的应急措施，及时开锁，不影响工作。</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29</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6</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智能衣柜（辅柜）（二列三层）</w:t>
            </w:r>
          </w:p>
        </w:tc>
        <w:tc>
          <w:tcPr>
            <w:tcW w:w="568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1、衣柜：单箱规格（高*宽*深）：（400-500）*（290-310）*（440-460）；单位：mm；每台设备6个单箱；组合后总高度不超过2100mm。具体尺寸如有特殊调动，可根据现场实际情况定制。接受更衣主柜控制。</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2、柜体尺寸（高*宽*深）：2080*670*450±100mm</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3、每套辅柜都需要配置机械锁，以便管理员能够在断电等特殊情况下采取有效的应急措施，及时开锁，不影响工作。</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7</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智能发鞋机</w:t>
            </w:r>
          </w:p>
        </w:tc>
        <w:tc>
          <w:tcPr>
            <w:tcW w:w="568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1、为起到更好的显示及视觉效果，显示模块采用15寸以上液晶显示及触摸屏。</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2、操作性能：应用操作响应时间</w:t>
            </w:r>
            <w:r>
              <w:rPr>
                <w:rFonts w:hint="eastAsia" w:ascii="仿宋" w:hAnsi="仿宋" w:eastAsia="仿宋" w:cs="仿宋"/>
                <w:color w:val="auto"/>
                <w:szCs w:val="21"/>
                <w:highlight w:val="none"/>
              </w:rPr>
              <w:t>≤</w:t>
            </w:r>
            <w:r>
              <w:rPr>
                <w:rFonts w:hint="eastAsia" w:ascii="仿宋" w:hAnsi="仿宋" w:eastAsia="仿宋" w:cs="仿宋"/>
                <w:bCs/>
                <w:color w:val="auto"/>
                <w:szCs w:val="21"/>
                <w:highlight w:val="none"/>
              </w:rPr>
              <w:t>400ms；</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3、读卡模块：支持IC等多介质卡（可根据医院一卡通类型定制）或指纹扫描模块等多介体取鞋方式；</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4、控制模块：自动分配相应型号的拖鞋给用户；可控制用户领取拖鞋的数量；</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5、拖鞋存贮： ≥108双/台（可按尺码分组）；手工加鞋，单双鞋子不需外包装</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6、发鞋速度：≤5S，缺鞋子或鞋子不足时有提醒功能；可显示相关拖鞋存取信息，方便管理员查看（投标时提供相关的视频和图片证明文件，否则该条款视为不满足）；</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7、柜体尺寸（高*宽*深）：2030</w:t>
            </w:r>
            <w:r>
              <w:rPr>
                <w:rFonts w:hint="eastAsia" w:ascii="仿宋" w:hAnsi="仿宋" w:eastAsia="仿宋" w:cs="仿宋"/>
                <w:color w:val="auto"/>
                <w:szCs w:val="21"/>
                <w:highlight w:val="none"/>
              </w:rPr>
              <w:t>高*2640宽*650</w:t>
            </w:r>
            <w:r>
              <w:rPr>
                <w:rFonts w:hint="eastAsia" w:ascii="仿宋" w:hAnsi="仿宋" w:eastAsia="仿宋" w:cs="仿宋"/>
                <w:bCs/>
                <w:color w:val="auto"/>
                <w:szCs w:val="21"/>
                <w:highlight w:val="none"/>
              </w:rPr>
              <w:t xml:space="preserve">±100mm（一套）。为了提高取鞋效率，防止高峰期取鞋拥挤，一台发鞋机需要有两个取鞋口，考虑到空间利用可在设计时分开使用。（须提供相关截图证明，否则该条款视为不满足）  </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8、可设置特殊权限；</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9、功能：支持自动选择几种规格拖鞋类型自动发放拖鞋，在智能发鞋机上刷卡或指纹扫描模块等多介体领取对应人尺码的拖鞋，并自动绑定IC卡或者指纹进行信息关联登记。有良好的人机操作界面, 可对于拖鞋可按几种规格拖鞋类别进行综合的管理。拖鞋自助取放机库存提醒功能：当各尺码拖鞋库存数量低于设定值时，在管理系统中要弹出提醒信息框，提醒工作人员及时添加拖鞋的类别及数量；</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10、工作原理：采用成熟FRID应用技术，拖鞋与库位进行绑定管理，已达到和医务人员取拖鞋时绑定关系；发鞋机械机构要求采用翻板结构，刷卡后翻开一层挡板即可掉落拖鞋，既方便速度又快；（发鞋机机械结构提供相关截图或视频证明）</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11、离线</w:t>
            </w:r>
            <w:r>
              <w:rPr>
                <w:rFonts w:hint="eastAsia" w:ascii="仿宋" w:hAnsi="仿宋" w:eastAsia="仿宋" w:cs="仿宋"/>
                <w:color w:val="auto"/>
                <w:highlight w:val="none"/>
              </w:rPr>
              <w:t>与流程自动修复：系统具备在断网状态下工作的能力，脱机完成衣服发放并记录，联网后系统自动与数据库对接完成异常数据的修复。</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8</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智能拖鞋回收机</w:t>
            </w:r>
          </w:p>
        </w:tc>
        <w:tc>
          <w:tcPr>
            <w:tcW w:w="568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1、为起到更好的显示及视觉效果，显示模块采用15寸以上液晶显示及触摸屏。</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2、传感单元：回收通道感应功能、红外感应功能、鞋满提示功能；</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3、操作性能：应用操作响应时间</w:t>
            </w:r>
            <w:r>
              <w:rPr>
                <w:rFonts w:hint="eastAsia" w:ascii="仿宋" w:hAnsi="仿宋" w:eastAsia="仿宋" w:cs="仿宋"/>
                <w:color w:val="auto"/>
                <w:szCs w:val="21"/>
                <w:highlight w:val="none"/>
              </w:rPr>
              <w:t>≤</w:t>
            </w:r>
            <w:r>
              <w:rPr>
                <w:rFonts w:hint="eastAsia" w:ascii="仿宋" w:hAnsi="仿宋" w:eastAsia="仿宋" w:cs="仿宋"/>
                <w:bCs/>
                <w:color w:val="auto"/>
                <w:szCs w:val="21"/>
                <w:highlight w:val="none"/>
              </w:rPr>
              <w:t>500ms；</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4、接口要求：RJ45、DC OUT、AC OUT；</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5、柜体：柜体尺寸（高*宽*深）1650*1000*650±100mm，外观、颜色可定制，表面处理便于清洁，不易油污、磨损；</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6、功能：回收使用过的手术室拖鞋。产品采用工业级设计，能够适应低温、恶劣的工作环境。医务人员术后将拖鞋投入回收机时，回收机自动记录拖鞋的归还信息，并将信息回传至管理系统。拖鞋自动回收机超量提醒功能：当回收机内的拖鞋数量超过设定值时，在管理系统中要弹出提醒信息框，提醒工作人员及时清理对应回收机内的污鞋；</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7、工作原理：利用RFID芯片识别技术，拖鞋归还时通过超高频RFID扫描归还衣服（植入RFID芯片），马上判断出医务人员归还信息，有可视界面展现归还情况，无需刷卡无需红外技术即可实现拖鞋的归还流程；</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8、离</w:t>
            </w:r>
            <w:r>
              <w:rPr>
                <w:rFonts w:hint="eastAsia" w:ascii="仿宋" w:hAnsi="仿宋" w:eastAsia="仿宋" w:cs="仿宋"/>
                <w:color w:val="auto"/>
                <w:highlight w:val="none"/>
              </w:rPr>
              <w:t>线与流程自动修复：系统具备在断网状态下工作的能力，脱机完成衣服发放并记录，联网后系统自动与数据库对接完成异常数据的修复。</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9</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智能鞋柜控制柜（主柜）</w:t>
            </w:r>
          </w:p>
        </w:tc>
        <w:tc>
          <w:tcPr>
            <w:tcW w:w="568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1、为起到更好的显示及视觉效果，显示模块采用15寸以上液晶显示及触摸屏。</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2、控制</w:t>
            </w:r>
            <w:r>
              <w:rPr>
                <w:rFonts w:hint="eastAsia" w:ascii="仿宋" w:hAnsi="仿宋" w:eastAsia="仿宋" w:cs="仿宋"/>
                <w:bCs/>
                <w:color w:val="auto"/>
                <w:szCs w:val="21"/>
                <w:highlight w:val="none"/>
                <w:lang w:val="en-US" w:eastAsia="zh-CN"/>
              </w:rPr>
              <w:t>单元</w:t>
            </w:r>
            <w:r>
              <w:rPr>
                <w:rFonts w:hint="eastAsia" w:ascii="仿宋" w:hAnsi="仿宋" w:eastAsia="仿宋" w:cs="仿宋"/>
                <w:bCs/>
                <w:color w:val="auto"/>
                <w:szCs w:val="21"/>
                <w:highlight w:val="none"/>
              </w:rPr>
              <w:t>：采用4核CPU、4G内存、128G硬盘，或以上</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3、供电单元：AC220V，500W以上供电模块，防浪涌及雷击功能</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4、读卡模块：支持IC等多介质卡（可根据医院一卡通类型定制）、支持指纹方式模块等多介体取鞋方式；</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5、接口：RJ45、DC OUT、AC OUT；可并轨接口，可扩容</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6、柜体要求：柜体尺寸、外观、颜色可定制，表面处理便于清洁，不易油污、磨损</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7、功能：自动将所检测验证到的医护人员相关信息，根据持卡人的身份权限就近开启自智能鞋柜的柜门或进行相应的提示，并自动记录柜门开启时间。特殊情况下可对鞋柜进行清箱操作，并实现一次性清除各箱的状态。</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8、柜体尺寸（高*宽*深）：2080*300*390±100mm。</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9、离线与流程自动修复：系统具备在断网状态下工作的能力，脱机完成衣服发放并记录，联网后系统自动与数据库对接完成异常数据的修复。</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智能鞋柜（辅柜）（二列六层）</w:t>
            </w:r>
          </w:p>
        </w:tc>
        <w:tc>
          <w:tcPr>
            <w:tcW w:w="568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1、衣柜：单箱规格（高*宽*深）：（300-330）*（290-310）*（370-400）；单位：mm；每台设备12个单箱；组合后总高度不超过2100mm。具体尺寸如有特殊调动，可根据现场实际情况定制。接受更衣主柜控制。</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2、柜体尺寸（高*宽*深）：2080*680*390±100mm</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3、每套辅柜都需要配置机械锁，以便管理员能够在断电等特殊情况下采取有效的应急措施，及时开锁，不影响工作。</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11</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智能鞋柜（辅柜）（二列十二层）</w:t>
            </w:r>
          </w:p>
        </w:tc>
        <w:tc>
          <w:tcPr>
            <w:tcW w:w="568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1、衣柜：单箱规格（高*宽*深）：（140-150）*（290-310）*（370-400）；单位：mm；每台设备24个单箱；组合后总高度不超过2100mm。具体尺寸如有特殊调动，可根据现场实际情况定制。接受更衣主柜控制。</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2、柜体尺寸（高*宽*深）：2080*680*390±100mm</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3、每套辅柜都需要配置机械锁，以便管理员能够在断电等特殊情况下采取有效的应急措施，及时开锁，不影响工作。</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12</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矮凳柜</w:t>
            </w:r>
          </w:p>
        </w:tc>
        <w:tc>
          <w:tcPr>
            <w:tcW w:w="568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柜体尺寸：（高*宽*深）400*2850*350±100mm，尺寸可根据医院定制</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口罩帽柜</w:t>
            </w:r>
          </w:p>
        </w:tc>
        <w:tc>
          <w:tcPr>
            <w:tcW w:w="568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柜体尺寸：（高*宽*深）1980*300*390±100mm，尺寸可根据医院定制</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14</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白大衣柜</w:t>
            </w:r>
          </w:p>
        </w:tc>
        <w:tc>
          <w:tcPr>
            <w:tcW w:w="568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一台可以挂衣服数量≥18件，柜体尺寸可根据医院定制</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15</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储存柜</w:t>
            </w:r>
          </w:p>
        </w:tc>
        <w:tc>
          <w:tcPr>
            <w:tcW w:w="568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用于存放物品，机械开锁，柜体尺寸可根据医院定制</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16</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管理端</w:t>
            </w:r>
          </w:p>
        </w:tc>
        <w:tc>
          <w:tcPr>
            <w:tcW w:w="568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1、使用纯数字式进口射频基站芯片、无误码设计；</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2、符合国家GB/T17626.4/IEC61000-4-4电快速瞬变脉冲群的抗干扰度测试。</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3、内置铜绕天线和板载天线；</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4、喇叭、蜂鸣器、红（蓝）绿双色LED；</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5、RS232接口，传输距离≥10米；</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6、内置式芯片卡：</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7、容量≥1024字节</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8、密码区：typeA、typeB，支持分别为6字节12位，位于每区的3块</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9、无源自带天线，内含加密控制及通讯逻辑电路</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10、读写距离：≤10cm</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11、数据保存期：10年，可改写10万次</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17</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RFID标签</w:t>
            </w:r>
          </w:p>
        </w:tc>
        <w:tc>
          <w:tcPr>
            <w:tcW w:w="5682"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1、符合ISO 18000-6C协议的洗衣标签产品。由投标人将RFID芯片封装缝合到手术衣上。</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2、符合标准：ISO 18000-6C</w:t>
            </w:r>
            <w:r>
              <w:rPr>
                <w:rFonts w:hint="eastAsia" w:ascii="仿宋" w:hAnsi="仿宋" w:eastAsia="仿宋" w:cs="仿宋"/>
                <w:bCs/>
                <w:color w:val="auto"/>
                <w:szCs w:val="21"/>
                <w:highlight w:val="none"/>
              </w:rPr>
              <w:br w:type="textWrapping"/>
            </w:r>
            <w:r>
              <w:rPr>
                <w:rFonts w:hint="eastAsia" w:ascii="仿宋" w:hAnsi="仿宋" w:eastAsia="仿宋" w:cs="仿宋"/>
                <w:bCs/>
                <w:color w:val="auto"/>
                <w:szCs w:val="21"/>
                <w:highlight w:val="none"/>
              </w:rPr>
              <w:t>3、识读频率：902MHZ～928MHZ</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3000</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18</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外观统一要求</w:t>
            </w:r>
          </w:p>
        </w:tc>
        <w:tc>
          <w:tcPr>
            <w:tcW w:w="5682" w:type="dxa"/>
            <w:noWrap/>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外观、颜色可定制，表面处理便于清洁，不易油污、磨损</w:t>
            </w:r>
          </w:p>
          <w:p>
            <w:pPr>
              <w:rPr>
                <w:rFonts w:hint="eastAsia" w:ascii="仿宋" w:hAnsi="仿宋" w:eastAsia="仿宋" w:cs="仿宋"/>
                <w:color w:val="auto"/>
                <w:highlight w:val="none"/>
              </w:rPr>
            </w:pPr>
            <w:r>
              <w:rPr>
                <w:rFonts w:hint="eastAsia" w:ascii="仿宋" w:hAnsi="仿宋" w:eastAsia="仿宋" w:cs="仿宋"/>
                <w:color w:val="auto"/>
                <w:highlight w:val="none"/>
              </w:rPr>
              <w:t>为规范电子电气产品的材料及工艺标准，使之更加有利于人体健康及环境保护。目的在于消除电器电子产品中的铅、汞、镉、六价铬、多溴联苯和多溴二苯醚。</w:t>
            </w:r>
          </w:p>
          <w:p>
            <w:pPr>
              <w:rPr>
                <w:rFonts w:hint="eastAsia" w:ascii="仿宋" w:hAnsi="仿宋" w:eastAsia="仿宋" w:cs="仿宋"/>
                <w:color w:val="auto"/>
                <w:highlight w:val="none"/>
              </w:rPr>
            </w:pPr>
            <w:r>
              <w:rPr>
                <w:rFonts w:hint="eastAsia" w:ascii="仿宋" w:hAnsi="仿宋" w:eastAsia="仿宋" w:cs="仿宋"/>
                <w:color w:val="auto"/>
                <w:szCs w:val="21"/>
                <w:highlight w:val="none"/>
              </w:rPr>
              <w:t>▲</w:t>
            </w:r>
            <w:r>
              <w:rPr>
                <w:rFonts w:hint="eastAsia" w:ascii="仿宋" w:hAnsi="仿宋" w:eastAsia="仿宋" w:cs="仿宋"/>
                <w:color w:val="auto"/>
                <w:highlight w:val="none"/>
              </w:rPr>
              <w:t>铝材需进行2011/65/EU(RoHS)标准。（</w:t>
            </w:r>
            <w:r>
              <w:rPr>
                <w:rFonts w:hint="eastAsia" w:ascii="仿宋" w:hAnsi="仿宋" w:eastAsia="仿宋" w:cs="仿宋"/>
                <w:color w:val="auto"/>
                <w:szCs w:val="21"/>
                <w:highlight w:val="none"/>
              </w:rPr>
              <w:t>投标时提供相关的检测报告等证明文件，否则该条款视为不满足</w:t>
            </w:r>
            <w:r>
              <w:rPr>
                <w:rFonts w:hint="eastAsia" w:ascii="仿宋" w:hAnsi="仿宋" w:eastAsia="仿宋" w:cs="仿宋"/>
                <w:color w:val="auto"/>
                <w:highlight w:val="none"/>
              </w:rPr>
              <w:t>）</w:t>
            </w:r>
          </w:p>
          <w:p>
            <w:pPr>
              <w:rPr>
                <w:rFonts w:hint="eastAsia" w:ascii="仿宋" w:hAnsi="仿宋" w:eastAsia="仿宋" w:cs="仿宋"/>
                <w:color w:val="auto"/>
                <w:highlight w:val="none"/>
              </w:rPr>
            </w:pPr>
            <w:r>
              <w:rPr>
                <w:rFonts w:hint="eastAsia" w:ascii="仿宋" w:hAnsi="仿宋" w:eastAsia="仿宋" w:cs="仿宋"/>
                <w:color w:val="auto"/>
                <w:szCs w:val="21"/>
                <w:highlight w:val="none"/>
              </w:rPr>
              <w:t>▲</w:t>
            </w:r>
            <w:r>
              <w:rPr>
                <w:rFonts w:hint="eastAsia" w:ascii="仿宋" w:hAnsi="仿宋" w:eastAsia="仿宋" w:cs="仿宋"/>
                <w:color w:val="auto"/>
                <w:highlight w:val="none"/>
              </w:rPr>
              <w:t>冷轧板需进行2011/65/EU(RoHS)标准。（</w:t>
            </w:r>
            <w:r>
              <w:rPr>
                <w:rFonts w:hint="eastAsia" w:ascii="仿宋" w:hAnsi="仿宋" w:eastAsia="仿宋" w:cs="仿宋"/>
                <w:color w:val="auto"/>
                <w:szCs w:val="21"/>
                <w:highlight w:val="none"/>
              </w:rPr>
              <w:t>投标时提供相关的检测报告等证明文件，否则该条款视为不满足</w:t>
            </w:r>
            <w:r>
              <w:rPr>
                <w:rFonts w:hint="eastAsia" w:ascii="仿宋" w:hAnsi="仿宋" w:eastAsia="仿宋" w:cs="仿宋"/>
                <w:color w:val="auto"/>
                <w:highlight w:val="none"/>
              </w:rPr>
              <w:t>）</w:t>
            </w:r>
          </w:p>
          <w:p>
            <w:pPr>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highlight w:val="none"/>
              </w:rPr>
              <w:t>塑粉需进行2011/65/EU(RoHS)标准。（</w:t>
            </w:r>
            <w:r>
              <w:rPr>
                <w:rFonts w:hint="eastAsia" w:ascii="仿宋" w:hAnsi="仿宋" w:eastAsia="仿宋" w:cs="仿宋"/>
                <w:color w:val="auto"/>
                <w:szCs w:val="21"/>
                <w:highlight w:val="none"/>
              </w:rPr>
              <w:t>投标时提供相关的检测报告等证明文件，否则该条款视为不满足</w:t>
            </w:r>
            <w:r>
              <w:rPr>
                <w:rFonts w:hint="eastAsia" w:ascii="仿宋" w:hAnsi="仿宋" w:eastAsia="仿宋" w:cs="仿宋"/>
                <w:color w:val="auto"/>
                <w:highlight w:val="none"/>
              </w:rPr>
              <w:t>）</w:t>
            </w:r>
          </w:p>
        </w:tc>
        <w:tc>
          <w:tcPr>
            <w:tcW w:w="680" w:type="dxa"/>
            <w:noWrap/>
            <w:vAlign w:val="center"/>
          </w:tcPr>
          <w:p>
            <w:pPr>
              <w:rPr>
                <w:rFonts w:hint="eastAsia" w:ascii="仿宋" w:hAnsi="仿宋" w:eastAsia="仿宋" w:cs="仿宋"/>
                <w:bCs/>
                <w:color w:val="auto"/>
                <w:szCs w:val="21"/>
                <w:highlight w:val="none"/>
              </w:rPr>
            </w:pP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19</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雨伞架</w:t>
            </w:r>
          </w:p>
        </w:tc>
        <w:tc>
          <w:tcPr>
            <w:tcW w:w="5682" w:type="dxa"/>
            <w:noWrap/>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根据医院要求定制</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dxa"/>
            <w:noWrap/>
            <w:vAlign w:val="center"/>
          </w:tcPr>
          <w:p>
            <w:pPr>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20</w:t>
            </w:r>
          </w:p>
        </w:tc>
        <w:tc>
          <w:tcPr>
            <w:tcW w:w="1505"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RFID行为报警仪</w:t>
            </w:r>
          </w:p>
        </w:tc>
        <w:tc>
          <w:tcPr>
            <w:tcW w:w="5682" w:type="dxa"/>
            <w:noWrap/>
            <w:vAlign w:val="center"/>
          </w:tcPr>
          <w:p>
            <w:pPr>
              <w:spacing w:line="360" w:lineRule="auto"/>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1.识读频率：902MHZ～960MHZ</w:t>
            </w:r>
          </w:p>
          <w:p>
            <w:pP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2.功能：未归还衣服或鞋子而走出手术室进行预警提醒，同时记录当前医生等信息，方便后期统计查询</w:t>
            </w:r>
          </w:p>
        </w:tc>
        <w:tc>
          <w:tcPr>
            <w:tcW w:w="680"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w:t>
            </w:r>
          </w:p>
        </w:tc>
        <w:tc>
          <w:tcPr>
            <w:tcW w:w="711" w:type="dxa"/>
            <w:noWrap/>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w:t>
            </w:r>
          </w:p>
        </w:tc>
      </w:tr>
    </w:tbl>
    <w:p>
      <w:pPr>
        <w:rPr>
          <w:rFonts w:hint="eastAsia" w:ascii="仿宋" w:hAnsi="仿宋" w:eastAsia="仿宋" w:cs="仿宋"/>
          <w:b/>
          <w:color w:val="auto"/>
          <w:szCs w:val="21"/>
          <w:highlight w:val="none"/>
          <w:lang w:val="en-US" w:eastAsia="zh-CN"/>
        </w:rPr>
      </w:pPr>
      <w:r>
        <w:rPr>
          <w:rFonts w:hint="eastAsia" w:ascii="仿宋" w:hAnsi="仿宋" w:eastAsia="仿宋" w:cs="仿宋"/>
          <w:b/>
          <w:color w:val="auto"/>
          <w:szCs w:val="21"/>
          <w:highlight w:val="none"/>
          <w:lang w:val="en-US" w:eastAsia="zh-CN"/>
        </w:rPr>
        <w:t>三、付款方式：</w:t>
      </w:r>
    </w:p>
    <w:p>
      <w:pPr>
        <w:spacing w:line="360" w:lineRule="auto"/>
        <w:ind w:firstLine="420" w:firstLineChars="200"/>
        <w:rPr>
          <w:rFonts w:hint="eastAsia" w:ascii="仿宋" w:hAnsi="仿宋" w:eastAsia="仿宋" w:cs="仿宋"/>
          <w:color w:val="auto"/>
          <w:sz w:val="21"/>
          <w:szCs w:val="21"/>
          <w:highlight w:val="none"/>
          <w:lang w:val="en-US" w:eastAsia="en-US"/>
        </w:rPr>
      </w:pPr>
      <w:r>
        <w:rPr>
          <w:rFonts w:hint="eastAsia" w:ascii="仿宋" w:hAnsi="仿宋" w:eastAsia="仿宋" w:cs="仿宋"/>
          <w:color w:val="auto"/>
          <w:sz w:val="21"/>
          <w:szCs w:val="21"/>
          <w:highlight w:val="none"/>
          <w:lang w:val="en-US" w:eastAsia="en-US"/>
        </w:rPr>
        <w:t>抗疫期间，按《浙江省财政厅关于坚决打赢疫情防控阻击战进一步做好政府采购资金支持企业发展工作的通知》（浙财采监〔2020〕3号）和《浙江省财政厅关于进一步发挥政府采购政策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360" w:lineRule="auto"/>
        <w:ind w:firstLine="0" w:firstLineChars="0"/>
        <w:jc w:val="left"/>
        <w:rPr>
          <w:rFonts w:hint="eastAsia" w:ascii="仿宋" w:hAnsi="仿宋" w:eastAsia="仿宋" w:cs="仿宋"/>
          <w:b/>
          <w:bCs/>
          <w:color w:val="auto"/>
          <w:sz w:val="21"/>
          <w:szCs w:val="21"/>
          <w:highlight w:val="none"/>
          <w:lang w:eastAsia="en-US"/>
        </w:rPr>
      </w:pPr>
      <w:r>
        <w:rPr>
          <w:rFonts w:hint="eastAsia" w:ascii="仿宋" w:hAnsi="仿宋" w:eastAsia="仿宋" w:cs="仿宋"/>
          <w:b/>
          <w:bCs/>
          <w:color w:val="auto"/>
          <w:sz w:val="21"/>
          <w:szCs w:val="21"/>
          <w:highlight w:val="none"/>
          <w:lang w:val="en-US" w:eastAsia="en-US"/>
        </w:rPr>
        <w:t>四</w:t>
      </w:r>
      <w:r>
        <w:rPr>
          <w:rFonts w:hint="eastAsia" w:ascii="仿宋" w:hAnsi="仿宋" w:eastAsia="仿宋" w:cs="仿宋"/>
          <w:b/>
          <w:bCs/>
          <w:color w:val="auto"/>
          <w:sz w:val="21"/>
          <w:szCs w:val="21"/>
          <w:highlight w:val="none"/>
          <w:lang w:eastAsia="en-US"/>
        </w:rPr>
        <w:t>、交货要求</w:t>
      </w:r>
    </w:p>
    <w:p>
      <w:pPr>
        <w:spacing w:line="360" w:lineRule="auto"/>
        <w:ind w:firstLine="0" w:firstLineChars="0"/>
        <w:jc w:val="left"/>
        <w:rPr>
          <w:rFonts w:hint="eastAsia" w:ascii="仿宋" w:hAnsi="仿宋" w:eastAsia="仿宋" w:cs="仿宋"/>
          <w:color w:val="auto"/>
          <w:sz w:val="21"/>
          <w:szCs w:val="21"/>
          <w:highlight w:val="none"/>
          <w:lang w:eastAsia="en-US"/>
        </w:rPr>
      </w:pPr>
      <w:r>
        <w:rPr>
          <w:rFonts w:hint="eastAsia" w:ascii="仿宋" w:hAnsi="仿宋" w:eastAsia="仿宋" w:cs="仿宋"/>
          <w:color w:val="auto"/>
          <w:sz w:val="21"/>
          <w:szCs w:val="21"/>
          <w:highlight w:val="none"/>
          <w:lang w:eastAsia="en-US"/>
        </w:rPr>
        <w:t>（一）交货期：合同签订后</w:t>
      </w:r>
      <w:r>
        <w:rPr>
          <w:rFonts w:hint="eastAsia" w:ascii="仿宋" w:hAnsi="仿宋" w:eastAsia="仿宋" w:cs="仿宋"/>
          <w:color w:val="auto"/>
          <w:sz w:val="21"/>
          <w:szCs w:val="21"/>
          <w:highlight w:val="none"/>
          <w:u w:val="none"/>
          <w:lang w:eastAsia="en-US"/>
        </w:rPr>
        <w:t xml:space="preserve"> </w:t>
      </w:r>
      <w:r>
        <w:rPr>
          <w:rFonts w:hint="eastAsia" w:ascii="仿宋" w:hAnsi="仿宋" w:eastAsia="仿宋" w:cs="仿宋"/>
          <w:color w:val="auto"/>
          <w:sz w:val="21"/>
          <w:szCs w:val="21"/>
          <w:highlight w:val="none"/>
          <w:u w:val="none"/>
          <w:lang w:val="en-US" w:eastAsia="en-US"/>
        </w:rPr>
        <w:t>60</w:t>
      </w:r>
      <w:r>
        <w:rPr>
          <w:rFonts w:hint="eastAsia" w:ascii="仿宋" w:hAnsi="仿宋" w:eastAsia="仿宋" w:cs="仿宋"/>
          <w:color w:val="auto"/>
          <w:sz w:val="21"/>
          <w:szCs w:val="21"/>
          <w:highlight w:val="none"/>
          <w:lang w:eastAsia="en-US"/>
        </w:rPr>
        <w:t>个</w:t>
      </w:r>
      <w:r>
        <w:rPr>
          <w:rFonts w:hint="eastAsia" w:ascii="仿宋" w:hAnsi="仿宋" w:eastAsia="仿宋" w:cs="仿宋"/>
          <w:color w:val="auto"/>
          <w:sz w:val="21"/>
          <w:szCs w:val="21"/>
          <w:highlight w:val="none"/>
          <w:lang w:val="en-US" w:eastAsia="en-US"/>
        </w:rPr>
        <w:t>工作日</w:t>
      </w:r>
      <w:r>
        <w:rPr>
          <w:rFonts w:hint="eastAsia" w:ascii="仿宋" w:hAnsi="仿宋" w:eastAsia="仿宋" w:cs="仿宋"/>
          <w:color w:val="auto"/>
          <w:sz w:val="21"/>
          <w:szCs w:val="21"/>
          <w:highlight w:val="none"/>
          <w:lang w:eastAsia="en-US"/>
        </w:rPr>
        <w:t>内交货、安装、调试。</w:t>
      </w:r>
    </w:p>
    <w:p>
      <w:pPr>
        <w:spacing w:line="360" w:lineRule="auto"/>
        <w:ind w:firstLine="0" w:firstLineChars="0"/>
        <w:jc w:val="left"/>
        <w:rPr>
          <w:rFonts w:hint="eastAsia" w:ascii="仿宋" w:hAnsi="仿宋" w:eastAsia="仿宋" w:cs="仿宋"/>
          <w:color w:val="auto"/>
          <w:sz w:val="21"/>
          <w:szCs w:val="21"/>
          <w:highlight w:val="none"/>
          <w:lang w:eastAsia="en-US"/>
        </w:rPr>
      </w:pPr>
      <w:r>
        <w:rPr>
          <w:rFonts w:hint="eastAsia" w:ascii="仿宋" w:hAnsi="仿宋" w:eastAsia="仿宋" w:cs="仿宋"/>
          <w:color w:val="auto"/>
          <w:sz w:val="21"/>
          <w:szCs w:val="21"/>
          <w:highlight w:val="none"/>
          <w:lang w:eastAsia="en-US"/>
        </w:rPr>
        <w:t>（二）为了保障产品质量及售后服务，成交供应商需在供货时提供本次项目采购产品的原厂供货证明原件等相关证明文件资料复印件（文件需加盖原厂公章），确保产品的真实性。我方将严格审核资料的真伪，供货单位不能提供或消极响应视为虚假报价处理。 供应商报价时需按照采购需求提供完整的报价信息（应明确投标品牌、具体型号及分项报价），投标价格必须包括运输、安装调试、使用培训、税金等所有费用。</w:t>
      </w:r>
    </w:p>
    <w:p>
      <w:pPr>
        <w:spacing w:line="360" w:lineRule="auto"/>
        <w:ind w:left="0" w:leftChars="0" w:firstLine="0" w:firstLineChars="0"/>
        <w:rPr>
          <w:b/>
          <w:bCs/>
          <w:color w:val="auto"/>
          <w:highlight w:val="none"/>
        </w:rPr>
      </w:pPr>
      <w:r>
        <w:rPr>
          <w:rFonts w:hint="eastAsia" w:ascii="仿宋" w:hAnsi="仿宋" w:eastAsia="仿宋" w:cs="仿宋"/>
          <w:color w:val="auto"/>
          <w:sz w:val="21"/>
          <w:szCs w:val="21"/>
          <w:highlight w:val="none"/>
          <w:lang w:eastAsia="en-US"/>
        </w:rPr>
        <w:t>（三）所有供货商品必须满足以上所有技术参数要求、配件必须齐全，必须是未经拆封的原厂包装，不接收外包装经过二次封装的商品，否则不予考虑。</w:t>
      </w:r>
    </w:p>
    <w:p>
      <w:pPr>
        <w:spacing w:line="360" w:lineRule="auto"/>
        <w:jc w:val="left"/>
        <w:rPr>
          <w:rFonts w:hint="eastAsia" w:ascii="仿宋" w:hAnsi="仿宋" w:eastAsia="仿宋" w:cs="仿宋"/>
          <w:b/>
          <w:bCs/>
          <w:color w:val="auto"/>
          <w:sz w:val="21"/>
          <w:szCs w:val="21"/>
          <w:highlight w:val="none"/>
          <w:lang w:eastAsia="en-US"/>
        </w:rPr>
      </w:pPr>
      <w:r>
        <w:rPr>
          <w:rFonts w:hint="eastAsia" w:ascii="仿宋" w:hAnsi="仿宋" w:eastAsia="仿宋" w:cs="仿宋"/>
          <w:b/>
          <w:bCs/>
          <w:color w:val="auto"/>
          <w:sz w:val="21"/>
          <w:szCs w:val="21"/>
          <w:highlight w:val="none"/>
          <w:lang w:val="en-US" w:eastAsia="en-US"/>
        </w:rPr>
        <w:t>五</w:t>
      </w:r>
      <w:r>
        <w:rPr>
          <w:rFonts w:hint="eastAsia" w:ascii="仿宋" w:hAnsi="仿宋" w:eastAsia="仿宋" w:cs="仿宋"/>
          <w:b/>
          <w:bCs/>
          <w:color w:val="auto"/>
          <w:sz w:val="21"/>
          <w:szCs w:val="21"/>
          <w:highlight w:val="none"/>
          <w:lang w:eastAsia="en-US"/>
        </w:rPr>
        <w:t>、培训要求</w:t>
      </w:r>
    </w:p>
    <w:p>
      <w:pPr>
        <w:spacing w:line="360" w:lineRule="auto"/>
        <w:jc w:val="left"/>
        <w:rPr>
          <w:rFonts w:hint="eastAsia" w:ascii="仿宋" w:hAnsi="仿宋" w:eastAsia="仿宋" w:cs="仿宋"/>
          <w:color w:val="auto"/>
          <w:sz w:val="21"/>
          <w:szCs w:val="21"/>
          <w:highlight w:val="none"/>
          <w:lang w:eastAsia="en-US"/>
        </w:rPr>
      </w:pPr>
      <w:r>
        <w:rPr>
          <w:rFonts w:hint="eastAsia" w:ascii="仿宋" w:hAnsi="仿宋" w:eastAsia="仿宋" w:cs="仿宋"/>
          <w:color w:val="auto"/>
          <w:sz w:val="21"/>
          <w:szCs w:val="21"/>
          <w:highlight w:val="none"/>
          <w:lang w:eastAsia="en-US"/>
        </w:rPr>
        <w:t>（1）培训目的</w:t>
      </w:r>
    </w:p>
    <w:p>
      <w:pPr>
        <w:adjustRightInd w:val="0"/>
        <w:snapToGrid w:val="0"/>
        <w:spacing w:line="360" w:lineRule="auto"/>
        <w:ind w:firstLine="420" w:firstLineChars="200"/>
        <w:rPr>
          <w:rFonts w:hint="eastAsia" w:ascii="仿宋" w:hAnsi="仿宋" w:eastAsia="仿宋" w:cs="仿宋"/>
          <w:color w:val="auto"/>
          <w:sz w:val="21"/>
          <w:szCs w:val="21"/>
          <w:highlight w:val="none"/>
          <w:lang w:eastAsia="en-US"/>
        </w:rPr>
      </w:pPr>
      <w:bookmarkStart w:id="14" w:name="_Toc70360132"/>
      <w:bookmarkStart w:id="15" w:name="_Toc203387023"/>
      <w:bookmarkStart w:id="16" w:name="_Toc58592864"/>
      <w:bookmarkStart w:id="17" w:name="_Toc139522774"/>
      <w:bookmarkStart w:id="18" w:name="_Toc69470614"/>
      <w:r>
        <w:rPr>
          <w:rFonts w:hint="eastAsia" w:ascii="仿宋" w:hAnsi="仿宋" w:eastAsia="仿宋" w:cs="仿宋"/>
          <w:color w:val="auto"/>
          <w:sz w:val="21"/>
          <w:szCs w:val="21"/>
          <w:highlight w:val="none"/>
          <w:lang w:eastAsia="en-US"/>
        </w:rPr>
        <w:t>培训后能够令使用者的正常应用相关的软硬件，熟悉基础故障的处理方法，减少系统问题的出现，保证工作正常开展；帮助用户相关的技术人员掌握足够的保养与维护方法，能够独立进行设备的日常维护.保养和管理。</w:t>
      </w:r>
    </w:p>
    <w:bookmarkEnd w:id="14"/>
    <w:bookmarkEnd w:id="15"/>
    <w:bookmarkEnd w:id="16"/>
    <w:bookmarkEnd w:id="17"/>
    <w:p>
      <w:pPr>
        <w:spacing w:line="360" w:lineRule="auto"/>
        <w:jc w:val="left"/>
        <w:rPr>
          <w:rFonts w:hint="eastAsia" w:ascii="仿宋" w:hAnsi="仿宋" w:eastAsia="仿宋" w:cs="仿宋"/>
          <w:color w:val="auto"/>
          <w:sz w:val="21"/>
          <w:szCs w:val="21"/>
          <w:highlight w:val="none"/>
          <w:lang w:val="en-US" w:eastAsia="en-US"/>
        </w:rPr>
      </w:pPr>
      <w:bookmarkStart w:id="19" w:name="_Toc245063348"/>
      <w:bookmarkStart w:id="20" w:name="_Toc290363334"/>
      <w:bookmarkStart w:id="21" w:name="_Toc262767116"/>
      <w:bookmarkStart w:id="22" w:name="_Toc279482094"/>
      <w:bookmarkStart w:id="23" w:name="_Toc363737107"/>
      <w:bookmarkStart w:id="24" w:name="_Toc7798224"/>
      <w:bookmarkStart w:id="25" w:name="_Toc58592865"/>
      <w:bookmarkStart w:id="26" w:name="_Toc243903331"/>
      <w:bookmarkStart w:id="27" w:name="_Toc139522775"/>
      <w:bookmarkStart w:id="28" w:name="_Toc203387024"/>
      <w:bookmarkStart w:id="29" w:name="_Toc513126620"/>
      <w:bookmarkStart w:id="30" w:name="_Toc270325445"/>
      <w:bookmarkStart w:id="31" w:name="_Toc214264225"/>
      <w:bookmarkStart w:id="32" w:name="_Toc42863600"/>
      <w:bookmarkStart w:id="33" w:name="_Toc229942381"/>
      <w:bookmarkStart w:id="34" w:name="_Toc212533275"/>
      <w:bookmarkStart w:id="35" w:name="_Toc478484595"/>
      <w:bookmarkStart w:id="36" w:name="_Toc226475660"/>
      <w:bookmarkStart w:id="37" w:name="_Toc70360133"/>
      <w:r>
        <w:rPr>
          <w:rFonts w:hint="eastAsia" w:ascii="仿宋" w:hAnsi="仿宋" w:eastAsia="仿宋" w:cs="仿宋"/>
          <w:color w:val="auto"/>
          <w:sz w:val="21"/>
          <w:szCs w:val="21"/>
          <w:highlight w:val="none"/>
          <w:lang w:eastAsia="en-US"/>
        </w:rPr>
        <w:t>（2）培训方式</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Pr>
          <w:rFonts w:hint="eastAsia" w:ascii="仿宋" w:hAnsi="仿宋" w:eastAsia="仿宋" w:cs="仿宋"/>
          <w:color w:val="auto"/>
          <w:sz w:val="21"/>
          <w:szCs w:val="21"/>
          <w:highlight w:val="none"/>
          <w:lang w:eastAsia="en-US"/>
        </w:rPr>
        <w:t>、</w:t>
      </w:r>
      <w:r>
        <w:rPr>
          <w:rFonts w:hint="eastAsia" w:ascii="仿宋" w:hAnsi="仿宋" w:eastAsia="仿宋" w:cs="仿宋"/>
          <w:color w:val="auto"/>
          <w:sz w:val="21"/>
          <w:szCs w:val="21"/>
          <w:highlight w:val="none"/>
          <w:lang w:val="en-US" w:eastAsia="en-US"/>
        </w:rPr>
        <w:t>内容</w:t>
      </w:r>
    </w:p>
    <w:p>
      <w:pPr>
        <w:adjustRightInd w:val="0"/>
        <w:snapToGrid w:val="0"/>
        <w:spacing w:line="360" w:lineRule="auto"/>
        <w:ind w:firstLine="420" w:firstLineChars="200"/>
        <w:rPr>
          <w:rFonts w:hint="eastAsia" w:ascii="仿宋" w:hAnsi="仿宋" w:eastAsia="仿宋" w:cs="仿宋"/>
          <w:color w:val="auto"/>
          <w:szCs w:val="21"/>
          <w:highlight w:val="none"/>
          <w:lang w:eastAsia="en-US"/>
        </w:rPr>
      </w:pPr>
      <w:bookmarkStart w:id="38" w:name="_Toc58592866"/>
      <w:bookmarkStart w:id="39" w:name="_Toc70360134"/>
      <w:bookmarkStart w:id="40" w:name="_Toc203387025"/>
      <w:bookmarkStart w:id="41" w:name="_Toc139522776"/>
      <w:bookmarkStart w:id="42" w:name="_Toc69470616"/>
      <w:r>
        <w:rPr>
          <w:rFonts w:hint="eastAsia" w:ascii="仿宋" w:hAnsi="仿宋" w:eastAsia="仿宋" w:cs="仿宋"/>
          <w:color w:val="auto"/>
          <w:sz w:val="21"/>
          <w:szCs w:val="21"/>
          <w:highlight w:val="none"/>
          <w:lang w:eastAsia="en-US"/>
        </w:rPr>
        <w:t>中标人对本项目的技术培训采用理论培训与现场培训相结合的方式进行培训。根据本项目的工程特点，中标人必须采用集中培训与现场培训相结合的方式，集中培训将面向技术管理人员和系统使用人员，主要在于让管理人员能够掌握部署后设备及系统功能，并做到熟练操作和日常维护，并从而制定细则规范所有人员按规定操</w:t>
      </w:r>
      <w:r>
        <w:rPr>
          <w:rFonts w:hint="eastAsia" w:ascii="仿宋" w:hAnsi="仿宋" w:eastAsia="仿宋" w:cs="仿宋"/>
          <w:color w:val="auto"/>
          <w:szCs w:val="21"/>
          <w:highlight w:val="none"/>
          <w:lang w:eastAsia="en-US"/>
        </w:rPr>
        <w:t>作；</w:t>
      </w:r>
      <w:r>
        <w:rPr>
          <w:rFonts w:hint="eastAsia" w:ascii="仿宋" w:hAnsi="仿宋" w:eastAsia="仿宋" w:cs="仿宋"/>
          <w:color w:val="auto"/>
          <w:sz w:val="21"/>
          <w:szCs w:val="21"/>
          <w:highlight w:val="none"/>
          <w:lang w:eastAsia="en-US"/>
        </w:rPr>
        <w:t>现场培训主要针对用户单位各个分属部门的操作人员，主要在于软件及设备操作方面的培训。</w:t>
      </w:r>
    </w:p>
    <w:p>
      <w:pPr>
        <w:spacing w:line="360" w:lineRule="auto"/>
        <w:jc w:val="left"/>
        <w:rPr>
          <w:rFonts w:hint="eastAsia" w:ascii="仿宋" w:hAnsi="仿宋" w:eastAsia="仿宋" w:cs="仿宋"/>
          <w:color w:val="auto"/>
          <w:sz w:val="21"/>
          <w:szCs w:val="21"/>
          <w:highlight w:val="none"/>
          <w:lang w:eastAsia="en-US"/>
        </w:rPr>
      </w:pPr>
      <w:bookmarkStart w:id="43" w:name="_Toc214264226"/>
      <w:bookmarkStart w:id="44" w:name="_Toc513126621"/>
      <w:bookmarkStart w:id="45" w:name="_Toc212533276"/>
      <w:bookmarkStart w:id="46" w:name="_Toc229942382"/>
      <w:bookmarkStart w:id="47" w:name="_Toc478484596"/>
      <w:bookmarkStart w:id="48" w:name="_Toc243903332"/>
      <w:bookmarkStart w:id="49" w:name="_Toc270325446"/>
      <w:bookmarkStart w:id="50" w:name="_Toc262767117"/>
      <w:bookmarkStart w:id="51" w:name="_Toc279482095"/>
      <w:bookmarkStart w:id="52" w:name="_Toc226475661"/>
      <w:bookmarkStart w:id="53" w:name="_Toc245063349"/>
      <w:bookmarkStart w:id="54" w:name="_Toc363737108"/>
      <w:bookmarkStart w:id="55" w:name="_Toc290363335"/>
      <w:bookmarkStart w:id="56" w:name="_Toc42863601"/>
      <w:bookmarkStart w:id="57" w:name="_Toc7798225"/>
      <w:r>
        <w:rPr>
          <w:rFonts w:hint="eastAsia" w:ascii="仿宋" w:hAnsi="仿宋" w:eastAsia="仿宋" w:cs="仿宋"/>
          <w:color w:val="auto"/>
          <w:sz w:val="21"/>
          <w:szCs w:val="21"/>
          <w:highlight w:val="none"/>
          <w:lang w:eastAsia="en-US"/>
        </w:rPr>
        <w:t>（3）培训对象</w:t>
      </w:r>
      <w:bookmarkEnd w:id="38"/>
      <w:bookmarkEnd w:id="39"/>
      <w:bookmarkEnd w:id="40"/>
      <w:bookmarkEnd w:id="41"/>
      <w:bookmarkEnd w:id="43"/>
      <w:bookmarkEnd w:id="44"/>
      <w:bookmarkEnd w:id="45"/>
      <w:bookmarkEnd w:id="46"/>
      <w:bookmarkEnd w:id="47"/>
      <w:bookmarkEnd w:id="48"/>
      <w:bookmarkEnd w:id="49"/>
      <w:bookmarkEnd w:id="50"/>
      <w:bookmarkEnd w:id="51"/>
      <w:bookmarkEnd w:id="52"/>
      <w:bookmarkEnd w:id="53"/>
      <w:bookmarkEnd w:id="54"/>
      <w:bookmarkEnd w:id="55"/>
      <w:r>
        <w:rPr>
          <w:rFonts w:hint="eastAsia" w:ascii="仿宋" w:hAnsi="仿宋" w:eastAsia="仿宋" w:cs="仿宋"/>
          <w:color w:val="auto"/>
          <w:sz w:val="21"/>
          <w:szCs w:val="21"/>
          <w:highlight w:val="none"/>
          <w:lang w:eastAsia="en-US"/>
        </w:rPr>
        <w:t>及数量</w:t>
      </w:r>
      <w:bookmarkEnd w:id="56"/>
      <w:bookmarkEnd w:id="57"/>
    </w:p>
    <w:p>
      <w:pPr>
        <w:adjustRightInd w:val="0"/>
        <w:snapToGrid w:val="0"/>
        <w:spacing w:line="360" w:lineRule="auto"/>
        <w:ind w:firstLine="420" w:firstLineChars="200"/>
        <w:rPr>
          <w:rFonts w:hint="eastAsia" w:ascii="仿宋" w:hAnsi="仿宋" w:eastAsia="仿宋" w:cs="仿宋"/>
          <w:color w:val="auto"/>
          <w:sz w:val="21"/>
          <w:szCs w:val="21"/>
          <w:highlight w:val="none"/>
          <w:lang w:eastAsia="en-US"/>
        </w:rPr>
      </w:pPr>
      <w:r>
        <w:rPr>
          <w:rFonts w:hint="eastAsia" w:ascii="仿宋" w:hAnsi="仿宋" w:eastAsia="仿宋" w:cs="仿宋"/>
          <w:color w:val="auto"/>
          <w:sz w:val="21"/>
          <w:szCs w:val="21"/>
          <w:highlight w:val="none"/>
          <w:lang w:eastAsia="en-US"/>
        </w:rPr>
        <w:t>提供基于以下二种角色的培训：</w:t>
      </w:r>
    </w:p>
    <w:p>
      <w:pPr>
        <w:adjustRightInd w:val="0"/>
        <w:snapToGrid w:val="0"/>
        <w:spacing w:line="360" w:lineRule="auto"/>
        <w:ind w:firstLine="420" w:firstLineChars="200"/>
        <w:rPr>
          <w:rFonts w:hint="eastAsia" w:ascii="仿宋" w:hAnsi="仿宋" w:eastAsia="仿宋" w:cs="仿宋"/>
          <w:color w:val="auto"/>
          <w:sz w:val="21"/>
          <w:szCs w:val="21"/>
          <w:highlight w:val="none"/>
          <w:lang w:eastAsia="en-US"/>
        </w:rPr>
      </w:pPr>
      <w:r>
        <w:rPr>
          <w:rFonts w:hint="eastAsia" w:ascii="仿宋" w:hAnsi="仿宋" w:eastAsia="仿宋" w:cs="仿宋"/>
          <w:color w:val="auto"/>
          <w:sz w:val="21"/>
          <w:szCs w:val="21"/>
          <w:highlight w:val="none"/>
          <w:lang w:eastAsia="en-US"/>
        </w:rPr>
        <w:t>用户单位普通用户；</w:t>
      </w:r>
    </w:p>
    <w:p>
      <w:pPr>
        <w:adjustRightInd w:val="0"/>
        <w:snapToGrid w:val="0"/>
        <w:spacing w:line="360" w:lineRule="auto"/>
        <w:ind w:firstLine="420" w:firstLineChars="200"/>
        <w:rPr>
          <w:rFonts w:hint="eastAsia" w:ascii="仿宋" w:hAnsi="仿宋" w:eastAsia="仿宋" w:cs="仿宋"/>
          <w:color w:val="auto"/>
          <w:sz w:val="21"/>
          <w:szCs w:val="21"/>
          <w:highlight w:val="none"/>
          <w:lang w:eastAsia="en-US"/>
        </w:rPr>
      </w:pPr>
      <w:r>
        <w:rPr>
          <w:rFonts w:hint="eastAsia" w:ascii="仿宋" w:hAnsi="仿宋" w:eastAsia="仿宋" w:cs="仿宋"/>
          <w:color w:val="auto"/>
          <w:sz w:val="21"/>
          <w:szCs w:val="21"/>
          <w:highlight w:val="none"/>
          <w:lang w:eastAsia="en-US"/>
        </w:rPr>
        <w:t>用户单位系统管理员。</w:t>
      </w:r>
    </w:p>
    <w:p>
      <w:pPr>
        <w:adjustRightInd w:val="0"/>
        <w:snapToGrid w:val="0"/>
        <w:spacing w:line="360" w:lineRule="auto"/>
        <w:ind w:firstLine="420" w:firstLineChars="200"/>
        <w:rPr>
          <w:rFonts w:hint="eastAsia" w:ascii="仿宋" w:hAnsi="仿宋" w:eastAsia="仿宋" w:cs="仿宋"/>
          <w:color w:val="auto"/>
          <w:sz w:val="21"/>
          <w:szCs w:val="21"/>
          <w:highlight w:val="none"/>
          <w:lang w:eastAsia="en-US"/>
        </w:rPr>
      </w:pPr>
      <w:r>
        <w:rPr>
          <w:rFonts w:hint="eastAsia" w:ascii="仿宋" w:hAnsi="仿宋" w:eastAsia="仿宋" w:cs="仿宋"/>
          <w:color w:val="auto"/>
          <w:sz w:val="21"/>
          <w:szCs w:val="21"/>
          <w:highlight w:val="none"/>
          <w:lang w:eastAsia="en-US"/>
        </w:rPr>
        <w:t>提供用户现场操作培训和理论培训，用户名额不限。</w:t>
      </w:r>
    </w:p>
    <w:p>
      <w:pPr>
        <w:spacing w:line="360" w:lineRule="auto"/>
        <w:jc w:val="left"/>
        <w:rPr>
          <w:rFonts w:hint="eastAsia" w:ascii="仿宋" w:hAnsi="仿宋" w:eastAsia="仿宋" w:cs="仿宋"/>
          <w:color w:val="auto"/>
          <w:sz w:val="21"/>
          <w:szCs w:val="21"/>
          <w:highlight w:val="none"/>
          <w:lang w:eastAsia="en-US"/>
        </w:rPr>
      </w:pPr>
      <w:bookmarkStart w:id="58" w:name="_Toc58592867"/>
      <w:bookmarkStart w:id="59" w:name="_Toc70360135"/>
      <w:bookmarkStart w:id="60" w:name="_Toc262767118"/>
      <w:bookmarkStart w:id="61" w:name="_Toc203387026"/>
      <w:bookmarkStart w:id="62" w:name="_Toc270325447"/>
      <w:bookmarkStart w:id="63" w:name="_Toc363737109"/>
      <w:bookmarkStart w:id="64" w:name="_Toc139522777"/>
      <w:bookmarkStart w:id="65" w:name="_Toc290363336"/>
      <w:bookmarkStart w:id="66" w:name="_Toc229942383"/>
      <w:bookmarkStart w:id="67" w:name="_Toc42863602"/>
      <w:bookmarkStart w:id="68" w:name="_Toc214264227"/>
      <w:bookmarkStart w:id="69" w:name="_Toc279482096"/>
      <w:bookmarkStart w:id="70" w:name="_Toc245063350"/>
      <w:bookmarkStart w:id="71" w:name="_Toc226475662"/>
      <w:bookmarkStart w:id="72" w:name="_Toc243903333"/>
      <w:bookmarkStart w:id="73" w:name="_Toc212533277"/>
      <w:bookmarkStart w:id="74" w:name="_Toc7798226"/>
      <w:bookmarkStart w:id="75" w:name="_Toc478484597"/>
      <w:bookmarkStart w:id="76" w:name="_Toc513126622"/>
      <w:r>
        <w:rPr>
          <w:rFonts w:hint="eastAsia" w:ascii="仿宋" w:hAnsi="仿宋" w:eastAsia="仿宋" w:cs="仿宋"/>
          <w:color w:val="auto"/>
          <w:sz w:val="21"/>
          <w:szCs w:val="21"/>
          <w:highlight w:val="none"/>
          <w:lang w:eastAsia="en-US"/>
        </w:rPr>
        <w:t>（4）培训</w:t>
      </w:r>
      <w:bookmarkEnd w:id="42"/>
      <w:bookmarkEnd w:id="58"/>
      <w:bookmarkEnd w:id="59"/>
      <w:r>
        <w:rPr>
          <w:rFonts w:hint="eastAsia" w:ascii="仿宋" w:hAnsi="仿宋" w:eastAsia="仿宋" w:cs="仿宋"/>
          <w:color w:val="auto"/>
          <w:sz w:val="21"/>
          <w:szCs w:val="21"/>
          <w:highlight w:val="none"/>
          <w:lang w:eastAsia="en-US"/>
        </w:rPr>
        <w:t>时间</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pPr>
        <w:adjustRightInd w:val="0"/>
        <w:snapToGrid w:val="0"/>
        <w:spacing w:line="360" w:lineRule="auto"/>
        <w:ind w:firstLine="420" w:firstLineChars="200"/>
        <w:rPr>
          <w:rFonts w:hint="eastAsia" w:ascii="仿宋" w:hAnsi="仿宋" w:eastAsia="仿宋" w:cs="仿宋"/>
          <w:color w:val="auto"/>
          <w:sz w:val="21"/>
          <w:szCs w:val="21"/>
          <w:highlight w:val="none"/>
          <w:lang w:eastAsia="en-US"/>
        </w:rPr>
      </w:pPr>
      <w:r>
        <w:rPr>
          <w:rFonts w:hint="eastAsia" w:ascii="仿宋" w:hAnsi="仿宋" w:eastAsia="仿宋" w:cs="仿宋"/>
          <w:color w:val="auto"/>
          <w:sz w:val="21"/>
          <w:szCs w:val="21"/>
          <w:highlight w:val="none"/>
          <w:lang w:eastAsia="en-US"/>
        </w:rPr>
        <w:t>集中培训和现场操作培训时间由中标人和采购人在签订合同时协商决定。</w:t>
      </w:r>
    </w:p>
    <w:p>
      <w:pPr>
        <w:spacing w:line="360" w:lineRule="auto"/>
        <w:jc w:val="left"/>
        <w:rPr>
          <w:rFonts w:hint="eastAsia" w:ascii="仿宋" w:hAnsi="仿宋" w:eastAsia="仿宋" w:cs="仿宋"/>
          <w:color w:val="auto"/>
          <w:sz w:val="21"/>
          <w:szCs w:val="21"/>
          <w:highlight w:val="none"/>
          <w:lang w:eastAsia="en-US"/>
        </w:rPr>
      </w:pPr>
      <w:bookmarkStart w:id="77" w:name="_Toc270325448"/>
      <w:bookmarkStart w:id="78" w:name="_Toc214264228"/>
      <w:bookmarkStart w:id="79" w:name="_Toc513126623"/>
      <w:bookmarkStart w:id="80" w:name="_Toc290363337"/>
      <w:bookmarkStart w:id="81" w:name="_Toc212533278"/>
      <w:bookmarkStart w:id="82" w:name="_Toc7798227"/>
      <w:bookmarkStart w:id="83" w:name="_Toc363737110"/>
      <w:bookmarkStart w:id="84" w:name="_Toc243903334"/>
      <w:bookmarkStart w:id="85" w:name="_Toc203387027"/>
      <w:bookmarkStart w:id="86" w:name="_Toc229942384"/>
      <w:bookmarkStart w:id="87" w:name="_Toc245063351"/>
      <w:bookmarkStart w:id="88" w:name="_Toc279482097"/>
      <w:bookmarkStart w:id="89" w:name="_Toc226475663"/>
      <w:bookmarkStart w:id="90" w:name="_Toc262767119"/>
      <w:bookmarkStart w:id="91" w:name="_Toc139522778"/>
      <w:bookmarkStart w:id="92" w:name="_Toc478484598"/>
      <w:bookmarkStart w:id="93" w:name="_Toc42863603"/>
      <w:bookmarkStart w:id="94" w:name="_Toc58592868"/>
      <w:bookmarkStart w:id="95" w:name="_Toc70360136"/>
      <w:bookmarkStart w:id="96" w:name="_Toc69470617"/>
      <w:r>
        <w:rPr>
          <w:rFonts w:hint="eastAsia" w:ascii="仿宋" w:hAnsi="仿宋" w:eastAsia="仿宋" w:cs="仿宋"/>
          <w:color w:val="auto"/>
          <w:sz w:val="21"/>
          <w:szCs w:val="21"/>
          <w:highlight w:val="none"/>
          <w:lang w:eastAsia="en-US"/>
        </w:rPr>
        <w:t>（5）培训地点</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bookmarkEnd w:id="94"/>
    <w:bookmarkEnd w:id="95"/>
    <w:bookmarkEnd w:id="96"/>
    <w:p>
      <w:pPr>
        <w:adjustRightInd w:val="0"/>
        <w:snapToGrid w:val="0"/>
        <w:spacing w:line="360" w:lineRule="auto"/>
        <w:ind w:firstLine="420" w:firstLineChars="200"/>
        <w:jc w:val="left"/>
        <w:rPr>
          <w:rFonts w:hint="eastAsia" w:ascii="仿宋" w:hAnsi="仿宋" w:eastAsia="仿宋" w:cs="仿宋"/>
          <w:color w:val="auto"/>
          <w:sz w:val="21"/>
          <w:szCs w:val="21"/>
          <w:highlight w:val="none"/>
          <w:lang w:eastAsia="en-US"/>
        </w:rPr>
      </w:pPr>
      <w:r>
        <w:rPr>
          <w:rFonts w:hint="eastAsia" w:ascii="仿宋" w:hAnsi="仿宋" w:eastAsia="仿宋" w:cs="仿宋"/>
          <w:color w:val="auto"/>
          <w:sz w:val="21"/>
          <w:szCs w:val="21"/>
          <w:highlight w:val="none"/>
          <w:lang w:eastAsia="en-US"/>
        </w:rPr>
        <w:t>理论培训在用户处进行；现场操作培训在设备安装现场或用户方指定的其他地点进行，培训人次不低于10人，次数不能低于2次。</w:t>
      </w:r>
    </w:p>
    <w:p>
      <w:pPr>
        <w:spacing w:line="360" w:lineRule="auto"/>
        <w:jc w:val="left"/>
        <w:rPr>
          <w:rFonts w:hint="eastAsia" w:ascii="仿宋" w:hAnsi="仿宋" w:eastAsia="仿宋" w:cs="仿宋"/>
          <w:b/>
          <w:bCs/>
          <w:color w:val="auto"/>
          <w:sz w:val="21"/>
          <w:szCs w:val="21"/>
          <w:highlight w:val="none"/>
          <w:lang w:eastAsia="en-US"/>
        </w:rPr>
      </w:pPr>
      <w:r>
        <w:rPr>
          <w:rFonts w:hint="eastAsia" w:ascii="仿宋" w:hAnsi="仿宋" w:eastAsia="仿宋" w:cs="仿宋"/>
          <w:b/>
          <w:bCs/>
          <w:color w:val="auto"/>
          <w:sz w:val="21"/>
          <w:szCs w:val="21"/>
          <w:highlight w:val="none"/>
          <w:lang w:val="en-US" w:eastAsia="en-US"/>
        </w:rPr>
        <w:t>六</w:t>
      </w:r>
      <w:r>
        <w:rPr>
          <w:rFonts w:hint="eastAsia" w:ascii="仿宋" w:hAnsi="仿宋" w:eastAsia="仿宋" w:cs="仿宋"/>
          <w:b/>
          <w:bCs/>
          <w:color w:val="auto"/>
          <w:sz w:val="21"/>
          <w:szCs w:val="21"/>
          <w:highlight w:val="none"/>
          <w:lang w:eastAsia="en-US"/>
        </w:rPr>
        <w:t>、质保期及售后服务要求</w:t>
      </w:r>
    </w:p>
    <w:p>
      <w:pPr>
        <w:spacing w:line="360" w:lineRule="auto"/>
        <w:rPr>
          <w:rFonts w:hint="eastAsia" w:ascii="仿宋" w:hAnsi="仿宋" w:eastAsia="仿宋" w:cs="仿宋"/>
          <w:color w:val="auto"/>
          <w:sz w:val="21"/>
          <w:szCs w:val="21"/>
          <w:highlight w:val="none"/>
          <w:lang w:eastAsia="en-US"/>
        </w:rPr>
      </w:pPr>
      <w:r>
        <w:rPr>
          <w:rFonts w:hint="eastAsia" w:ascii="仿宋" w:hAnsi="仿宋" w:eastAsia="仿宋" w:cs="仿宋"/>
          <w:color w:val="auto"/>
          <w:sz w:val="21"/>
          <w:szCs w:val="21"/>
          <w:highlight w:val="none"/>
          <w:lang w:eastAsia="en-US"/>
        </w:rPr>
        <w:t xml:space="preserve"> ①项目通过初步验收后进入系统正式试运行阶段，正式试运行1个月且无重大故障，项目建设单位组织终验。验收合格后进入免费质保期，免费质保期不少于</w:t>
      </w:r>
      <w:r>
        <w:rPr>
          <w:rFonts w:hint="eastAsia" w:ascii="仿宋" w:hAnsi="仿宋" w:eastAsia="仿宋" w:cs="仿宋"/>
          <w:color w:val="auto"/>
          <w:sz w:val="21"/>
          <w:szCs w:val="21"/>
          <w:highlight w:val="none"/>
          <w:lang w:val="en-US" w:eastAsia="en-US"/>
        </w:rPr>
        <w:t>2</w:t>
      </w:r>
      <w:r>
        <w:rPr>
          <w:rFonts w:hint="eastAsia" w:ascii="仿宋" w:hAnsi="仿宋" w:eastAsia="仿宋" w:cs="仿宋"/>
          <w:color w:val="auto"/>
          <w:sz w:val="21"/>
          <w:szCs w:val="21"/>
          <w:highlight w:val="none"/>
          <w:lang w:eastAsia="en-US"/>
        </w:rPr>
        <w:t xml:space="preserve">年。 </w:t>
      </w:r>
    </w:p>
    <w:p>
      <w:pPr>
        <w:spacing w:line="360" w:lineRule="auto"/>
        <w:jc w:val="left"/>
        <w:rPr>
          <w:rFonts w:hint="eastAsia" w:ascii="仿宋" w:hAnsi="仿宋" w:eastAsia="仿宋" w:cs="仿宋"/>
          <w:color w:val="auto"/>
          <w:sz w:val="21"/>
          <w:szCs w:val="21"/>
          <w:highlight w:val="none"/>
          <w:lang w:eastAsia="en-US"/>
        </w:rPr>
      </w:pPr>
      <w:r>
        <w:rPr>
          <w:rFonts w:hint="eastAsia" w:ascii="仿宋" w:hAnsi="仿宋" w:eastAsia="仿宋" w:cs="仿宋"/>
          <w:color w:val="auto"/>
          <w:sz w:val="21"/>
          <w:szCs w:val="21"/>
          <w:highlight w:val="none"/>
          <w:lang w:eastAsia="en-US"/>
        </w:rPr>
        <w:t>②免费质保期内，系统硬件设备出现故障（由于火灾、地震等不可抗拒因素及其他人为因素而造成的产品损坏除外），均由中标人负责免费维修和更换；质保期外，提供有偿维修服务。 中标人</w:t>
      </w:r>
      <w:r>
        <w:rPr>
          <w:rFonts w:hint="eastAsia" w:ascii="仿宋" w:hAnsi="仿宋" w:eastAsia="仿宋" w:cs="仿宋"/>
          <w:color w:val="auto"/>
          <w:sz w:val="21"/>
          <w:szCs w:val="21"/>
          <w:highlight w:val="none"/>
          <w:lang w:val="en-US" w:eastAsia="en-US"/>
        </w:rPr>
        <w:t>需</w:t>
      </w:r>
      <w:r>
        <w:rPr>
          <w:rFonts w:hint="eastAsia" w:ascii="仿宋" w:hAnsi="仿宋" w:eastAsia="仿宋" w:cs="仿宋"/>
          <w:color w:val="auto"/>
          <w:sz w:val="21"/>
          <w:szCs w:val="21"/>
          <w:highlight w:val="none"/>
          <w:lang w:eastAsia="en-US"/>
        </w:rPr>
        <w:t>提供7×24小时热线电话服务；能够在接到用户单位的故障通知后，1小时内响应，远程解决不了的8小时内到达现场维修，简单故障能在到达现场后4小时内排除，复杂故障能在到达现场后48小时内排除故障或者用备件更换故障设备。</w:t>
      </w:r>
    </w:p>
    <w:p>
      <w:pPr>
        <w:spacing w:line="360" w:lineRule="auto"/>
        <w:jc w:val="left"/>
        <w:rPr>
          <w:rFonts w:hint="eastAsia" w:ascii="仿宋" w:hAnsi="仿宋" w:eastAsia="仿宋" w:cs="仿宋"/>
          <w:b w:val="0"/>
          <w:color w:val="auto"/>
          <w:szCs w:val="21"/>
          <w:highlight w:val="none"/>
          <w:lang w:eastAsia="en-US"/>
        </w:rPr>
      </w:pPr>
      <w:r>
        <w:rPr>
          <w:rFonts w:hint="eastAsia" w:ascii="仿宋" w:hAnsi="仿宋" w:eastAsia="仿宋" w:cs="仿宋"/>
          <w:color w:val="auto"/>
          <w:sz w:val="21"/>
          <w:szCs w:val="21"/>
          <w:highlight w:val="none"/>
          <w:lang w:eastAsia="en-US"/>
        </w:rPr>
        <w:t>③保证系统能正常运转，并向用户单位提交检查的书面报告。 投标人向用户方说明并承诺维护期满后，将继续提供进行维护升级服务，服务费用、维护内容及服务方式、范围（按照产品、技术、模块确定服务的收费标准）由双方共同协商，费用不计入本次投标总价。</w:t>
      </w:r>
    </w:p>
    <w:p>
      <w:pPr>
        <w:pStyle w:val="22"/>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282"/>
        <w:rPr>
          <w:rFonts w:hint="eastAsia" w:ascii="仿宋" w:hAnsi="仿宋" w:eastAsia="仿宋" w:cs="仿宋"/>
          <w:color w:val="auto"/>
          <w:szCs w:val="24"/>
          <w:highlight w:val="none"/>
        </w:rPr>
      </w:pPr>
    </w:p>
    <w:p>
      <w:pPr>
        <w:pStyle w:val="282"/>
        <w:rPr>
          <w:rFonts w:hint="eastAsia" w:ascii="仿宋" w:hAnsi="仿宋" w:eastAsia="仿宋" w:cs="仿宋"/>
          <w:color w:val="auto"/>
          <w:szCs w:val="24"/>
          <w:highlight w:val="none"/>
        </w:rPr>
      </w:pPr>
    </w:p>
    <w:p>
      <w:pPr>
        <w:pStyle w:val="282"/>
        <w:jc w:val="center"/>
        <w:rPr>
          <w:rFonts w:hint="eastAsia" w:ascii="仿宋" w:hAnsi="仿宋" w:eastAsia="仿宋" w:cs="仿宋"/>
          <w:color w:val="auto"/>
          <w:szCs w:val="24"/>
          <w:highlight w:val="none"/>
        </w:rPr>
      </w:pPr>
    </w:p>
    <w:p>
      <w:pPr>
        <w:pStyle w:val="28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282"/>
        <w:rPr>
          <w:rFonts w:hint="eastAsia" w:ascii="仿宋" w:hAnsi="仿宋" w:eastAsia="仿宋" w:cs="仿宋"/>
          <w:color w:val="auto"/>
          <w:szCs w:val="24"/>
          <w:highlight w:val="none"/>
        </w:rPr>
      </w:pPr>
    </w:p>
    <w:p>
      <w:pPr>
        <w:pStyle w:val="282"/>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281"/>
        <w:spacing w:before="120" w:line="22" w:lineRule="atLeast"/>
        <w:rPr>
          <w:rFonts w:hint="eastAsia" w:ascii="仿宋" w:hAnsi="仿宋" w:eastAsia="仿宋" w:cs="仿宋"/>
          <w:color w:val="auto"/>
          <w:szCs w:val="24"/>
          <w:highlight w:val="none"/>
        </w:rPr>
      </w:pPr>
    </w:p>
    <w:p>
      <w:pPr>
        <w:pStyle w:val="281"/>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headerReference r:id="rId3" w:type="default"/>
          <w:footerReference r:id="rId4" w:type="default"/>
          <w:pgSz w:w="11907" w:h="16840"/>
          <w:pgMar w:top="1474" w:right="1814" w:bottom="1474" w:left="1814" w:header="851" w:footer="851" w:gutter="0"/>
          <w:pgBorders>
            <w:top w:val="none" w:sz="0" w:space="0"/>
            <w:left w:val="none" w:sz="0" w:space="0"/>
            <w:bottom w:val="none" w:sz="0" w:space="0"/>
            <w:right w:val="none" w:sz="0" w:space="0"/>
          </w:pgBorders>
          <w:cols w:space="720" w:num="1"/>
          <w:titlePg/>
          <w:docGrid w:linePitch="286" w:charSpace="0"/>
        </w:sect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97" w:name="_Toc24059"/>
      <w:bookmarkStart w:id="98" w:name="_Toc2232"/>
      <w:bookmarkStart w:id="99" w:name="_Toc3029"/>
      <w:r>
        <w:rPr>
          <w:rFonts w:hint="eastAsia" w:ascii="仿宋" w:hAnsi="仿宋" w:eastAsia="仿宋" w:cs="仿宋"/>
          <w:b/>
          <w:color w:val="auto"/>
          <w:sz w:val="24"/>
          <w:highlight w:val="none"/>
        </w:rPr>
        <w:t>1.1 合同组成部分</w:t>
      </w:r>
      <w:bookmarkEnd w:id="97"/>
      <w:bookmarkEnd w:id="98"/>
      <w:bookmarkEnd w:id="9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100" w:name="_Toc27126"/>
      <w:bookmarkStart w:id="101" w:name="_Toc21295"/>
      <w:bookmarkStart w:id="102" w:name="_Toc24300"/>
      <w:r>
        <w:rPr>
          <w:rFonts w:hint="eastAsia" w:ascii="仿宋" w:hAnsi="仿宋" w:eastAsia="仿宋" w:cs="仿宋"/>
          <w:b/>
          <w:color w:val="auto"/>
          <w:sz w:val="24"/>
          <w:highlight w:val="none"/>
        </w:rPr>
        <w:t>1.2 货物</w:t>
      </w:r>
      <w:bookmarkEnd w:id="100"/>
      <w:bookmarkEnd w:id="101"/>
      <w:bookmarkEnd w:id="102"/>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3" w:name="_Toc21551"/>
      <w:bookmarkStart w:id="104" w:name="_Toc23292"/>
      <w:bookmarkStart w:id="105" w:name="_Toc21631"/>
      <w:r>
        <w:rPr>
          <w:rFonts w:hint="eastAsia" w:ascii="仿宋" w:hAnsi="仿宋" w:eastAsia="仿宋" w:cs="仿宋"/>
          <w:b/>
          <w:color w:val="auto"/>
          <w:sz w:val="24"/>
          <w:highlight w:val="none"/>
        </w:rPr>
        <w:t>1.3 价款</w:t>
      </w:r>
      <w:bookmarkEnd w:id="103"/>
      <w:bookmarkEnd w:id="104"/>
      <w:bookmarkEnd w:id="10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r>
    </w:tbl>
    <w:p>
      <w:pPr>
        <w:spacing w:line="440" w:lineRule="exact"/>
        <w:ind w:firstLine="482" w:firstLineChars="200"/>
        <w:outlineLvl w:val="0"/>
        <w:rPr>
          <w:rFonts w:hint="eastAsia" w:ascii="仿宋" w:hAnsi="仿宋" w:eastAsia="仿宋" w:cs="仿宋"/>
          <w:b/>
          <w:color w:val="auto"/>
          <w:sz w:val="24"/>
          <w:highlight w:val="none"/>
        </w:rPr>
      </w:pPr>
      <w:bookmarkStart w:id="106" w:name="_Toc10340"/>
      <w:bookmarkStart w:id="107" w:name="_Toc1814"/>
      <w:bookmarkStart w:id="108" w:name="_Toc22618"/>
      <w:r>
        <w:rPr>
          <w:rFonts w:hint="eastAsia" w:ascii="仿宋" w:hAnsi="仿宋" w:eastAsia="仿宋" w:cs="仿宋"/>
          <w:b/>
          <w:color w:val="auto"/>
          <w:sz w:val="24"/>
          <w:highlight w:val="none"/>
        </w:rPr>
        <w:t>1.4 付款</w:t>
      </w:r>
      <w:bookmarkEnd w:id="106"/>
      <w:bookmarkEnd w:id="107"/>
      <w:bookmarkEnd w:id="108"/>
      <w:r>
        <w:rPr>
          <w:rFonts w:hint="eastAsia" w:ascii="仿宋" w:hAnsi="仿宋" w:eastAsia="仿宋" w:cs="仿宋"/>
          <w:b/>
          <w:color w:val="auto"/>
          <w:sz w:val="24"/>
          <w:highlight w:val="none"/>
        </w:rPr>
        <w:t>方式、时间和条件</w:t>
      </w:r>
    </w:p>
    <w:p>
      <w:pPr>
        <w:pStyle w:val="283"/>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hint="eastAsia" w:ascii="仿宋" w:hAnsi="仿宋" w:eastAsia="仿宋" w:cs="仿宋"/>
          <w:b/>
          <w:color w:val="auto"/>
          <w:sz w:val="24"/>
          <w:highlight w:val="none"/>
        </w:rPr>
      </w:pPr>
      <w:bookmarkStart w:id="109" w:name="_Toc19304"/>
      <w:bookmarkStart w:id="110" w:name="_Toc32071"/>
      <w:bookmarkStart w:id="111" w:name="_Toc2846"/>
      <w:r>
        <w:rPr>
          <w:rFonts w:hint="eastAsia" w:ascii="仿宋" w:hAnsi="仿宋" w:eastAsia="仿宋" w:cs="仿宋"/>
          <w:b/>
          <w:color w:val="auto"/>
          <w:sz w:val="24"/>
          <w:highlight w:val="none"/>
        </w:rPr>
        <w:t>1.5 货物交付期限、地点和方式</w:t>
      </w:r>
      <w:bookmarkEnd w:id="109"/>
      <w:bookmarkEnd w:id="110"/>
      <w:bookmarkEnd w:id="111"/>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12" w:name="_Toc21423"/>
      <w:bookmarkStart w:id="113" w:name="_Toc27250"/>
      <w:bookmarkStart w:id="114" w:name="_Toc19554"/>
      <w:r>
        <w:rPr>
          <w:rFonts w:hint="eastAsia" w:ascii="仿宋" w:hAnsi="仿宋" w:eastAsia="仿宋" w:cs="仿宋"/>
          <w:b/>
          <w:color w:val="auto"/>
          <w:sz w:val="24"/>
          <w:highlight w:val="none"/>
        </w:rPr>
        <w:t>1.6 违约责任</w:t>
      </w:r>
      <w:bookmarkEnd w:id="112"/>
      <w:bookmarkEnd w:id="113"/>
      <w:bookmarkEnd w:id="11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115" w:name="_Toc15583"/>
      <w:bookmarkStart w:id="116" w:name="_Toc28375"/>
      <w:bookmarkStart w:id="117" w:name="_Toc16021"/>
      <w:r>
        <w:rPr>
          <w:rFonts w:hint="eastAsia" w:ascii="仿宋" w:hAnsi="仿宋" w:eastAsia="仿宋" w:cs="仿宋"/>
          <w:b/>
          <w:color w:val="auto"/>
          <w:sz w:val="24"/>
          <w:highlight w:val="none"/>
        </w:rPr>
        <w:t>1.7 合同争议的解决</w:t>
      </w:r>
      <w:bookmarkEnd w:id="115"/>
      <w:bookmarkEnd w:id="116"/>
      <w:bookmarkEnd w:id="117"/>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118" w:name="_Toc15322"/>
      <w:bookmarkStart w:id="119" w:name="_Toc11173"/>
      <w:bookmarkStart w:id="120" w:name="_Toc7245"/>
      <w:r>
        <w:rPr>
          <w:rFonts w:hint="eastAsia" w:ascii="仿宋" w:hAnsi="仿宋" w:eastAsia="仿宋" w:cs="仿宋"/>
          <w:b/>
          <w:color w:val="auto"/>
          <w:sz w:val="24"/>
          <w:highlight w:val="none"/>
        </w:rPr>
        <w:t>1.8 合同生效</w:t>
      </w:r>
      <w:bookmarkEnd w:id="118"/>
      <w:bookmarkEnd w:id="119"/>
      <w:bookmarkEnd w:id="120"/>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pPr>
        <w:autoSpaceDE w:val="0"/>
        <w:autoSpaceDN w:val="0"/>
        <w:spacing w:line="24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24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rPr>
          <w:rFonts w:hint="eastAsia" w:ascii="仿宋" w:hAnsi="仿宋" w:eastAsia="仿宋" w:cs="仿宋"/>
          <w:color w:val="auto"/>
          <w:sz w:val="24"/>
          <w:highlight w:val="none"/>
          <w:u w:val="single"/>
        </w:rPr>
      </w:pPr>
    </w:p>
    <w:p>
      <w:pPr>
        <w:pStyle w:val="282"/>
        <w:pageBreakBefore/>
        <w:spacing w:line="560" w:lineRule="exact"/>
        <w:ind w:firstLine="723"/>
        <w:jc w:val="center"/>
        <w:rPr>
          <w:rFonts w:hint="eastAsia" w:ascii="仿宋" w:hAnsi="仿宋" w:eastAsia="仿宋" w:cs="仿宋"/>
          <w:b/>
          <w:color w:val="auto"/>
          <w:sz w:val="36"/>
          <w:szCs w:val="36"/>
          <w:highlight w:val="none"/>
        </w:rPr>
      </w:pPr>
      <w:bookmarkStart w:id="121" w:name="_Toc331685783"/>
      <w:r>
        <w:rPr>
          <w:rFonts w:hint="eastAsia" w:ascii="仿宋" w:hAnsi="仿宋" w:eastAsia="仿宋" w:cs="仿宋"/>
          <w:b/>
          <w:color w:val="auto"/>
          <w:sz w:val="36"/>
          <w:szCs w:val="36"/>
          <w:highlight w:val="none"/>
        </w:rPr>
        <w:t>第二部分合同一般条款</w:t>
      </w:r>
      <w:bookmarkEnd w:id="121"/>
    </w:p>
    <w:p>
      <w:pPr>
        <w:spacing w:line="560" w:lineRule="exact"/>
        <w:ind w:firstLine="482" w:firstLineChars="200"/>
        <w:outlineLvl w:val="0"/>
        <w:rPr>
          <w:rFonts w:hint="eastAsia" w:ascii="仿宋" w:hAnsi="仿宋" w:eastAsia="仿宋" w:cs="仿宋"/>
          <w:b/>
          <w:color w:val="auto"/>
          <w:sz w:val="24"/>
          <w:highlight w:val="none"/>
        </w:rPr>
      </w:pPr>
      <w:bookmarkStart w:id="122" w:name="_Ref467379101"/>
      <w:bookmarkStart w:id="123" w:name="_Ref467378404"/>
      <w:bookmarkStart w:id="124" w:name="_Toc279701240"/>
      <w:bookmarkStart w:id="125" w:name="_Toc16917"/>
      <w:bookmarkStart w:id="126" w:name="_Ref467379195"/>
      <w:bookmarkStart w:id="127" w:name="_Ref467378499"/>
      <w:bookmarkStart w:id="128" w:name="_Toc487900349"/>
      <w:bookmarkStart w:id="129" w:name="_Ref467379214"/>
      <w:bookmarkStart w:id="130" w:name="_Toc19614"/>
      <w:bookmarkStart w:id="131" w:name="_Ref467379205"/>
      <w:bookmarkStart w:id="132" w:name="_Ref467379109"/>
      <w:bookmarkStart w:id="133" w:name="_Toc28763"/>
      <w:bookmarkStart w:id="134" w:name="_Toc259093669"/>
      <w:bookmarkStart w:id="135" w:name="_Ref467379094"/>
      <w:bookmarkStart w:id="136" w:name="_Ref467379225"/>
      <w:bookmarkStart w:id="137" w:name="_Ref467378463"/>
      <w:r>
        <w:rPr>
          <w:rFonts w:hint="eastAsia" w:ascii="仿宋" w:hAnsi="仿宋" w:eastAsia="仿宋" w:cs="仿宋"/>
          <w:b/>
          <w:color w:val="auto"/>
          <w:sz w:val="24"/>
          <w:highlight w:val="none"/>
        </w:rPr>
        <w:t>2.1 定义</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138" w:name="_Ref467378840"/>
      <w:r>
        <w:rPr>
          <w:rFonts w:hint="eastAsia" w:ascii="仿宋" w:hAnsi="仿宋" w:eastAsia="仿宋" w:cs="仿宋"/>
          <w:color w:val="auto"/>
          <w:sz w:val="24"/>
          <w:highlight w:val="none"/>
        </w:rPr>
        <w:t>2.1.4 “甲方”系指与中标供应商签署合同的采购人</w:t>
      </w:r>
      <w:bookmarkEnd w:id="138"/>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bookmarkStart w:id="139" w:name="_Ref467379400"/>
      <w:r>
        <w:rPr>
          <w:rFonts w:hint="eastAsia" w:ascii="仿宋" w:hAnsi="仿宋" w:eastAsia="仿宋" w:cs="仿宋"/>
          <w:color w:val="auto"/>
          <w:sz w:val="24"/>
          <w:highlight w:val="none"/>
        </w:rPr>
        <w:t>2.1.5 “乙方”系指根据合同约定交付货物的中标供应商</w:t>
      </w:r>
      <w:bookmarkEnd w:id="139"/>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140" w:name="_Ref467379436"/>
      <w:r>
        <w:rPr>
          <w:rFonts w:hint="eastAsia" w:ascii="仿宋" w:hAnsi="仿宋" w:eastAsia="仿宋" w:cs="仿宋"/>
          <w:color w:val="auto"/>
          <w:sz w:val="24"/>
          <w:highlight w:val="none"/>
        </w:rPr>
        <w:t>2.1.6 “现场”系指合同约定货物将要运至或者安装的地点。</w:t>
      </w:r>
      <w:bookmarkEnd w:id="140"/>
    </w:p>
    <w:p>
      <w:pPr>
        <w:spacing w:line="560" w:lineRule="exact"/>
        <w:ind w:firstLine="482" w:firstLineChars="200"/>
        <w:outlineLvl w:val="0"/>
        <w:rPr>
          <w:rFonts w:hint="eastAsia" w:ascii="仿宋" w:hAnsi="仿宋" w:eastAsia="仿宋" w:cs="仿宋"/>
          <w:b/>
          <w:color w:val="auto"/>
          <w:sz w:val="24"/>
          <w:highlight w:val="none"/>
        </w:rPr>
      </w:pPr>
      <w:bookmarkStart w:id="141" w:name="_Toc13336"/>
      <w:bookmarkStart w:id="142" w:name="_Toc279701241"/>
      <w:bookmarkStart w:id="143" w:name="_Toc32504"/>
      <w:bookmarkStart w:id="144" w:name="_Toc259093670"/>
      <w:bookmarkStart w:id="145" w:name="_Toc487900350"/>
      <w:bookmarkStart w:id="146" w:name="_Toc27635"/>
      <w:r>
        <w:rPr>
          <w:rFonts w:hint="eastAsia" w:ascii="仿宋" w:hAnsi="仿宋" w:eastAsia="仿宋" w:cs="仿宋"/>
          <w:b/>
          <w:color w:val="auto"/>
          <w:sz w:val="24"/>
          <w:highlight w:val="none"/>
        </w:rPr>
        <w:t>2.2 技术规范</w:t>
      </w:r>
      <w:bookmarkEnd w:id="141"/>
      <w:bookmarkEnd w:id="142"/>
      <w:bookmarkEnd w:id="143"/>
      <w:bookmarkEnd w:id="144"/>
      <w:bookmarkEnd w:id="145"/>
      <w:bookmarkEnd w:id="14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147" w:name="_Toc27853"/>
      <w:bookmarkStart w:id="148" w:name="_Toc9829"/>
      <w:bookmarkStart w:id="149" w:name="_Toc279701242"/>
      <w:bookmarkStart w:id="150" w:name="_Toc31634"/>
      <w:bookmarkStart w:id="151" w:name="_Toc487900351"/>
      <w:bookmarkStart w:id="152" w:name="_Toc259093671"/>
      <w:r>
        <w:rPr>
          <w:rFonts w:hint="eastAsia" w:ascii="仿宋" w:hAnsi="仿宋" w:eastAsia="仿宋" w:cs="仿宋"/>
          <w:b/>
          <w:color w:val="auto"/>
          <w:sz w:val="24"/>
          <w:highlight w:val="none"/>
        </w:rPr>
        <w:t>2.3 知识产权</w:t>
      </w:r>
      <w:bookmarkEnd w:id="147"/>
      <w:bookmarkEnd w:id="148"/>
      <w:bookmarkEnd w:id="149"/>
      <w:bookmarkEnd w:id="150"/>
      <w:bookmarkEnd w:id="151"/>
      <w:bookmarkEnd w:id="15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53" w:name="_Toc29149"/>
      <w:bookmarkStart w:id="154" w:name="_Toc4194"/>
      <w:bookmarkStart w:id="155" w:name="_Toc11932"/>
      <w:r>
        <w:rPr>
          <w:rFonts w:hint="eastAsia" w:ascii="仿宋" w:hAnsi="仿宋" w:eastAsia="仿宋" w:cs="仿宋"/>
          <w:b/>
          <w:color w:val="auto"/>
          <w:sz w:val="24"/>
          <w:highlight w:val="none"/>
        </w:rPr>
        <w:t>2.4 包装和装运</w:t>
      </w:r>
      <w:bookmarkEnd w:id="153"/>
      <w:bookmarkEnd w:id="154"/>
      <w:bookmarkEnd w:id="15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56" w:name="_Toc279701245"/>
      <w:bookmarkStart w:id="157" w:name="_Ref467379536"/>
      <w:bookmarkStart w:id="158" w:name="_Toc487900354"/>
      <w:bookmarkStart w:id="159" w:name="_Toc259093674"/>
      <w:bookmarkStart w:id="160" w:name="_Ref467379542"/>
      <w:bookmarkStart w:id="161" w:name="_Ref467378541"/>
      <w:bookmarkStart w:id="162" w:name="_Ref467378591"/>
      <w:bookmarkStart w:id="163" w:name="_Ref467379527"/>
      <w:bookmarkStart w:id="164" w:name="_Toc19074"/>
      <w:bookmarkStart w:id="165" w:name="_Toc30272"/>
      <w:bookmarkStart w:id="166" w:name="_Toc26182"/>
      <w:r>
        <w:rPr>
          <w:rFonts w:hint="eastAsia" w:ascii="仿宋" w:hAnsi="仿宋" w:eastAsia="仿宋" w:cs="仿宋"/>
          <w:b/>
          <w:color w:val="auto"/>
          <w:sz w:val="24"/>
          <w:highlight w:val="none"/>
        </w:rPr>
        <w:t>2.</w:t>
      </w:r>
      <w:bookmarkEnd w:id="156"/>
      <w:bookmarkEnd w:id="157"/>
      <w:bookmarkEnd w:id="158"/>
      <w:bookmarkEnd w:id="159"/>
      <w:bookmarkEnd w:id="160"/>
      <w:bookmarkEnd w:id="161"/>
      <w:bookmarkEnd w:id="162"/>
      <w:bookmarkEnd w:id="163"/>
      <w:r>
        <w:rPr>
          <w:rFonts w:hint="eastAsia" w:ascii="仿宋" w:hAnsi="仿宋" w:eastAsia="仿宋" w:cs="仿宋"/>
          <w:b/>
          <w:color w:val="auto"/>
          <w:sz w:val="24"/>
          <w:highlight w:val="none"/>
        </w:rPr>
        <w:t>5 履约检查和问题反馈</w:t>
      </w:r>
      <w:bookmarkEnd w:id="164"/>
      <w:bookmarkEnd w:id="165"/>
      <w:bookmarkEnd w:id="166"/>
    </w:p>
    <w:p>
      <w:pPr>
        <w:spacing w:line="560" w:lineRule="exact"/>
        <w:ind w:firstLine="480" w:firstLineChars="200"/>
        <w:rPr>
          <w:rFonts w:hint="eastAsia" w:ascii="仿宋" w:hAnsi="仿宋" w:eastAsia="仿宋" w:cs="仿宋"/>
          <w:color w:val="auto"/>
          <w:sz w:val="24"/>
          <w:highlight w:val="none"/>
        </w:rPr>
      </w:pPr>
      <w:bookmarkStart w:id="167" w:name="_Ref467379657"/>
      <w:r>
        <w:rPr>
          <w:rFonts w:hint="eastAsia" w:ascii="仿宋" w:hAnsi="仿宋" w:eastAsia="仿宋" w:cs="仿宋"/>
          <w:color w:val="auto"/>
          <w:sz w:val="24"/>
          <w:highlight w:val="none"/>
        </w:rPr>
        <w:t>2.5.1</w:t>
      </w:r>
      <w:bookmarkEnd w:id="167"/>
      <w:bookmarkStart w:id="168" w:name="_Toc186431854"/>
      <w:bookmarkStart w:id="169" w:name="_Toc279701247"/>
      <w:bookmarkStart w:id="170" w:name="_Toc487900357"/>
      <w:bookmarkStart w:id="171" w:name="_Ref467379793"/>
      <w:bookmarkStart w:id="172" w:name="_Toc259093676"/>
      <w:bookmarkStart w:id="173"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68"/>
      <w:bookmarkStart w:id="174" w:name="_Toc186431855"/>
      <w:r>
        <w:rPr>
          <w:rFonts w:hint="eastAsia" w:ascii="仿宋" w:hAnsi="仿宋" w:eastAsia="仿宋" w:cs="仿宋"/>
          <w:color w:val="auto"/>
          <w:sz w:val="24"/>
          <w:highlight w:val="none"/>
        </w:rPr>
        <w:t>。</w:t>
      </w:r>
    </w:p>
    <w:bookmarkEnd w:id="169"/>
    <w:bookmarkEnd w:id="170"/>
    <w:bookmarkEnd w:id="171"/>
    <w:bookmarkEnd w:id="172"/>
    <w:bookmarkEnd w:id="173"/>
    <w:bookmarkEnd w:id="174"/>
    <w:p>
      <w:pPr>
        <w:spacing w:line="560" w:lineRule="exact"/>
        <w:ind w:firstLine="482" w:firstLineChars="200"/>
        <w:outlineLvl w:val="0"/>
        <w:rPr>
          <w:rFonts w:hint="eastAsia" w:ascii="仿宋" w:hAnsi="仿宋" w:eastAsia="仿宋" w:cs="仿宋"/>
          <w:b/>
          <w:color w:val="auto"/>
          <w:sz w:val="24"/>
          <w:highlight w:val="none"/>
        </w:rPr>
      </w:pPr>
      <w:bookmarkStart w:id="175" w:name="_Toc487900358"/>
      <w:bookmarkStart w:id="176" w:name="_Toc259093677"/>
      <w:bookmarkStart w:id="177" w:name="_Ref467379852"/>
      <w:bookmarkStart w:id="178" w:name="_Toc279701248"/>
      <w:bookmarkStart w:id="179" w:name="_Ref467379863"/>
      <w:bookmarkStart w:id="180" w:name="_Ref467379923"/>
      <w:bookmarkStart w:id="181" w:name="_Toc16110"/>
      <w:bookmarkStart w:id="182" w:name="_Toc774"/>
      <w:bookmarkStart w:id="183" w:name="_Toc3225"/>
      <w:r>
        <w:rPr>
          <w:rFonts w:hint="eastAsia" w:ascii="仿宋" w:hAnsi="仿宋" w:eastAsia="仿宋" w:cs="仿宋"/>
          <w:b/>
          <w:color w:val="auto"/>
          <w:sz w:val="24"/>
          <w:highlight w:val="none"/>
        </w:rPr>
        <w:t>2.6 技术资料</w:t>
      </w:r>
      <w:bookmarkEnd w:id="175"/>
      <w:bookmarkEnd w:id="176"/>
      <w:bookmarkEnd w:id="177"/>
      <w:bookmarkEnd w:id="178"/>
      <w:bookmarkEnd w:id="179"/>
      <w:bookmarkEnd w:id="180"/>
      <w:r>
        <w:rPr>
          <w:rFonts w:hint="eastAsia" w:ascii="仿宋" w:hAnsi="仿宋" w:eastAsia="仿宋" w:cs="仿宋"/>
          <w:b/>
          <w:color w:val="auto"/>
          <w:sz w:val="24"/>
          <w:highlight w:val="none"/>
        </w:rPr>
        <w:t>和保密义务</w:t>
      </w:r>
      <w:bookmarkEnd w:id="181"/>
      <w:bookmarkEnd w:id="182"/>
      <w:bookmarkEnd w:id="18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84" w:name="_Toc7860"/>
      <w:r>
        <w:rPr>
          <w:rFonts w:hint="eastAsia" w:ascii="仿宋" w:hAnsi="仿宋" w:eastAsia="仿宋" w:cs="仿宋"/>
          <w:b/>
          <w:color w:val="auto"/>
          <w:sz w:val="24"/>
          <w:highlight w:val="none"/>
        </w:rPr>
        <w:t>2.7 质量保证</w:t>
      </w:r>
      <w:bookmarkEnd w:id="18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85" w:name="_Toc17244"/>
      <w:bookmarkStart w:id="186" w:name="_Toc487900362"/>
      <w:bookmarkStart w:id="187" w:name="_Toc279701252"/>
      <w:bookmarkStart w:id="188" w:name="_Toc259093681"/>
      <w:r>
        <w:rPr>
          <w:rFonts w:hint="eastAsia" w:ascii="仿宋" w:hAnsi="仿宋" w:eastAsia="仿宋" w:cs="仿宋"/>
          <w:b/>
          <w:color w:val="auto"/>
          <w:sz w:val="24"/>
          <w:highlight w:val="none"/>
        </w:rPr>
        <w:t>2.8 货物的风险负担</w:t>
      </w:r>
      <w:bookmarkEnd w:id="185"/>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89" w:name="_Toc14055"/>
      <w:r>
        <w:rPr>
          <w:rFonts w:hint="eastAsia" w:ascii="仿宋" w:hAnsi="仿宋" w:eastAsia="仿宋" w:cs="仿宋"/>
          <w:b/>
          <w:color w:val="auto"/>
          <w:sz w:val="24"/>
          <w:highlight w:val="none"/>
        </w:rPr>
        <w:t>2.9 延迟交货</w:t>
      </w:r>
      <w:bookmarkEnd w:id="186"/>
      <w:bookmarkEnd w:id="187"/>
      <w:bookmarkEnd w:id="188"/>
      <w:bookmarkEnd w:id="18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90" w:name="_Toc7502"/>
      <w:bookmarkStart w:id="191" w:name="_Ref467378121"/>
      <w:bookmarkStart w:id="192" w:name="_Toc259093683"/>
      <w:bookmarkStart w:id="193" w:name="_Toc279701254"/>
      <w:bookmarkStart w:id="194" w:name="_Toc487900364"/>
      <w:r>
        <w:rPr>
          <w:rFonts w:hint="eastAsia" w:ascii="仿宋" w:hAnsi="仿宋" w:eastAsia="仿宋" w:cs="仿宋"/>
          <w:b/>
          <w:color w:val="auto"/>
          <w:sz w:val="24"/>
          <w:highlight w:val="none"/>
        </w:rPr>
        <w:t>2.10 合同变更</w:t>
      </w:r>
      <w:bookmarkEnd w:id="19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95" w:name="_Toc279701259"/>
      <w:bookmarkStart w:id="196" w:name="_Toc259093688"/>
      <w:bookmarkStart w:id="197" w:name="_Toc487900369"/>
    </w:p>
    <w:p>
      <w:pPr>
        <w:spacing w:line="560" w:lineRule="exact"/>
        <w:ind w:firstLine="482" w:firstLineChars="200"/>
        <w:outlineLvl w:val="0"/>
        <w:rPr>
          <w:rFonts w:hint="eastAsia" w:ascii="仿宋" w:hAnsi="仿宋" w:eastAsia="仿宋" w:cs="仿宋"/>
          <w:b/>
          <w:color w:val="auto"/>
          <w:sz w:val="24"/>
          <w:highlight w:val="none"/>
        </w:rPr>
      </w:pPr>
      <w:bookmarkStart w:id="198" w:name="_Toc15237"/>
      <w:bookmarkStart w:id="199" w:name="_Toc10366"/>
      <w:bookmarkStart w:id="200" w:name="_Toc22955"/>
      <w:r>
        <w:rPr>
          <w:rFonts w:hint="eastAsia" w:ascii="仿宋" w:hAnsi="仿宋" w:eastAsia="仿宋" w:cs="仿宋"/>
          <w:b/>
          <w:color w:val="auto"/>
          <w:sz w:val="24"/>
          <w:highlight w:val="none"/>
        </w:rPr>
        <w:t>2.11 合同转让</w:t>
      </w:r>
      <w:bookmarkEnd w:id="195"/>
      <w:bookmarkEnd w:id="196"/>
      <w:bookmarkEnd w:id="197"/>
      <w:r>
        <w:rPr>
          <w:rFonts w:hint="eastAsia" w:ascii="仿宋" w:hAnsi="仿宋" w:eastAsia="仿宋" w:cs="仿宋"/>
          <w:b/>
          <w:color w:val="auto"/>
          <w:sz w:val="24"/>
          <w:highlight w:val="none"/>
        </w:rPr>
        <w:t>和分包</w:t>
      </w:r>
      <w:bookmarkEnd w:id="198"/>
      <w:bookmarkEnd w:id="199"/>
      <w:bookmarkEnd w:id="200"/>
      <w:r>
        <w:rPr>
          <w:rFonts w:hint="eastAsia" w:ascii="仿宋" w:hAnsi="仿宋" w:eastAsia="仿宋" w:cs="仿宋"/>
          <w:b/>
          <w:color w:val="auto"/>
          <w:sz w:val="24"/>
          <w:highlight w:val="none"/>
        </w:rPr>
        <w:t>（如有）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201" w:name="_Toc14066"/>
      <w:bookmarkStart w:id="202" w:name="_Toc16508"/>
      <w:bookmarkStart w:id="203" w:name="_Toc13566"/>
      <w:r>
        <w:rPr>
          <w:rFonts w:hint="eastAsia" w:ascii="仿宋" w:hAnsi="仿宋" w:eastAsia="仿宋" w:cs="仿宋"/>
          <w:b/>
          <w:color w:val="auto"/>
          <w:sz w:val="24"/>
          <w:highlight w:val="none"/>
        </w:rPr>
        <w:t>2.12 不可抗力</w:t>
      </w:r>
      <w:bookmarkEnd w:id="201"/>
      <w:bookmarkEnd w:id="202"/>
      <w:bookmarkEnd w:id="20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204" w:name="_Toc259093684"/>
      <w:bookmarkStart w:id="205" w:name="_Toc487900365"/>
      <w:bookmarkStart w:id="206" w:name="_Toc30676"/>
      <w:bookmarkStart w:id="207" w:name="_Toc689"/>
      <w:bookmarkStart w:id="208" w:name="_Toc279701255"/>
      <w:bookmarkStart w:id="209" w:name="_Toc6969"/>
      <w:r>
        <w:rPr>
          <w:rFonts w:hint="eastAsia" w:ascii="仿宋" w:hAnsi="仿宋" w:eastAsia="仿宋" w:cs="仿宋"/>
          <w:b/>
          <w:color w:val="auto"/>
          <w:sz w:val="24"/>
          <w:highlight w:val="none"/>
        </w:rPr>
        <w:t>2.13 税费</w:t>
      </w:r>
      <w:bookmarkEnd w:id="204"/>
      <w:bookmarkEnd w:id="205"/>
      <w:bookmarkEnd w:id="206"/>
      <w:bookmarkEnd w:id="207"/>
      <w:bookmarkEnd w:id="208"/>
      <w:bookmarkEnd w:id="2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210" w:name="_Toc487900368"/>
      <w:bookmarkStart w:id="211" w:name="_Toc8298"/>
      <w:bookmarkStart w:id="212" w:name="_Toc259093687"/>
      <w:bookmarkStart w:id="213" w:name="_Toc7102"/>
      <w:bookmarkStart w:id="214" w:name="_Toc279701258"/>
      <w:bookmarkStart w:id="215" w:name="_Toc16959"/>
      <w:r>
        <w:rPr>
          <w:rFonts w:hint="eastAsia" w:ascii="仿宋" w:hAnsi="仿宋" w:eastAsia="仿宋" w:cs="仿宋"/>
          <w:b/>
          <w:color w:val="auto"/>
          <w:sz w:val="24"/>
          <w:highlight w:val="none"/>
        </w:rPr>
        <w:t>2.14乙方破产</w:t>
      </w:r>
      <w:bookmarkEnd w:id="210"/>
      <w:bookmarkEnd w:id="211"/>
      <w:bookmarkEnd w:id="212"/>
      <w:bookmarkEnd w:id="213"/>
      <w:bookmarkEnd w:id="214"/>
      <w:bookmarkEnd w:id="21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216" w:name="_Toc15387"/>
      <w:bookmarkStart w:id="217" w:name="_Toc6134"/>
      <w:bookmarkStart w:id="218" w:name="_Toc29333"/>
      <w:r>
        <w:rPr>
          <w:rFonts w:hint="eastAsia" w:ascii="仿宋" w:hAnsi="仿宋" w:eastAsia="仿宋" w:cs="仿宋"/>
          <w:b/>
          <w:color w:val="auto"/>
          <w:sz w:val="24"/>
          <w:highlight w:val="none"/>
        </w:rPr>
        <w:t>2.15 合同中止、终止</w:t>
      </w:r>
      <w:bookmarkEnd w:id="216"/>
      <w:bookmarkEnd w:id="217"/>
      <w:bookmarkEnd w:id="21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219" w:name="_Toc14563"/>
      <w:bookmarkStart w:id="220" w:name="_Toc6596"/>
      <w:bookmarkStart w:id="221" w:name="_Toc1125"/>
      <w:r>
        <w:rPr>
          <w:rFonts w:hint="eastAsia" w:ascii="仿宋" w:hAnsi="仿宋" w:eastAsia="仿宋" w:cs="仿宋"/>
          <w:b/>
          <w:color w:val="auto"/>
          <w:sz w:val="24"/>
          <w:highlight w:val="none"/>
        </w:rPr>
        <w:t>2.16检验和验收</w:t>
      </w:r>
      <w:bookmarkEnd w:id="219"/>
      <w:bookmarkEnd w:id="220"/>
      <w:bookmarkEnd w:id="221"/>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91"/>
    <w:bookmarkEnd w:id="192"/>
    <w:bookmarkEnd w:id="193"/>
    <w:bookmarkEnd w:id="194"/>
    <w:p>
      <w:pPr>
        <w:spacing w:line="560" w:lineRule="exact"/>
        <w:ind w:firstLine="482" w:firstLineChars="200"/>
        <w:outlineLvl w:val="0"/>
        <w:rPr>
          <w:rFonts w:hint="eastAsia" w:ascii="仿宋" w:hAnsi="仿宋" w:eastAsia="仿宋" w:cs="仿宋"/>
          <w:b/>
          <w:color w:val="auto"/>
          <w:sz w:val="24"/>
          <w:highlight w:val="none"/>
        </w:rPr>
      </w:pPr>
      <w:bookmarkStart w:id="222" w:name="_Toc279701261"/>
      <w:bookmarkStart w:id="223" w:name="_Toc259093690"/>
      <w:bookmarkStart w:id="224" w:name="_Toc487900371"/>
      <w:bookmarkStart w:id="225" w:name="_Toc19604"/>
      <w:bookmarkStart w:id="226" w:name="_Toc25182"/>
      <w:bookmarkStart w:id="227" w:name="_Toc11284"/>
      <w:r>
        <w:rPr>
          <w:rFonts w:hint="eastAsia" w:ascii="仿宋" w:hAnsi="仿宋" w:eastAsia="仿宋" w:cs="仿宋"/>
          <w:b/>
          <w:color w:val="auto"/>
          <w:sz w:val="24"/>
          <w:highlight w:val="none"/>
        </w:rPr>
        <w:t>2.17 通知</w:t>
      </w:r>
      <w:bookmarkEnd w:id="222"/>
      <w:bookmarkEnd w:id="223"/>
      <w:bookmarkEnd w:id="224"/>
      <w:r>
        <w:rPr>
          <w:rFonts w:hint="eastAsia" w:ascii="仿宋" w:hAnsi="仿宋" w:eastAsia="仿宋" w:cs="仿宋"/>
          <w:b/>
          <w:color w:val="auto"/>
          <w:sz w:val="24"/>
          <w:highlight w:val="none"/>
        </w:rPr>
        <w:t>和送达</w:t>
      </w:r>
      <w:bookmarkEnd w:id="225"/>
      <w:bookmarkEnd w:id="226"/>
      <w:bookmarkEnd w:id="227"/>
    </w:p>
    <w:p>
      <w:pPr>
        <w:spacing w:line="560" w:lineRule="exact"/>
        <w:ind w:firstLine="480" w:firstLineChars="200"/>
        <w:rPr>
          <w:rFonts w:hint="eastAsia" w:ascii="仿宋" w:hAnsi="仿宋" w:eastAsia="仿宋" w:cs="仿宋"/>
          <w:color w:val="auto"/>
          <w:sz w:val="24"/>
          <w:highlight w:val="none"/>
        </w:rPr>
      </w:pPr>
      <w:bookmarkStart w:id="228" w:name="_Toc3135"/>
      <w:bookmarkStart w:id="229" w:name="_Toc6698"/>
      <w:bookmarkStart w:id="230" w:name="_Toc279701262"/>
      <w:bookmarkStart w:id="231" w:name="_Toc487900372"/>
      <w:bookmarkStart w:id="232" w:name="_Toc259093691"/>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228"/>
      <w:bookmarkEnd w:id="229"/>
    </w:p>
    <w:p>
      <w:pPr>
        <w:spacing w:line="560" w:lineRule="exact"/>
        <w:ind w:firstLine="480" w:firstLineChars="200"/>
        <w:rPr>
          <w:rFonts w:hint="eastAsia" w:ascii="仿宋" w:hAnsi="仿宋" w:eastAsia="仿宋" w:cs="仿宋"/>
          <w:color w:val="auto"/>
          <w:sz w:val="24"/>
          <w:highlight w:val="none"/>
        </w:rPr>
      </w:pPr>
      <w:bookmarkStart w:id="233" w:name="_Toc23294"/>
      <w:bookmarkStart w:id="234"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233"/>
      <w:bookmarkEnd w:id="234"/>
    </w:p>
    <w:p>
      <w:pPr>
        <w:spacing w:line="560" w:lineRule="exact"/>
        <w:ind w:firstLine="482" w:firstLineChars="200"/>
        <w:outlineLvl w:val="0"/>
        <w:rPr>
          <w:rFonts w:hint="eastAsia" w:ascii="仿宋" w:hAnsi="仿宋" w:eastAsia="仿宋" w:cs="仿宋"/>
          <w:b/>
          <w:color w:val="auto"/>
          <w:sz w:val="24"/>
          <w:highlight w:val="none"/>
        </w:rPr>
      </w:pPr>
      <w:bookmarkStart w:id="235" w:name="_Toc4355"/>
      <w:bookmarkStart w:id="236" w:name="_Toc30599"/>
      <w:bookmarkStart w:id="237" w:name="_Toc18540"/>
      <w:r>
        <w:rPr>
          <w:rFonts w:hint="eastAsia" w:ascii="仿宋" w:hAnsi="仿宋" w:eastAsia="仿宋" w:cs="仿宋"/>
          <w:b/>
          <w:color w:val="auto"/>
          <w:sz w:val="24"/>
          <w:highlight w:val="none"/>
        </w:rPr>
        <w:t>2.18 计量单位</w:t>
      </w:r>
      <w:bookmarkEnd w:id="230"/>
      <w:bookmarkEnd w:id="231"/>
      <w:bookmarkEnd w:id="232"/>
      <w:bookmarkEnd w:id="235"/>
      <w:bookmarkEnd w:id="236"/>
      <w:bookmarkEnd w:id="23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238" w:name="_Toc18567"/>
      <w:bookmarkStart w:id="239" w:name="_Toc487900373"/>
      <w:bookmarkStart w:id="240" w:name="_Toc259093692"/>
      <w:bookmarkStart w:id="241" w:name="_Toc10330"/>
      <w:bookmarkStart w:id="242" w:name="_Toc12773"/>
      <w:bookmarkStart w:id="243" w:name="_Toc279701263"/>
      <w:r>
        <w:rPr>
          <w:rFonts w:hint="eastAsia" w:ascii="仿宋" w:hAnsi="仿宋" w:eastAsia="仿宋" w:cs="仿宋"/>
          <w:b/>
          <w:color w:val="auto"/>
          <w:sz w:val="24"/>
          <w:highlight w:val="none"/>
        </w:rPr>
        <w:t>2.19 合同使用的文字和适用的法律</w:t>
      </w:r>
      <w:bookmarkEnd w:id="238"/>
      <w:bookmarkEnd w:id="239"/>
      <w:bookmarkEnd w:id="240"/>
      <w:bookmarkEnd w:id="241"/>
      <w:bookmarkEnd w:id="242"/>
      <w:bookmarkEnd w:id="24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244" w:name="_Toc12004"/>
      <w:bookmarkStart w:id="245" w:name="_Toc259093693"/>
      <w:bookmarkStart w:id="246" w:name="_Toc3148"/>
      <w:bookmarkStart w:id="247" w:name="_Toc16673"/>
      <w:bookmarkStart w:id="248" w:name="_Toc279701264"/>
      <w:bookmarkStart w:id="249" w:name="_Toc487900374"/>
      <w:r>
        <w:rPr>
          <w:rFonts w:hint="eastAsia" w:ascii="仿宋" w:hAnsi="仿宋" w:eastAsia="仿宋" w:cs="仿宋"/>
          <w:b/>
          <w:color w:val="auto"/>
          <w:sz w:val="24"/>
          <w:highlight w:val="none"/>
        </w:rPr>
        <w:t>2.20 履约保证金</w:t>
      </w:r>
      <w:bookmarkEnd w:id="244"/>
      <w:bookmarkEnd w:id="245"/>
      <w:bookmarkEnd w:id="246"/>
      <w:bookmarkEnd w:id="247"/>
      <w:bookmarkEnd w:id="248"/>
    </w:p>
    <w:p>
      <w:pPr>
        <w:pStyle w:val="283"/>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249"/>
    <w:p>
      <w:pPr>
        <w:spacing w:line="560" w:lineRule="exact"/>
        <w:ind w:firstLine="482" w:firstLineChars="200"/>
        <w:outlineLvl w:val="0"/>
        <w:rPr>
          <w:rFonts w:hint="eastAsia" w:ascii="仿宋" w:hAnsi="仿宋" w:eastAsia="仿宋" w:cs="仿宋"/>
          <w:b/>
          <w:color w:val="auto"/>
          <w:sz w:val="24"/>
          <w:highlight w:val="none"/>
        </w:rPr>
      </w:pPr>
      <w:bookmarkStart w:id="250" w:name="_Toc6885"/>
      <w:bookmarkStart w:id="251" w:name="_Toc19890"/>
      <w:bookmarkStart w:id="252" w:name="_Toc14001"/>
      <w:r>
        <w:rPr>
          <w:rFonts w:hint="eastAsia" w:ascii="仿宋" w:hAnsi="仿宋" w:eastAsia="仿宋" w:cs="仿宋"/>
          <w:b/>
          <w:color w:val="auto"/>
          <w:sz w:val="24"/>
          <w:highlight w:val="none"/>
        </w:rPr>
        <w:t>2.22合同份数</w:t>
      </w:r>
      <w:bookmarkEnd w:id="250"/>
      <w:bookmarkEnd w:id="251"/>
      <w:bookmarkEnd w:id="25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pStyle w:val="282"/>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253" w:name="_Toc331685784"/>
      <w:bookmarkEnd w:id="253"/>
      <w:r>
        <w:rPr>
          <w:rFonts w:hint="eastAsia" w:ascii="仿宋" w:hAnsi="仿宋" w:eastAsia="仿宋" w:cs="仿宋"/>
          <w:b/>
          <w:color w:val="auto"/>
          <w:szCs w:val="24"/>
          <w:highlight w:val="none"/>
        </w:rPr>
        <w:t>第三部分合同专用条款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2"/>
        <w:spacing w:line="800" w:lineRule="exact"/>
        <w:ind w:firstLine="723"/>
        <w:jc w:val="center"/>
        <w:rPr>
          <w:rFonts w:hint="eastAsia" w:ascii="仿宋" w:hAnsi="仿宋" w:eastAsia="仿宋" w:cs="仿宋"/>
          <w:b/>
          <w:color w:val="auto"/>
          <w:sz w:val="36"/>
          <w:szCs w:val="36"/>
          <w:highlight w:val="none"/>
        </w:rPr>
      </w:pPr>
    </w:p>
    <w:p>
      <w:pPr>
        <w:pStyle w:val="22"/>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w:t>
      </w:r>
      <w:r>
        <w:rPr>
          <w:rFonts w:hint="eastAsia" w:ascii="仿宋" w:hAnsi="仿宋" w:eastAsia="仿宋" w:cs="仿宋"/>
          <w:b/>
          <w:bCs/>
          <w:iCs/>
          <w:color w:val="auto"/>
          <w:sz w:val="24"/>
          <w:highlight w:val="none"/>
        </w:rPr>
        <w:t>0分）</w:t>
      </w:r>
    </w:p>
    <w:tbl>
      <w:tblPr>
        <w:tblStyle w:val="42"/>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575"/>
        <w:gridCol w:w="591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575"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评审内容</w:t>
            </w:r>
          </w:p>
        </w:tc>
        <w:tc>
          <w:tcPr>
            <w:tcW w:w="5912"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评分细则</w:t>
            </w:r>
          </w:p>
        </w:tc>
        <w:tc>
          <w:tcPr>
            <w:tcW w:w="850"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dxa"/>
            <w:vMerge w:val="restart"/>
            <w:noWrap w:val="0"/>
            <w:vAlign w:val="center"/>
          </w:tcPr>
          <w:p>
            <w:pPr>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575" w:type="dxa"/>
            <w:vMerge w:val="restart"/>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资质实力、信誉情况（11分）</w:t>
            </w:r>
          </w:p>
        </w:tc>
        <w:tc>
          <w:tcPr>
            <w:tcW w:w="5912" w:type="dxa"/>
            <w:noWrap w:val="0"/>
            <w:vAlign w:val="center"/>
          </w:tcPr>
          <w:p>
            <w:pPr>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投标人</w:t>
            </w:r>
            <w:r>
              <w:rPr>
                <w:rFonts w:hint="eastAsia" w:ascii="仿宋" w:hAnsi="仿宋" w:eastAsia="仿宋" w:cs="仿宋"/>
                <w:color w:val="auto"/>
                <w:sz w:val="21"/>
                <w:szCs w:val="21"/>
                <w:highlight w:val="none"/>
              </w:rPr>
              <w:t>具有医用织物智能更衣管理系统软件和医用织物智能行为管理系统的计算机软件著作权登记证书每提供一份得1分，最高2分。</w:t>
            </w:r>
            <w:r>
              <w:rPr>
                <w:rFonts w:hint="eastAsia" w:ascii="仿宋" w:hAnsi="仿宋" w:eastAsia="仿宋" w:cs="仿宋"/>
                <w:color w:val="auto"/>
                <w:sz w:val="21"/>
                <w:szCs w:val="21"/>
                <w:highlight w:val="none"/>
                <w:lang w:eastAsia="zh-CN"/>
              </w:rPr>
              <w:t>需</w:t>
            </w:r>
            <w:r>
              <w:rPr>
                <w:rFonts w:hint="eastAsia" w:ascii="仿宋" w:hAnsi="仿宋" w:eastAsia="仿宋" w:cs="仿宋"/>
                <w:color w:val="auto"/>
                <w:sz w:val="21"/>
                <w:szCs w:val="21"/>
                <w:highlight w:val="none"/>
              </w:rPr>
              <w:t>提供证书复印件加盖</w:t>
            </w: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公章，否则不得分。</w:t>
            </w:r>
          </w:p>
        </w:tc>
        <w:tc>
          <w:tcPr>
            <w:tcW w:w="850"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dxa"/>
            <w:vMerge w:val="continue"/>
            <w:noWrap w:val="0"/>
            <w:vAlign w:val="center"/>
          </w:tcPr>
          <w:p>
            <w:pPr>
              <w:adjustRightInd w:val="0"/>
              <w:snapToGrid w:val="0"/>
              <w:rPr>
                <w:rFonts w:hint="eastAsia" w:ascii="仿宋" w:hAnsi="仿宋" w:eastAsia="仿宋" w:cs="仿宋"/>
                <w:color w:val="auto"/>
                <w:sz w:val="21"/>
                <w:szCs w:val="21"/>
                <w:highlight w:val="none"/>
              </w:rPr>
            </w:pPr>
          </w:p>
        </w:tc>
        <w:tc>
          <w:tcPr>
            <w:tcW w:w="1575" w:type="dxa"/>
            <w:vMerge w:val="continue"/>
            <w:noWrap w:val="0"/>
            <w:vAlign w:val="center"/>
          </w:tcPr>
          <w:p>
            <w:pPr>
              <w:adjustRightInd w:val="0"/>
              <w:snapToGrid w:val="0"/>
              <w:jc w:val="center"/>
              <w:rPr>
                <w:rFonts w:hint="eastAsia" w:ascii="仿宋" w:hAnsi="仿宋" w:eastAsia="仿宋" w:cs="仿宋"/>
                <w:color w:val="auto"/>
                <w:sz w:val="21"/>
                <w:szCs w:val="21"/>
                <w:highlight w:val="none"/>
              </w:rPr>
            </w:pPr>
          </w:p>
        </w:tc>
        <w:tc>
          <w:tcPr>
            <w:tcW w:w="5912" w:type="dxa"/>
            <w:noWrap w:val="0"/>
            <w:vAlign w:val="center"/>
          </w:tcPr>
          <w:p>
            <w:pPr>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投标人</w:t>
            </w:r>
            <w:r>
              <w:rPr>
                <w:rFonts w:hint="eastAsia" w:ascii="仿宋" w:hAnsi="仿宋" w:eastAsia="仿宋" w:cs="仿宋"/>
                <w:color w:val="auto"/>
                <w:sz w:val="21"/>
                <w:szCs w:val="21"/>
                <w:highlight w:val="none"/>
              </w:rPr>
              <w:t>具有ISO9001质量管理体系认证证书、ISO14001环境管理体系认证证书、ISO45001职业健康安全管理体系认证证书，每提供一项得1分，</w:t>
            </w:r>
            <w:r>
              <w:rPr>
                <w:rFonts w:hint="eastAsia" w:ascii="仿宋" w:hAnsi="仿宋" w:eastAsia="仿宋" w:cs="仿宋"/>
                <w:color w:val="auto"/>
                <w:sz w:val="21"/>
                <w:szCs w:val="21"/>
                <w:highlight w:val="none"/>
                <w:lang w:eastAsia="zh-CN"/>
              </w:rPr>
              <w:t>最高得</w:t>
            </w:r>
            <w:r>
              <w:rPr>
                <w:rFonts w:hint="eastAsia" w:ascii="仿宋" w:hAnsi="仿宋" w:eastAsia="仿宋" w:cs="仿宋"/>
                <w:color w:val="auto"/>
                <w:sz w:val="21"/>
                <w:szCs w:val="21"/>
                <w:highlight w:val="none"/>
              </w:rPr>
              <w:t>3分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需提供证书复印件并加盖</w:t>
            </w: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公章</w:t>
            </w:r>
            <w:r>
              <w:rPr>
                <w:rFonts w:hint="eastAsia" w:ascii="仿宋" w:hAnsi="仿宋" w:eastAsia="仿宋" w:cs="仿宋"/>
                <w:color w:val="auto"/>
                <w:sz w:val="21"/>
                <w:szCs w:val="21"/>
                <w:highlight w:val="none"/>
                <w:lang w:eastAsia="zh-CN"/>
              </w:rPr>
              <w:t>，未提供不得分。</w:t>
            </w:r>
          </w:p>
        </w:tc>
        <w:tc>
          <w:tcPr>
            <w:tcW w:w="850"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735" w:type="dxa"/>
            <w:vMerge w:val="continue"/>
            <w:noWrap w:val="0"/>
            <w:vAlign w:val="center"/>
          </w:tcPr>
          <w:p>
            <w:pPr>
              <w:adjustRightInd w:val="0"/>
              <w:snapToGrid w:val="0"/>
              <w:rPr>
                <w:rFonts w:hint="eastAsia" w:ascii="仿宋" w:hAnsi="仿宋" w:eastAsia="仿宋" w:cs="仿宋"/>
                <w:color w:val="auto"/>
                <w:sz w:val="21"/>
                <w:szCs w:val="21"/>
                <w:highlight w:val="none"/>
              </w:rPr>
            </w:pPr>
          </w:p>
        </w:tc>
        <w:tc>
          <w:tcPr>
            <w:tcW w:w="1575" w:type="dxa"/>
            <w:vMerge w:val="continue"/>
            <w:noWrap w:val="0"/>
            <w:vAlign w:val="center"/>
          </w:tcPr>
          <w:p>
            <w:pPr>
              <w:adjustRightInd w:val="0"/>
              <w:snapToGrid w:val="0"/>
              <w:jc w:val="center"/>
              <w:rPr>
                <w:rFonts w:hint="eastAsia" w:ascii="仿宋" w:hAnsi="仿宋" w:eastAsia="仿宋" w:cs="仿宋"/>
                <w:color w:val="auto"/>
                <w:sz w:val="21"/>
                <w:szCs w:val="21"/>
                <w:highlight w:val="none"/>
              </w:rPr>
            </w:pPr>
          </w:p>
        </w:tc>
        <w:tc>
          <w:tcPr>
            <w:tcW w:w="5912" w:type="dxa"/>
            <w:noWrap w:val="0"/>
            <w:vAlign w:val="center"/>
          </w:tcPr>
          <w:p>
            <w:pPr>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所</w:t>
            </w:r>
            <w:r>
              <w:rPr>
                <w:rFonts w:hint="eastAsia" w:ascii="仿宋" w:hAnsi="仿宋" w:eastAsia="仿宋" w:cs="仿宋"/>
                <w:color w:val="auto"/>
                <w:sz w:val="21"/>
                <w:szCs w:val="21"/>
                <w:highlight w:val="none"/>
                <w:lang w:val="en-US" w:eastAsia="zh-CN"/>
              </w:rPr>
              <w:t>标产品制造商</w:t>
            </w:r>
            <w:r>
              <w:rPr>
                <w:rFonts w:hint="eastAsia" w:ascii="仿宋" w:hAnsi="仿宋" w:eastAsia="仿宋" w:cs="仿宋"/>
                <w:color w:val="auto"/>
                <w:sz w:val="21"/>
                <w:szCs w:val="21"/>
                <w:highlight w:val="none"/>
              </w:rPr>
              <w:t>具</w:t>
            </w:r>
            <w:r>
              <w:rPr>
                <w:rFonts w:hint="eastAsia" w:ascii="仿宋" w:hAnsi="仿宋" w:eastAsia="仿宋" w:cs="仿宋"/>
                <w:color w:val="auto"/>
                <w:sz w:val="21"/>
                <w:szCs w:val="21"/>
                <w:highlight w:val="none"/>
                <w:lang w:eastAsia="zh-CN"/>
              </w:rPr>
              <w:t>有</w:t>
            </w:r>
            <w:r>
              <w:rPr>
                <w:rFonts w:hint="eastAsia" w:ascii="仿宋" w:hAnsi="仿宋" w:eastAsia="仿宋" w:cs="仿宋"/>
                <w:color w:val="auto"/>
                <w:sz w:val="21"/>
                <w:szCs w:val="21"/>
                <w:highlight w:val="none"/>
              </w:rPr>
              <w:t>自主生产能力和生产设备（非由其他生产企业代工生产），需提供企业生产能力证明</w:t>
            </w:r>
            <w:r>
              <w:rPr>
                <w:rFonts w:hint="eastAsia" w:ascii="仿宋" w:hAnsi="仿宋" w:eastAsia="仿宋" w:cs="仿宋"/>
                <w:color w:val="auto"/>
                <w:sz w:val="21"/>
                <w:szCs w:val="21"/>
                <w:highlight w:val="none"/>
                <w:lang w:eastAsia="zh-CN"/>
              </w:rPr>
              <w:t>资料</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包括但不限于</w:t>
            </w:r>
            <w:r>
              <w:rPr>
                <w:rFonts w:hint="eastAsia" w:ascii="仿宋" w:hAnsi="仿宋" w:eastAsia="仿宋" w:cs="仿宋"/>
                <w:color w:val="auto"/>
                <w:sz w:val="21"/>
                <w:szCs w:val="21"/>
                <w:highlight w:val="none"/>
              </w:rPr>
              <w:t>企业的主要生产设备型号、台套数或生产线条数，日平均生产能力、所生产产品的规格型号和相应生产设备、检测设备的照片证明、</w:t>
            </w:r>
            <w:r>
              <w:rPr>
                <w:rFonts w:hint="eastAsia" w:ascii="仿宋" w:hAnsi="仿宋" w:eastAsia="仿宋" w:cs="仿宋"/>
                <w:color w:val="auto"/>
                <w:sz w:val="21"/>
                <w:szCs w:val="21"/>
                <w:highlight w:val="none"/>
                <w:lang w:eastAsia="zh-CN"/>
              </w:rPr>
              <w:t>设备</w:t>
            </w:r>
            <w:r>
              <w:rPr>
                <w:rFonts w:hint="eastAsia" w:ascii="仿宋" w:hAnsi="仿宋" w:eastAsia="仿宋" w:cs="仿宋"/>
                <w:color w:val="auto"/>
                <w:sz w:val="21"/>
                <w:szCs w:val="21"/>
                <w:highlight w:val="none"/>
              </w:rPr>
              <w:t>采购发票证明</w:t>
            </w:r>
            <w:r>
              <w:rPr>
                <w:rFonts w:hint="eastAsia" w:ascii="仿宋" w:hAnsi="仿宋" w:eastAsia="仿宋" w:cs="仿宋"/>
                <w:color w:val="auto"/>
                <w:sz w:val="21"/>
                <w:szCs w:val="21"/>
                <w:highlight w:val="none"/>
                <w:lang w:eastAsia="zh-CN"/>
              </w:rPr>
              <w:t>等均加盖投标人公章</w:t>
            </w:r>
            <w:r>
              <w:rPr>
                <w:rFonts w:hint="eastAsia" w:ascii="仿宋" w:hAnsi="仿宋" w:eastAsia="仿宋" w:cs="仿宋"/>
                <w:color w:val="auto"/>
                <w:sz w:val="21"/>
                <w:szCs w:val="21"/>
                <w:highlight w:val="none"/>
              </w:rPr>
              <w:t>）。</w:t>
            </w:r>
            <w:r>
              <w:rPr>
                <w:rFonts w:hint="eastAsia" w:ascii="仿宋" w:hAnsi="仿宋" w:eastAsia="仿宋" w:cs="仿宋"/>
                <w:color w:val="auto"/>
                <w:kern w:val="0"/>
                <w:sz w:val="21"/>
                <w:szCs w:val="21"/>
                <w:highlight w:val="none"/>
              </w:rPr>
              <w:t>根据所提供资料</w:t>
            </w:r>
            <w:r>
              <w:rPr>
                <w:rFonts w:hint="eastAsia" w:ascii="仿宋" w:hAnsi="仿宋" w:eastAsia="仿宋" w:cs="仿宋"/>
                <w:color w:val="auto"/>
                <w:kern w:val="0"/>
                <w:sz w:val="21"/>
                <w:szCs w:val="21"/>
                <w:highlight w:val="none"/>
                <w:lang w:eastAsia="zh-CN"/>
              </w:rPr>
              <w:t>进行综合评审</w:t>
            </w:r>
            <w:r>
              <w:rPr>
                <w:rFonts w:hint="eastAsia" w:ascii="仿宋" w:hAnsi="仿宋" w:eastAsia="仿宋" w:cs="仿宋"/>
                <w:color w:val="auto"/>
                <w:kern w:val="0"/>
                <w:sz w:val="21"/>
                <w:szCs w:val="21"/>
                <w:highlight w:val="none"/>
              </w:rPr>
              <w:t>，优得3-2.1分；良得2-1.1分；一般1-0分</w:t>
            </w:r>
            <w:r>
              <w:rPr>
                <w:rFonts w:hint="eastAsia" w:ascii="仿宋" w:hAnsi="仿宋" w:eastAsia="仿宋" w:cs="仿宋"/>
                <w:color w:val="auto"/>
                <w:kern w:val="0"/>
                <w:sz w:val="21"/>
                <w:szCs w:val="21"/>
                <w:highlight w:val="none"/>
                <w:lang w:eastAsia="zh-CN"/>
              </w:rPr>
              <w:t>，未不提不得分</w:t>
            </w:r>
            <w:r>
              <w:rPr>
                <w:rFonts w:hint="eastAsia" w:ascii="仿宋" w:hAnsi="仿宋" w:eastAsia="仿宋" w:cs="仿宋"/>
                <w:color w:val="auto"/>
                <w:kern w:val="0"/>
                <w:sz w:val="21"/>
                <w:szCs w:val="21"/>
                <w:highlight w:val="none"/>
              </w:rPr>
              <w:t>。</w:t>
            </w:r>
          </w:p>
        </w:tc>
        <w:tc>
          <w:tcPr>
            <w:tcW w:w="850"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dxa"/>
            <w:vMerge w:val="continue"/>
            <w:noWrap w:val="0"/>
            <w:vAlign w:val="center"/>
          </w:tcPr>
          <w:p>
            <w:pPr>
              <w:adjustRightInd w:val="0"/>
              <w:snapToGrid w:val="0"/>
              <w:rPr>
                <w:rFonts w:hint="eastAsia" w:ascii="仿宋" w:hAnsi="仿宋" w:eastAsia="仿宋" w:cs="仿宋"/>
                <w:color w:val="auto"/>
                <w:sz w:val="21"/>
                <w:szCs w:val="21"/>
                <w:highlight w:val="none"/>
              </w:rPr>
            </w:pPr>
          </w:p>
        </w:tc>
        <w:tc>
          <w:tcPr>
            <w:tcW w:w="1575" w:type="dxa"/>
            <w:vMerge w:val="continue"/>
            <w:noWrap w:val="0"/>
            <w:vAlign w:val="center"/>
          </w:tcPr>
          <w:p>
            <w:pPr>
              <w:adjustRightInd w:val="0"/>
              <w:snapToGrid w:val="0"/>
              <w:jc w:val="center"/>
              <w:rPr>
                <w:rFonts w:hint="eastAsia" w:ascii="仿宋" w:hAnsi="仿宋" w:eastAsia="仿宋" w:cs="仿宋"/>
                <w:color w:val="auto"/>
                <w:sz w:val="21"/>
                <w:szCs w:val="21"/>
                <w:highlight w:val="none"/>
              </w:rPr>
            </w:pPr>
          </w:p>
        </w:tc>
        <w:tc>
          <w:tcPr>
            <w:tcW w:w="5912" w:type="dxa"/>
            <w:noWrap w:val="0"/>
            <w:vAlign w:val="center"/>
          </w:tcPr>
          <w:p>
            <w:pPr>
              <w:adjustRightInd w:val="0"/>
              <w:snapToGrid w:val="0"/>
              <w:rPr>
                <w:rFonts w:hint="eastAsia" w:ascii="仿宋" w:hAnsi="仿宋" w:eastAsia="仿宋" w:cs="仿宋"/>
                <w:color w:val="auto"/>
                <w:kern w:val="0"/>
                <w:sz w:val="21"/>
                <w:szCs w:val="21"/>
                <w:highlight w:val="none"/>
              </w:rPr>
            </w:pPr>
            <w:r>
              <w:rPr>
                <w:rFonts w:hint="default" w:ascii="仿宋" w:hAnsi="仿宋" w:eastAsia="仿宋" w:cs="仿宋"/>
                <w:color w:val="auto"/>
                <w:sz w:val="21"/>
                <w:szCs w:val="21"/>
                <w:highlight w:val="none"/>
                <w:lang w:val="en-US" w:eastAsia="zh-CN"/>
              </w:rPr>
              <w:t>投标人具有信息安全管理体系认证证书的得2分。</w:t>
            </w:r>
            <w:r>
              <w:rPr>
                <w:rFonts w:hint="eastAsia" w:ascii="仿宋" w:hAnsi="仿宋" w:eastAsia="仿宋" w:cs="仿宋"/>
                <w:color w:val="auto"/>
                <w:sz w:val="21"/>
                <w:szCs w:val="21"/>
                <w:highlight w:val="none"/>
                <w:lang w:val="en-US" w:eastAsia="zh-CN"/>
              </w:rPr>
              <w:t>，需提供证书复印件加盖投标人公章，未提供不得分。</w:t>
            </w:r>
          </w:p>
        </w:tc>
        <w:tc>
          <w:tcPr>
            <w:tcW w:w="850"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dxa"/>
            <w:vMerge w:val="continue"/>
            <w:noWrap w:val="0"/>
            <w:vAlign w:val="center"/>
          </w:tcPr>
          <w:p>
            <w:pPr>
              <w:adjustRightInd w:val="0"/>
              <w:snapToGrid w:val="0"/>
              <w:rPr>
                <w:rFonts w:hint="eastAsia" w:ascii="仿宋" w:hAnsi="仿宋" w:eastAsia="仿宋" w:cs="仿宋"/>
                <w:color w:val="auto"/>
                <w:sz w:val="21"/>
                <w:szCs w:val="21"/>
                <w:highlight w:val="none"/>
              </w:rPr>
            </w:pPr>
          </w:p>
        </w:tc>
        <w:tc>
          <w:tcPr>
            <w:tcW w:w="1575" w:type="dxa"/>
            <w:vMerge w:val="continue"/>
            <w:noWrap w:val="0"/>
            <w:vAlign w:val="center"/>
          </w:tcPr>
          <w:p>
            <w:pPr>
              <w:adjustRightInd w:val="0"/>
              <w:snapToGrid w:val="0"/>
              <w:jc w:val="center"/>
              <w:rPr>
                <w:rFonts w:hint="eastAsia" w:ascii="仿宋" w:hAnsi="仿宋" w:eastAsia="仿宋" w:cs="仿宋"/>
                <w:color w:val="auto"/>
                <w:sz w:val="21"/>
                <w:szCs w:val="21"/>
                <w:highlight w:val="none"/>
              </w:rPr>
            </w:pPr>
          </w:p>
        </w:tc>
        <w:tc>
          <w:tcPr>
            <w:tcW w:w="5912" w:type="dxa"/>
            <w:noWrap w:val="0"/>
            <w:vAlign w:val="center"/>
          </w:tcPr>
          <w:p>
            <w:pPr>
              <w:adjustRightInd w:val="0"/>
              <w:snapToGrid w:val="0"/>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lang w:val="en-US" w:eastAsia="zh-CN"/>
              </w:rPr>
              <w:t>投标人具有</w:t>
            </w:r>
            <w:r>
              <w:rPr>
                <w:rFonts w:hint="eastAsia" w:ascii="仿宋" w:hAnsi="仿宋" w:eastAsia="仿宋" w:cs="仿宋"/>
                <w:color w:val="auto"/>
                <w:kern w:val="0"/>
                <w:sz w:val="21"/>
                <w:szCs w:val="21"/>
                <w:highlight w:val="none"/>
              </w:rPr>
              <w:t>近5年来誉获“重合同、守信用”企业称号或AAA信用等级证书，得1分</w:t>
            </w:r>
            <w:r>
              <w:rPr>
                <w:rFonts w:hint="eastAsia" w:ascii="仿宋" w:hAnsi="仿宋" w:eastAsia="仿宋" w:cs="仿宋"/>
                <w:color w:val="auto"/>
                <w:kern w:val="0"/>
                <w:sz w:val="21"/>
                <w:szCs w:val="21"/>
                <w:highlight w:val="none"/>
                <w:lang w:eastAsia="zh-CN"/>
              </w:rPr>
              <w:t>，需提供相关证书复印件加投标人公章，未提供不得分</w:t>
            </w:r>
            <w:r>
              <w:rPr>
                <w:rFonts w:hint="eastAsia" w:ascii="仿宋" w:hAnsi="仿宋" w:eastAsia="仿宋" w:cs="仿宋"/>
                <w:color w:val="auto"/>
                <w:kern w:val="0"/>
                <w:sz w:val="21"/>
                <w:szCs w:val="21"/>
                <w:highlight w:val="none"/>
              </w:rPr>
              <w:t>。</w:t>
            </w:r>
          </w:p>
        </w:tc>
        <w:tc>
          <w:tcPr>
            <w:tcW w:w="850"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dxa"/>
            <w:noWrap w:val="0"/>
            <w:vAlign w:val="center"/>
          </w:tcPr>
          <w:p>
            <w:pPr>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575"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项目业绩情况（3分）</w:t>
            </w:r>
          </w:p>
        </w:tc>
        <w:tc>
          <w:tcPr>
            <w:tcW w:w="5912" w:type="dxa"/>
            <w:noWrap w:val="0"/>
            <w:vAlign w:val="center"/>
          </w:tcPr>
          <w:p>
            <w:pPr>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自2019年7月1日起</w:t>
            </w:r>
            <w:r>
              <w:rPr>
                <w:rFonts w:hint="eastAsia" w:ascii="仿宋" w:hAnsi="仿宋" w:eastAsia="仿宋" w:cs="仿宋"/>
                <w:color w:val="auto"/>
                <w:sz w:val="21"/>
                <w:szCs w:val="21"/>
                <w:highlight w:val="none"/>
                <w:lang w:eastAsia="zh-CN"/>
              </w:rPr>
              <w:t>（以合同签订时间为准）</w:t>
            </w:r>
            <w:r>
              <w:rPr>
                <w:rFonts w:hint="eastAsia" w:ascii="仿宋" w:hAnsi="仿宋" w:eastAsia="仿宋" w:cs="仿宋"/>
                <w:color w:val="auto"/>
                <w:sz w:val="21"/>
                <w:szCs w:val="21"/>
                <w:highlight w:val="none"/>
              </w:rPr>
              <w:t>投标产品（手术衣鞋智能管理系统或手术室更衣系统或手术室行为管理系统）成功案例</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每提供一个得0.5分，最多得3分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需同时提供合同复印件</w:t>
            </w:r>
            <w:r>
              <w:rPr>
                <w:rFonts w:hint="eastAsia" w:ascii="仿宋" w:hAnsi="仿宋" w:eastAsia="仿宋" w:cs="仿宋"/>
                <w:color w:val="auto"/>
                <w:sz w:val="21"/>
                <w:szCs w:val="21"/>
                <w:highlight w:val="none"/>
                <w:lang w:eastAsia="zh-CN"/>
              </w:rPr>
              <w:t>和</w:t>
            </w:r>
            <w:r>
              <w:rPr>
                <w:rFonts w:hint="eastAsia" w:ascii="仿宋" w:hAnsi="仿宋" w:eastAsia="仿宋" w:cs="仿宋"/>
                <w:color w:val="auto"/>
                <w:sz w:val="21"/>
                <w:szCs w:val="21"/>
                <w:highlight w:val="none"/>
              </w:rPr>
              <w:t>验收报告复印件,并附供货清单</w:t>
            </w:r>
            <w:r>
              <w:rPr>
                <w:rFonts w:hint="eastAsia" w:ascii="仿宋" w:hAnsi="仿宋" w:eastAsia="仿宋" w:cs="仿宋"/>
                <w:color w:val="auto"/>
                <w:sz w:val="21"/>
                <w:szCs w:val="21"/>
                <w:highlight w:val="none"/>
                <w:lang w:eastAsia="zh-CN"/>
              </w:rPr>
              <w:t>均加盖投标人公章，未提或</w:t>
            </w:r>
            <w:r>
              <w:rPr>
                <w:rFonts w:hint="eastAsia" w:ascii="仿宋" w:hAnsi="仿宋" w:eastAsia="仿宋" w:cs="仿宋"/>
                <w:color w:val="auto"/>
                <w:sz w:val="21"/>
                <w:szCs w:val="21"/>
                <w:highlight w:val="none"/>
              </w:rPr>
              <w:t>纯软件项目案例不得分。</w:t>
            </w:r>
          </w:p>
        </w:tc>
        <w:tc>
          <w:tcPr>
            <w:tcW w:w="850"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dxa"/>
            <w:vMerge w:val="restart"/>
            <w:noWrap w:val="0"/>
            <w:vAlign w:val="center"/>
          </w:tcPr>
          <w:p>
            <w:pPr>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575" w:type="dxa"/>
            <w:vMerge w:val="restart"/>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产品性能、技术指标（4</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tc>
        <w:tc>
          <w:tcPr>
            <w:tcW w:w="5912" w:type="dxa"/>
            <w:noWrap w:val="0"/>
            <w:vAlign w:val="center"/>
          </w:tcPr>
          <w:p>
            <w:pPr>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满足技术参数要求的得35分，打“★”的为实质性指标如有负偏离，作无效投标处理；打“▲”为重要指标，每有一项负偏离扣5分；其他一般项指标每有一项负偏离扣2分，扣完为止。</w:t>
            </w:r>
          </w:p>
        </w:tc>
        <w:tc>
          <w:tcPr>
            <w:tcW w:w="850"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735" w:type="dxa"/>
            <w:vMerge w:val="continue"/>
            <w:noWrap w:val="0"/>
            <w:vAlign w:val="center"/>
          </w:tcPr>
          <w:p>
            <w:pPr>
              <w:adjustRightInd w:val="0"/>
              <w:snapToGrid w:val="0"/>
              <w:rPr>
                <w:rFonts w:hint="eastAsia" w:ascii="仿宋" w:hAnsi="仿宋" w:eastAsia="仿宋" w:cs="仿宋"/>
                <w:color w:val="auto"/>
                <w:sz w:val="21"/>
                <w:szCs w:val="21"/>
                <w:highlight w:val="none"/>
              </w:rPr>
            </w:pPr>
          </w:p>
        </w:tc>
        <w:tc>
          <w:tcPr>
            <w:tcW w:w="1575" w:type="dxa"/>
            <w:vMerge w:val="continue"/>
            <w:noWrap w:val="0"/>
            <w:vAlign w:val="center"/>
          </w:tcPr>
          <w:p>
            <w:pPr>
              <w:adjustRightInd w:val="0"/>
              <w:snapToGrid w:val="0"/>
              <w:jc w:val="center"/>
              <w:rPr>
                <w:rFonts w:hint="eastAsia" w:ascii="仿宋" w:hAnsi="仿宋" w:eastAsia="仿宋" w:cs="仿宋"/>
                <w:color w:val="auto"/>
                <w:sz w:val="21"/>
                <w:szCs w:val="21"/>
                <w:highlight w:val="none"/>
              </w:rPr>
            </w:pPr>
          </w:p>
        </w:tc>
        <w:tc>
          <w:tcPr>
            <w:tcW w:w="5912" w:type="dxa"/>
            <w:noWrap w:val="0"/>
            <w:vAlign w:val="center"/>
          </w:tcPr>
          <w:p>
            <w:pPr>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投标产品具有相应专利技术并提供专利证书，在投标文件中列出专利明细，并提供证明材料。每项专利得0.5分，最多得5分。（专利权人为投标产品制造商，否则不得分）</w:t>
            </w:r>
          </w:p>
        </w:tc>
        <w:tc>
          <w:tcPr>
            <w:tcW w:w="850"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35" w:type="dxa"/>
            <w:vMerge w:val="continue"/>
            <w:noWrap w:val="0"/>
            <w:vAlign w:val="center"/>
          </w:tcPr>
          <w:p>
            <w:pPr>
              <w:adjustRightInd w:val="0"/>
              <w:snapToGrid w:val="0"/>
              <w:rPr>
                <w:rFonts w:hint="eastAsia" w:ascii="仿宋" w:hAnsi="仿宋" w:eastAsia="仿宋" w:cs="仿宋"/>
                <w:color w:val="auto"/>
                <w:sz w:val="21"/>
                <w:szCs w:val="21"/>
                <w:highlight w:val="none"/>
              </w:rPr>
            </w:pPr>
          </w:p>
        </w:tc>
        <w:tc>
          <w:tcPr>
            <w:tcW w:w="1575" w:type="dxa"/>
            <w:vMerge w:val="continue"/>
            <w:noWrap w:val="0"/>
            <w:vAlign w:val="center"/>
          </w:tcPr>
          <w:p>
            <w:pPr>
              <w:adjustRightInd w:val="0"/>
              <w:snapToGrid w:val="0"/>
              <w:jc w:val="center"/>
              <w:rPr>
                <w:rFonts w:hint="eastAsia" w:ascii="仿宋" w:hAnsi="仿宋" w:eastAsia="仿宋" w:cs="仿宋"/>
                <w:color w:val="auto"/>
                <w:sz w:val="21"/>
                <w:szCs w:val="21"/>
                <w:highlight w:val="none"/>
              </w:rPr>
            </w:pPr>
          </w:p>
        </w:tc>
        <w:tc>
          <w:tcPr>
            <w:tcW w:w="5912" w:type="dxa"/>
            <w:noWrap w:val="0"/>
            <w:vAlign w:val="center"/>
          </w:tcPr>
          <w:p>
            <w:pPr>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提供国家第三方专业检测机构出具的关于“标记、接地电阻、接触电流、抗电强度”的检验报告，得1分。</w:t>
            </w:r>
          </w:p>
        </w:tc>
        <w:tc>
          <w:tcPr>
            <w:tcW w:w="850"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735" w:type="dxa"/>
            <w:noWrap w:val="0"/>
            <w:vAlign w:val="center"/>
          </w:tcPr>
          <w:p>
            <w:pPr>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1575"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组织实施方案（7分）</w:t>
            </w:r>
          </w:p>
        </w:tc>
        <w:tc>
          <w:tcPr>
            <w:tcW w:w="5912" w:type="dxa"/>
            <w:noWrap w:val="0"/>
            <w:vAlign w:val="center"/>
          </w:tcPr>
          <w:p>
            <w:pPr>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方案总体设计、建设方案和产品选型等，详细阐述系统的体系架构、功能模块、实现思路和关键技术，提出具体可行的实施方案；实施进度、质量、措施方案；培训及验收方案；有强弱电点位图与现场布局图等。由评审专家综合评审统一层次打分。</w:t>
            </w:r>
          </w:p>
          <w:p>
            <w:pPr>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优得7—5.1分；良得5—3.1分；一般得3—0分；</w:t>
            </w:r>
          </w:p>
        </w:tc>
        <w:tc>
          <w:tcPr>
            <w:tcW w:w="850"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dxa"/>
            <w:vMerge w:val="restart"/>
            <w:noWrap w:val="0"/>
            <w:vAlign w:val="center"/>
          </w:tcPr>
          <w:p>
            <w:pPr>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575" w:type="dxa"/>
            <w:vMerge w:val="restart"/>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w:t>
            </w:r>
          </w:p>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分）</w:t>
            </w:r>
          </w:p>
        </w:tc>
        <w:tc>
          <w:tcPr>
            <w:tcW w:w="5912" w:type="dxa"/>
            <w:noWrap w:val="0"/>
            <w:vAlign w:val="center"/>
          </w:tcPr>
          <w:p>
            <w:pPr>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根据投标人本地售后服务网点及</w:t>
            </w:r>
            <w:r>
              <w:rPr>
                <w:rFonts w:hint="eastAsia" w:ascii="仿宋" w:hAnsi="仿宋" w:eastAsia="仿宋" w:cs="仿宋"/>
                <w:color w:val="auto"/>
                <w:sz w:val="21"/>
                <w:szCs w:val="21"/>
                <w:highlight w:val="none"/>
              </w:rPr>
              <w:t>售后服务方案</w:t>
            </w:r>
            <w:r>
              <w:rPr>
                <w:rFonts w:hint="eastAsia" w:ascii="仿宋" w:hAnsi="仿宋" w:eastAsia="仿宋" w:cs="仿宋"/>
                <w:color w:val="auto"/>
                <w:kern w:val="0"/>
                <w:sz w:val="21"/>
                <w:szCs w:val="21"/>
                <w:highlight w:val="none"/>
              </w:rPr>
              <w:t>情况评议，</w:t>
            </w:r>
            <w:r>
              <w:rPr>
                <w:rFonts w:hint="eastAsia" w:ascii="仿宋" w:hAnsi="仿宋" w:eastAsia="仿宋" w:cs="仿宋"/>
                <w:color w:val="auto"/>
                <w:sz w:val="21"/>
                <w:szCs w:val="21"/>
                <w:highlight w:val="none"/>
              </w:rPr>
              <w:t>优秀得2-1.4分，良好得1.3-0.7分，一般得0.6-0分</w:t>
            </w:r>
            <w:r>
              <w:rPr>
                <w:rFonts w:hint="eastAsia" w:ascii="仿宋" w:hAnsi="仿宋" w:eastAsia="仿宋" w:cs="仿宋"/>
                <w:color w:val="auto"/>
                <w:kern w:val="0"/>
                <w:sz w:val="21"/>
                <w:szCs w:val="21"/>
                <w:highlight w:val="none"/>
              </w:rPr>
              <w:t>。</w:t>
            </w:r>
          </w:p>
        </w:tc>
        <w:tc>
          <w:tcPr>
            <w:tcW w:w="850" w:type="dxa"/>
            <w:noWrap w:val="0"/>
            <w:vAlign w:val="center"/>
          </w:tcPr>
          <w:p>
            <w:pPr>
              <w:adjustRightInd w:val="0"/>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dxa"/>
            <w:vMerge w:val="continue"/>
            <w:noWrap w:val="0"/>
            <w:vAlign w:val="center"/>
          </w:tcPr>
          <w:p>
            <w:pPr>
              <w:adjustRightInd w:val="0"/>
              <w:snapToGrid w:val="0"/>
              <w:rPr>
                <w:rFonts w:hint="eastAsia" w:ascii="仿宋" w:hAnsi="仿宋" w:eastAsia="仿宋" w:cs="仿宋"/>
                <w:color w:val="auto"/>
                <w:sz w:val="21"/>
                <w:szCs w:val="21"/>
                <w:highlight w:val="none"/>
              </w:rPr>
            </w:pPr>
          </w:p>
        </w:tc>
        <w:tc>
          <w:tcPr>
            <w:tcW w:w="1575" w:type="dxa"/>
            <w:vMerge w:val="continue"/>
            <w:noWrap w:val="0"/>
            <w:vAlign w:val="center"/>
          </w:tcPr>
          <w:p>
            <w:pPr>
              <w:adjustRightInd w:val="0"/>
              <w:snapToGrid w:val="0"/>
              <w:jc w:val="center"/>
              <w:rPr>
                <w:rFonts w:hint="eastAsia" w:ascii="仿宋" w:hAnsi="仿宋" w:eastAsia="仿宋" w:cs="仿宋"/>
                <w:color w:val="auto"/>
                <w:sz w:val="21"/>
                <w:szCs w:val="21"/>
                <w:highlight w:val="none"/>
              </w:rPr>
            </w:pPr>
          </w:p>
        </w:tc>
        <w:tc>
          <w:tcPr>
            <w:tcW w:w="5912" w:type="dxa"/>
            <w:noWrap w:val="0"/>
            <w:vAlign w:val="center"/>
          </w:tcPr>
          <w:p>
            <w:pPr>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根据投标人所</w:t>
            </w:r>
            <w:r>
              <w:rPr>
                <w:rFonts w:hint="eastAsia" w:ascii="仿宋" w:hAnsi="仿宋" w:eastAsia="仿宋" w:cs="仿宋"/>
                <w:color w:val="auto"/>
                <w:sz w:val="21"/>
                <w:szCs w:val="21"/>
                <w:highlight w:val="none"/>
                <w:lang w:eastAsia="zh-CN"/>
              </w:rPr>
              <w:t>承</w:t>
            </w:r>
            <w:r>
              <w:rPr>
                <w:rFonts w:hint="eastAsia" w:ascii="仿宋" w:hAnsi="仿宋" w:eastAsia="仿宋" w:cs="仿宋"/>
                <w:color w:val="auto"/>
                <w:sz w:val="21"/>
                <w:szCs w:val="21"/>
                <w:highlight w:val="none"/>
              </w:rPr>
              <w:t>诺的免费质保期时间进行评议。质保二年不得分，每增加一年得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分，最高不超过</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w:t>
            </w:r>
          </w:p>
        </w:tc>
        <w:tc>
          <w:tcPr>
            <w:tcW w:w="850" w:type="dxa"/>
            <w:noWrap w:val="0"/>
            <w:vAlign w:val="center"/>
          </w:tcPr>
          <w:p>
            <w:pPr>
              <w:adjustRightInd w:val="0"/>
              <w:snapToGrid w:val="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p>
    <w:p>
      <w:pPr>
        <w:snapToGrid w:val="0"/>
        <w:rPr>
          <w:rFonts w:hint="eastAsia" w:ascii="仿宋" w:hAnsi="仿宋" w:eastAsia="仿宋" w:cs="仿宋"/>
          <w:b/>
          <w:color w:val="auto"/>
          <w:sz w:val="24"/>
          <w:highlight w:val="none"/>
          <w:u w:val="single"/>
        </w:rPr>
      </w:pPr>
    </w:p>
    <w:bookmarkEnd w:id="8"/>
    <w:bookmarkEnd w:id="9"/>
    <w:bookmarkEnd w:id="10"/>
    <w:bookmarkEnd w:id="11"/>
    <w:p>
      <w:pPr>
        <w:snapToGrid w:val="0"/>
        <w:spacing w:line="360" w:lineRule="auto"/>
        <w:jc w:val="center"/>
        <w:rPr>
          <w:rFonts w:hint="eastAsia" w:ascii="仿宋" w:hAnsi="仿宋" w:eastAsia="仿宋" w:cs="仿宋"/>
          <w:b/>
          <w:color w:val="auto"/>
          <w:sz w:val="36"/>
          <w:szCs w:val="20"/>
          <w:highlight w:val="none"/>
        </w:rPr>
      </w:pPr>
    </w:p>
    <w:p>
      <w:pPr>
        <w:snapToGrid w:val="0"/>
        <w:spacing w:line="360" w:lineRule="auto"/>
        <w:jc w:val="center"/>
        <w:rPr>
          <w:rFonts w:hint="eastAsia" w:ascii="仿宋" w:hAnsi="仿宋" w:eastAsia="仿宋" w:cs="仿宋"/>
          <w:b/>
          <w:color w:val="auto"/>
          <w:sz w:val="36"/>
          <w:szCs w:val="20"/>
          <w:highlight w:val="none"/>
        </w:rPr>
      </w:pPr>
    </w:p>
    <w:p>
      <w:pPr>
        <w:snapToGrid w:val="0"/>
        <w:spacing w:line="360" w:lineRule="auto"/>
        <w:jc w:val="center"/>
        <w:rPr>
          <w:rFonts w:hint="eastAsia" w:ascii="仿宋" w:hAnsi="仿宋" w:eastAsia="仿宋" w:cs="仿宋"/>
          <w:b/>
          <w:color w:val="auto"/>
          <w:sz w:val="36"/>
          <w:szCs w:val="20"/>
          <w:highlight w:val="none"/>
        </w:rPr>
      </w:pPr>
    </w:p>
    <w:p>
      <w:pPr>
        <w:snapToGrid w:val="0"/>
        <w:spacing w:line="360" w:lineRule="auto"/>
        <w:jc w:val="center"/>
        <w:rPr>
          <w:rFonts w:hint="eastAsia" w:ascii="仿宋" w:hAnsi="仿宋" w:eastAsia="仿宋" w:cs="仿宋"/>
          <w:b/>
          <w:color w:val="auto"/>
          <w:sz w:val="36"/>
          <w:szCs w:val="20"/>
          <w:highlight w:val="none"/>
        </w:rPr>
      </w:pPr>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18"/>
        <w:spacing w:line="800" w:lineRule="atLeast"/>
        <w:ind w:left="0" w:leftChars="0"/>
        <w:rPr>
          <w:rFonts w:hint="eastAsia" w:ascii="仿宋" w:hAnsi="仿宋" w:eastAsia="仿宋" w:cs="仿宋"/>
          <w:b/>
          <w:color w:val="auto"/>
          <w:sz w:val="36"/>
          <w:szCs w:val="36"/>
          <w:highlight w:val="none"/>
        </w:rPr>
      </w:pPr>
    </w:p>
    <w:p>
      <w:pPr>
        <w:pStyle w:val="18"/>
        <w:spacing w:line="800" w:lineRule="atLeast"/>
        <w:ind w:left="0" w:leftChars="0"/>
        <w:rPr>
          <w:rFonts w:hint="eastAsia" w:ascii="仿宋" w:hAnsi="仿宋" w:eastAsia="仿宋" w:cs="仿宋"/>
          <w:b/>
          <w:color w:val="auto"/>
          <w:sz w:val="36"/>
          <w:szCs w:val="36"/>
          <w:highlight w:val="none"/>
        </w:rPr>
      </w:pPr>
    </w:p>
    <w:p>
      <w:pPr>
        <w:pStyle w:val="18"/>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69"/>
        <w:spacing w:afterLines="0" w:line="440" w:lineRule="exact"/>
        <w:ind w:firstLine="0" w:firstLineChars="0"/>
        <w:rPr>
          <w:rFonts w:hint="eastAsia" w:ascii="仿宋" w:hAnsi="仿宋" w:eastAsia="仿宋" w:cs="仿宋"/>
          <w:color w:val="auto"/>
          <w:szCs w:val="24"/>
          <w:highlight w:val="none"/>
        </w:rPr>
      </w:pPr>
    </w:p>
    <w:p>
      <w:pPr>
        <w:pStyle w:val="69"/>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69"/>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69"/>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 xml:space="preserve">投标人(电子签章)：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r>
        <w:rPr>
          <w:rFonts w:hint="eastAsia" w:ascii="仿宋" w:hAnsi="仿宋" w:eastAsia="仿宋" w:cs="仿宋"/>
          <w:b/>
          <w:color w:val="auto"/>
          <w:kern w:val="0"/>
          <w:sz w:val="24"/>
          <w:highlight w:val="none"/>
        </w:rPr>
        <w:t>在“规格型号（或具体服务）”一栏中，货物类项目填写规格型号，服务类项目填写具体服务。</w:t>
      </w:r>
      <w:r>
        <w:rPr>
          <w:rFonts w:hint="eastAsia" w:ascii="仿宋" w:hAnsi="仿宋" w:eastAsia="仿宋" w:cs="仿宋"/>
          <w:b/>
          <w:color w:val="auto"/>
          <w:sz w:val="24"/>
          <w:highlight w:val="none"/>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highlight w:val="none"/>
          <w:lang w:val="zh-CN"/>
        </w:rPr>
      </w:pPr>
      <w:r>
        <w:rPr>
          <w:rFonts w:hint="eastAsia" w:ascii="仿宋" w:hAnsi="仿宋" w:eastAsia="仿宋" w:cs="仿宋"/>
          <w:b/>
          <w:color w:val="auto"/>
          <w:sz w:val="24"/>
          <w:highlight w:val="none"/>
        </w:rPr>
        <w:t>6</w:t>
      </w:r>
      <w:r>
        <w:rPr>
          <w:rFonts w:hint="eastAsia" w:ascii="仿宋" w:hAnsi="仿宋" w:eastAsia="仿宋" w:cs="仿宋"/>
          <w:b/>
          <w:color w:val="auto"/>
          <w:kern w:val="0"/>
          <w:sz w:val="24"/>
          <w:highlight w:val="none"/>
          <w:lang w:val="zh-CN"/>
        </w:rPr>
        <w:t>.特别提示：采购机构将对</w:t>
      </w:r>
      <w:r>
        <w:rPr>
          <w:rFonts w:hint="eastAsia" w:ascii="仿宋" w:hAnsi="仿宋" w:eastAsia="仿宋" w:cs="仿宋"/>
          <w:b/>
          <w:color w:val="auto"/>
          <w:kern w:val="0"/>
          <w:sz w:val="24"/>
          <w:highlight w:val="none"/>
        </w:rPr>
        <w:t>项目名称和项目编号，中标供应商名称、地址和中标金额，主要中标标的的名称、规格型号、数量、单价、服务要求等</w:t>
      </w:r>
      <w:r>
        <w:rPr>
          <w:rFonts w:hint="eastAsia" w:ascii="仿宋" w:hAnsi="仿宋" w:eastAsia="仿宋" w:cs="仿宋"/>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3"/>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手术衣鞋智能管理系统项目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手术衣鞋智能管理系统项目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绍兴市中医院手术衣鞋智能管理系统项目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TYJZ2022</w:t>
      </w:r>
      <w:r>
        <w:rPr>
          <w:rFonts w:hint="eastAsia" w:ascii="仿宋" w:hAnsi="仿宋" w:eastAsia="仿宋" w:cs="仿宋"/>
          <w:color w:val="auto"/>
          <w:sz w:val="24"/>
          <w:highlight w:val="none"/>
        </w:rPr>
        <w:t>）招标文件中关于申请人资格要求的下列条件：</w:t>
      </w:r>
    </w:p>
    <w:p>
      <w:pPr>
        <w:pStyle w:val="69"/>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p>
    <w:p>
      <w:pPr>
        <w:pStyle w:val="22"/>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4"/>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联合体成员名称(电子签章/公章)：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投标人名称(电子签名)：</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仿宋"/>
          <w:color w:val="auto"/>
          <w:sz w:val="24"/>
          <w:highlight w:val="none"/>
        </w:rPr>
        <w:t>投标单位法定名称章（印模）投标单位“XX专用章”（印模）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联系人：联系电话：</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质疑项目的编号：包号：</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pPr>
        <w:adjustRightInd w:val="0"/>
        <w:snapToGrid w:val="0"/>
        <w:spacing w:line="360" w:lineRule="auto"/>
        <w:rPr>
          <w:rFonts w:hint="eastAsia" w:ascii="仿宋" w:hAnsi="仿宋" w:eastAsia="仿宋" w:cs="仿宋"/>
          <w:color w:val="auto"/>
          <w:sz w:val="32"/>
          <w:szCs w:val="32"/>
          <w:highlight w:val="none"/>
          <w:u w:val="dotted"/>
        </w:rPr>
      </w:pP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3.企业划分指标以现行统计制度为准。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（1）从业人员，是指期末从业人员数，没有期末从业人员数的，采用全年平均人员数代替。</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br w:type="textWrapping"/>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中国证券监督管理委员会中国保险监督管理委员会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二、适用范围。本规定适用于从事《国民经济行业分类》(GB/T4754-2011)中J门类（金融业）活动的企业。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十、本规定由人民银行会同银监会，证监会、保监会和统计局负责解释。</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color w:val="auto"/>
          <w:kern w:val="0"/>
          <w:sz w:val="24"/>
          <w:highlight w:val="none"/>
        </w:rPr>
      </w:pPr>
    </w:p>
    <w:p>
      <w:pPr>
        <w:rPr>
          <w:color w:val="auto"/>
          <w:highlight w:val="none"/>
        </w:rPr>
      </w:pPr>
    </w:p>
    <w:sectPr>
      <w:headerReference r:id="rId9" w:type="default"/>
      <w:footerReference r:id="rId10" w:type="default"/>
      <w:footerReference r:id="rId11" w:type="even"/>
      <w:pgSz w:w="11906" w:h="16838"/>
      <w:pgMar w:top="1440" w:right="1558"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186</w:t>
    </w:r>
    <w:r>
      <w:rPr>
        <w:rFonts w:hint="eastAsia" w:ascii="仿宋_GB2312" w:eastAsia="仿宋_GB2312"/>
        <w:kern w:val="0"/>
      </w:rPr>
      <w:fldChar w:fldCharType="end"/>
    </w:r>
    <w:r>
      <w:rPr>
        <w:rFonts w:hint="eastAsia" w:ascii="仿宋_GB2312" w:eastAsia="仿宋_GB2312"/>
        <w:kern w:val="0"/>
      </w:rPr>
      <w:t xml:space="preserve"> 页</w:t>
    </w: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ascii="仿宋_GB2312" w:eastAsia="宋体"/>
        <w:b/>
        <w:i/>
        <w:u w:val="single"/>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B150DA5"/>
    <w:multiLevelType w:val="multilevel"/>
    <w:tmpl w:val="2B150DA5"/>
    <w:lvl w:ilvl="0" w:tentative="0">
      <w:start w:val="1"/>
      <w:numFmt w:val="decimal"/>
      <w:lvlText w:val="%1"/>
      <w:lvlJc w:val="left"/>
      <w:pPr>
        <w:ind w:left="495" w:hanging="495"/>
      </w:pPr>
      <w:rPr>
        <w:rFonts w:hint="default"/>
      </w:rPr>
    </w:lvl>
    <w:lvl w:ilvl="1" w:tentative="0">
      <w:start w:val="1"/>
      <w:numFmt w:val="decimal"/>
      <w:pStyle w:val="288"/>
      <w:lvlText w:val="%1.%2"/>
      <w:lvlJc w:val="left"/>
      <w:pPr>
        <w:ind w:left="720" w:hanging="720"/>
      </w:pPr>
      <w:rPr>
        <w:rFonts w:hint="default"/>
      </w:rPr>
    </w:lvl>
    <w:lvl w:ilvl="2" w:tentative="0">
      <w:start w:val="1"/>
      <w:numFmt w:val="decimal"/>
      <w:pStyle w:val="289"/>
      <w:lvlText w:val="%1.%2.%3"/>
      <w:lvlJc w:val="left"/>
      <w:pPr>
        <w:ind w:left="1080" w:hanging="1080"/>
      </w:pPr>
      <w:rPr>
        <w:rFonts w:hint="default"/>
        <w:color w:val="auto"/>
      </w:rPr>
    </w:lvl>
    <w:lvl w:ilvl="3" w:tentative="0">
      <w:start w:val="1"/>
      <w:numFmt w:val="decimal"/>
      <w:lvlText w:val="%1.%2.%3.%4"/>
      <w:lvlJc w:val="left"/>
      <w:pPr>
        <w:ind w:left="1080" w:hanging="1080"/>
      </w:pPr>
      <w:rPr>
        <w:rFonts w:hint="default"/>
      </w:rPr>
    </w:lvl>
    <w:lvl w:ilvl="4" w:tentative="0">
      <w:start w:val="1"/>
      <w:numFmt w:val="decimal"/>
      <w:lvlText w:val="（%5）"/>
      <w:lvlJc w:val="left"/>
      <w:pPr>
        <w:ind w:left="1440" w:hanging="1440"/>
      </w:pPr>
      <w:rPr>
        <w:rFonts w:hint="eastAsia"/>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880" w:hanging="2880"/>
      </w:pPr>
      <w:rPr>
        <w:rFonts w:hint="default"/>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3"/>
  </w:num>
  <w:num w:numId="6">
    <w:abstractNumId w:val="6"/>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宁">
    <w15:presenceInfo w15:providerId="None" w15:userId="王宁"/>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FBE"/>
    <w:rsid w:val="000E1C88"/>
    <w:rsid w:val="000E3723"/>
    <w:rsid w:val="000E4A4F"/>
    <w:rsid w:val="000E5C9B"/>
    <w:rsid w:val="000E6F8C"/>
    <w:rsid w:val="000E72A0"/>
    <w:rsid w:val="000F0D59"/>
    <w:rsid w:val="000F51A7"/>
    <w:rsid w:val="000F5EF4"/>
    <w:rsid w:val="000F7FA8"/>
    <w:rsid w:val="001023D9"/>
    <w:rsid w:val="00103B47"/>
    <w:rsid w:val="0010408F"/>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071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1F02"/>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5E87"/>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EF"/>
    <w:rsid w:val="0035254A"/>
    <w:rsid w:val="003565A0"/>
    <w:rsid w:val="00356C86"/>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293"/>
    <w:rsid w:val="0041460B"/>
    <w:rsid w:val="00414F64"/>
    <w:rsid w:val="00417C8A"/>
    <w:rsid w:val="0042136D"/>
    <w:rsid w:val="00424C70"/>
    <w:rsid w:val="0042557D"/>
    <w:rsid w:val="00426003"/>
    <w:rsid w:val="00426CA3"/>
    <w:rsid w:val="00427B10"/>
    <w:rsid w:val="004350B7"/>
    <w:rsid w:val="004357E0"/>
    <w:rsid w:val="00436ECF"/>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3A0"/>
    <w:rsid w:val="006A1906"/>
    <w:rsid w:val="006A37DE"/>
    <w:rsid w:val="006A3D9E"/>
    <w:rsid w:val="006A4F05"/>
    <w:rsid w:val="006A69A8"/>
    <w:rsid w:val="006B183A"/>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4F7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2C1"/>
    <w:rsid w:val="007774FA"/>
    <w:rsid w:val="00777C1A"/>
    <w:rsid w:val="00777DF4"/>
    <w:rsid w:val="00777F21"/>
    <w:rsid w:val="00780272"/>
    <w:rsid w:val="007804F7"/>
    <w:rsid w:val="007809BE"/>
    <w:rsid w:val="007814B9"/>
    <w:rsid w:val="0078178E"/>
    <w:rsid w:val="007822C3"/>
    <w:rsid w:val="00783B90"/>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101E"/>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10A4"/>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31E7"/>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779"/>
    <w:rsid w:val="009B1146"/>
    <w:rsid w:val="009B206E"/>
    <w:rsid w:val="009B24E0"/>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2931"/>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07FCE"/>
    <w:rsid w:val="00B11F7D"/>
    <w:rsid w:val="00B1230F"/>
    <w:rsid w:val="00B127DA"/>
    <w:rsid w:val="00B12ECD"/>
    <w:rsid w:val="00B14C0B"/>
    <w:rsid w:val="00B2146D"/>
    <w:rsid w:val="00B22BA0"/>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19B9"/>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3B15"/>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2A8C"/>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107"/>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D17E8"/>
    <w:rsid w:val="00DD29D3"/>
    <w:rsid w:val="00DD4B24"/>
    <w:rsid w:val="00DD50B7"/>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1C1B"/>
    <w:rsid w:val="00E5245A"/>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5BA2"/>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6D95"/>
    <w:rsid w:val="00FC7905"/>
    <w:rsid w:val="00FD0273"/>
    <w:rsid w:val="00FE5E89"/>
    <w:rsid w:val="00FE7260"/>
    <w:rsid w:val="00FF0866"/>
    <w:rsid w:val="00FF0CA9"/>
    <w:rsid w:val="00FF724C"/>
    <w:rsid w:val="00FF7BD2"/>
    <w:rsid w:val="03DE3CAC"/>
    <w:rsid w:val="0B9F6417"/>
    <w:rsid w:val="0CD5317F"/>
    <w:rsid w:val="0E614412"/>
    <w:rsid w:val="15F20E41"/>
    <w:rsid w:val="170A508C"/>
    <w:rsid w:val="175B7696"/>
    <w:rsid w:val="18A61448"/>
    <w:rsid w:val="19C86B39"/>
    <w:rsid w:val="1DD05360"/>
    <w:rsid w:val="1E2E78B2"/>
    <w:rsid w:val="1F356A1F"/>
    <w:rsid w:val="1F7312F5"/>
    <w:rsid w:val="20124FB2"/>
    <w:rsid w:val="20767BCB"/>
    <w:rsid w:val="22E57BAB"/>
    <w:rsid w:val="27037402"/>
    <w:rsid w:val="27343A60"/>
    <w:rsid w:val="2ACA45ED"/>
    <w:rsid w:val="2AF27EBA"/>
    <w:rsid w:val="2F860BD0"/>
    <w:rsid w:val="30391B88"/>
    <w:rsid w:val="320B2452"/>
    <w:rsid w:val="35602270"/>
    <w:rsid w:val="356D0868"/>
    <w:rsid w:val="377A25F9"/>
    <w:rsid w:val="3AE50EA1"/>
    <w:rsid w:val="3C5E24C2"/>
    <w:rsid w:val="3D932E36"/>
    <w:rsid w:val="3E6A321B"/>
    <w:rsid w:val="3FAE05A9"/>
    <w:rsid w:val="42281DEB"/>
    <w:rsid w:val="42E87780"/>
    <w:rsid w:val="44AD0C81"/>
    <w:rsid w:val="4662784A"/>
    <w:rsid w:val="4D3B2BA3"/>
    <w:rsid w:val="52195BA8"/>
    <w:rsid w:val="521C7446"/>
    <w:rsid w:val="5257614B"/>
    <w:rsid w:val="526116E3"/>
    <w:rsid w:val="54A43723"/>
    <w:rsid w:val="54D44008"/>
    <w:rsid w:val="54F4732F"/>
    <w:rsid w:val="566118CC"/>
    <w:rsid w:val="56C34335"/>
    <w:rsid w:val="57193F55"/>
    <w:rsid w:val="576D24F2"/>
    <w:rsid w:val="58A81A34"/>
    <w:rsid w:val="58AD6AC9"/>
    <w:rsid w:val="59350DEE"/>
    <w:rsid w:val="5ABC3B17"/>
    <w:rsid w:val="5CA52205"/>
    <w:rsid w:val="5E341674"/>
    <w:rsid w:val="5FA56AEA"/>
    <w:rsid w:val="60196D73"/>
    <w:rsid w:val="60F06F9B"/>
    <w:rsid w:val="64700580"/>
    <w:rsid w:val="66B00535"/>
    <w:rsid w:val="6E396833"/>
    <w:rsid w:val="6ED924EF"/>
    <w:rsid w:val="6F166144"/>
    <w:rsid w:val="71D21478"/>
    <w:rsid w:val="72E87C49"/>
    <w:rsid w:val="75F93477"/>
    <w:rsid w:val="7A5B5283"/>
    <w:rsid w:val="7B7D169B"/>
    <w:rsid w:val="7B8D6299"/>
    <w:rsid w:val="7DB61C4E"/>
    <w:rsid w:val="7DFBB8BB"/>
    <w:rsid w:val="7FE24F7C"/>
    <w:rsid w:val="AEBA6020"/>
    <w:rsid w:val="BF6FB3D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99"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6"/>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4"/>
    <w:qFormat/>
    <w:uiPriority w:val="0"/>
    <w:pPr>
      <w:spacing w:line="360" w:lineRule="auto"/>
    </w:pPr>
    <w:rPr>
      <w:rFonts w:eastAsia="仿宋_GB2312"/>
      <w:sz w:val="28"/>
    </w:rPr>
  </w:style>
  <w:style w:type="paragraph" w:styleId="6">
    <w:name w:val="Normal Indent"/>
    <w:basedOn w:val="1"/>
    <w:link w:val="53"/>
    <w:qFormat/>
    <w:uiPriority w:val="0"/>
    <w:pPr>
      <w:ind w:firstLine="420" w:firstLineChars="200"/>
    </w:pPr>
  </w:style>
  <w:style w:type="paragraph" w:styleId="13">
    <w:name w:val="List Number 2"/>
    <w:basedOn w:val="1"/>
    <w:qFormat/>
    <w:uiPriority w:val="99"/>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Indent"/>
    <w:basedOn w:val="1"/>
    <w:link w:val="65"/>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toc 3"/>
    <w:basedOn w:val="1"/>
    <w:next w:val="1"/>
    <w:unhideWhenUsed/>
    <w:qFormat/>
    <w:uiPriority w:val="0"/>
    <w:pPr>
      <w:ind w:left="840" w:leftChars="400"/>
    </w:pPr>
    <w:rPr>
      <w:rFonts w:ascii="Calibri" w:hAnsi="Calibri"/>
      <w:szCs w:val="22"/>
    </w:rPr>
  </w:style>
  <w:style w:type="paragraph" w:styleId="22">
    <w:name w:val="Plain Text"/>
    <w:basedOn w:val="1"/>
    <w:link w:val="63"/>
    <w:qFormat/>
    <w:uiPriority w:val="0"/>
    <w:rPr>
      <w:rFonts w:ascii="宋体" w:hAnsi="Courier New"/>
      <w:szCs w:val="20"/>
    </w:rPr>
  </w:style>
  <w:style w:type="paragraph" w:styleId="23">
    <w:name w:val="Date"/>
    <w:basedOn w:val="1"/>
    <w:next w:val="1"/>
    <w:link w:val="66"/>
    <w:qFormat/>
    <w:uiPriority w:val="0"/>
    <w:rPr>
      <w:rFonts w:ascii="楷体_GB2312" w:eastAsia="楷体_GB2312"/>
      <w:b/>
      <w:sz w:val="28"/>
      <w:szCs w:val="20"/>
    </w:rPr>
  </w:style>
  <w:style w:type="paragraph" w:styleId="24">
    <w:name w:val="Body Text Indent 2"/>
    <w:basedOn w:val="1"/>
    <w:link w:val="80"/>
    <w:qFormat/>
    <w:uiPriority w:val="0"/>
    <w:pPr>
      <w:spacing w:after="120" w:line="480" w:lineRule="auto"/>
      <w:ind w:left="420" w:leftChars="200"/>
    </w:pPr>
  </w:style>
  <w:style w:type="paragraph" w:styleId="25">
    <w:name w:val="Balloon Text"/>
    <w:basedOn w:val="1"/>
    <w:link w:val="198"/>
    <w:semiHidden/>
    <w:qFormat/>
    <w:uiPriority w:val="0"/>
    <w:rPr>
      <w:sz w:val="18"/>
      <w:szCs w:val="18"/>
    </w:rPr>
  </w:style>
  <w:style w:type="paragraph" w:styleId="26">
    <w:name w:val="footer"/>
    <w:basedOn w:val="1"/>
    <w:link w:val="68"/>
    <w:qFormat/>
    <w:uiPriority w:val="99"/>
    <w:pPr>
      <w:tabs>
        <w:tab w:val="center" w:pos="4153"/>
        <w:tab w:val="right" w:pos="8306"/>
      </w:tabs>
      <w:snapToGrid w:val="0"/>
      <w:jc w:val="left"/>
    </w:pPr>
    <w:rPr>
      <w:sz w:val="18"/>
      <w:szCs w:val="18"/>
    </w:rPr>
  </w:style>
  <w:style w:type="paragraph" w:styleId="27">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Subtitle"/>
    <w:basedOn w:val="1"/>
    <w:next w:val="1"/>
    <w:qFormat/>
    <w:uiPriority w:val="0"/>
    <w:pPr>
      <w:spacing w:before="240" w:after="60" w:line="312" w:lineRule="auto"/>
      <w:jc w:val="center"/>
      <w:outlineLvl w:val="1"/>
    </w:pPr>
    <w:rPr>
      <w:rFonts w:ascii="Cambria" w:hAnsi="Cambria" w:cs="Times New Roman"/>
      <w:b/>
      <w:bCs/>
      <w:kern w:val="28"/>
      <w:sz w:val="32"/>
      <w:szCs w:val="32"/>
    </w:rPr>
  </w:style>
  <w:style w:type="paragraph" w:styleId="31">
    <w:name w:val="Body Text Indent 3"/>
    <w:basedOn w:val="1"/>
    <w:link w:val="199"/>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201"/>
    <w:semiHidden/>
    <w:qFormat/>
    <w:uiPriority w:val="0"/>
    <w:pPr>
      <w:widowControl/>
      <w:spacing w:afterLines="50"/>
    </w:pPr>
    <w:rPr>
      <w:b/>
      <w:bCs/>
      <w:kern w:val="0"/>
      <w:sz w:val="24"/>
      <w:szCs w:val="20"/>
    </w:rPr>
  </w:style>
  <w:style w:type="paragraph" w:styleId="40">
    <w:name w:val="Body Text First Indent"/>
    <w:basedOn w:val="2"/>
    <w:link w:val="202"/>
    <w:qFormat/>
    <w:uiPriority w:val="0"/>
    <w:pPr>
      <w:spacing w:after="120" w:line="240" w:lineRule="auto"/>
      <w:ind w:firstLine="420" w:firstLineChars="100"/>
    </w:pPr>
    <w:rPr>
      <w:rFonts w:eastAsia="宋体"/>
      <w:sz w:val="21"/>
    </w:rPr>
  </w:style>
  <w:style w:type="paragraph" w:styleId="41">
    <w:name w:val="Body Text First Indent 2"/>
    <w:basedOn w:val="18"/>
    <w:link w:val="203"/>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Char"/>
    <w:link w:val="3"/>
    <w:qFormat/>
    <w:uiPriority w:val="0"/>
    <w:rPr>
      <w:rFonts w:eastAsia="仿宋_GB2312"/>
      <w:b/>
      <w:kern w:val="44"/>
      <w:sz w:val="44"/>
    </w:rPr>
  </w:style>
  <w:style w:type="character" w:customStyle="1" w:styleId="53">
    <w:name w:val="正文缩进 Char"/>
    <w:link w:val="6"/>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rPr>
  </w:style>
  <w:style w:type="character" w:customStyle="1" w:styleId="56">
    <w:name w:val="标题 3 Char"/>
    <w:link w:val="5"/>
    <w:qFormat/>
    <w:uiPriority w:val="0"/>
    <w:rPr>
      <w:rFonts w:eastAsia="仿宋_GB2312"/>
      <w:b/>
      <w:kern w:val="2"/>
      <w:sz w:val="32"/>
    </w:rPr>
  </w:style>
  <w:style w:type="character" w:customStyle="1" w:styleId="57">
    <w:name w:val="标题 4 Char1"/>
    <w:link w:val="7"/>
    <w:qFormat/>
    <w:uiPriority w:val="0"/>
    <w:rPr>
      <w:rFonts w:ascii="Arial" w:hAnsi="Arial" w:eastAsia="黑体"/>
      <w:b/>
      <w:kern w:val="2"/>
      <w:sz w:val="28"/>
    </w:rPr>
  </w:style>
  <w:style w:type="character" w:customStyle="1" w:styleId="58">
    <w:name w:val="标题 5 Char1"/>
    <w:link w:val="8"/>
    <w:qFormat/>
    <w:uiPriority w:val="0"/>
    <w:rPr>
      <w:sz w:val="24"/>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2"/>
    <w:qFormat/>
    <w:uiPriority w:val="0"/>
    <w:rPr>
      <w:rFonts w:ascii="宋体" w:hAnsi="Courier New" w:eastAsia="宋体"/>
      <w:kern w:val="2"/>
      <w:sz w:val="21"/>
      <w:lang w:val="en-US" w:eastAsia="zh-CN" w:bidi="ar-SA"/>
    </w:rPr>
  </w:style>
  <w:style w:type="paragraph" w:customStyle="1" w:styleId="64">
    <w:name w:val="表正文"/>
    <w:basedOn w:val="1"/>
    <w:next w:val="22"/>
    <w:qFormat/>
    <w:uiPriority w:val="0"/>
    <w:rPr>
      <w:rFonts w:ascii="宋体" w:hAnsi="Courier New"/>
      <w:szCs w:val="20"/>
    </w:rPr>
  </w:style>
  <w:style w:type="character" w:customStyle="1" w:styleId="65">
    <w:name w:val="正文文本缩进 Char"/>
    <w:link w:val="18"/>
    <w:qFormat/>
    <w:uiPriority w:val="0"/>
    <w:rPr>
      <w:rFonts w:eastAsia="宋体"/>
      <w:kern w:val="2"/>
      <w:sz w:val="21"/>
      <w:szCs w:val="24"/>
      <w:lang w:val="en-US" w:eastAsia="zh-CN" w:bidi="ar-SA"/>
    </w:rPr>
  </w:style>
  <w:style w:type="character" w:customStyle="1" w:styleId="66">
    <w:name w:val="日期 Char2"/>
    <w:link w:val="23"/>
    <w:qFormat/>
    <w:uiPriority w:val="0"/>
    <w:rPr>
      <w:rFonts w:ascii="楷体_GB2312" w:eastAsia="楷体_GB2312"/>
      <w:b/>
      <w:kern w:val="2"/>
      <w:sz w:val="28"/>
      <w:lang w:val="en-US" w:eastAsia="zh-CN" w:bidi="ar-SA"/>
    </w:rPr>
  </w:style>
  <w:style w:type="character" w:customStyle="1" w:styleId="67">
    <w:name w:val="页眉 Char1"/>
    <w:link w:val="27"/>
    <w:qFormat/>
    <w:uiPriority w:val="0"/>
    <w:rPr>
      <w:rFonts w:eastAsia="宋体"/>
      <w:kern w:val="2"/>
      <w:sz w:val="18"/>
      <w:szCs w:val="18"/>
      <w:lang w:val="en-US" w:eastAsia="zh-CN" w:bidi="ar-SA"/>
    </w:rPr>
  </w:style>
  <w:style w:type="character" w:customStyle="1" w:styleId="68">
    <w:name w:val="页脚 Char"/>
    <w:link w:val="26"/>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4"/>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2"/>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99"/>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6"/>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4"/>
    <w:link w:val="25"/>
    <w:semiHidden/>
    <w:qFormat/>
    <w:uiPriority w:val="0"/>
    <w:rPr>
      <w:kern w:val="2"/>
      <w:sz w:val="18"/>
      <w:szCs w:val="18"/>
    </w:rPr>
  </w:style>
  <w:style w:type="character" w:customStyle="1" w:styleId="199">
    <w:name w:val="正文文本缩进 3 Char"/>
    <w:basedOn w:val="44"/>
    <w:link w:val="31"/>
    <w:qFormat/>
    <w:uiPriority w:val="0"/>
    <w:rPr>
      <w:kern w:val="2"/>
      <w:sz w:val="16"/>
      <w:szCs w:val="16"/>
    </w:rPr>
  </w:style>
  <w:style w:type="character" w:customStyle="1" w:styleId="200">
    <w:name w:val="HTML 预设格式 Char"/>
    <w:basedOn w:val="44"/>
    <w:link w:val="35"/>
    <w:qFormat/>
    <w:uiPriority w:val="0"/>
    <w:rPr>
      <w:rFonts w:ascii="黑体" w:hAnsi="Courier New" w:eastAsia="黑体" w:cs="Courier New"/>
    </w:rPr>
  </w:style>
  <w:style w:type="character" w:customStyle="1" w:styleId="201">
    <w:name w:val="批注主题 Char"/>
    <w:basedOn w:val="168"/>
    <w:link w:val="39"/>
    <w:semiHidden/>
    <w:qFormat/>
    <w:uiPriority w:val="0"/>
    <w:rPr>
      <w:rFonts w:eastAsia="宋体"/>
      <w:b/>
      <w:bCs/>
      <w:kern w:val="2"/>
      <w:sz w:val="24"/>
      <w:szCs w:val="24"/>
      <w:lang w:val="en-US" w:eastAsia="zh-CN" w:bidi="ar-SA"/>
    </w:rPr>
  </w:style>
  <w:style w:type="character" w:customStyle="1" w:styleId="202">
    <w:name w:val="正文首行缩进 Char"/>
    <w:basedOn w:val="163"/>
    <w:link w:val="40"/>
    <w:qFormat/>
    <w:uiPriority w:val="0"/>
    <w:rPr>
      <w:rFonts w:eastAsia="仿宋_GB2312"/>
      <w:kern w:val="2"/>
      <w:sz w:val="21"/>
      <w:szCs w:val="24"/>
      <w:lang w:val="en-US" w:eastAsia="zh-CN" w:bidi="ar-SA"/>
    </w:rPr>
  </w:style>
  <w:style w:type="character" w:customStyle="1" w:styleId="203">
    <w:name w:val="正文首行缩进 2 Char"/>
    <w:basedOn w:val="65"/>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 w:type="table" w:customStyle="1" w:styleId="286">
    <w:name w:val="网格型1"/>
    <w:basedOn w:val="4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87">
    <w:name w:val="列表段落1"/>
    <w:basedOn w:val="1"/>
    <w:next w:val="2"/>
    <w:qFormat/>
    <w:uiPriority w:val="99"/>
    <w:pPr>
      <w:adjustRightInd w:val="0"/>
      <w:ind w:left="720"/>
      <w:contextualSpacing/>
    </w:pPr>
  </w:style>
  <w:style w:type="paragraph" w:customStyle="1" w:styleId="288">
    <w:name w:val="GP标题2"/>
    <w:basedOn w:val="1"/>
    <w:next w:val="1"/>
    <w:qFormat/>
    <w:uiPriority w:val="0"/>
    <w:pPr>
      <w:numPr>
        <w:ilvl w:val="1"/>
        <w:numId w:val="5"/>
      </w:numPr>
      <w:adjustRightInd w:val="0"/>
      <w:spacing w:beforeLines="50" w:afterLines="50" w:line="360" w:lineRule="auto"/>
      <w:jc w:val="left"/>
      <w:outlineLvl w:val="1"/>
    </w:pPr>
    <w:rPr>
      <w:rFonts w:ascii="仿宋" w:hAnsi="仿宋" w:eastAsia="仿宋"/>
      <w:b/>
      <w:sz w:val="32"/>
      <w:szCs w:val="21"/>
    </w:rPr>
  </w:style>
  <w:style w:type="paragraph" w:customStyle="1" w:styleId="289">
    <w:name w:val="GP标题3"/>
    <w:basedOn w:val="1"/>
    <w:next w:val="1"/>
    <w:qFormat/>
    <w:uiPriority w:val="0"/>
    <w:pPr>
      <w:numPr>
        <w:ilvl w:val="2"/>
        <w:numId w:val="5"/>
      </w:numPr>
      <w:adjustRightInd w:val="0"/>
      <w:spacing w:line="360" w:lineRule="auto"/>
      <w:outlineLvl w:val="2"/>
    </w:pPr>
    <w:rPr>
      <w:rFonts w:ascii="仿宋" w:hAnsi="仿宋" w:eastAsia="仿宋"/>
      <w:b/>
      <w:sz w:val="30"/>
      <w:szCs w:val="30"/>
    </w:rPr>
  </w:style>
  <w:style w:type="paragraph" w:customStyle="1" w:styleId="290">
    <w:name w:val="*正文"/>
    <w:basedOn w:val="1"/>
    <w:qFormat/>
    <w:uiPriority w:val="0"/>
    <w:pPr>
      <w:widowControl/>
      <w:adjustRightInd w:val="0"/>
      <w:ind w:firstLine="200" w:firstLineChars="200"/>
    </w:pPr>
    <w:rPr>
      <w:rFonts w:ascii="仿宋_GB2312"/>
      <w:sz w:val="24"/>
      <w:szCs w:val="28"/>
    </w:rPr>
  </w:style>
  <w:style w:type="paragraph" w:customStyle="1" w:styleId="291">
    <w:name w:val="正文_0"/>
    <w:next w:val="1"/>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89</Pages>
  <Words>51868</Words>
  <Characters>55399</Characters>
  <Lines>527</Lines>
  <Paragraphs>148</Paragraphs>
  <TotalTime>0</TotalTime>
  <ScaleCrop>false</ScaleCrop>
  <LinksUpToDate>false</LinksUpToDate>
  <CharactersWithSpaces>60276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2022-06-30T09:21:00Z</dcterms:created>
  <dc:creator>USER</dc:creator>
  <cp:lastModifiedBy>無珂鲰玳k&amp;o_O</cp:lastModifiedBy>
  <cp:lastPrinted>2022-02-14T19:21:00Z</cp:lastPrinted>
  <dcterms:modified xsi:type="dcterms:W3CDTF">2022-12-07T02:34:58Z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A4762E87D915408B8EE08733F8F35BAC</vt:lpwstr>
  </property>
</Properties>
</file>