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rPr>
      </w:pPr>
    </w:p>
    <w:p>
      <w:pPr>
        <w:jc w:val="center"/>
        <w:outlineLvl w:val="0"/>
        <w:rPr>
          <w:rFonts w:ascii="仿宋" w:hAnsi="仿宋" w:eastAsia="仿宋" w:cs="仿宋"/>
          <w:b/>
          <w:color w:val="auto"/>
          <w:spacing w:val="-12"/>
          <w:sz w:val="48"/>
          <w:szCs w:val="48"/>
          <w:highlight w:val="none"/>
        </w:rPr>
      </w:pPr>
      <w:bookmarkStart w:id="172" w:name="_GoBack"/>
      <w:r>
        <w:rPr>
          <w:rFonts w:hint="eastAsia" w:ascii="仿宋" w:hAnsi="仿宋" w:eastAsia="仿宋" w:cs="仿宋"/>
          <w:b/>
          <w:color w:val="auto"/>
          <w:spacing w:val="-12"/>
          <w:sz w:val="48"/>
          <w:szCs w:val="48"/>
          <w:highlight w:val="none"/>
        </w:rPr>
        <w:t>绍兴市中医院扩建区固定嵌入式及部分活动医疗家具采购安装项目</w:t>
      </w:r>
    </w:p>
    <w:bookmarkEnd w:id="172"/>
    <w:p>
      <w:pPr>
        <w:outlineLvl w:val="0"/>
        <w:rPr>
          <w:rFonts w:ascii="仿宋" w:hAnsi="仿宋" w:eastAsia="仿宋" w:cs="仿宋"/>
          <w:color w:val="auto"/>
          <w:sz w:val="44"/>
          <w:highlight w:val="none"/>
        </w:rPr>
      </w:pPr>
    </w:p>
    <w:p>
      <w:pPr>
        <w:outlineLvl w:val="0"/>
        <w:rPr>
          <w:rFonts w:ascii="仿宋" w:hAnsi="仿宋" w:eastAsia="仿宋" w:cs="仿宋"/>
          <w:color w:val="auto"/>
          <w:sz w:val="44"/>
          <w:highlight w:val="none"/>
        </w:rPr>
      </w:pP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ascii="仿宋" w:hAnsi="仿宋" w:eastAsia="仿宋" w:cs="仿宋"/>
          <w:color w:val="auto"/>
          <w:sz w:val="44"/>
          <w:highlight w:val="none"/>
        </w:rPr>
      </w:pPr>
      <w:r>
        <w:rPr>
          <w:rFonts w:hint="eastAsia" w:ascii="仿宋" w:hAnsi="仿宋" w:eastAsia="仿宋" w:cs="仿宋"/>
          <w:color w:val="auto"/>
          <w:sz w:val="44"/>
          <w:highlight w:val="none"/>
        </w:rPr>
        <w:t>（电子招投标）</w:t>
      </w:r>
    </w:p>
    <w:p>
      <w:pPr>
        <w:jc w:val="center"/>
        <w:outlineLvl w:val="0"/>
        <w:rPr>
          <w:rFonts w:ascii="仿宋" w:hAnsi="仿宋" w:eastAsia="仿宋" w:cs="仿宋"/>
          <w:color w:val="auto"/>
          <w:sz w:val="44"/>
          <w:highlight w:val="none"/>
        </w:rPr>
      </w:pPr>
    </w:p>
    <w:p>
      <w:pPr>
        <w:jc w:val="center"/>
        <w:outlineLvl w:val="0"/>
        <w:rPr>
          <w:rFonts w:ascii="仿宋" w:hAnsi="仿宋" w:eastAsia="仿宋" w:cs="仿宋"/>
          <w:color w:val="auto"/>
          <w:sz w:val="44"/>
          <w:highlight w:val="none"/>
        </w:rPr>
      </w:pPr>
    </w:p>
    <w:p>
      <w:pP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招标编号:ZYJZ2022</w:t>
      </w:r>
    </w:p>
    <w:tbl>
      <w:tblPr>
        <w:tblStyle w:val="4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二○二二年十</w:t>
            </w:r>
            <w:r>
              <w:rPr>
                <w:rFonts w:hint="eastAsia" w:ascii="仿宋" w:hAnsi="仿宋" w:eastAsia="仿宋" w:cs="仿宋"/>
                <w:color w:val="auto"/>
                <w:sz w:val="28"/>
                <w:szCs w:val="28"/>
                <w:highlight w:val="none"/>
                <w:lang w:eastAsia="zh-CN"/>
              </w:rPr>
              <w:t>二</w:t>
            </w:r>
            <w:r>
              <w:rPr>
                <w:rFonts w:hint="eastAsia" w:ascii="仿宋" w:hAnsi="仿宋" w:eastAsia="仿宋" w:cs="仿宋"/>
                <w:color w:val="auto"/>
                <w:sz w:val="28"/>
                <w:szCs w:val="28"/>
                <w:highlight w:val="none"/>
              </w:rPr>
              <w:t>月</w:t>
            </w:r>
          </w:p>
        </w:tc>
      </w:tr>
    </w:tbl>
    <w:p>
      <w:pPr>
        <w:pageBreakBefore/>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ascii="仿宋" w:hAnsi="仿宋" w:eastAsia="仿宋" w:cs="仿宋"/>
          <w:b/>
          <w:color w:val="auto"/>
          <w:sz w:val="44"/>
          <w:szCs w:val="44"/>
          <w:highlight w:val="none"/>
        </w:rPr>
      </w:pPr>
    </w:p>
    <w:p>
      <w:pPr>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ascii="仿宋" w:hAnsi="仿宋" w:eastAsia="仿宋" w:cs="仿宋"/>
          <w:b/>
          <w:color w:val="auto"/>
          <w:sz w:val="44"/>
          <w:szCs w:val="44"/>
          <w:highlight w:val="none"/>
        </w:rPr>
      </w:pPr>
    </w:p>
    <w:p>
      <w:pPr>
        <w:jc w:val="center"/>
        <w:rPr>
          <w:rFonts w:ascii="仿宋" w:hAnsi="仿宋" w:eastAsia="仿宋" w:cs="仿宋"/>
          <w:color w:val="auto"/>
          <w:highlight w:val="none"/>
        </w:rPr>
      </w:pP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ascii="仿宋" w:hAnsi="仿宋" w:eastAsia="仿宋" w:cs="仿宋"/>
          <w:color w:val="auto"/>
          <w:sz w:val="36"/>
          <w:szCs w:val="36"/>
          <w:highlight w:val="none"/>
        </w:rPr>
      </w:pPr>
    </w:p>
    <w:p>
      <w:pPr>
        <w:snapToGrid w:val="0"/>
        <w:spacing w:line="480" w:lineRule="auto"/>
        <w:jc w:val="left"/>
        <w:rPr>
          <w:rFonts w:ascii="仿宋" w:hAnsi="仿宋" w:eastAsia="仿宋" w:cs="仿宋"/>
          <w:color w:val="auto"/>
          <w:sz w:val="36"/>
          <w:szCs w:val="36"/>
          <w:highlight w:val="none"/>
        </w:rPr>
      </w:pPr>
    </w:p>
    <w:p>
      <w:pPr>
        <w:snapToGrid w:val="0"/>
        <w:spacing w:line="480" w:lineRule="auto"/>
        <w:jc w:val="left"/>
        <w:rPr>
          <w:rFonts w:ascii="仿宋" w:hAnsi="仿宋" w:eastAsia="仿宋" w:cs="仿宋"/>
          <w:color w:val="auto"/>
          <w:sz w:val="36"/>
          <w:szCs w:val="36"/>
          <w:highlight w:val="none"/>
        </w:rPr>
      </w:pPr>
    </w:p>
    <w:p>
      <w:pPr>
        <w:snapToGrid w:val="0"/>
        <w:spacing w:line="480" w:lineRule="auto"/>
        <w:jc w:val="left"/>
        <w:rPr>
          <w:rFonts w:ascii="仿宋" w:hAnsi="仿宋" w:eastAsia="仿宋" w:cs="仿宋"/>
          <w:color w:val="auto"/>
          <w:sz w:val="36"/>
          <w:szCs w:val="36"/>
          <w:highlight w:val="none"/>
        </w:rPr>
      </w:pPr>
    </w:p>
    <w:p>
      <w:pPr>
        <w:snapToGrid w:val="0"/>
        <w:spacing w:line="480" w:lineRule="auto"/>
        <w:jc w:val="left"/>
        <w:rPr>
          <w:rFonts w:ascii="仿宋" w:hAnsi="仿宋" w:eastAsia="仿宋" w:cs="仿宋"/>
          <w:color w:val="auto"/>
          <w:sz w:val="36"/>
          <w:szCs w:val="36"/>
          <w:highlight w:val="none"/>
        </w:rPr>
      </w:pPr>
    </w:p>
    <w:p>
      <w:pPr>
        <w:pageBreakBefore/>
        <w:widowControl/>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4"/>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ascii="仿宋" w:hAnsi="仿宋" w:eastAsia="仿宋" w:cs="仿宋"/>
                <w:color w:val="auto"/>
                <w:highlight w:val="none"/>
              </w:rPr>
            </w:pPr>
            <w:r>
              <w:rPr>
                <w:rFonts w:hint="eastAsia" w:ascii="仿宋" w:hAnsi="仿宋" w:eastAsia="仿宋" w:cs="仿宋"/>
                <w:color w:val="auto"/>
                <w:highlight w:val="none"/>
              </w:rPr>
              <w:br w:type="page"/>
            </w:r>
          </w:p>
          <w:tbl>
            <w:tblPr>
              <w:tblStyle w:val="44"/>
              <w:tblW w:w="8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8234" w:type="dxa"/>
                </w:tcPr>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70"/>
                    <w:spacing w:afterLines="0" w:line="440" w:lineRule="exact"/>
                    <w:ind w:firstLine="480"/>
                    <w:rPr>
                      <w:rFonts w:ascii="仿宋" w:hAnsi="仿宋" w:eastAsia="仿宋" w:cs="仿宋"/>
                      <w:color w:val="auto"/>
                      <w:szCs w:val="24"/>
                      <w:highlight w:val="none"/>
                    </w:rPr>
                  </w:pPr>
                  <w:bookmarkStart w:id="0" w:name="_Hlk47532823"/>
                  <w:r>
                    <w:rPr>
                      <w:rFonts w:hint="eastAsia" w:ascii="仿宋" w:hAnsi="仿宋" w:eastAsia="仿宋" w:cs="仿宋"/>
                      <w:color w:val="auto"/>
                      <w:szCs w:val="24"/>
                      <w:highlight w:val="none"/>
                    </w:rPr>
                    <w:t>绍兴市中医院</w:t>
                  </w:r>
                  <w:bookmarkEnd w:id="0"/>
                  <w:r>
                    <w:rPr>
                      <w:rFonts w:hint="eastAsia" w:ascii="仿宋" w:hAnsi="仿宋" w:eastAsia="仿宋" w:cs="仿宋"/>
                      <w:color w:val="auto"/>
                      <w:szCs w:val="24"/>
                      <w:highlight w:val="none"/>
                    </w:rPr>
                    <w:t>扩建区固定嵌入式及部分活动医疗家具采购安装项目的潜在投标人应在</w:t>
                  </w:r>
                  <w:r>
                    <w:rPr>
                      <w:rStyle w:val="279"/>
                      <w:rFonts w:hint="eastAsia" w:ascii="仿宋" w:hAnsi="仿宋" w:eastAsia="仿宋" w:cs="仿宋"/>
                      <w:color w:val="auto"/>
                      <w:sz w:val="27"/>
                      <w:szCs w:val="27"/>
                      <w:highlight w:val="none"/>
                    </w:rPr>
                    <w:t>https://www.zcygov.cn</w:t>
                  </w:r>
                  <w:r>
                    <w:rPr>
                      <w:rFonts w:hint="eastAsia" w:ascii="仿宋" w:hAnsi="仿宋" w:eastAsia="仿宋" w:cs="仿宋"/>
                      <w:color w:val="auto"/>
                      <w:szCs w:val="24"/>
                      <w:highlight w:val="none"/>
                    </w:rPr>
                    <w:t>获取（下载）招标文件，并于2022年月日 09:00（北京时间）前递交（上传）投标文件。</w:t>
                  </w:r>
                </w:p>
              </w:tc>
            </w:tr>
          </w:tbl>
          <w:p>
            <w:pPr>
              <w:pStyle w:val="70"/>
              <w:spacing w:afterLines="0" w:line="440" w:lineRule="exact"/>
              <w:ind w:firstLine="480"/>
              <w:jc w:val="left"/>
              <w:rPr>
                <w:rFonts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项目编号：ZYJZ2022</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项目名称：绍兴市中医院扩建区固定嵌入式及部分活动医疗家具采购安装项目</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预算金额（元）：3800000</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最高限价（元）：3800000</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标项一:</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标项名称:扩建区固定嵌入式及部分活动医疗家具采购安装项目</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数量:1</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预算金额（元）: 3800000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简要规格描述或项目基本概况介绍、用途：详见采购文件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备注：无</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70"/>
              <w:spacing w:after="120" w:line="440" w:lineRule="exact"/>
              <w:ind w:firstLine="480"/>
              <w:jc w:val="left"/>
              <w:rPr>
                <w:rFonts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0"/>
              <w:spacing w:after="120" w:line="440" w:lineRule="exact"/>
              <w:ind w:firstLine="480"/>
              <w:jc w:val="left"/>
              <w:rPr>
                <w:rFonts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pPr>
              <w:pStyle w:val="70"/>
              <w:spacing w:afterLines="0" w:line="440" w:lineRule="exact"/>
              <w:ind w:firstLine="420"/>
              <w:rPr>
                <w:rFonts w:ascii="仿宋" w:hAnsi="仿宋" w:eastAsia="仿宋" w:cs="仿宋"/>
                <w:color w:val="auto"/>
                <w:szCs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785" w:firstLineChars="374"/>
              <w:rPr>
                <w:rFonts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2365989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46959412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4.本项目的特定资格要求：无</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时间：/至2022年月日，每天上午00:00至12:00 ，下午12:00至23:59（北京时间，线上获取法定节假日均可，线下获取文件法定节假日除外）</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地点（网址）：</w:t>
            </w:r>
            <w:r>
              <w:rPr>
                <w:rFonts w:hint="eastAsia" w:ascii="仿宋" w:hAnsi="仿宋" w:eastAsia="仿宋" w:cs="仿宋"/>
                <w:bCs/>
                <w:color w:val="auto"/>
                <w:highlight w:val="none"/>
              </w:rPr>
              <w:t>http://www.zcygov.cn/</w:t>
            </w:r>
            <w:r>
              <w:rPr>
                <w:rFonts w:hint="eastAsia" w:ascii="仿宋" w:hAnsi="仿宋" w:eastAsia="仿宋" w:cs="仿宋"/>
                <w:color w:val="auto"/>
                <w:szCs w:val="24"/>
                <w:highlight w:val="none"/>
              </w:rPr>
              <w:t>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方式：</w:t>
            </w:r>
            <w:r>
              <w:rPr>
                <w:rFonts w:hint="eastAsia" w:ascii="仿宋" w:hAnsi="仿宋" w:eastAsia="仿宋" w:cs="仿宋"/>
                <w:bCs/>
                <w:color w:val="auto"/>
                <w:highlight w:val="none"/>
              </w:rPr>
              <w:t>供应商登陆政采云平台http://www.zcygov.cn/，在线申请获取采购文件（进入“项目采购”应用，在获取采购文件菜单中选择项目，申请获取采购文件）。</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售价（元）：0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提交投标文件截止时间：2022年月日 09:00（北京时间）</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投标地点（网址）：政采云平台</w:t>
            </w:r>
            <w:r>
              <w:rPr>
                <w:rFonts w:hint="eastAsia" w:ascii="仿宋" w:hAnsi="仿宋" w:eastAsia="仿宋" w:cs="仿宋"/>
                <w:bCs/>
                <w:color w:val="auto"/>
                <w:highlight w:val="none"/>
              </w:rPr>
              <w:t>http://www.zcygov.cn/</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开标时间：2022年月日 09:00</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开标地点（网址）：</w:t>
            </w:r>
            <w:r>
              <w:rPr>
                <w:rFonts w:hint="eastAsia" w:ascii="仿宋" w:hAnsi="仿宋" w:eastAsia="仿宋" w:cs="仿宋"/>
                <w:color w:val="auto"/>
                <w:highlight w:val="none"/>
              </w:rPr>
              <w:t>绍兴市越城区朝皇路58号正大综合楼601泰宇咨询会议室</w:t>
            </w:r>
            <w:r>
              <w:rPr>
                <w:rFonts w:hint="eastAsia" w:ascii="仿宋" w:hAnsi="仿宋" w:eastAsia="仿宋" w:cs="仿宋"/>
                <w:color w:val="auto"/>
                <w:szCs w:val="24"/>
                <w:highlight w:val="none"/>
              </w:rPr>
              <w:t>，在政府采购云平台（www.zcygov.cn）上开启响应文件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highlight w:val="none"/>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名称：绍兴市中医院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highlight w:val="none"/>
              </w:rPr>
              <w:t>绍兴市越城区人民中路651号</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传真：/</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项目联系人（询问）：陈科长</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-目联系方式（询问）：0575-89107222</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质疑联系人：</w:t>
            </w:r>
            <w:r>
              <w:rPr>
                <w:rFonts w:hint="eastAsia" w:ascii="仿宋" w:hAnsi="仿宋" w:eastAsia="仿宋" w:cs="仿宋"/>
                <w:color w:val="auto"/>
                <w:highlight w:val="none"/>
              </w:rPr>
              <w:t>沈勇</w:t>
            </w:r>
            <w:r>
              <w:rPr>
                <w:rFonts w:hint="eastAsia" w:ascii="仿宋" w:hAnsi="仿宋" w:eastAsia="仿宋" w:cs="仿宋"/>
                <w:color w:val="auto"/>
                <w:szCs w:val="24"/>
                <w:highlight w:val="none"/>
              </w:rPr>
              <w:t>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质疑联系方式：</w:t>
            </w:r>
            <w:r>
              <w:rPr>
                <w:rFonts w:hint="eastAsia" w:ascii="仿宋" w:hAnsi="仿宋" w:eastAsia="仿宋" w:cs="仿宋"/>
                <w:color w:val="auto"/>
                <w:highlight w:val="none"/>
              </w:rPr>
              <w:t>0575-89107189 </w:t>
            </w:r>
          </w:p>
          <w:p>
            <w:pPr>
              <w:pStyle w:val="70"/>
              <w:spacing w:afterLines="0" w:line="440" w:lineRule="exact"/>
              <w:ind w:firstLine="480"/>
              <w:rPr>
                <w:rFonts w:ascii="仿宋" w:hAnsi="仿宋" w:eastAsia="仿宋" w:cs="仿宋"/>
                <w:color w:val="auto"/>
                <w:highlight w:val="none"/>
              </w:rPr>
            </w:pPr>
            <w:r>
              <w:rPr>
                <w:rFonts w:hint="eastAsia" w:ascii="仿宋" w:hAnsi="仿宋" w:eastAsia="仿宋" w:cs="仿宋"/>
                <w:color w:val="auto"/>
                <w:szCs w:val="24"/>
                <w:highlight w:val="none"/>
              </w:rPr>
              <w:t>2.采购代理机构信息       </w:t>
            </w:r>
            <w:r>
              <w:rPr>
                <w:rFonts w:hint="eastAsia" w:ascii="仿宋" w:hAnsi="仿宋" w:eastAsia="仿宋" w:cs="仿宋"/>
                <w:color w:val="auto"/>
                <w:highlight w:val="none"/>
              </w:rPr>
              <w:t xml:space="preserve">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名称：泰宇建筑工程技术咨询有限公司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highlight w:val="none"/>
              </w:rPr>
              <w:t>质疑联系方式：0575-85080066</w:t>
            </w:r>
            <w:r>
              <w:rPr>
                <w:rFonts w:hint="eastAsia" w:ascii="仿宋" w:hAnsi="仿宋" w:eastAsia="仿宋" w:cs="仿宋"/>
                <w:color w:val="auto"/>
                <w:szCs w:val="24"/>
                <w:highlight w:val="none"/>
              </w:rPr>
              <w:t>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联系人 ：宋晓林       </w:t>
            </w:r>
          </w:p>
          <w:p>
            <w:pPr>
              <w:pStyle w:val="70"/>
              <w:spacing w:afterLines="0" w:line="440" w:lineRule="exact"/>
              <w:ind w:firstLine="480"/>
              <w:jc w:val="left"/>
              <w:rPr>
                <w:rFonts w:ascii="仿宋" w:hAnsi="仿宋" w:eastAsia="仿宋" w:cs="仿宋"/>
                <w:color w:val="auto"/>
                <w:szCs w:val="24"/>
                <w:highlight w:val="none"/>
              </w:rPr>
            </w:pPr>
            <w:r>
              <w:rPr>
                <w:rFonts w:hint="eastAsia" w:ascii="仿宋" w:hAnsi="仿宋" w:eastAsia="仿宋" w:cs="仿宋"/>
                <w:color w:val="auto"/>
                <w:szCs w:val="24"/>
                <w:highlight w:val="none"/>
              </w:rPr>
              <w:t>监督投诉电话：0575-85209697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若对项目采购电子交易系统操作有疑问，可登录政采云（https://www.zcygov.cn/），点击右侧咨询小采，获取采小蜜智能服务管家帮助，或拨打政采云服务热线400-881-7190获取热线服务帮助。</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ascii="仿宋" w:hAnsi="仿宋" w:eastAsia="仿宋" w:cs="仿宋"/>
                <w:color w:val="auto"/>
                <w:highlight w:val="none"/>
              </w:rPr>
            </w:pPr>
            <w:r>
              <w:rPr>
                <w:rFonts w:hint="eastAsia" w:ascii="仿宋" w:hAnsi="仿宋" w:eastAsia="仿宋" w:cs="仿宋"/>
                <w:color w:val="auto"/>
                <w:highlight w:val="none"/>
              </w:rPr>
              <w:t>·</w:t>
            </w:r>
          </w:p>
        </w:tc>
      </w:tr>
    </w:tbl>
    <w:p>
      <w:pPr>
        <w:widowControl/>
        <w:jc w:val="left"/>
        <w:rPr>
          <w:rFonts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ascii="仿宋" w:hAnsi="仿宋" w:eastAsia="仿宋" w:cs="仿宋"/>
          <w:b/>
          <w:color w:val="auto"/>
          <w:sz w:val="30"/>
          <w:szCs w:val="36"/>
          <w:highlight w:val="none"/>
        </w:rPr>
      </w:pPr>
      <w:bookmarkStart w:id="1" w:name="_Hlk47616320"/>
      <w:r>
        <w:rPr>
          <w:rFonts w:hint="eastAsia" w:ascii="仿宋" w:hAnsi="仿宋" w:eastAsia="仿宋" w:cs="仿宋"/>
          <w:b/>
          <w:color w:val="auto"/>
          <w:sz w:val="30"/>
          <w:szCs w:val="36"/>
          <w:highlight w:val="none"/>
        </w:rPr>
        <w:t>前附表</w:t>
      </w:r>
    </w:p>
    <w:tbl>
      <w:tblPr>
        <w:tblStyle w:val="44"/>
        <w:tblW w:w="9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471"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471" w:type="dxa"/>
            <w:gridSpan w:val="2"/>
            <w:vAlign w:val="center"/>
          </w:tcPr>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471"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471"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471"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471"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471"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471"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360"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471"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360" w:lineRule="auto"/>
              <w:rPr>
                <w:rFonts w:ascii="仿宋" w:hAnsi="仿宋" w:eastAsia="仿宋" w:cs="仿宋"/>
                <w:color w:val="auto"/>
                <w:sz w:val="24"/>
                <w:highlight w:val="none"/>
              </w:rPr>
            </w:pPr>
            <w:sdt>
              <w:sdtPr>
                <w:rPr>
                  <w:rFonts w:hint="eastAsia" w:ascii="仿宋" w:hAnsi="仿宋" w:eastAsia="仿宋" w:cs="仿宋"/>
                  <w:color w:val="auto"/>
                  <w:kern w:val="0"/>
                  <w:sz w:val="24"/>
                  <w:szCs w:val="21"/>
                  <w:highlight w:val="none"/>
                </w:rPr>
                <w:id w:val="-740788832"/>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360" w:lineRule="auto"/>
              <w:rPr>
                <w:rFonts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B要求提供，</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详见招标文件第三部分中的样品  </w:t>
            </w:r>
            <w:r>
              <w:rPr>
                <w:rFonts w:hint="eastAsia" w:ascii="仿宋" w:hAnsi="仿宋" w:eastAsia="仿宋" w:cs="仿宋"/>
                <w:color w:val="auto"/>
                <w:kern w:val="0"/>
                <w:sz w:val="24"/>
                <w:highlight w:val="none"/>
              </w:rPr>
              <w:t>；</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详见配置需求和评标办法  </w:t>
            </w:r>
            <w:r>
              <w:rPr>
                <w:rFonts w:hint="eastAsia" w:ascii="仿宋" w:hAnsi="仿宋" w:eastAsia="仿宋" w:cs="仿宋"/>
                <w:color w:val="auto"/>
                <w:kern w:val="0"/>
                <w:sz w:val="24"/>
                <w:highlight w:val="none"/>
              </w:rPr>
              <w:t>；</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snapToGrid w:val="0"/>
                <w:color w:val="auto"/>
                <w:kern w:val="28"/>
                <w:sz w:val="24"/>
                <w:highlight w:val="none"/>
                <w:u w:val="single"/>
              </w:rPr>
              <w:t xml:space="preserve"> </w:t>
            </w:r>
            <w:r>
              <w:rPr>
                <w:rFonts w:hint="eastAsia" w:ascii="仿宋" w:hAnsi="仿宋" w:eastAsia="仿宋" w:cs="仿宋"/>
                <w:color w:val="auto"/>
                <w:sz w:val="24"/>
                <w:highlight w:val="none"/>
                <w:u w:val="single"/>
              </w:rPr>
              <w:t xml:space="preserve">评标办法 </w:t>
            </w:r>
            <w:r>
              <w:rPr>
                <w:rFonts w:hint="eastAsia" w:ascii="仿宋" w:hAnsi="仿宋" w:eastAsia="仿宋" w:cs="仿宋"/>
                <w:color w:val="auto"/>
                <w:kern w:val="0"/>
                <w:sz w:val="24"/>
                <w:highlight w:val="none"/>
              </w:rPr>
              <w:t>；</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2022年 月 日 09:00（北京时间）前（开标当天送达）</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471"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样品讲解演示：</w:t>
            </w:r>
          </w:p>
          <w:p>
            <w:pPr>
              <w:spacing w:line="440" w:lineRule="exact"/>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80173153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0569764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szCs w:val="21"/>
                          <w:highlight w:val="none"/>
                        </w:rPr>
                        <w:id w:val="-1104046826"/>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2" w:char="0052"/>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w:t>
            </w:r>
            <w:r>
              <w:rPr>
                <w:rFonts w:hint="eastAsia" w:ascii="仿宋" w:hAnsi="仿宋" w:eastAsia="仿宋" w:cs="仿宋"/>
                <w:color w:val="auto"/>
                <w:kern w:val="0"/>
                <w:sz w:val="24"/>
                <w:highlight w:val="none"/>
              </w:rPr>
              <w:t>样品</w:t>
            </w:r>
            <w:r>
              <w:rPr>
                <w:rFonts w:hint="eastAsia" w:ascii="仿宋" w:hAnsi="仿宋" w:eastAsia="仿宋" w:cs="仿宋"/>
                <w:color w:val="auto"/>
                <w:sz w:val="24"/>
                <w:highlight w:val="none"/>
              </w:rPr>
              <w:t>讲解演示。</w:t>
            </w:r>
          </w:p>
          <w:p>
            <w:pPr>
              <w:spacing w:line="440" w:lineRule="exact"/>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1281644016"/>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0404682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B有样品讲解演示：</w:t>
            </w:r>
          </w:p>
          <w:p>
            <w:pPr>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在评标时安排每个投标人进行</w:t>
            </w:r>
            <w:r>
              <w:rPr>
                <w:rFonts w:hint="eastAsia" w:ascii="仿宋" w:hAnsi="仿宋" w:eastAsia="仿宋" w:cs="仿宋"/>
                <w:color w:val="auto"/>
                <w:kern w:val="0"/>
                <w:sz w:val="24"/>
                <w:highlight w:val="none"/>
              </w:rPr>
              <w:t>样品讲解演示</w:t>
            </w:r>
            <w:r>
              <w:rPr>
                <w:rFonts w:hint="eastAsia" w:ascii="仿宋" w:hAnsi="仿宋" w:eastAsia="仿宋" w:cs="仿宋"/>
                <w:color w:val="auto"/>
                <w:kern w:val="0"/>
                <w:sz w:val="24"/>
                <w:highlight w:val="none"/>
                <w:lang w:val="zh-CN"/>
              </w:rPr>
              <w:t>，讲解</w:t>
            </w:r>
            <w:r>
              <w:rPr>
                <w:rFonts w:hint="eastAsia" w:ascii="仿宋" w:hAnsi="仿宋" w:eastAsia="仿宋" w:cs="仿宋"/>
                <w:color w:val="auto"/>
                <w:sz w:val="24"/>
                <w:highlight w:val="none"/>
              </w:rPr>
              <w:t>演示结束</w:t>
            </w:r>
            <w:r>
              <w:rPr>
                <w:rFonts w:hint="eastAsia" w:ascii="仿宋" w:hAnsi="仿宋" w:eastAsia="仿宋" w:cs="仿宋"/>
                <w:color w:val="auto"/>
                <w:kern w:val="0"/>
                <w:sz w:val="24"/>
                <w:highlight w:val="none"/>
                <w:lang w:val="zh-CN"/>
              </w:rPr>
              <w:t>后按要求解答评标委员会的提问。</w:t>
            </w:r>
          </w:p>
          <w:p>
            <w:pPr>
              <w:spacing w:line="440" w:lineRule="exact"/>
              <w:rPr>
                <w:rFonts w:ascii="仿宋" w:hAnsi="仿宋" w:eastAsia="仿宋" w:cs="仿宋"/>
                <w:color w:val="auto"/>
                <w:sz w:val="24"/>
                <w:highlight w:val="none"/>
              </w:rPr>
            </w:pPr>
            <w:r>
              <w:rPr>
                <w:rFonts w:hint="eastAsia" w:ascii="仿宋" w:hAnsi="仿宋" w:eastAsia="仿宋" w:cs="仿宋"/>
                <w:b/>
                <w:color w:val="auto"/>
                <w:kern w:val="0"/>
                <w:sz w:val="24"/>
                <w:highlight w:val="none"/>
                <w:lang w:val="zh-CN"/>
              </w:rPr>
              <w:t>讲解演示设备：</w:t>
            </w:r>
            <w:r>
              <w:rPr>
                <w:rFonts w:hint="eastAsia" w:ascii="仿宋" w:hAnsi="仿宋" w:eastAsia="仿宋" w:cs="仿宋"/>
                <w:color w:val="auto"/>
                <w:kern w:val="0"/>
                <w:sz w:val="24"/>
                <w:highlight w:val="none"/>
                <w:lang w:val="zh-CN"/>
              </w:rPr>
              <w:t>讲解</w:t>
            </w:r>
            <w:r>
              <w:rPr>
                <w:rFonts w:hint="eastAsia" w:ascii="仿宋" w:hAnsi="仿宋" w:eastAsia="仿宋" w:cs="仿宋"/>
                <w:color w:val="auto"/>
                <w:sz w:val="24"/>
                <w:highlight w:val="none"/>
              </w:rPr>
              <w:t>演示所需设备由投标人自行准备。</w:t>
            </w:r>
          </w:p>
          <w:p>
            <w:pPr>
              <w:spacing w:line="440" w:lineRule="exact"/>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讲解演示时间：</w:t>
            </w:r>
            <w:r>
              <w:rPr>
                <w:rFonts w:hint="eastAsia" w:ascii="仿宋" w:hAnsi="仿宋" w:eastAsia="仿宋" w:cs="仿宋"/>
                <w:color w:val="auto"/>
                <w:kern w:val="0"/>
                <w:sz w:val="24"/>
                <w:highlight w:val="none"/>
                <w:lang w:val="zh-CN"/>
              </w:rPr>
              <w:t>每个投标人讲解演示前的调试准备时间不超过15分钟，讲解演示时间不超过15分钟，</w:t>
            </w:r>
            <w:r>
              <w:rPr>
                <w:rFonts w:hint="eastAsia" w:ascii="仿宋" w:hAnsi="仿宋" w:eastAsia="仿宋" w:cs="仿宋"/>
                <w:color w:val="auto"/>
                <w:sz w:val="24"/>
                <w:highlight w:val="none"/>
              </w:rPr>
              <w:t>不包含评标委员会提问解答时间。</w:t>
            </w:r>
          </w:p>
          <w:p>
            <w:pPr>
              <w:spacing w:line="440" w:lineRule="exact"/>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讲解演示次序：</w:t>
            </w:r>
            <w:r>
              <w:rPr>
                <w:rFonts w:hint="eastAsia" w:ascii="仿宋" w:hAnsi="仿宋" w:eastAsia="仿宋" w:cs="仿宋"/>
                <w:color w:val="auto"/>
                <w:kern w:val="0"/>
                <w:sz w:val="24"/>
                <w:highlight w:val="none"/>
                <w:lang w:val="zh-CN"/>
              </w:rPr>
              <w:t>以政采云平台中</w:t>
            </w:r>
            <w:r>
              <w:rPr>
                <w:rFonts w:hint="eastAsia" w:ascii="仿宋" w:hAnsi="仿宋" w:eastAsia="仿宋" w:cs="仿宋"/>
                <w:bCs/>
                <w:color w:val="auto"/>
                <w:sz w:val="24"/>
                <w:highlight w:val="none"/>
              </w:rPr>
              <w:t>投标</w:t>
            </w:r>
            <w:r>
              <w:rPr>
                <w:rFonts w:hint="eastAsia" w:ascii="仿宋" w:hAnsi="仿宋" w:eastAsia="仿宋" w:cs="仿宋"/>
                <w:color w:val="auto"/>
                <w:kern w:val="0"/>
                <w:sz w:val="24"/>
                <w:highlight w:val="none"/>
                <w:lang w:val="zh-CN"/>
              </w:rPr>
              <w:t>文件解密时间的先后顺序为准。</w:t>
            </w:r>
          </w:p>
          <w:p>
            <w:pPr>
              <w:spacing w:line="440" w:lineRule="exact"/>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讲解演示途径：现场演示。</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注：因投标人自身原因导致无法讲解演示或者讲解演示效果不理想的，责任自负。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616" w:type="dxa"/>
            <w:vAlign w:val="center"/>
          </w:tcPr>
          <w:p>
            <w:pPr>
              <w:spacing w:line="360" w:lineRule="auto"/>
              <w:rPr>
                <w:rFonts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40" w:lineRule="exact"/>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ind w:left="-3" w:leftChars="-8" w:right="-50" w:rightChars="-2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616" w:type="dxa"/>
            <w:vAlign w:val="center"/>
          </w:tcPr>
          <w:p>
            <w:pPr>
              <w:spacing w:line="360"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40" w:lineRule="exact"/>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471" w:type="dxa"/>
            <w:gridSpan w:val="2"/>
            <w:vAlign w:val="center"/>
          </w:tcPr>
          <w:p>
            <w:pPr>
              <w:snapToGrid w:val="0"/>
              <w:ind w:left="-18" w:leftChars="-9" w:right="-50" w:rightChars="-24" w:hanging="1"/>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snapToGrid w:val="0"/>
              <w:spacing w:line="360" w:lineRule="auto"/>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616"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616"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616"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471"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471"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471"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471"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471"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 w:hAnsi="仿宋" w:eastAsia="仿宋" w:cs="仿宋"/>
                <w:color w:val="auto"/>
                <w:sz w:val="24"/>
                <w:highlight w:val="none"/>
              </w:rPr>
            </w:pPr>
          </w:p>
        </w:tc>
        <w:tc>
          <w:tcPr>
            <w:tcW w:w="8471" w:type="dxa"/>
            <w:gridSpan w:val="2"/>
            <w:vAlign w:val="center"/>
          </w:tcPr>
          <w:p>
            <w:pPr>
              <w:adjustRightInd w:val="0"/>
              <w:spacing w:line="440" w:lineRule="exact"/>
              <w:rPr>
                <w:rFonts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471" w:type="dxa"/>
            <w:gridSpan w:val="2"/>
            <w:vAlign w:val="center"/>
          </w:tcPr>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62%进行收费。服务费不到2000元按照2000元收取。</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41"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41" w:type="dxa"/>
            <w:gridSpan w:val="3"/>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1"/>
    </w:tbl>
    <w:p>
      <w:pPr>
        <w:pageBreakBefore/>
        <w:snapToGrid w:val="0"/>
        <w:spacing w:line="30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2.1.1“采购人”系指采购公告中载明的本项目的采购人，即绍兴市中医院（合同中的甲方）。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2.1.2“采购代理机构”系指采购公告中载明的本项目的采购代理机构，即泰宇建筑工程技术咨询有限公司。</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2.6“电子交易平台”是指本项目政府采购活动所依托的政府采购云平台（https://www.zcygov.cn/）。</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2.8因特殊原因需要使用冠以法定名称的业务专用章的，投标时须提供《业务专用章使用说明函》(详见附件)。</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pStyle w:val="15"/>
        <w:tabs>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5"/>
        <w:tabs>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5"/>
        <w:widowControl w:val="0"/>
        <w:tabs>
          <w:tab w:val="clear" w:pos="454"/>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5"/>
        <w:widowControl w:val="0"/>
        <w:tabs>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widowControl w:val="0"/>
        <w:tabs>
          <w:tab w:val="clear" w:pos="454"/>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4.3招标文件的修改</w:t>
      </w:r>
    </w:p>
    <w:p>
      <w:pPr>
        <w:pStyle w:val="15"/>
        <w:widowControl w:val="0"/>
        <w:tabs>
          <w:tab w:val="clear" w:pos="454"/>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5"/>
        </w:num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472" w:firstLineChars="196"/>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投标文件由“报价文件资料”、“商务技术（资信）文件资料”两部分组成，其中</w:t>
      </w:r>
      <w:r>
        <w:rPr>
          <w:rFonts w:hint="eastAsia" w:ascii="仿宋" w:hAnsi="仿宋" w:eastAsia="仿宋" w:cs="仿宋"/>
          <w:b/>
          <w:color w:val="auto"/>
          <w:sz w:val="24"/>
          <w:highlight w:val="none"/>
        </w:rPr>
        <w:t>电子投标文件中所须加盖公章部分均应采用电子签章。</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6"/>
        <w:spacing w:line="440" w:lineRule="exact"/>
        <w:rPr>
          <w:rFonts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6"/>
        <w:spacing w:line="440" w:lineRule="exact"/>
        <w:rPr>
          <w:rFonts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pPr>
        <w:pStyle w:val="25"/>
        <w:snapToGrid w:val="0"/>
        <w:spacing w:line="440" w:lineRule="exact"/>
        <w:rPr>
          <w:rFonts w:ascii="仿宋" w:hAnsi="仿宋" w:eastAsia="仿宋" w:cs="仿宋"/>
          <w:color w:val="auto"/>
          <w:sz w:val="24"/>
          <w:highlight w:val="none"/>
          <w:lang w:val="zh-CN"/>
        </w:rPr>
      </w:pPr>
      <w:bookmarkStart w:id="2" w:name="_Hlt68403820"/>
      <w:bookmarkEnd w:id="2"/>
      <w:bookmarkStart w:id="3" w:name="_Hlt68072998"/>
      <w:bookmarkEnd w:id="3"/>
      <w:bookmarkStart w:id="4" w:name="_Hlt68073093"/>
      <w:bookmarkEnd w:id="4"/>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pPr>
        <w:tabs>
          <w:tab w:val="left" w:pos="0"/>
          <w:tab w:val="left" w:pos="840"/>
        </w:tabs>
        <w:autoSpaceDE w:val="0"/>
        <w:autoSpaceDN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22"/>
        <w:tabs>
          <w:tab w:val="left" w:pos="1854"/>
          <w:tab w:val="clear" w:pos="482"/>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2.2.18联合协议（如有）；</w:t>
      </w:r>
    </w:p>
    <w:p>
      <w:pPr>
        <w:pStyle w:val="22"/>
        <w:tabs>
          <w:tab w:val="left" w:pos="1854"/>
          <w:tab w:val="clear" w:pos="482"/>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2.2.19分包意向协议（如有）；</w:t>
      </w:r>
    </w:p>
    <w:p>
      <w:pPr>
        <w:pStyle w:val="22"/>
        <w:tabs>
          <w:tab w:val="left" w:pos="1854"/>
          <w:tab w:val="clear" w:pos="482"/>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2.2.20中小企业声明函（如有）；</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22"/>
        <w:tabs>
          <w:tab w:val="left" w:pos="1854"/>
          <w:tab w:val="clear" w:pos="482"/>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2"/>
        <w:tabs>
          <w:tab w:val="left" w:pos="1854"/>
          <w:tab w:val="clear" w:pos="482"/>
        </w:tabs>
        <w:spacing w:afterLines="0" w:line="440" w:lineRule="exact"/>
        <w:ind w:left="0" w:right="-78" w:rightChars="-37" w:firstLine="480" w:firstLineChars="200"/>
        <w:rPr>
          <w:rFonts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5"/>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5"/>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5"/>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5"/>
        <w:widowControl w:val="0"/>
        <w:tabs>
          <w:tab w:val="clear" w:pos="454"/>
        </w:tabs>
        <w:spacing w:afterLines="0" w:line="440" w:lineRule="atLeas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5"/>
        <w:widowControl w:val="0"/>
        <w:tabs>
          <w:tab w:val="clear" w:pos="454"/>
        </w:tabs>
        <w:spacing w:afterLines="0" w:line="440" w:lineRule="atLeas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5"/>
        <w:widowControl w:val="0"/>
        <w:tabs>
          <w:tab w:val="clear" w:pos="454"/>
        </w:tabs>
        <w:spacing w:afterLines="0" w:line="440" w:lineRule="atLeas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5.投标文件的规定</w:t>
      </w:r>
    </w:p>
    <w:p>
      <w:pPr>
        <w:pStyle w:val="25"/>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5.1投标文件由“商务技术（资信）文件资料”、“报价文件资料”两部分文件组成，应按统一格式填写。</w:t>
      </w:r>
    </w:p>
    <w:p>
      <w:pPr>
        <w:pStyle w:val="25"/>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5.2投标文件须按附件格式要求进行电子签章，投标人应写全称。</w:t>
      </w:r>
    </w:p>
    <w:p>
      <w:pPr>
        <w:pStyle w:val="25"/>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5.4投标文件因字迹潦草或表达不清所引起的后果由投标人负责。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6.投标文件的提交</w:t>
      </w:r>
    </w:p>
    <w:p>
      <w:pPr>
        <w:snapToGrid w:val="0"/>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kern w:val="0"/>
          <w:sz w:val="24"/>
          <w:highlight w:val="none"/>
        </w:rPr>
        <w:t>投标文件的补充和修改</w:t>
      </w:r>
    </w:p>
    <w:p>
      <w:pPr>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3.6评</w:t>
      </w:r>
      <w:r>
        <w:rPr>
          <w:rFonts w:hint="eastAsia" w:ascii="仿宋" w:hAnsi="仿宋" w:eastAsia="仿宋" w:cs="仿宋"/>
          <w:color w:val="auto"/>
          <w:sz w:val="24"/>
          <w:highlight w:val="none"/>
        </w:rPr>
        <w:t>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pacing w:line="440" w:lineRule="exact"/>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 《政府采购货物和服务招标投标管理办法》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6.8评标委员会依据招标文件规定的评标标准和方法，对投标文件进行评审和比较后，向采购代理机构提供书面评标报告，并按得分高低排序推荐中标候选供应商。</w:t>
      </w:r>
    </w:p>
    <w:p>
      <w:pPr>
        <w:pStyle w:val="15"/>
        <w:widowControl w:val="0"/>
        <w:tabs>
          <w:tab w:val="clear" w:pos="454"/>
        </w:tabs>
        <w:spacing w:afterLines="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widowControl w:val="0"/>
        <w:tabs>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5"/>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8.9报</w:t>
      </w:r>
      <w:r>
        <w:rPr>
          <w:rFonts w:hint="eastAsia" w:ascii="仿宋" w:hAnsi="仿宋" w:eastAsia="仿宋" w:cs="仿宋"/>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8.10</w:t>
      </w:r>
      <w:r>
        <w:rPr>
          <w:rFonts w:hint="eastAsia" w:ascii="仿宋" w:hAnsi="仿宋" w:eastAsia="仿宋" w:cs="仿宋"/>
          <w:b/>
          <w:color w:val="auto"/>
          <w:sz w:val="24"/>
          <w:highlight w:val="none"/>
        </w:rPr>
        <w:t>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5"/>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8.11出现同一标的物或本次招标产品(服务)内的主要产品(重要组成部分)出现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5"/>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8.12《技</w:t>
      </w:r>
      <w:r>
        <w:rPr>
          <w:rFonts w:hint="eastAsia" w:ascii="仿宋" w:hAnsi="仿宋" w:eastAsia="仿宋" w:cs="仿宋"/>
          <w:b/>
          <w:color w:val="auto"/>
          <w:sz w:val="24"/>
          <w:highlight w:val="none"/>
        </w:rPr>
        <w:t>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8.13投</w:t>
      </w:r>
      <w:r>
        <w:rPr>
          <w:rFonts w:hint="eastAsia" w:ascii="仿宋" w:hAnsi="仿宋" w:eastAsia="仿宋" w:cs="仿宋"/>
          <w:b/>
          <w:color w:val="auto"/>
          <w:kern w:val="0"/>
          <w:sz w:val="24"/>
          <w:highlight w:val="none"/>
        </w:rPr>
        <w:t>标文件含有采购人不能接受的附加条件；</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8.14评</w:t>
      </w:r>
      <w:r>
        <w:rPr>
          <w:rFonts w:hint="eastAsia" w:ascii="仿宋" w:hAnsi="仿宋" w:eastAsia="仿宋" w:cs="仿宋"/>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color w:val="auto"/>
          <w:sz w:val="24"/>
          <w:szCs w:val="21"/>
          <w:highlight w:val="none"/>
        </w:rPr>
      </w:pPr>
      <w:r>
        <w:rPr>
          <w:rFonts w:hint="eastAsia" w:ascii="仿宋" w:hAnsi="仿宋" w:eastAsia="仿宋" w:cs="仿宋"/>
          <w:b/>
          <w:color w:val="auto"/>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spacing w:line="44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8.22.2供应商按照采购人或者采购机构的授意撤换、修改投标文件或者响应文件；</w:t>
      </w:r>
    </w:p>
    <w:p>
      <w:pPr>
        <w:spacing w:line="44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8.22.3供应商之间协商报价、技术方案等投标文件或者响应文件的实质性内容；</w:t>
      </w:r>
    </w:p>
    <w:p>
      <w:pPr>
        <w:spacing w:line="44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8.22.4属于同一集团、协会、商会等组织成员的供应商按照该组织要求协同参加政府采购活动；</w:t>
      </w:r>
    </w:p>
    <w:p>
      <w:pPr>
        <w:spacing w:line="44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8.22.5供应商之间事先约定由某一特定供应商中标、成交；</w:t>
      </w:r>
    </w:p>
    <w:p>
      <w:pPr>
        <w:spacing w:line="44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szCs w:val="21"/>
          <w:highlight w:val="none"/>
        </w:rPr>
        <w:t>8.23</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pacing w:line="440" w:lineRule="exac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5"/>
        <w:spacing w:line="800" w:lineRule="exact"/>
        <w:ind w:firstLine="726"/>
        <w:jc w:val="center"/>
        <w:rPr>
          <w:rFonts w:ascii="仿宋" w:hAnsi="仿宋" w:eastAsia="仿宋" w:cs="仿宋"/>
          <w:b/>
          <w:color w:val="auto"/>
          <w:sz w:val="36"/>
          <w:szCs w:val="36"/>
          <w:highlight w:val="none"/>
        </w:rPr>
      </w:pPr>
      <w:bookmarkStart w:id="5" w:name="_Toc81372776"/>
      <w:bookmarkStart w:id="6" w:name="_Toc84325929"/>
      <w:bookmarkStart w:id="7" w:name="_Toc81372953"/>
      <w:r>
        <w:rPr>
          <w:rFonts w:hint="eastAsia" w:ascii="仿宋" w:hAnsi="仿宋" w:eastAsia="仿宋" w:cs="仿宋"/>
          <w:b/>
          <w:color w:val="auto"/>
          <w:sz w:val="36"/>
          <w:szCs w:val="36"/>
          <w:highlight w:val="none"/>
        </w:rPr>
        <w:t>五、授予合同</w:t>
      </w:r>
    </w:p>
    <w:p>
      <w:pPr>
        <w:pStyle w:val="15"/>
        <w:tabs>
          <w:tab w:val="clear" w:pos="454"/>
        </w:tabs>
        <w:spacing w:afterLines="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bookmarkEnd w:id="5"/>
    <w:bookmarkEnd w:id="6"/>
    <w:bookmarkEnd w:id="7"/>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4"/>
        <w:tabs>
          <w:tab w:val="left" w:pos="0"/>
        </w:tabs>
        <w:spacing w:before="0" w:line="44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51"/>
          <w:rFonts w:hint="eastAsia" w:ascii="仿宋" w:hAnsi="仿宋" w:eastAsia="仿宋" w:cs="仿宋"/>
          <w:color w:val="auto"/>
          <w:kern w:val="0"/>
          <w:highlight w:val="none"/>
        </w:rPr>
        <w:t>http://zfcg.czt.zj.gov.cn/</w:t>
      </w:r>
      <w:r>
        <w:rPr>
          <w:rStyle w:val="51"/>
          <w:rFonts w:hint="eastAsia" w:ascii="仿宋" w:hAnsi="仿宋" w:eastAsia="仿宋" w:cs="仿宋"/>
          <w:color w:val="auto"/>
          <w:kern w:val="0"/>
          <w:highlight w:val="none"/>
        </w:rPr>
        <w:fldChar w:fldCharType="end"/>
      </w:r>
      <w:r>
        <w:rPr>
          <w:rFonts w:hint="eastAsia" w:ascii="仿宋" w:hAnsi="仿宋" w:eastAsia="仿宋" w:cs="仿宋"/>
          <w:color w:val="auto"/>
          <w:kern w:val="0"/>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Style w:val="51"/>
          <w:rFonts w:hint="eastAsia" w:ascii="仿宋" w:hAnsi="仿宋" w:eastAsia="仿宋" w:cs="仿宋"/>
          <w:color w:val="auto"/>
          <w:highlight w:val="none"/>
        </w:rPr>
        <w:t>http://ggb.sx.gov.cn</w:t>
      </w:r>
      <w:r>
        <w:rPr>
          <w:rStyle w:val="51"/>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5"/>
        <w:spacing w:line="360"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800" w:lineRule="exact"/>
        <w:rPr>
          <w:rFonts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70"/>
        <w:widowControl w:val="0"/>
        <w:spacing w:afterLines="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70"/>
        <w:widowControl w:val="0"/>
        <w:spacing w:afterLines="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70"/>
        <w:widowControl w:val="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70"/>
        <w:widowControl w:val="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70"/>
        <w:widowControl w:val="0"/>
        <w:spacing w:afterLines="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70"/>
        <w:widowControl w:val="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70"/>
        <w:widowControl w:val="0"/>
        <w:spacing w:afterLines="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2"/>
        <w:widowControl w:val="0"/>
        <w:tabs>
          <w:tab w:val="clear" w:pos="482"/>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2"/>
        <w:widowControl w:val="0"/>
        <w:tabs>
          <w:tab w:val="clear" w:pos="482"/>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2"/>
        <w:widowControl w:val="0"/>
        <w:tabs>
          <w:tab w:val="clear" w:pos="482"/>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2"/>
        <w:widowControl w:val="0"/>
        <w:tabs>
          <w:tab w:val="clear" w:pos="482"/>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2"/>
        <w:widowControl w:val="0"/>
        <w:tabs>
          <w:tab w:val="clear" w:pos="482"/>
        </w:tabs>
        <w:spacing w:afterLines="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5"/>
        <w:spacing w:line="440" w:lineRule="exact"/>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ascii="仿宋" w:hAnsi="仿宋" w:eastAsia="仿宋" w:cs="仿宋"/>
          <w:b/>
          <w:color w:val="auto"/>
          <w:sz w:val="24"/>
          <w:highlight w:val="none"/>
        </w:rPr>
      </w:pPr>
      <w:bookmarkStart w:id="8" w:name="_Toc151354173"/>
      <w:bookmarkStart w:id="9" w:name="_Toc80157775"/>
      <w:bookmarkStart w:id="10" w:name="_Toc81372787"/>
      <w:bookmarkStart w:id="11" w:name="_Toc81372964"/>
      <w:bookmarkStart w:id="12" w:name="_Toc84325981"/>
      <w:r>
        <w:rPr>
          <w:rFonts w:hint="eastAsia" w:ascii="仿宋" w:hAnsi="仿宋" w:eastAsia="仿宋" w:cs="仿宋"/>
          <w:b/>
          <w:color w:val="auto"/>
          <w:sz w:val="24"/>
          <w:highlight w:val="none"/>
        </w:rPr>
        <w:t>8.招标项目设备名称及数量：</w:t>
      </w:r>
    </w:p>
    <w:bookmarkEnd w:id="8"/>
    <w:p>
      <w:pPr>
        <w:spacing w:line="440" w:lineRule="exact"/>
        <w:ind w:right="420"/>
        <w:rPr>
          <w:rFonts w:ascii="仿宋" w:hAnsi="仿宋" w:eastAsia="仿宋" w:cs="仿宋"/>
          <w:b/>
          <w:bCs/>
          <w:color w:val="auto"/>
          <w:sz w:val="24"/>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rPr>
        <w:t>扩建区固定嵌入式及部分活动医疗家具采购安装项目（预算：380万元）</w:t>
      </w:r>
      <w:bookmarkStart w:id="13" w:name="_Toc32678"/>
      <w:bookmarkStart w:id="14" w:name="_Toc7206"/>
    </w:p>
    <w:p>
      <w:pPr>
        <w:pStyle w:val="28"/>
        <w:adjustRightInd w:val="0"/>
        <w:spacing w:line="360" w:lineRule="auto"/>
        <w:jc w:val="left"/>
        <w:rPr>
          <w:rFonts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一、货物服务需求如下：</w:t>
      </w:r>
    </w:p>
    <w:p>
      <w:pPr>
        <w:pStyle w:val="28"/>
        <w:adjustRightInd w:val="0"/>
        <w:spacing w:line="360" w:lineRule="auto"/>
        <w:jc w:val="left"/>
        <w:rPr>
          <w:rFonts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1.货物服务清单:详见附件</w:t>
      </w:r>
    </w:p>
    <w:p>
      <w:pPr>
        <w:pStyle w:val="28"/>
        <w:adjustRightInd w:val="0"/>
        <w:spacing w:line="360" w:lineRule="auto"/>
        <w:jc w:val="left"/>
        <w:rPr>
          <w:rFonts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2.技术参数要求</w:t>
      </w:r>
    </w:p>
    <w:p>
      <w:pPr>
        <w:pStyle w:val="28"/>
        <w:adjustRightInd w:val="0"/>
        <w:spacing w:line="360" w:lineRule="auto"/>
        <w:jc w:val="left"/>
        <w:rPr>
          <w:rFonts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〖原材料类〗</w:t>
      </w:r>
    </w:p>
    <w:p>
      <w:pPr>
        <w:pStyle w:val="28"/>
        <w:adjustRightInd w:val="0"/>
        <w:spacing w:line="360" w:lineRule="auto"/>
        <w:jc w:val="left"/>
        <w:rPr>
          <w:rFonts w:ascii="仿宋" w:hAnsi="仿宋" w:eastAsia="仿宋" w:cs="仿宋"/>
          <w:b/>
          <w:bCs/>
          <w:color w:val="auto"/>
          <w:sz w:val="24"/>
          <w:szCs w:val="24"/>
          <w:highlight w:val="none"/>
        </w:rPr>
      </w:pPr>
      <w:r>
        <w:rPr>
          <w:rFonts w:hint="eastAsia" w:ascii="仿宋" w:hAnsi="仿宋" w:eastAsia="仿宋" w:cs="仿宋"/>
          <w:b/>
          <w:bCs/>
          <w:color w:val="auto"/>
          <w:kern w:val="1"/>
          <w:sz w:val="24"/>
          <w:szCs w:val="24"/>
          <w:highlight w:val="none"/>
        </w:rPr>
        <w:t>1.</w:t>
      </w:r>
      <w:r>
        <w:rPr>
          <w:rFonts w:hint="eastAsia" w:ascii="仿宋" w:hAnsi="仿宋" w:eastAsia="仿宋" w:cs="仿宋"/>
          <w:b/>
          <w:bCs/>
          <w:color w:val="auto"/>
          <w:sz w:val="24"/>
          <w:szCs w:val="24"/>
          <w:highlight w:val="none"/>
        </w:rPr>
        <w:t>304不锈钢板：</w:t>
      </w:r>
    </w:p>
    <w:p>
      <w:pPr>
        <w:pStyle w:val="28"/>
        <w:adjustRightInd w:val="0"/>
        <w:spacing w:line="360" w:lineRule="auto"/>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1.1符合GB/T 1220-2007《不锈钢棒》标准：①碳</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0.06% ②硫</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0.030% ③磷</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0.045% ④硅</w:t>
      </w:r>
      <w:r>
        <w:rPr>
          <w:rFonts w:hint="eastAsia" w:ascii="仿宋" w:hAnsi="仿宋" w:eastAsia="仿宋" w:cs="仿宋"/>
          <w:color w:val="auto"/>
          <w:sz w:val="24"/>
          <w:szCs w:val="24"/>
          <w:highlight w:val="none"/>
        </w:rPr>
        <w:t>≤1.00</w:t>
      </w:r>
      <w:r>
        <w:rPr>
          <w:rFonts w:hint="eastAsia" w:ascii="仿宋" w:hAnsi="仿宋" w:eastAsia="仿宋" w:cs="仿宋"/>
          <w:bCs/>
          <w:color w:val="auto"/>
          <w:sz w:val="24"/>
          <w:szCs w:val="24"/>
          <w:highlight w:val="none"/>
        </w:rPr>
        <w:t>% ⑤锰</w:t>
      </w:r>
      <w:r>
        <w:rPr>
          <w:rFonts w:hint="eastAsia" w:ascii="仿宋" w:hAnsi="仿宋" w:eastAsia="仿宋" w:cs="仿宋"/>
          <w:color w:val="auto"/>
          <w:sz w:val="24"/>
          <w:szCs w:val="24"/>
          <w:highlight w:val="none"/>
        </w:rPr>
        <w:t>≤2.00</w:t>
      </w:r>
      <w:r>
        <w:rPr>
          <w:rFonts w:hint="eastAsia" w:ascii="仿宋" w:hAnsi="仿宋" w:eastAsia="仿宋" w:cs="仿宋"/>
          <w:bCs/>
          <w:color w:val="auto"/>
          <w:sz w:val="24"/>
          <w:szCs w:val="24"/>
          <w:highlight w:val="none"/>
        </w:rPr>
        <w:t>% ⑥铬：18.00~20.00% ⑦镍：8.00~11.00%；</w:t>
      </w:r>
    </w:p>
    <w:p>
      <w:pPr>
        <w:pStyle w:val="28"/>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1.2</w:t>
      </w:r>
      <w:r>
        <w:rPr>
          <w:rFonts w:hint="eastAsia" w:ascii="仿宋" w:hAnsi="仿宋" w:eastAsia="仿宋" w:cs="仿宋"/>
          <w:color w:val="auto"/>
          <w:sz w:val="24"/>
          <w:szCs w:val="24"/>
          <w:highlight w:val="none"/>
        </w:rPr>
        <w:t>符合QB/T 3826-1999《轻工产品金属镀层和化学处理层的耐腐蚀试验方法中性盐雾试验(NSS)法》标准</w:t>
      </w:r>
      <w:r>
        <w:rPr>
          <w:rFonts w:hint="eastAsia" w:ascii="仿宋" w:hAnsi="仿宋" w:eastAsia="仿宋" w:cs="仿宋"/>
          <w:b/>
          <w:bCs/>
          <w:color w:val="auto"/>
          <w:sz w:val="24"/>
          <w:szCs w:val="24"/>
          <w:highlight w:val="none"/>
        </w:rPr>
        <w:t>或</w:t>
      </w:r>
      <w:r>
        <w:rPr>
          <w:rFonts w:hint="eastAsia" w:ascii="仿宋" w:hAnsi="仿宋" w:eastAsia="仿宋" w:cs="仿宋"/>
          <w:color w:val="auto"/>
          <w:sz w:val="24"/>
          <w:szCs w:val="24"/>
          <w:highlight w:val="none"/>
        </w:rPr>
        <w:t>符合QB/T3827-1999《轻工产品金属镀层和化学处理层的耐腐蚀试验方法乙酸盐雾试验（ASS）法》标准，经过300小时盐雾试验后,镀层的耐腐蚀等级≥9级；</w:t>
      </w:r>
    </w:p>
    <w:p>
      <w:pPr>
        <w:spacing w:line="360" w:lineRule="auto"/>
        <w:rPr>
          <w:rFonts w:ascii="仿宋" w:hAnsi="仿宋" w:eastAsia="仿宋" w:cs="仿宋"/>
          <w:b/>
          <w:bCs/>
          <w:color w:val="auto"/>
          <w:sz w:val="24"/>
          <w:highlight w:val="none"/>
        </w:rPr>
      </w:pPr>
      <w:r>
        <w:rPr>
          <w:rFonts w:hint="eastAsia" w:ascii="仿宋" w:hAnsi="仿宋" w:eastAsia="仿宋" w:cs="仿宋"/>
          <w:b/>
          <w:bCs/>
          <w:color w:val="auto"/>
          <w:kern w:val="1"/>
          <w:sz w:val="24"/>
          <w:highlight w:val="none"/>
        </w:rPr>
        <w:t>2.</w:t>
      </w:r>
      <w:r>
        <w:rPr>
          <w:rFonts w:hint="eastAsia" w:ascii="仿宋" w:hAnsi="仿宋" w:eastAsia="仿宋" w:cs="仿宋"/>
          <w:b/>
          <w:bCs/>
          <w:color w:val="auto"/>
          <w:sz w:val="24"/>
          <w:highlight w:val="none"/>
        </w:rPr>
        <w:t>电解钢板：</w:t>
      </w:r>
    </w:p>
    <w:p>
      <w:pPr>
        <w:pStyle w:val="28"/>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1.1符合GB/T 3325-2017《金属家具通用技术条件》，金属喷漆(塑)涂层硬度≥2H。金属喷漆（塑）涂层耐腐蚀：100h内，观察在溶液中样板上划道两侧3mm以外，无鼓泡产生；100h后，检查划道两侧3mm外，无锈迹、剥落、起皱、变色和失光等现象；</w:t>
      </w:r>
    </w:p>
    <w:p>
      <w:pPr>
        <w:pStyle w:val="28"/>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▲1.2符合QB/T 3826-1999《轻工产品金属镀层和化学处理层的耐腐蚀试验方法中性盐雾试验(NSS)法》标准</w:t>
      </w:r>
      <w:r>
        <w:rPr>
          <w:rFonts w:hint="eastAsia" w:ascii="仿宋" w:hAnsi="仿宋" w:eastAsia="仿宋" w:cs="仿宋"/>
          <w:b/>
          <w:bCs/>
          <w:color w:val="auto"/>
          <w:sz w:val="24"/>
          <w:szCs w:val="24"/>
          <w:highlight w:val="none"/>
        </w:rPr>
        <w:t>或</w:t>
      </w:r>
      <w:r>
        <w:rPr>
          <w:rFonts w:hint="eastAsia" w:ascii="仿宋" w:hAnsi="仿宋" w:eastAsia="仿宋" w:cs="仿宋"/>
          <w:color w:val="auto"/>
          <w:sz w:val="24"/>
          <w:szCs w:val="24"/>
          <w:highlight w:val="none"/>
        </w:rPr>
        <w:t>符合QB/T3827-1999《轻工产品金属镀层和化学处理层的耐腐蚀试验方法乙酸盐雾试验（ASS）法》标准，经过550小时盐雾试验后,镀层的耐腐蚀等级≥9级；</w:t>
      </w:r>
    </w:p>
    <w:p>
      <w:pPr>
        <w:pStyle w:val="28"/>
        <w:adjustRightInd w:val="0"/>
        <w:spacing w:line="360" w:lineRule="auto"/>
        <w:jc w:val="left"/>
        <w:rPr>
          <w:rFonts w:ascii="仿宋" w:hAnsi="仿宋" w:eastAsia="仿宋" w:cs="仿宋"/>
          <w:bCs/>
          <w:color w:val="auto"/>
          <w:sz w:val="24"/>
          <w:szCs w:val="24"/>
          <w:highlight w:val="none"/>
        </w:rPr>
      </w:pPr>
      <w:r>
        <w:rPr>
          <w:rFonts w:hint="eastAsia" w:ascii="仿宋" w:hAnsi="仿宋" w:eastAsia="仿宋" w:cs="仿宋"/>
          <w:color w:val="auto"/>
          <w:sz w:val="24"/>
          <w:szCs w:val="24"/>
          <w:highlight w:val="none"/>
        </w:rPr>
        <w:t>1.3符合GB/T15675-2008《连续电镀锌、锌镍合金镀层钢板及钢带》标准：抗拉强度350</w:t>
      </w:r>
      <w:r>
        <w:rPr>
          <w:rFonts w:hint="eastAsia" w:ascii="仿宋" w:hAnsi="仿宋" w:eastAsia="仿宋" w:cs="仿宋"/>
          <w:bCs/>
          <w:color w:val="auto"/>
          <w:sz w:val="24"/>
          <w:szCs w:val="24"/>
          <w:highlight w:val="none"/>
        </w:rPr>
        <w:t>~410N/mm²,下屈服强度</w:t>
      </w:r>
      <w:r>
        <w:rPr>
          <w:rFonts w:hint="eastAsia" w:ascii="仿宋" w:hAnsi="仿宋" w:eastAsia="仿宋" w:cs="仿宋"/>
          <w:color w:val="auto"/>
          <w:sz w:val="24"/>
          <w:szCs w:val="24"/>
          <w:highlight w:val="none"/>
        </w:rPr>
        <w:t>≥280</w:t>
      </w:r>
      <w:r>
        <w:rPr>
          <w:rFonts w:hint="eastAsia" w:ascii="仿宋" w:hAnsi="仿宋" w:eastAsia="仿宋" w:cs="仿宋"/>
          <w:bCs/>
          <w:color w:val="auto"/>
          <w:sz w:val="24"/>
          <w:szCs w:val="24"/>
          <w:highlight w:val="none"/>
        </w:rPr>
        <w:t xml:space="preserve"> N/mm²，镀</w:t>
      </w:r>
      <w:r>
        <w:rPr>
          <w:rFonts w:hint="eastAsia" w:ascii="仿宋" w:hAnsi="仿宋" w:eastAsia="仿宋" w:cs="仿宋"/>
          <w:color w:val="auto"/>
          <w:sz w:val="24"/>
          <w:szCs w:val="24"/>
          <w:highlight w:val="none"/>
        </w:rPr>
        <w:t>锌层重量：单面三点平均值不小于40/40</w:t>
      </w:r>
      <w:r>
        <w:rPr>
          <w:rFonts w:hint="eastAsia" w:ascii="仿宋" w:hAnsi="仿宋" w:eastAsia="仿宋" w:cs="仿宋"/>
          <w:bCs/>
          <w:color w:val="auto"/>
          <w:sz w:val="24"/>
          <w:szCs w:val="24"/>
          <w:highlight w:val="none"/>
        </w:rPr>
        <w:t xml:space="preserve"> m²。化学成份：①C</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0.12% ②S</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0.03% ③P</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0.03% ④Mn</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0.6% ⑥ALt</w:t>
      </w:r>
      <w:r>
        <w:rPr>
          <w:rFonts w:hint="eastAsia" w:ascii="仿宋" w:hAnsi="仿宋" w:eastAsia="仿宋" w:cs="仿宋"/>
          <w:color w:val="auto"/>
          <w:sz w:val="24"/>
          <w:szCs w:val="24"/>
          <w:highlight w:val="none"/>
        </w:rPr>
        <w:t>≥0.02</w:t>
      </w:r>
      <w:r>
        <w:rPr>
          <w:rFonts w:hint="eastAsia" w:ascii="仿宋" w:hAnsi="仿宋" w:eastAsia="仿宋" w:cs="仿宋"/>
          <w:bCs/>
          <w:color w:val="auto"/>
          <w:sz w:val="24"/>
          <w:szCs w:val="24"/>
          <w:highlight w:val="none"/>
        </w:rPr>
        <w:t>%；</w:t>
      </w:r>
    </w:p>
    <w:p>
      <w:pPr>
        <w:spacing w:line="360" w:lineRule="auto"/>
        <w:rPr>
          <w:rFonts w:ascii="仿宋" w:hAnsi="仿宋" w:eastAsia="仿宋" w:cs="仿宋"/>
          <w:b/>
          <w:bCs/>
          <w:color w:val="auto"/>
          <w:kern w:val="1"/>
          <w:sz w:val="24"/>
          <w:highlight w:val="none"/>
        </w:rPr>
      </w:pPr>
      <w:r>
        <w:rPr>
          <w:rFonts w:hint="eastAsia" w:ascii="仿宋" w:hAnsi="仿宋" w:eastAsia="仿宋" w:cs="仿宋"/>
          <w:b/>
          <w:bCs/>
          <w:color w:val="auto"/>
          <w:kern w:val="1"/>
          <w:sz w:val="24"/>
          <w:highlight w:val="none"/>
        </w:rPr>
        <w:t>3.</w:t>
      </w:r>
      <w:r>
        <w:rPr>
          <w:rStyle w:val="289"/>
          <w:rFonts w:hint="eastAsia" w:ascii="仿宋" w:hAnsi="仿宋" w:eastAsia="仿宋" w:cs="仿宋"/>
          <w:color w:val="auto"/>
          <w:sz w:val="24"/>
          <w:szCs w:val="24"/>
          <w:highlight w:val="none"/>
        </w:rPr>
        <w:t>医用纯亚克力人造石</w:t>
      </w:r>
      <w:r>
        <w:rPr>
          <w:rFonts w:hint="eastAsia" w:ascii="仿宋" w:hAnsi="仿宋" w:eastAsia="仿宋" w:cs="仿宋"/>
          <w:bCs/>
          <w:color w:val="auto"/>
          <w:kern w:val="1"/>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▲3.1符合JC/T 908-2013 《人造石》标准, 巴氏硬度≥55 ，耐磨性≤0.6g，耐污值总和≤64，最大污迹深度≤0.12mm，耐化学药品性：实体面材试样表面无明显损伤,轻度损伤用600目砂纸轻擦即可除去,损伤程度应不影响板材的使用性,并易恢复至原状；耐燃烧性能：香烟燃烧实体面材与香烟接触过程中，或在此之后，不得有明火燃烧或阴燃，任何形式的损坏不得影响产品的使用性，并可通过研磨剂和抛光剂恢复至原状；耐高温性：实体面材试样表面应无破裂、裂缝或鼓泡等显著影响。表面缺陷易打磨恢复至原状，并不影响板材的使用。</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3.2符合GB 6566-2010《建筑材料放射性核素限量》标准：放射性保护分类控制：A类装饰装修材料内照射指数I</w:t>
      </w:r>
      <w:r>
        <w:rPr>
          <w:rFonts w:hint="eastAsia" w:ascii="仿宋" w:hAnsi="仿宋" w:eastAsia="仿宋" w:cs="仿宋"/>
          <w:color w:val="auto"/>
          <w:sz w:val="24"/>
          <w:highlight w:val="none"/>
          <w:vertAlign w:val="subscript"/>
        </w:rPr>
        <w:t>Ra</w:t>
      </w:r>
      <w:r>
        <w:rPr>
          <w:rFonts w:hint="eastAsia" w:ascii="仿宋" w:hAnsi="仿宋" w:eastAsia="仿宋" w:cs="仿宋"/>
          <w:color w:val="auto"/>
          <w:sz w:val="24"/>
          <w:highlight w:val="none"/>
        </w:rPr>
        <w:t>≤0.01，外照射指数I</w:t>
      </w:r>
      <w:r>
        <w:rPr>
          <w:rFonts w:hint="eastAsia" w:ascii="仿宋" w:hAnsi="仿宋" w:eastAsia="仿宋" w:cs="仿宋"/>
          <w:color w:val="auto"/>
          <w:sz w:val="24"/>
          <w:highlight w:val="none"/>
          <w:vertAlign w:val="subscript"/>
        </w:rPr>
        <w:t>r</w:t>
      </w:r>
      <w:r>
        <w:rPr>
          <w:rFonts w:hint="eastAsia" w:ascii="仿宋" w:hAnsi="仿宋" w:eastAsia="仿宋" w:cs="仿宋"/>
          <w:color w:val="auto"/>
          <w:sz w:val="24"/>
          <w:highlight w:val="none"/>
        </w:rPr>
        <w:t>≤0.01。</w:t>
      </w:r>
    </w:p>
    <w:p>
      <w:pPr>
        <w:pStyle w:val="28"/>
        <w:adjustRightInd w:val="0"/>
        <w:spacing w:line="360" w:lineRule="auto"/>
        <w:jc w:val="left"/>
        <w:rPr>
          <w:rStyle w:val="289"/>
          <w:rFonts w:ascii="仿宋" w:hAnsi="仿宋" w:eastAsia="仿宋" w:cs="仿宋"/>
          <w:b w:val="0"/>
          <w:color w:val="auto"/>
          <w:sz w:val="24"/>
          <w:szCs w:val="24"/>
          <w:highlight w:val="none"/>
        </w:rPr>
      </w:pPr>
      <w:r>
        <w:rPr>
          <w:rFonts w:hint="eastAsia" w:ascii="仿宋" w:hAnsi="仿宋" w:eastAsia="仿宋" w:cs="仿宋"/>
          <w:b/>
          <w:bCs/>
          <w:color w:val="auto"/>
          <w:sz w:val="24"/>
          <w:szCs w:val="24"/>
          <w:highlight w:val="none"/>
        </w:rPr>
        <w:t>4.</w:t>
      </w:r>
      <w:r>
        <w:rPr>
          <w:rFonts w:hint="eastAsia" w:ascii="仿宋" w:hAnsi="仿宋" w:eastAsia="仿宋" w:cs="仿宋"/>
          <w:b/>
          <w:color w:val="auto"/>
          <w:sz w:val="24"/>
          <w:szCs w:val="24"/>
          <w:highlight w:val="none"/>
        </w:rPr>
        <w:t xml:space="preserve"> </w:t>
      </w:r>
      <w:r>
        <w:rPr>
          <w:rStyle w:val="289"/>
          <w:rFonts w:hint="eastAsia" w:ascii="仿宋" w:hAnsi="仿宋" w:eastAsia="仿宋" w:cs="仿宋"/>
          <w:color w:val="auto"/>
          <w:sz w:val="24"/>
          <w:szCs w:val="24"/>
          <w:highlight w:val="none"/>
        </w:rPr>
        <w:t>304不锈钢缓冲铰链（门铰）：</w:t>
      </w:r>
    </w:p>
    <w:p>
      <w:pPr>
        <w:pStyle w:val="28"/>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4.1符合QB/T 2189-2013检测标准，通过耐久性试验≥12万次开合：a)所有组件或结合处不应断裂，b)通过手触压证实，用于紧固的组件不应松动，c)所有组件不应有影响正常运作的变形或磨损；d)固定组件不应松动；e)所有组件的功能不应损害；f）杯状暗铰链及其组件不应分离。</w:t>
      </w:r>
    </w:p>
    <w:p>
      <w:pPr>
        <w:pStyle w:val="28"/>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4.2符合QB/T3827-1999《轻工产品金属镀层和化学处理层的耐腐蚀试验方法乙酸盐雾试验（ASS）法》标准，经过250小时乙酸盐雾试验后，镀层的耐腐蚀等级≥9级；</w:t>
      </w:r>
    </w:p>
    <w:p>
      <w:pPr>
        <w:pStyle w:val="28"/>
        <w:adjustRightInd w:val="0"/>
        <w:spacing w:line="360" w:lineRule="auto"/>
        <w:jc w:val="left"/>
        <w:rPr>
          <w:rFonts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5.三节缓冲导轨：</w:t>
      </w:r>
    </w:p>
    <w:p>
      <w:pPr>
        <w:pStyle w:val="28"/>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5.1符合GB/T 3325-2017《金属家具通用技术条件》标准，通过推拉构件≥120000次耐久性试验；</w:t>
      </w:r>
    </w:p>
    <w:p>
      <w:pPr>
        <w:pStyle w:val="28"/>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5.2 </w:t>
      </w:r>
      <w:r>
        <w:rPr>
          <w:rFonts w:hint="eastAsia" w:ascii="仿宋" w:hAnsi="仿宋" w:eastAsia="仿宋" w:cs="仿宋"/>
          <w:bCs/>
          <w:color w:val="auto"/>
          <w:sz w:val="24"/>
          <w:szCs w:val="24"/>
          <w:highlight w:val="none"/>
        </w:rPr>
        <w:t>符合QB/T 2454-2013《家具五金 抽屉导轨》标准,</w:t>
      </w:r>
      <w:r>
        <w:rPr>
          <w:rFonts w:hint="eastAsia" w:ascii="仿宋" w:hAnsi="仿宋" w:eastAsia="仿宋" w:cs="仿宋"/>
          <w:color w:val="auto"/>
          <w:sz w:val="24"/>
          <w:szCs w:val="24"/>
          <w:highlight w:val="none"/>
        </w:rPr>
        <w:t xml:space="preserve"> 通过垂直向下静载荷、水平侧向静载荷、猛关或猛开试验：a)所有组件或连接件不应断裂损坏，b)通过手触压证实，用于紧固的组件不应松动，c)所有零部件不应有影响正常运作的变形或磨损；d)五金连接件不应松动；e)所有组件的功能不应损害；f)抽屉导轨及其组件应能正常工作。</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5.3符合QB/T3827-1999《轻工产品金属镀层和化学处理层的耐腐蚀试验方法乙酸盐雾试验（ASS）法》标准，经过250小时乙酸盐雾试验后，镀层的耐腐蚀等级≥9级；</w:t>
      </w:r>
    </w:p>
    <w:p>
      <w:pPr>
        <w:spacing w:line="360" w:lineRule="auto"/>
        <w:rPr>
          <w:rFonts w:ascii="仿宋" w:hAnsi="仿宋" w:eastAsia="仿宋" w:cs="仿宋"/>
          <w:b/>
          <w:bCs/>
          <w:color w:val="auto"/>
          <w:kern w:val="1"/>
          <w:sz w:val="24"/>
          <w:highlight w:val="none"/>
        </w:rPr>
      </w:pPr>
      <w:r>
        <w:rPr>
          <w:rFonts w:hint="eastAsia" w:ascii="仿宋" w:hAnsi="仿宋" w:eastAsia="仿宋" w:cs="仿宋"/>
          <w:b/>
          <w:bCs/>
          <w:color w:val="auto"/>
          <w:kern w:val="1"/>
          <w:sz w:val="24"/>
          <w:highlight w:val="none"/>
        </w:rPr>
        <w:t>6.抗菌粉末：</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▲6.1符合HG/T 2006-2006《热固性粉末涂料》标准：在容器中状态：色泽均匀，无异物，呈松散粉末状；②硬度（擦伤）</w:t>
      </w:r>
      <w:r>
        <w:rPr>
          <w:rFonts w:hint="eastAsia" w:ascii="仿宋" w:hAnsi="仿宋" w:eastAsia="仿宋" w:cs="仿宋"/>
          <w:color w:val="auto"/>
          <w:sz w:val="24"/>
          <w:highlight w:val="none"/>
        </w:rPr>
        <w:t>≥H</w:t>
      </w:r>
      <w:r>
        <w:rPr>
          <w:rFonts w:hint="eastAsia" w:ascii="仿宋" w:hAnsi="仿宋" w:eastAsia="仿宋" w:cs="仿宋"/>
          <w:color w:val="auto"/>
          <w:sz w:val="24"/>
          <w:highlight w:val="none"/>
        </w:rPr>
        <w:t>；③附着力≤1级；④耐碱性（5%NaOH）168h无异常；⑤耐酸性（3%HCI）240h无异常；⑥可溶性重金属：Pb≤5mg/kg 、Cd≤5mg/kg 、Cr≤5mg/kg 、Hg≤5mg/kg。</w:t>
      </w:r>
    </w:p>
    <w:p>
      <w:pPr>
        <w:pStyle w:val="20"/>
        <w:spacing w:line="360" w:lineRule="auto"/>
        <w:ind w:left="0" w:leftChars="0"/>
        <w:rPr>
          <w:rStyle w:val="289"/>
          <w:rFonts w:ascii="仿宋" w:hAnsi="仿宋" w:eastAsia="仿宋" w:cs="仿宋"/>
          <w:color w:val="auto"/>
          <w:sz w:val="24"/>
          <w:szCs w:val="24"/>
          <w:highlight w:val="none"/>
        </w:rPr>
      </w:pPr>
      <w:r>
        <w:rPr>
          <w:rFonts w:hint="eastAsia" w:ascii="仿宋" w:hAnsi="仿宋" w:eastAsia="仿宋" w:cs="仿宋"/>
          <w:b/>
          <w:color w:val="auto"/>
          <w:sz w:val="24"/>
          <w:highlight w:val="none"/>
        </w:rPr>
        <w:t>7、</w:t>
      </w:r>
      <w:r>
        <w:rPr>
          <w:rStyle w:val="289"/>
          <w:rFonts w:hint="eastAsia" w:ascii="仿宋" w:hAnsi="仿宋" w:eastAsia="仿宋" w:cs="仿宋"/>
          <w:color w:val="auto"/>
          <w:sz w:val="24"/>
          <w:szCs w:val="24"/>
          <w:highlight w:val="none"/>
        </w:rPr>
        <w:t>水槽：</w:t>
      </w:r>
    </w:p>
    <w:p>
      <w:pPr>
        <w:pStyle w:val="20"/>
        <w:spacing w:line="360" w:lineRule="auto"/>
        <w:ind w:left="0" w:leftChars="0"/>
        <w:rPr>
          <w:rFonts w:ascii="仿宋" w:hAnsi="仿宋" w:eastAsia="仿宋" w:cs="仿宋"/>
          <w:color w:val="auto"/>
          <w:sz w:val="24"/>
          <w:highlight w:val="none"/>
        </w:rPr>
      </w:pPr>
      <w:r>
        <w:rPr>
          <w:rFonts w:hint="eastAsia" w:ascii="仿宋" w:hAnsi="仿宋" w:eastAsia="仿宋" w:cs="仿宋"/>
          <w:bCs/>
          <w:color w:val="auto"/>
          <w:sz w:val="24"/>
          <w:highlight w:val="none"/>
        </w:rPr>
        <w:t>7.1</w:t>
      </w:r>
      <w:r>
        <w:rPr>
          <w:rFonts w:hint="eastAsia" w:ascii="仿宋" w:hAnsi="仿宋" w:eastAsia="仿宋" w:cs="仿宋"/>
          <w:color w:val="auto"/>
          <w:sz w:val="24"/>
          <w:highlight w:val="none"/>
        </w:rPr>
        <w:t>符合QB/T 3827-1999《轻工产品金属镀层和化学处理层的耐腐蚀试验方法乙酸盐雾试验(ASS)法》，乙酸盐雾试验：250小时乙酸盐雾试验后，耐腐蚀等级≥9级。</w:t>
      </w:r>
    </w:p>
    <w:p>
      <w:pPr>
        <w:pStyle w:val="21"/>
        <w:spacing w:line="360" w:lineRule="auto"/>
        <w:rPr>
          <w:rStyle w:val="289"/>
          <w:rFonts w:ascii="仿宋" w:hAnsi="仿宋" w:eastAsia="仿宋" w:cs="仿宋"/>
          <w:color w:val="auto"/>
          <w:sz w:val="24"/>
          <w:szCs w:val="24"/>
          <w:highlight w:val="none"/>
        </w:rPr>
      </w:pPr>
      <w:r>
        <w:rPr>
          <w:rFonts w:hint="eastAsia" w:ascii="仿宋" w:hAnsi="仿宋" w:eastAsia="仿宋" w:cs="仿宋"/>
          <w:b/>
          <w:color w:val="auto"/>
          <w:sz w:val="24"/>
          <w:highlight w:val="none"/>
        </w:rPr>
        <w:t>8、</w:t>
      </w:r>
      <w:r>
        <w:rPr>
          <w:rStyle w:val="289"/>
          <w:rFonts w:hint="eastAsia" w:ascii="仿宋" w:hAnsi="仿宋" w:eastAsia="仿宋" w:cs="仿宋"/>
          <w:color w:val="auto"/>
          <w:sz w:val="24"/>
          <w:szCs w:val="24"/>
          <w:highlight w:val="none"/>
        </w:rPr>
        <w:t>水龙头：</w:t>
      </w:r>
    </w:p>
    <w:p>
      <w:pPr>
        <w:pStyle w:val="21"/>
        <w:spacing w:line="360" w:lineRule="auto"/>
        <w:rPr>
          <w:rFonts w:ascii="仿宋" w:hAnsi="仿宋" w:eastAsia="仿宋" w:cs="仿宋"/>
          <w:color w:val="auto"/>
          <w:sz w:val="24"/>
          <w:highlight w:val="none"/>
        </w:rPr>
      </w:pPr>
      <w:r>
        <w:rPr>
          <w:rStyle w:val="289"/>
          <w:rFonts w:hint="eastAsia" w:ascii="仿宋" w:hAnsi="仿宋" w:eastAsia="仿宋" w:cs="仿宋"/>
          <w:b w:val="0"/>
          <w:color w:val="auto"/>
          <w:sz w:val="24"/>
          <w:szCs w:val="24"/>
          <w:highlight w:val="none"/>
        </w:rPr>
        <w:t>8.1</w:t>
      </w:r>
      <w:r>
        <w:rPr>
          <w:rFonts w:hint="eastAsia" w:ascii="仿宋" w:hAnsi="仿宋" w:eastAsia="仿宋" w:cs="仿宋"/>
          <w:color w:val="auto"/>
          <w:sz w:val="24"/>
          <w:highlight w:val="none"/>
        </w:rPr>
        <w:t>符合QB/T 3827-1999《轻工产品金属镀层和化学处理层的耐腐蚀试验方法乙酸盐雾试验(ASS)法》，乙酸盐雾试验：经过250小时乙酸盐雾试验后，涂层的耐腐蚀等级≥9级。</w:t>
      </w:r>
    </w:p>
    <w:p>
      <w:pPr>
        <w:pStyle w:val="21"/>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8.2符合GB/T-35607-2017《绿色产品评价家具》苯、甲苯、二甲苯、总挥发性有机化合物(TVOC) 均未检测出。</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9、多层板：符合HJ 571-2010 《环境标志产品技术要求 人造板及其制品》标准</w:t>
      </w:r>
    </w:p>
    <w:p>
      <w:pPr>
        <w:pStyle w:val="21"/>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▲9.1甲醛释放量：≤0.1mg/m³。</w:t>
      </w:r>
    </w:p>
    <w:p>
      <w:pPr>
        <w:pStyle w:val="21"/>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9.2总挥发性有机化合物（TVOC）：≤0.05mg/㎡h。</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10、PU皮（皮革）：符合GB/T 16799-2018《家具用皮革》</w:t>
      </w:r>
    </w:p>
    <w:p>
      <w:pPr>
        <w:pStyle w:val="21"/>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10.1 摩擦色牢度：干擦（500次）：≥4级；湿擦（250次）：≥3-4级；碱性汗液（80次）：≥3-4级。</w:t>
      </w:r>
    </w:p>
    <w:p>
      <w:pPr>
        <w:pStyle w:val="21"/>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10.2涂层粘着牢度≥8.6N/10mm。</w:t>
      </w:r>
    </w:p>
    <w:p>
      <w:pPr>
        <w:pStyle w:val="21"/>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▲10.3禁用偶氮染料含量未检出。</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〖成品类〗</w:t>
      </w:r>
    </w:p>
    <w:p>
      <w:pPr>
        <w:numPr>
          <w:ilvl w:val="0"/>
          <w:numId w:val="6"/>
        </w:num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医用环保治疗柜</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1.1柜体采用1.0mm厚（宝钢/鞍钢）电解板，防潮防水，经久耐用；台面及饰板采用12mm厚亚克力，具有耐酸耐碱的性质，抗污染不渗透、不变形不上色、无缝隙易清洁打理，耐磨、耐刮损、耐冲击、耐高温、抗紫外线、抗污垢、防火、防静电，以及具有阻燃性、无毒等技术特点；符合医院等高标准的环境卫生要求；柜体底部采用1.0mm的SUS304#不锈钢踢脚线，比柜体前端面缩进尺寸为20mm，高150mm，操作时无抵脚感，符合人体工程学原理，预防多次清洁消毒导致的腐蚀和生锈；</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1.2符合QB/T 3827-1999《轻工产品金属镀层和化学处理层的耐腐蚀试验方法乙酸盐雾试验(ASS)法》、GB/T 3325-2017《金属家具通用技术条件》标准：</w:t>
      </w:r>
    </w:p>
    <w:p>
      <w:pPr>
        <w:spacing w:line="360" w:lineRule="auto"/>
        <w:rPr>
          <w:rFonts w:ascii="仿宋" w:hAnsi="仿宋" w:eastAsia="仿宋" w:cs="仿宋"/>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（1）金属表面耐腐蚀：经过240小时乙酸盐雾试验后,镀层的耐腐蚀等级≥10级；</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2）金属外观：焊接件焊接处应无脱焊、虚焊、焊穿、错位，焊接处应无夹渣、气孔、焊瘤、焊丝头、咬边、飞溅，焊疤表面波纹应均匀；冲压件应无脱层、裂缝；喷涂层涂层应无漏喷、锈蚀和脱色、掉色现象，涂层应光滑均匀,色泽一致,应无流挂、疙瘩、皱皮、飞漆等缺陷；</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（3）拉门猛关试验通过拉门猛关试验((0.6+3）kg,10次）；</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（4）拉门水平加载试验通过拉门水平加载试验（加载60N，10次）；</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（5）拉门耐久性(≥200000次)通过拉门耐久性试验(质量2kg，≥20万次）。</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2、医用垃圾分类柜:</w:t>
      </w:r>
    </w:p>
    <w:p>
      <w:pPr>
        <w:pStyle w:val="25"/>
        <w:adjustRightInd w:val="0"/>
        <w:spacing w:line="360" w:lineRule="auto"/>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2.1柜体采用1.0mm厚电解板（符合GB/T 3325-2017 《金属家具通用技术条件》），防潮防水，经久耐用；台面及饰板采用12mm厚亚克力，具有耐酸耐碱的性质，抗污染不渗透、不变形不上色、无缝隙易清洁打理，耐磨、耐刮损、耐冲击、耐高温、抗紫外线、抗污垢、防火、防静电，以及具有阻燃性、无毒等技术特点；符合医院等高标准的环境卫生要求；柜体底部采用1.0mm的SUS304#不锈钢踢脚线，比柜体前端面缩进尺寸为20mm，高150mm，操作时无抵脚感，符合人体工程学原理，预防多次清洁消毒导致的腐蚀和生锈。配置：双层门板，优质一字折弯斜拉手、304不锈钢缓冲门铰，脚踏式垃圾柜设计，每个垃圾盖带双根不锈钢气弹簧阻尼液压支撑杆，一体注塑成型垃圾盖，一体成型不锈钢投放口，垃圾柜门板上带丝网印标识。感应式医用冷热水水龙头，拉丝不锈钢台下水盆，带整套下水配件。  </w:t>
      </w:r>
    </w:p>
    <w:p>
      <w:pPr>
        <w:pStyle w:val="25"/>
        <w:adjustRightInd w:val="0"/>
        <w:spacing w:line="360" w:lineRule="auto"/>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2.2符合QB/T 3827-1999《轻工产品金属镀层和化学处理层的耐腐蚀试验方法乙酸盐雾试验(ASS)法》、GB/T 3325-2017《金属家具通用技术条件》、GB/T 35607-2017《绿色产品评价家具》：</w:t>
      </w:r>
    </w:p>
    <w:p>
      <w:pPr>
        <w:pStyle w:val="25"/>
        <w:adjustRightInd w:val="0"/>
        <w:spacing w:line="360" w:lineRule="auto"/>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▲（1）金属表面耐腐蚀：经过240小时乙酸盐雾试验后,镀层的耐腐蚀等级≥9级；</w:t>
      </w:r>
    </w:p>
    <w:p>
      <w:pPr>
        <w:pStyle w:val="25"/>
        <w:adjustRightInd w:val="0"/>
        <w:spacing w:line="360" w:lineRule="auto"/>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（2）非固定柜加载稳定性打开活动部件，在打开的抽屉前沿中心或门、翻/折板的离外沿50mm最易倾翻的位置,垂直向下依次施加活动部件总质量20%的力，不应倾翻；</w:t>
      </w:r>
    </w:p>
    <w:p>
      <w:pPr>
        <w:pStyle w:val="25"/>
        <w:adjustRightInd w:val="0"/>
        <w:spacing w:line="360" w:lineRule="auto"/>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（3）甲醛释放量≤0.05 mg/ m³ ；</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（4）总挥发性有机化合物（TVOC) ≤0.3 mg/m³。</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3、医用诊查床</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3.1符合GB/T 3325-2017《金属家具通用技术条件》标准。床面采用医用PU皮包面，抗污易清洁、满足医用清洗剂、消毒剂的腐蚀，表面柔软舒适,内部采用高密度、高弹力聚氨脂海绵，密度不低于45，可防氧化、防碎，软硬适中，回弹性良好，不易变形；支架和卷筒采用优质一级冷轧钢，钢板厚度≥1.5mm，金属表面采用环氧树脂静电粉末，全自动涂装工艺，涂漆厚度不低于60um，喷涂硬度≥2H。</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3.2形状和位置公差：邻边垂直度(面板) 对角线长度差:≤3mm，对边长度差:≤2mm，翘曲度（面板) ≤3.0mm；平整度(面板)≤0.20mm；着地平稳性底脚与水平面的差值≤2.0mm ；</w:t>
      </w:r>
    </w:p>
    <w:p>
      <w:pPr>
        <w:numPr>
          <w:ilvl w:val="0"/>
          <w:numId w:val="7"/>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金属外观：管材应无裂缝、叠缝，焊接件焊接处应无脱焊、虚焊、焊穿、错位，焊接处应无夹渣、气孔、焊瘤、焊丝头、咬边、飞溅，焊疤表面波纹应均匀；冲压件应无脱层、裂缝；喷涂层涂层应无漏喷、锈蚀和脱色、掉色现象，涂层应光滑均匀,色泽一致,应无流挂、疙瘩、皱皮、飞漆等缺陷；</w:t>
      </w:r>
    </w:p>
    <w:p>
      <w:pPr>
        <w:numPr>
          <w:ilvl w:val="0"/>
          <w:numId w:val="7"/>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通过床铺面均布载荷试验(均布载荷1200N， 7天）；</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（3）通过床铺面集中静载荷试验(在床铺面中心垂直加载1100N，10次）；</w:t>
      </w:r>
    </w:p>
    <w:p>
      <w:pPr>
        <w:pStyle w:val="21"/>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（4）床结构耐久性试验通过20000次试验（加载300N，平衡载荷1000N)；</w:t>
      </w:r>
    </w:p>
    <w:p>
      <w:pPr>
        <w:pStyle w:val="21"/>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〖样品〗</w:t>
      </w:r>
    </w:p>
    <w:p>
      <w:pPr>
        <w:pStyle w:val="21"/>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1、原材料样品清单：</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207"/>
        <w:gridCol w:w="2748"/>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207"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样品名称</w:t>
            </w:r>
          </w:p>
        </w:tc>
        <w:tc>
          <w:tcPr>
            <w:tcW w:w="2748"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样品规格（mm）</w:t>
            </w:r>
          </w:p>
        </w:tc>
        <w:tc>
          <w:tcPr>
            <w:tcW w:w="2258"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1</w:t>
            </w:r>
          </w:p>
        </w:tc>
        <w:tc>
          <w:tcPr>
            <w:tcW w:w="3207" w:type="dxa"/>
            <w:vAlign w:val="center"/>
          </w:tcPr>
          <w:p>
            <w:pPr>
              <w:pStyle w:val="290"/>
              <w:ind w:right="-126"/>
              <w:jc w:val="center"/>
              <w:rPr>
                <w:rFonts w:ascii="仿宋" w:hAnsi="仿宋" w:eastAsia="仿宋" w:cs="仿宋"/>
                <w:color w:val="auto"/>
                <w:sz w:val="24"/>
                <w:highlight w:val="none"/>
              </w:rPr>
            </w:pPr>
            <w:r>
              <w:rPr>
                <w:rFonts w:hint="eastAsia" w:ascii="仿宋" w:hAnsi="仿宋" w:eastAsia="仿宋" w:cs="仿宋"/>
                <w:color w:val="auto"/>
                <w:sz w:val="24"/>
                <w:highlight w:val="none"/>
              </w:rPr>
              <w:t>电解钢板</w:t>
            </w:r>
          </w:p>
        </w:tc>
        <w:tc>
          <w:tcPr>
            <w:tcW w:w="2748" w:type="dxa"/>
            <w:vAlign w:val="center"/>
          </w:tcPr>
          <w:p>
            <w:pPr>
              <w:pStyle w:val="290"/>
              <w:jc w:val="center"/>
              <w:rPr>
                <w:rFonts w:ascii="仿宋" w:hAnsi="仿宋" w:eastAsia="仿宋" w:cs="仿宋"/>
                <w:b/>
                <w:bCs/>
                <w:color w:val="auto"/>
                <w:sz w:val="24"/>
                <w:highlight w:val="none"/>
              </w:rPr>
            </w:pPr>
            <w:r>
              <w:rPr>
                <w:rFonts w:hint="eastAsia" w:ascii="仿宋" w:hAnsi="仿宋" w:eastAsia="仿宋" w:cs="仿宋"/>
                <w:color w:val="auto"/>
                <w:sz w:val="24"/>
                <w:highlight w:val="none"/>
                <w:lang w:val="en-US"/>
              </w:rPr>
              <w:t>200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200*1.0</w:t>
            </w:r>
          </w:p>
        </w:tc>
        <w:tc>
          <w:tcPr>
            <w:tcW w:w="2258" w:type="dxa"/>
            <w:vAlign w:val="center"/>
          </w:tcPr>
          <w:p>
            <w:pPr>
              <w:pStyle w:val="290"/>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2</w:t>
            </w:r>
          </w:p>
        </w:tc>
        <w:tc>
          <w:tcPr>
            <w:tcW w:w="3207" w:type="dxa"/>
            <w:vAlign w:val="center"/>
          </w:tcPr>
          <w:p>
            <w:pPr>
              <w:pStyle w:val="290"/>
              <w:ind w:right="-126"/>
              <w:jc w:val="center"/>
              <w:rPr>
                <w:rFonts w:ascii="仿宋" w:hAnsi="仿宋" w:eastAsia="仿宋" w:cs="仿宋"/>
                <w:color w:val="auto"/>
                <w:sz w:val="24"/>
                <w:highlight w:val="none"/>
              </w:rPr>
            </w:pPr>
            <w:r>
              <w:rPr>
                <w:rStyle w:val="291"/>
                <w:rFonts w:hint="eastAsia" w:ascii="仿宋" w:hAnsi="仿宋" w:eastAsia="仿宋" w:cs="仿宋"/>
                <w:b w:val="0"/>
                <w:bCs w:val="0"/>
                <w:color w:val="auto"/>
                <w:sz w:val="24"/>
                <w:szCs w:val="24"/>
                <w:highlight w:val="none"/>
              </w:rPr>
              <w:t>医用纯亚克力人造石</w:t>
            </w:r>
          </w:p>
        </w:tc>
        <w:tc>
          <w:tcPr>
            <w:tcW w:w="2748" w:type="dxa"/>
            <w:vAlign w:val="center"/>
          </w:tcPr>
          <w:p>
            <w:pPr>
              <w:pStyle w:val="290"/>
              <w:jc w:val="center"/>
              <w:rPr>
                <w:rFonts w:ascii="仿宋" w:hAnsi="仿宋" w:eastAsia="仿宋" w:cs="仿宋"/>
                <w:b/>
                <w:bCs/>
                <w:color w:val="auto"/>
                <w:sz w:val="24"/>
                <w:highlight w:val="none"/>
              </w:rPr>
            </w:pPr>
            <w:r>
              <w:rPr>
                <w:rFonts w:hint="eastAsia" w:ascii="仿宋" w:hAnsi="仿宋" w:eastAsia="仿宋" w:cs="仿宋"/>
                <w:color w:val="auto"/>
                <w:sz w:val="24"/>
                <w:highlight w:val="none"/>
                <w:lang w:val="en-US"/>
              </w:rPr>
              <w:t>200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200*12</w:t>
            </w:r>
          </w:p>
        </w:tc>
        <w:tc>
          <w:tcPr>
            <w:tcW w:w="2258" w:type="dxa"/>
            <w:vAlign w:val="center"/>
          </w:tcPr>
          <w:p>
            <w:pPr>
              <w:pStyle w:val="290"/>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3</w:t>
            </w:r>
          </w:p>
        </w:tc>
        <w:tc>
          <w:tcPr>
            <w:tcW w:w="3207" w:type="dxa"/>
            <w:vAlign w:val="center"/>
          </w:tcPr>
          <w:p>
            <w:pPr>
              <w:pStyle w:val="290"/>
              <w:ind w:right="-126"/>
              <w:jc w:val="center"/>
              <w:rPr>
                <w:rFonts w:ascii="仿宋" w:hAnsi="仿宋" w:eastAsia="仿宋" w:cs="仿宋"/>
                <w:color w:val="auto"/>
                <w:sz w:val="24"/>
                <w:highlight w:val="none"/>
              </w:rPr>
            </w:pPr>
            <w:r>
              <w:rPr>
                <w:rFonts w:hint="eastAsia" w:ascii="仿宋" w:hAnsi="仿宋" w:eastAsia="仿宋" w:cs="仿宋"/>
                <w:color w:val="auto"/>
                <w:sz w:val="24"/>
                <w:highlight w:val="none"/>
              </w:rPr>
              <w:t>304不锈钢缓冲铰链（门铰）</w:t>
            </w:r>
          </w:p>
        </w:tc>
        <w:tc>
          <w:tcPr>
            <w:tcW w:w="2748" w:type="dxa"/>
            <w:vAlign w:val="center"/>
          </w:tcPr>
          <w:p>
            <w:pPr>
              <w:pStyle w:val="290"/>
              <w:jc w:val="center"/>
              <w:rPr>
                <w:rFonts w:ascii="仿宋" w:hAnsi="仿宋" w:eastAsia="仿宋" w:cs="仿宋"/>
                <w:color w:val="auto"/>
                <w:sz w:val="24"/>
                <w:highlight w:val="none"/>
              </w:rPr>
            </w:pPr>
            <w:r>
              <w:rPr>
                <w:rFonts w:hint="eastAsia" w:ascii="仿宋" w:hAnsi="仿宋" w:eastAsia="仿宋" w:cs="仿宋"/>
                <w:color w:val="auto"/>
                <w:sz w:val="24"/>
                <w:highlight w:val="none"/>
              </w:rPr>
              <w:t>标准</w:t>
            </w:r>
          </w:p>
        </w:tc>
        <w:tc>
          <w:tcPr>
            <w:tcW w:w="2258" w:type="dxa"/>
            <w:vAlign w:val="center"/>
          </w:tcPr>
          <w:p>
            <w:pPr>
              <w:pStyle w:val="290"/>
              <w:jc w:val="center"/>
              <w:rPr>
                <w:rFonts w:ascii="仿宋" w:hAnsi="仿宋" w:eastAsia="仿宋" w:cs="仿宋"/>
                <w:color w:val="auto"/>
                <w:sz w:val="24"/>
                <w:highlight w:val="none"/>
              </w:rPr>
            </w:pPr>
            <w:r>
              <w:rPr>
                <w:rFonts w:hint="eastAsia" w:ascii="仿宋" w:hAnsi="仿宋" w:eastAsia="仿宋" w:cs="仿宋"/>
                <w:color w:val="auto"/>
                <w:sz w:val="24"/>
                <w:highlight w:val="none"/>
              </w:rPr>
              <w:t>1对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4</w:t>
            </w:r>
          </w:p>
        </w:tc>
        <w:tc>
          <w:tcPr>
            <w:tcW w:w="3207" w:type="dxa"/>
            <w:vAlign w:val="center"/>
          </w:tcPr>
          <w:p>
            <w:pPr>
              <w:pStyle w:val="290"/>
              <w:ind w:right="-126"/>
              <w:jc w:val="center"/>
              <w:rPr>
                <w:rFonts w:ascii="仿宋" w:hAnsi="仿宋" w:eastAsia="仿宋" w:cs="仿宋"/>
                <w:color w:val="auto"/>
                <w:sz w:val="24"/>
                <w:highlight w:val="none"/>
              </w:rPr>
            </w:pPr>
            <w:r>
              <w:rPr>
                <w:rFonts w:hint="eastAsia" w:ascii="仿宋" w:hAnsi="仿宋" w:eastAsia="仿宋" w:cs="仿宋"/>
                <w:color w:val="auto"/>
                <w:sz w:val="24"/>
                <w:highlight w:val="none"/>
              </w:rPr>
              <w:t>三节导轨</w:t>
            </w:r>
          </w:p>
        </w:tc>
        <w:tc>
          <w:tcPr>
            <w:tcW w:w="2748" w:type="dxa"/>
            <w:vAlign w:val="center"/>
          </w:tcPr>
          <w:p>
            <w:pPr>
              <w:pStyle w:val="290"/>
              <w:jc w:val="center"/>
              <w:rPr>
                <w:rFonts w:ascii="仿宋" w:hAnsi="仿宋" w:eastAsia="仿宋" w:cs="仿宋"/>
                <w:color w:val="auto"/>
                <w:sz w:val="24"/>
                <w:highlight w:val="none"/>
              </w:rPr>
            </w:pPr>
            <w:r>
              <w:rPr>
                <w:rFonts w:hint="eastAsia" w:ascii="仿宋" w:hAnsi="仿宋" w:eastAsia="仿宋" w:cs="仿宋"/>
                <w:color w:val="auto"/>
                <w:sz w:val="24"/>
                <w:highlight w:val="none"/>
              </w:rPr>
              <w:t>16寸</w:t>
            </w:r>
          </w:p>
        </w:tc>
        <w:tc>
          <w:tcPr>
            <w:tcW w:w="2258" w:type="dxa"/>
            <w:vAlign w:val="center"/>
          </w:tcPr>
          <w:p>
            <w:pPr>
              <w:pStyle w:val="290"/>
              <w:jc w:val="center"/>
              <w:rPr>
                <w:rFonts w:ascii="仿宋" w:hAnsi="仿宋" w:eastAsia="仿宋" w:cs="仿宋"/>
                <w:color w:val="auto"/>
                <w:sz w:val="24"/>
                <w:highlight w:val="none"/>
              </w:rPr>
            </w:pPr>
            <w:r>
              <w:rPr>
                <w:rFonts w:hint="eastAsia" w:ascii="仿宋" w:hAnsi="仿宋" w:eastAsia="仿宋" w:cs="仿宋"/>
                <w:color w:val="auto"/>
                <w:sz w:val="24"/>
                <w:highlight w:val="none"/>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5</w:t>
            </w:r>
          </w:p>
        </w:tc>
        <w:tc>
          <w:tcPr>
            <w:tcW w:w="3207" w:type="dxa"/>
            <w:vAlign w:val="center"/>
          </w:tcPr>
          <w:p>
            <w:pPr>
              <w:pStyle w:val="290"/>
              <w:ind w:right="-126"/>
              <w:jc w:val="center"/>
              <w:rPr>
                <w:rFonts w:ascii="仿宋" w:hAnsi="仿宋" w:eastAsia="仿宋" w:cs="仿宋"/>
                <w:color w:val="auto"/>
                <w:sz w:val="24"/>
                <w:highlight w:val="none"/>
              </w:rPr>
            </w:pPr>
            <w:r>
              <w:rPr>
                <w:rFonts w:hint="eastAsia" w:ascii="仿宋" w:hAnsi="仿宋" w:eastAsia="仿宋" w:cs="仿宋"/>
                <w:color w:val="auto"/>
                <w:sz w:val="24"/>
                <w:highlight w:val="none"/>
              </w:rPr>
              <w:t>多层板</w:t>
            </w:r>
          </w:p>
        </w:tc>
        <w:tc>
          <w:tcPr>
            <w:tcW w:w="2748" w:type="dxa"/>
            <w:vAlign w:val="center"/>
          </w:tcPr>
          <w:p>
            <w:pPr>
              <w:pStyle w:val="29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200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200*18</w:t>
            </w:r>
          </w:p>
        </w:tc>
        <w:tc>
          <w:tcPr>
            <w:tcW w:w="2258" w:type="dxa"/>
            <w:vAlign w:val="center"/>
          </w:tcPr>
          <w:p>
            <w:pPr>
              <w:pStyle w:val="29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6</w:t>
            </w:r>
          </w:p>
        </w:tc>
        <w:tc>
          <w:tcPr>
            <w:tcW w:w="3207" w:type="dxa"/>
            <w:vAlign w:val="center"/>
          </w:tcPr>
          <w:p>
            <w:pPr>
              <w:pStyle w:val="290"/>
              <w:ind w:right="-126"/>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PU皮（皮革）</w:t>
            </w:r>
          </w:p>
        </w:tc>
        <w:tc>
          <w:tcPr>
            <w:tcW w:w="2748" w:type="dxa"/>
            <w:vAlign w:val="center"/>
          </w:tcPr>
          <w:p>
            <w:pPr>
              <w:pStyle w:val="29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200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200</w:t>
            </w:r>
          </w:p>
        </w:tc>
        <w:tc>
          <w:tcPr>
            <w:tcW w:w="2258" w:type="dxa"/>
            <w:vAlign w:val="center"/>
          </w:tcPr>
          <w:p>
            <w:pPr>
              <w:pStyle w:val="29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09" w:type="dxa"/>
            <w:gridSpan w:val="4"/>
            <w:vAlign w:val="center"/>
          </w:tcPr>
          <w:p>
            <w:pPr>
              <w:pStyle w:val="290"/>
              <w:jc w:val="center"/>
              <w:rPr>
                <w:rFonts w:ascii="仿宋" w:hAnsi="仿宋" w:eastAsia="仿宋" w:cs="仿宋"/>
                <w:color w:val="auto"/>
                <w:sz w:val="24"/>
                <w:highlight w:val="none"/>
              </w:rPr>
            </w:pPr>
            <w:r>
              <w:rPr>
                <w:rFonts w:hint="eastAsia" w:ascii="仿宋" w:hAnsi="仿宋" w:eastAsia="仿宋" w:cs="仿宋"/>
                <w:color w:val="auto"/>
                <w:sz w:val="24"/>
                <w:highlight w:val="none"/>
              </w:rPr>
              <w:t>注：各类板材样品应按照成品家具的工艺进行制作。</w:t>
            </w:r>
          </w:p>
        </w:tc>
      </w:tr>
    </w:tbl>
    <w:p>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2、成品样品清单：</w:t>
      </w:r>
    </w:p>
    <w:tbl>
      <w:tblPr>
        <w:tblStyle w:val="44"/>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580"/>
        <w:gridCol w:w="2492"/>
        <w:gridCol w:w="858"/>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2580"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样品名称</w:t>
            </w:r>
          </w:p>
        </w:tc>
        <w:tc>
          <w:tcPr>
            <w:tcW w:w="2492"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样品规格</w:t>
            </w:r>
          </w:p>
        </w:tc>
        <w:tc>
          <w:tcPr>
            <w:tcW w:w="858"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数量</w:t>
            </w:r>
          </w:p>
        </w:tc>
        <w:tc>
          <w:tcPr>
            <w:tcW w:w="2432"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1</w:t>
            </w:r>
          </w:p>
        </w:tc>
        <w:tc>
          <w:tcPr>
            <w:tcW w:w="2580" w:type="dxa"/>
            <w:vAlign w:val="center"/>
          </w:tcPr>
          <w:p>
            <w:pPr>
              <w:pStyle w:val="290"/>
              <w:ind w:left="2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en-US"/>
              </w:rPr>
              <w:t>医用护士台</w:t>
            </w:r>
          </w:p>
        </w:tc>
        <w:tc>
          <w:tcPr>
            <w:tcW w:w="2492" w:type="dxa"/>
            <w:vAlign w:val="center"/>
          </w:tcPr>
          <w:p>
            <w:pPr>
              <w:pStyle w:val="290"/>
              <w:ind w:left="20"/>
              <w:jc w:val="center"/>
              <w:rPr>
                <w:rFonts w:ascii="仿宋" w:hAnsi="仿宋" w:eastAsia="仿宋" w:cs="仿宋"/>
                <w:color w:val="auto"/>
                <w:kern w:val="0"/>
                <w:sz w:val="24"/>
                <w:highlight w:val="none"/>
                <w:lang w:val="en-US"/>
              </w:rPr>
            </w:pPr>
            <w:r>
              <w:rPr>
                <w:rFonts w:hint="eastAsia" w:ascii="仿宋" w:hAnsi="仿宋" w:eastAsia="仿宋" w:cs="仿宋"/>
                <w:color w:val="auto"/>
                <w:kern w:val="0"/>
                <w:sz w:val="24"/>
                <w:highlight w:val="none"/>
                <w:lang w:val="en-US"/>
              </w:rPr>
              <w:t>不小于1米长</w:t>
            </w:r>
          </w:p>
        </w:tc>
        <w:tc>
          <w:tcPr>
            <w:tcW w:w="858"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1组</w:t>
            </w:r>
          </w:p>
        </w:tc>
        <w:tc>
          <w:tcPr>
            <w:tcW w:w="2432"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具体材质说明详见招标清单描述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2</w:t>
            </w:r>
          </w:p>
        </w:tc>
        <w:tc>
          <w:tcPr>
            <w:tcW w:w="2580"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rPr>
              <w:t>医用环保治疗柜（</w:t>
            </w:r>
            <w:r>
              <w:rPr>
                <w:rFonts w:hint="eastAsia" w:ascii="仿宋" w:hAnsi="仿宋" w:eastAsia="仿宋" w:cs="仿宋"/>
                <w:color w:val="auto"/>
                <w:sz w:val="24"/>
                <w:highlight w:val="none"/>
                <w:lang w:val="en-US"/>
              </w:rPr>
              <w:t>含医用分类垃圾柜1组）</w:t>
            </w:r>
          </w:p>
        </w:tc>
        <w:tc>
          <w:tcPr>
            <w:tcW w:w="2492"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bCs/>
                <w:color w:val="auto"/>
                <w:sz w:val="24"/>
                <w:highlight w:val="none"/>
              </w:rPr>
              <w:t>≥</w:t>
            </w:r>
            <w:r>
              <w:rPr>
                <w:rFonts w:hint="eastAsia" w:ascii="仿宋" w:hAnsi="仿宋" w:eastAsia="仿宋" w:cs="仿宋"/>
                <w:color w:val="auto"/>
                <w:kern w:val="0"/>
                <w:sz w:val="20"/>
                <w:szCs w:val="20"/>
                <w:highlight w:val="none"/>
              </w:rPr>
              <w:t>1600</w:t>
            </w:r>
            <w:r>
              <w:rPr>
                <w:rFonts w:hint="eastAsia" w:ascii="仿宋" w:hAnsi="仿宋" w:eastAsia="仿宋" w:cs="仿宋"/>
                <w:color w:val="auto"/>
                <w:kern w:val="0"/>
                <w:sz w:val="20"/>
                <w:szCs w:val="20"/>
                <w:highlight w:val="none"/>
                <w:lang w:val="en-US"/>
              </w:rPr>
              <w:t>W</w:t>
            </w:r>
            <w:r>
              <w:rPr>
                <w:rFonts w:hint="eastAsia" w:ascii="仿宋" w:hAnsi="仿宋" w:eastAsia="仿宋" w:cs="仿宋"/>
                <w:color w:val="auto"/>
                <w:kern w:val="0"/>
                <w:sz w:val="20"/>
                <w:szCs w:val="20"/>
                <w:highlight w:val="none"/>
              </w:rPr>
              <w:t>*630</w:t>
            </w:r>
            <w:r>
              <w:rPr>
                <w:rFonts w:hint="eastAsia" w:ascii="仿宋" w:hAnsi="仿宋" w:eastAsia="仿宋" w:cs="仿宋"/>
                <w:color w:val="auto"/>
                <w:kern w:val="0"/>
                <w:sz w:val="20"/>
                <w:szCs w:val="20"/>
                <w:highlight w:val="none"/>
                <w:lang w:val="en-US"/>
              </w:rPr>
              <w:t>D</w:t>
            </w:r>
            <w:r>
              <w:rPr>
                <w:rFonts w:hint="eastAsia" w:ascii="仿宋" w:hAnsi="仿宋" w:eastAsia="仿宋" w:cs="仿宋"/>
                <w:color w:val="auto"/>
                <w:kern w:val="0"/>
                <w:sz w:val="20"/>
                <w:szCs w:val="20"/>
                <w:highlight w:val="none"/>
              </w:rPr>
              <w:t>*</w:t>
            </w:r>
            <w:r>
              <w:rPr>
                <w:rFonts w:hint="eastAsia" w:ascii="仿宋" w:hAnsi="仿宋" w:eastAsia="仿宋" w:cs="仿宋"/>
                <w:color w:val="auto"/>
                <w:kern w:val="0"/>
                <w:sz w:val="20"/>
                <w:szCs w:val="20"/>
                <w:highlight w:val="none"/>
                <w:lang w:val="en-US"/>
              </w:rPr>
              <w:t>2000H/</w:t>
            </w:r>
            <w:r>
              <w:rPr>
                <w:rFonts w:hint="eastAsia" w:ascii="仿宋" w:hAnsi="仿宋" w:eastAsia="仿宋" w:cs="仿宋"/>
                <w:color w:val="auto"/>
                <w:kern w:val="0"/>
                <w:sz w:val="20"/>
                <w:szCs w:val="20"/>
                <w:highlight w:val="none"/>
              </w:rPr>
              <w:t>835</w:t>
            </w:r>
            <w:r>
              <w:rPr>
                <w:rFonts w:hint="eastAsia" w:ascii="仿宋" w:hAnsi="仿宋" w:eastAsia="仿宋" w:cs="仿宋"/>
                <w:color w:val="auto"/>
                <w:kern w:val="0"/>
                <w:sz w:val="20"/>
                <w:szCs w:val="20"/>
                <w:highlight w:val="none"/>
                <w:lang w:val="en-US"/>
              </w:rPr>
              <w:t>H</w:t>
            </w:r>
            <w:r>
              <w:rPr>
                <w:rFonts w:hint="eastAsia" w:ascii="仿宋" w:hAnsi="仿宋" w:eastAsia="仿宋" w:cs="仿宋"/>
                <w:color w:val="auto"/>
                <w:kern w:val="0"/>
                <w:sz w:val="24"/>
                <w:highlight w:val="none"/>
                <w:lang w:val="en-US"/>
              </w:rPr>
              <w:t>（mm）</w:t>
            </w:r>
          </w:p>
        </w:tc>
        <w:tc>
          <w:tcPr>
            <w:tcW w:w="858"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1 组</w:t>
            </w:r>
          </w:p>
        </w:tc>
        <w:tc>
          <w:tcPr>
            <w:tcW w:w="2432"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具体材质说明详见招标清单描述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3</w:t>
            </w:r>
          </w:p>
        </w:tc>
        <w:tc>
          <w:tcPr>
            <w:tcW w:w="2580" w:type="dxa"/>
            <w:vAlign w:val="center"/>
          </w:tcPr>
          <w:p>
            <w:pPr>
              <w:pStyle w:val="290"/>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序号27医用诊查床</w:t>
            </w:r>
          </w:p>
        </w:tc>
        <w:tc>
          <w:tcPr>
            <w:tcW w:w="2492" w:type="dxa"/>
            <w:vAlign w:val="center"/>
          </w:tcPr>
          <w:p>
            <w:pPr>
              <w:pStyle w:val="290"/>
              <w:ind w:left="20"/>
              <w:jc w:val="center"/>
              <w:rPr>
                <w:rFonts w:ascii="仿宋" w:hAnsi="仿宋" w:eastAsia="仿宋" w:cs="仿宋"/>
                <w:bCs/>
                <w:color w:val="auto"/>
                <w:sz w:val="24"/>
                <w:highlight w:val="none"/>
              </w:rPr>
            </w:pPr>
            <w:r>
              <w:rPr>
                <w:rFonts w:hint="eastAsia" w:ascii="仿宋" w:hAnsi="仿宋" w:eastAsia="仿宋" w:cs="仿宋"/>
                <w:color w:val="auto"/>
                <w:kern w:val="0"/>
                <w:sz w:val="24"/>
                <w:highlight w:val="none"/>
              </w:rPr>
              <w:t>1800*600*660</w:t>
            </w:r>
            <w:r>
              <w:rPr>
                <w:rFonts w:hint="eastAsia" w:ascii="仿宋" w:hAnsi="仿宋" w:eastAsia="仿宋" w:cs="仿宋"/>
                <w:color w:val="auto"/>
                <w:kern w:val="0"/>
                <w:sz w:val="24"/>
                <w:highlight w:val="none"/>
                <w:lang w:val="en-US"/>
              </w:rPr>
              <w:t>（mm）</w:t>
            </w:r>
          </w:p>
        </w:tc>
        <w:tc>
          <w:tcPr>
            <w:tcW w:w="858"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1 组</w:t>
            </w:r>
          </w:p>
        </w:tc>
        <w:tc>
          <w:tcPr>
            <w:tcW w:w="2432"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具体材质说明详见招标清单描述</w:t>
            </w:r>
          </w:p>
        </w:tc>
      </w:tr>
    </w:tbl>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二、商务要求：</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1、供货要求</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1.1投标人所供货物须符合国家的相关规定，且负责将所供货物送至采购人指定地点，并负责货物的安装、调试等。</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1.2产品安装所涉及的有关零配件均由投标人提供。</w:t>
      </w:r>
    </w:p>
    <w:p>
      <w:pPr>
        <w:numPr>
          <w:ilvl w:val="0"/>
          <w:numId w:val="6"/>
        </w:num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报价要求</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2.1投标人所提供的货物、工程和服务均应以人民币报价，如同时以人民币及外币报价，以人民币报价为准。</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2.2投标人应按照招标文件采购需求的内容、责任范围以及合同条款进行报价，采购人不再支付除此之外的其它任何费用。</w:t>
      </w:r>
    </w:p>
    <w:p>
      <w:pPr>
        <w:numPr>
          <w:ilvl w:val="0"/>
          <w:numId w:val="6"/>
        </w:num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交货及安装</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3.1交货时间：合同生效之日起60个日历日内完成，并经验收合格后交付采购人使用。</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3.2中标供应商必须严格按照项目技术要求进行安装，并接受采购人的监督管理。</w:t>
      </w:r>
    </w:p>
    <w:p>
      <w:pPr>
        <w:kinsoku w:val="0"/>
        <w:autoSpaceDE w:val="0"/>
        <w:autoSpaceDN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3.3所有货物必须在检验合格经采购人同意后，方可用于本项目。</w:t>
      </w:r>
    </w:p>
    <w:p>
      <w:pPr>
        <w:kinsoku w:val="0"/>
        <w:autoSpaceDE w:val="0"/>
        <w:autoSpaceDN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3.4采购人有权监督、检查、检验中标人的货物质量及安装质量进度，整改方案须经采购人认可后方能实施，中标供应商应把货物质量放在首位，加强技术管理和质量保证体系，严格认真地执行技术标准和规范。</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3.5中标人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4、验收要求</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4.1验收以招标文件和技术文件、投标文件、合同及安装技术要求为依据。</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4.2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pPr>
        <w:kinsoku w:val="0"/>
        <w:autoSpaceDE w:val="0"/>
        <w:autoSpaceDN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4.3验收必须符合国家、地方有关规范、标准及设计要求。</w:t>
      </w:r>
    </w:p>
    <w:p>
      <w:pPr>
        <w:kinsoku w:val="0"/>
        <w:autoSpaceDE w:val="0"/>
        <w:autoSpaceDN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4.4符合验收条件的，由采购人组织有关部门按照国家、地方有关规范、标准及设计要求进行验收。验收后中标供应商应按照验收中提出的意见整改。</w:t>
      </w:r>
    </w:p>
    <w:p>
      <w:pPr>
        <w:kinsoku w:val="0"/>
        <w:autoSpaceDE w:val="0"/>
        <w:autoSpaceDN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4.5整改完毕且复验合格后将本项目货物交给采购人使用，完成日期以通过复验日期为准。</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4.6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5、售后服务</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5.1投标人须提供经调试、验收合格后至少5年的质保期(投标人可根据自身实力作出更长时间的质保承诺)。在此期间，投标人应免费处理因质量发生的故障，并进行正常保养。</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5.2中标人必须有可靠的售后服务保障，能提供正常的技术、备品备件服务。中标人在接到招标人通知后，6小时内派人赴现场解决质量问题。24小时内不能修复的，则无偿提供备件或备用零件供采购人使用。</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6、服务要求</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6.1保修期内，如出现故障，中标人在接到电话6小时内到达采购人指定地点，</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6.2中标人提供的货物，必须符合招标文件及其投标文件规定的要求，如有不符，采购人可以无条件退货，造成的损失由中标人承担。</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6.3中标人、供货人名称必须一致，否则作违约处理，其履约保证金不予退还。</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6.4中标人必须按照招标文件及其投标文件规定的时间要求完成供货和施工，如未按期完成，由中标单位按照中标总价的10%进行赔偿，因此造成的任何损失和损伤，一切责任由中标单位负责。</w:t>
      </w:r>
    </w:p>
    <w:p>
      <w:pPr>
        <w:spacing w:line="440" w:lineRule="exact"/>
        <w:jc w:val="left"/>
        <w:rPr>
          <w:rFonts w:ascii="仿宋" w:hAnsi="仿宋" w:eastAsia="仿宋" w:cs="仿宋"/>
          <w:b/>
          <w:color w:val="auto"/>
          <w:sz w:val="28"/>
          <w:szCs w:val="28"/>
          <w:highlight w:val="none"/>
        </w:rPr>
      </w:pPr>
      <w:r>
        <w:rPr>
          <w:rFonts w:hint="eastAsia" w:ascii="仿宋" w:hAnsi="仿宋" w:eastAsia="仿宋" w:cs="仿宋"/>
          <w:bCs/>
          <w:color w:val="auto"/>
          <w:sz w:val="24"/>
          <w:highlight w:val="none"/>
        </w:rPr>
        <w:t>6.5项目实施人员费用由中标人应自行承担选派专业人员的住宿、就餐和交通等费用。</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7、付款方式</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本项目根据财政资金拨款计划进行分期支付。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jc w:val="left"/>
        <w:rPr>
          <w:rFonts w:ascii="仿宋" w:hAnsi="仿宋" w:eastAsia="仿宋" w:cs="仿宋"/>
          <w:bCs/>
          <w:color w:val="auto"/>
          <w:sz w:val="24"/>
          <w:highlight w:val="none"/>
        </w:rPr>
      </w:pPr>
      <w:r>
        <w:rPr>
          <w:rFonts w:hint="eastAsia" w:ascii="仿宋" w:hAnsi="仿宋" w:eastAsia="仿宋" w:cs="仿宋"/>
          <w:b/>
          <w:color w:val="auto"/>
          <w:sz w:val="24"/>
          <w:highlight w:val="none"/>
        </w:rPr>
        <w:t>8、履约保证金：</w:t>
      </w:r>
      <w:r>
        <w:rPr>
          <w:rFonts w:hint="eastAsia" w:ascii="仿宋" w:hAnsi="仿宋" w:eastAsia="仿宋" w:cs="仿宋"/>
          <w:bCs/>
          <w:color w:val="auto"/>
          <w:sz w:val="24"/>
          <w:highlight w:val="none"/>
        </w:rPr>
        <w:t xml:space="preserve">履约保证金为中标价的1%，合同签订后缴纳，在项目验收合格后无任何质量问题后退还。 </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9、违约责任及奖罚</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9.1安装完成经验收，不能达到招标文件规定的“质量要求”，无偿返工，并扣除全部履约保证金，同时作违约论处。</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9.2不能在规定时间内完成货物供应及安装的，每逾期一天扣合同金额的0.1%。（非中标供应商原因除外）。</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9.3因中标供应商违约造成终止合同的，则扣除全部履约保证金，同时作违约论处。</w:t>
      </w:r>
      <w:r>
        <w:rPr>
          <w:rFonts w:hint="eastAsia" w:ascii="仿宋" w:hAnsi="仿宋" w:eastAsia="仿宋" w:cs="仿宋"/>
          <w:bCs/>
          <w:color w:val="auto"/>
          <w:sz w:val="24"/>
          <w:highlight w:val="none"/>
        </w:rPr>
        <w:cr/>
      </w:r>
      <w:r>
        <w:rPr>
          <w:rFonts w:hint="eastAsia" w:ascii="仿宋" w:hAnsi="仿宋" w:eastAsia="仿宋" w:cs="仿宋"/>
          <w:bCs/>
          <w:color w:val="auto"/>
          <w:sz w:val="24"/>
          <w:highlight w:val="none"/>
        </w:rPr>
        <w:t>9.4因采购人违约造成终止合同，采购人应退还中标供应商缴纳的履约保证金，同时支付给中标供应商履约保证金同等金额的违约金，但属执行国家行政指令造成的合同终止，不支付违约金。</w:t>
      </w:r>
    </w:p>
    <w:bookmarkEnd w:id="13"/>
    <w:bookmarkEnd w:id="14"/>
    <w:p>
      <w:pPr>
        <w:pStyle w:val="25"/>
        <w:pageBreakBefore/>
        <w:spacing w:line="800" w:lineRule="exact"/>
        <w:ind w:firstLine="726"/>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pPr>
        <w:rPr>
          <w:rFonts w:ascii="仿宋" w:hAnsi="仿宋" w:eastAsia="仿宋" w:cs="仿宋"/>
          <w:color w:val="auto"/>
          <w:sz w:val="24"/>
          <w:highlight w:val="none"/>
        </w:rPr>
      </w:pP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ascii="仿宋" w:hAnsi="仿宋" w:eastAsia="仿宋" w:cs="仿宋"/>
          <w:b/>
          <w:color w:val="auto"/>
          <w:sz w:val="28"/>
          <w:szCs w:val="28"/>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283"/>
        <w:rPr>
          <w:rFonts w:ascii="仿宋" w:hAnsi="仿宋" w:eastAsia="仿宋" w:cs="仿宋"/>
          <w:color w:val="auto"/>
          <w:szCs w:val="24"/>
          <w:highlight w:val="none"/>
        </w:rPr>
      </w:pPr>
    </w:p>
    <w:p>
      <w:pPr>
        <w:pStyle w:val="283"/>
        <w:rPr>
          <w:rFonts w:ascii="仿宋" w:hAnsi="仿宋" w:eastAsia="仿宋" w:cs="仿宋"/>
          <w:color w:val="auto"/>
          <w:szCs w:val="24"/>
          <w:highlight w:val="none"/>
        </w:rPr>
      </w:pPr>
    </w:p>
    <w:p>
      <w:pPr>
        <w:pStyle w:val="283"/>
        <w:jc w:val="center"/>
        <w:rPr>
          <w:rFonts w:ascii="仿宋" w:hAnsi="仿宋" w:eastAsia="仿宋" w:cs="仿宋"/>
          <w:color w:val="auto"/>
          <w:szCs w:val="24"/>
          <w:highlight w:val="none"/>
        </w:rPr>
      </w:pPr>
    </w:p>
    <w:p>
      <w:pPr>
        <w:pStyle w:val="283"/>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283"/>
        <w:rPr>
          <w:rFonts w:ascii="仿宋" w:hAnsi="仿宋" w:eastAsia="仿宋" w:cs="仿宋"/>
          <w:color w:val="auto"/>
          <w:szCs w:val="24"/>
          <w:highlight w:val="none"/>
        </w:rPr>
      </w:pPr>
    </w:p>
    <w:p>
      <w:pPr>
        <w:pStyle w:val="283"/>
        <w:rPr>
          <w:rFonts w:ascii="仿宋" w:hAnsi="仿宋" w:eastAsia="仿宋" w:cs="仿宋"/>
          <w:color w:val="auto"/>
          <w:szCs w:val="24"/>
          <w:highlight w:val="none"/>
        </w:rPr>
      </w:pPr>
    </w:p>
    <w:p>
      <w:pPr>
        <w:spacing w:before="120" w:line="22" w:lineRule="atLeast"/>
        <w:rPr>
          <w:rFonts w:ascii="仿宋" w:hAnsi="仿宋" w:eastAsia="仿宋" w:cs="仿宋"/>
          <w:color w:val="auto"/>
          <w:sz w:val="24"/>
          <w:highlight w:val="none"/>
        </w:rPr>
      </w:pPr>
    </w:p>
    <w:p>
      <w:pPr>
        <w:spacing w:before="120" w:line="22" w:lineRule="atLeast"/>
        <w:ind w:left="96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282"/>
        <w:spacing w:before="120" w:line="22" w:lineRule="atLeast"/>
        <w:rPr>
          <w:rFonts w:ascii="仿宋" w:hAnsi="仿宋" w:eastAsia="仿宋" w:cs="仿宋"/>
          <w:color w:val="auto"/>
          <w:szCs w:val="24"/>
          <w:highlight w:val="none"/>
        </w:rPr>
      </w:pPr>
    </w:p>
    <w:p>
      <w:pPr>
        <w:pStyle w:val="282"/>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left="96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960" w:firstLineChars="4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960" w:firstLineChars="4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仿宋" w:hAnsi="仿宋" w:eastAsia="仿宋" w:cs="仿宋"/>
          <w:color w:val="auto"/>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ascii="仿宋" w:hAnsi="仿宋" w:eastAsia="仿宋" w:cs="仿宋"/>
          <w:b/>
          <w:color w:val="auto"/>
          <w:sz w:val="24"/>
          <w:highlight w:val="none"/>
        </w:rPr>
      </w:pPr>
      <w:bookmarkStart w:id="15" w:name="_Toc2232"/>
      <w:bookmarkStart w:id="16" w:name="_Toc3029"/>
      <w:bookmarkStart w:id="17" w:name="_Toc24059"/>
      <w:r>
        <w:rPr>
          <w:rFonts w:hint="eastAsia" w:ascii="仿宋" w:hAnsi="仿宋" w:eastAsia="仿宋" w:cs="仿宋"/>
          <w:b/>
          <w:color w:val="auto"/>
          <w:sz w:val="24"/>
          <w:highlight w:val="none"/>
        </w:rPr>
        <w:t>1.1 合同组成部分</w:t>
      </w:r>
      <w:bookmarkEnd w:id="15"/>
      <w:bookmarkEnd w:id="16"/>
      <w:bookmarkEnd w:id="1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中标通知书；</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ascii="仿宋" w:hAnsi="仿宋" w:eastAsia="仿宋" w:cs="仿宋"/>
          <w:b/>
          <w:color w:val="auto"/>
          <w:sz w:val="24"/>
          <w:highlight w:val="none"/>
        </w:rPr>
      </w:pPr>
      <w:bookmarkStart w:id="18" w:name="_Toc27126"/>
      <w:bookmarkStart w:id="19" w:name="_Toc24300"/>
      <w:bookmarkStart w:id="20" w:name="_Toc21295"/>
      <w:r>
        <w:rPr>
          <w:rFonts w:hint="eastAsia" w:ascii="仿宋" w:hAnsi="仿宋" w:eastAsia="仿宋" w:cs="仿宋"/>
          <w:b/>
          <w:color w:val="auto"/>
          <w:sz w:val="24"/>
          <w:highlight w:val="none"/>
        </w:rPr>
        <w:t>1.2 货物</w:t>
      </w:r>
      <w:bookmarkEnd w:id="18"/>
      <w:bookmarkEnd w:id="19"/>
      <w:bookmarkEnd w:id="20"/>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21" w:name="_Toc23292"/>
      <w:bookmarkStart w:id="22" w:name="_Toc21551"/>
      <w:bookmarkStart w:id="23" w:name="_Toc21631"/>
      <w:r>
        <w:rPr>
          <w:rFonts w:hint="eastAsia" w:ascii="仿宋" w:hAnsi="仿宋" w:eastAsia="仿宋" w:cs="仿宋"/>
          <w:b/>
          <w:color w:val="auto"/>
          <w:sz w:val="24"/>
          <w:highlight w:val="none"/>
        </w:rPr>
        <w:t>1.3 价款</w:t>
      </w:r>
      <w:bookmarkEnd w:id="21"/>
      <w:bookmarkEnd w:id="22"/>
      <w:bookmarkEnd w:id="2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r>
    </w:tbl>
    <w:p>
      <w:pPr>
        <w:spacing w:line="440" w:lineRule="exact"/>
        <w:ind w:firstLine="482" w:firstLineChars="200"/>
        <w:outlineLvl w:val="0"/>
        <w:rPr>
          <w:rFonts w:ascii="仿宋" w:hAnsi="仿宋" w:eastAsia="仿宋" w:cs="仿宋"/>
          <w:b/>
          <w:color w:val="auto"/>
          <w:sz w:val="24"/>
          <w:highlight w:val="none"/>
        </w:rPr>
      </w:pPr>
      <w:bookmarkStart w:id="24" w:name="_Toc1814"/>
      <w:bookmarkStart w:id="25" w:name="_Toc22618"/>
      <w:bookmarkStart w:id="26" w:name="_Toc10340"/>
      <w:r>
        <w:rPr>
          <w:rFonts w:hint="eastAsia" w:ascii="仿宋" w:hAnsi="仿宋" w:eastAsia="仿宋" w:cs="仿宋"/>
          <w:b/>
          <w:color w:val="auto"/>
          <w:sz w:val="24"/>
          <w:highlight w:val="none"/>
        </w:rPr>
        <w:t>1.4 付款</w:t>
      </w:r>
      <w:bookmarkEnd w:id="24"/>
      <w:bookmarkEnd w:id="25"/>
      <w:bookmarkEnd w:id="26"/>
      <w:r>
        <w:rPr>
          <w:rFonts w:hint="eastAsia" w:ascii="仿宋" w:hAnsi="仿宋" w:eastAsia="仿宋" w:cs="仿宋"/>
          <w:b/>
          <w:color w:val="auto"/>
          <w:sz w:val="24"/>
          <w:highlight w:val="none"/>
        </w:rPr>
        <w:t>方式、时间和条件</w:t>
      </w:r>
    </w:p>
    <w:p>
      <w:pPr>
        <w:pStyle w:val="284"/>
        <w:spacing w:before="0" w:beforeAutospacing="0" w:after="0" w:afterAutospacing="0" w:line="440" w:lineRule="exact"/>
        <w:ind w:firstLine="480"/>
        <w:rPr>
          <w:rFonts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b/>
          <w:color w:val="auto"/>
          <w:sz w:val="24"/>
          <w:highlight w:val="none"/>
        </w:rPr>
      </w:pPr>
      <w:bookmarkStart w:id="27" w:name="_Toc2846"/>
      <w:bookmarkStart w:id="28" w:name="_Toc19304"/>
      <w:bookmarkStart w:id="29" w:name="_Toc32071"/>
      <w:r>
        <w:rPr>
          <w:rFonts w:hint="eastAsia" w:ascii="仿宋" w:hAnsi="仿宋" w:eastAsia="仿宋" w:cs="仿宋"/>
          <w:b/>
          <w:color w:val="auto"/>
          <w:sz w:val="24"/>
          <w:highlight w:val="none"/>
        </w:rPr>
        <w:t>1.5 货物交付期限、地点和方式</w:t>
      </w:r>
      <w:bookmarkEnd w:id="27"/>
      <w:bookmarkEnd w:id="28"/>
      <w:bookmarkEnd w:id="29"/>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30" w:name="_Toc19554"/>
      <w:bookmarkStart w:id="31" w:name="_Toc21423"/>
      <w:bookmarkStart w:id="32" w:name="_Toc27250"/>
      <w:r>
        <w:rPr>
          <w:rFonts w:hint="eastAsia" w:ascii="仿宋" w:hAnsi="仿宋" w:eastAsia="仿宋" w:cs="仿宋"/>
          <w:b/>
          <w:color w:val="auto"/>
          <w:sz w:val="24"/>
          <w:highlight w:val="none"/>
        </w:rPr>
        <w:t>1.6 违约责任</w:t>
      </w:r>
      <w:bookmarkEnd w:id="30"/>
      <w:bookmarkEnd w:id="31"/>
      <w:bookmarkEnd w:id="3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ascii="仿宋" w:hAnsi="仿宋" w:eastAsia="仿宋" w:cs="仿宋"/>
          <w:b/>
          <w:color w:val="auto"/>
          <w:sz w:val="24"/>
          <w:highlight w:val="none"/>
        </w:rPr>
      </w:pPr>
      <w:bookmarkStart w:id="33" w:name="_Toc15583"/>
      <w:bookmarkStart w:id="34" w:name="_Toc16021"/>
      <w:bookmarkStart w:id="35" w:name="_Toc28375"/>
      <w:r>
        <w:rPr>
          <w:rFonts w:hint="eastAsia" w:ascii="仿宋" w:hAnsi="仿宋" w:eastAsia="仿宋" w:cs="仿宋"/>
          <w:b/>
          <w:color w:val="auto"/>
          <w:sz w:val="24"/>
          <w:highlight w:val="none"/>
        </w:rPr>
        <w:t>1.7 合同争议的解决</w:t>
      </w:r>
      <w:bookmarkEnd w:id="33"/>
      <w:bookmarkEnd w:id="34"/>
      <w:bookmarkEnd w:id="35"/>
    </w:p>
    <w:p>
      <w:pPr>
        <w:spacing w:line="560" w:lineRule="exact"/>
        <w:ind w:left="-61" w:leftChars="-29" w:right="-420" w:rightChars="-200"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ascii="仿宋" w:hAnsi="仿宋" w:eastAsia="仿宋" w:cs="仿宋"/>
          <w:b/>
          <w:color w:val="auto"/>
          <w:sz w:val="24"/>
          <w:highlight w:val="none"/>
        </w:rPr>
      </w:pPr>
      <w:bookmarkStart w:id="36" w:name="_Toc15322"/>
      <w:bookmarkStart w:id="37" w:name="_Toc7245"/>
      <w:bookmarkStart w:id="38" w:name="_Toc11173"/>
      <w:r>
        <w:rPr>
          <w:rFonts w:hint="eastAsia" w:ascii="仿宋" w:hAnsi="仿宋" w:eastAsia="仿宋" w:cs="仿宋"/>
          <w:b/>
          <w:color w:val="auto"/>
          <w:sz w:val="24"/>
          <w:highlight w:val="none"/>
        </w:rPr>
        <w:t>1.8 合同生效</w:t>
      </w:r>
      <w:bookmarkEnd w:id="36"/>
      <w:bookmarkEnd w:id="37"/>
      <w:bookmarkEnd w:id="38"/>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pPr>
        <w:autoSpaceDE w:val="0"/>
        <w:autoSpaceDN w:val="0"/>
        <w:spacing w:line="24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24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spacing w:line="560" w:lineRule="exact"/>
        <w:jc w:val="left"/>
        <w:rPr>
          <w:rFonts w:ascii="仿宋" w:hAnsi="仿宋" w:eastAsia="仿宋" w:cs="仿宋"/>
          <w:b/>
          <w:color w:val="auto"/>
          <w:sz w:val="24"/>
          <w:highlight w:val="none"/>
        </w:rPr>
      </w:pPr>
      <w:bookmarkStart w:id="39" w:name="_Toc331685783"/>
    </w:p>
    <w:p>
      <w:pPr>
        <w:pStyle w:val="283"/>
        <w:pageBreakBefore/>
        <w:spacing w:line="560" w:lineRule="exact"/>
        <w:ind w:firstLine="723"/>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合同一般条款</w:t>
      </w:r>
      <w:bookmarkEnd w:id="39"/>
    </w:p>
    <w:p>
      <w:pPr>
        <w:spacing w:line="560" w:lineRule="exact"/>
        <w:ind w:firstLine="482" w:firstLineChars="200"/>
        <w:outlineLvl w:val="0"/>
        <w:rPr>
          <w:rFonts w:ascii="仿宋" w:hAnsi="仿宋" w:eastAsia="仿宋" w:cs="仿宋"/>
          <w:b/>
          <w:color w:val="auto"/>
          <w:sz w:val="24"/>
          <w:highlight w:val="none"/>
        </w:rPr>
      </w:pPr>
      <w:bookmarkStart w:id="40" w:name="_Ref467378463"/>
      <w:bookmarkStart w:id="41" w:name="_Toc16917"/>
      <w:bookmarkStart w:id="42" w:name="_Ref467379214"/>
      <w:bookmarkStart w:id="43" w:name="_Toc19614"/>
      <w:bookmarkStart w:id="44" w:name="_Ref467379195"/>
      <w:bookmarkStart w:id="45" w:name="_Ref467379109"/>
      <w:bookmarkStart w:id="46" w:name="_Ref467379205"/>
      <w:bookmarkStart w:id="47" w:name="_Toc279701240"/>
      <w:bookmarkStart w:id="48" w:name="_Ref467378404"/>
      <w:bookmarkStart w:id="49" w:name="_Ref467379101"/>
      <w:bookmarkStart w:id="50" w:name="_Toc259093669"/>
      <w:bookmarkStart w:id="51" w:name="_Toc487900349"/>
      <w:bookmarkStart w:id="52" w:name="_Ref467378499"/>
      <w:bookmarkStart w:id="53" w:name="_Toc28763"/>
      <w:bookmarkStart w:id="54" w:name="_Ref467379094"/>
      <w:bookmarkStart w:id="55" w:name="_Ref467379225"/>
      <w:r>
        <w:rPr>
          <w:rFonts w:hint="eastAsia" w:ascii="仿宋" w:hAnsi="仿宋" w:eastAsia="仿宋" w:cs="仿宋"/>
          <w:b/>
          <w:color w:val="auto"/>
          <w:sz w:val="24"/>
          <w:highlight w:val="none"/>
        </w:rPr>
        <w:t>2.1 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auto"/>
          <w:sz w:val="24"/>
          <w:highlight w:val="none"/>
        </w:rPr>
      </w:pPr>
      <w:bookmarkStart w:id="56" w:name="_Ref467378840"/>
      <w:r>
        <w:rPr>
          <w:rFonts w:hint="eastAsia" w:ascii="仿宋" w:hAnsi="仿宋" w:eastAsia="仿宋" w:cs="仿宋"/>
          <w:color w:val="auto"/>
          <w:sz w:val="24"/>
          <w:highlight w:val="none"/>
        </w:rPr>
        <w:t>2.1.4 “甲方”系指与中标供应商签署合同的采购人</w:t>
      </w:r>
      <w:bookmarkEnd w:id="56"/>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bookmarkStart w:id="57" w:name="_Ref467379400"/>
      <w:r>
        <w:rPr>
          <w:rFonts w:hint="eastAsia" w:ascii="仿宋" w:hAnsi="仿宋" w:eastAsia="仿宋" w:cs="仿宋"/>
          <w:color w:val="auto"/>
          <w:sz w:val="24"/>
          <w:highlight w:val="none"/>
        </w:rPr>
        <w:t>2.1.5 “乙方”系指根据合同约定交付货物的中标供应商</w:t>
      </w:r>
      <w:bookmarkEnd w:id="57"/>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
      </w:pPr>
      <w:bookmarkStart w:id="58" w:name="_Ref467379436"/>
      <w:r>
        <w:rPr>
          <w:rFonts w:hint="eastAsia" w:ascii="仿宋" w:hAnsi="仿宋" w:eastAsia="仿宋" w:cs="仿宋"/>
          <w:color w:val="auto"/>
          <w:sz w:val="24"/>
          <w:highlight w:val="none"/>
        </w:rPr>
        <w:t>2.1.6 “现场”系指合同约定货物将要运至或者安装的地点。</w:t>
      </w:r>
      <w:bookmarkEnd w:id="58"/>
    </w:p>
    <w:p>
      <w:pPr>
        <w:spacing w:line="560" w:lineRule="exact"/>
        <w:ind w:firstLine="482" w:firstLineChars="200"/>
        <w:outlineLvl w:val="0"/>
        <w:rPr>
          <w:rFonts w:ascii="仿宋" w:hAnsi="仿宋" w:eastAsia="仿宋" w:cs="仿宋"/>
          <w:b/>
          <w:color w:val="auto"/>
          <w:sz w:val="24"/>
          <w:highlight w:val="none"/>
        </w:rPr>
      </w:pPr>
      <w:bookmarkStart w:id="59" w:name="_Toc259093670"/>
      <w:bookmarkStart w:id="60" w:name="_Toc27635"/>
      <w:bookmarkStart w:id="61" w:name="_Toc13336"/>
      <w:bookmarkStart w:id="62" w:name="_Toc279701241"/>
      <w:bookmarkStart w:id="63" w:name="_Toc32504"/>
      <w:bookmarkStart w:id="64" w:name="_Toc487900350"/>
      <w:r>
        <w:rPr>
          <w:rFonts w:hint="eastAsia" w:ascii="仿宋" w:hAnsi="仿宋" w:eastAsia="仿宋" w:cs="仿宋"/>
          <w:b/>
          <w:color w:val="auto"/>
          <w:sz w:val="24"/>
          <w:highlight w:val="none"/>
        </w:rPr>
        <w:t>2.2 技术规范</w:t>
      </w:r>
      <w:bookmarkEnd w:id="59"/>
      <w:bookmarkEnd w:id="60"/>
      <w:bookmarkEnd w:id="61"/>
      <w:bookmarkEnd w:id="62"/>
      <w:bookmarkEnd w:id="63"/>
      <w:bookmarkEnd w:id="6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highlight w:val="none"/>
        </w:rPr>
      </w:pPr>
      <w:bookmarkStart w:id="65" w:name="_Toc487900351"/>
      <w:bookmarkStart w:id="66" w:name="_Toc9829"/>
      <w:bookmarkStart w:id="67" w:name="_Toc27853"/>
      <w:bookmarkStart w:id="68" w:name="_Toc279701242"/>
      <w:bookmarkStart w:id="69" w:name="_Toc259093671"/>
      <w:bookmarkStart w:id="70" w:name="_Toc31634"/>
      <w:r>
        <w:rPr>
          <w:rFonts w:hint="eastAsia" w:ascii="仿宋" w:hAnsi="仿宋" w:eastAsia="仿宋" w:cs="仿宋"/>
          <w:b/>
          <w:color w:val="auto"/>
          <w:sz w:val="24"/>
          <w:highlight w:val="none"/>
        </w:rPr>
        <w:t>2.3 知识产权</w:t>
      </w:r>
      <w:bookmarkEnd w:id="65"/>
      <w:bookmarkEnd w:id="66"/>
      <w:bookmarkEnd w:id="67"/>
      <w:bookmarkEnd w:id="68"/>
      <w:bookmarkEnd w:id="69"/>
      <w:bookmarkEnd w:id="7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71" w:name="_Toc11932"/>
      <w:bookmarkStart w:id="72" w:name="_Toc4194"/>
      <w:bookmarkStart w:id="73" w:name="_Toc29149"/>
      <w:r>
        <w:rPr>
          <w:rFonts w:hint="eastAsia" w:ascii="仿宋" w:hAnsi="仿宋" w:eastAsia="仿宋" w:cs="仿宋"/>
          <w:b/>
          <w:color w:val="auto"/>
          <w:sz w:val="24"/>
          <w:highlight w:val="none"/>
        </w:rPr>
        <w:t>2.4 包装和装运</w:t>
      </w:r>
      <w:bookmarkEnd w:id="71"/>
      <w:bookmarkEnd w:id="72"/>
      <w:bookmarkEnd w:id="7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74" w:name="_Ref467379536"/>
      <w:bookmarkStart w:id="75" w:name="_Toc259093674"/>
      <w:bookmarkStart w:id="76" w:name="_Ref467379542"/>
      <w:bookmarkStart w:id="77" w:name="_Ref467378541"/>
      <w:bookmarkStart w:id="78" w:name="_Toc487900354"/>
      <w:bookmarkStart w:id="79" w:name="_Toc279701245"/>
      <w:bookmarkStart w:id="80" w:name="_Ref467378591"/>
      <w:bookmarkStart w:id="81" w:name="_Ref467379527"/>
      <w:bookmarkStart w:id="82" w:name="_Toc19074"/>
      <w:bookmarkStart w:id="83" w:name="_Toc30272"/>
      <w:bookmarkStart w:id="84" w:name="_Toc26182"/>
      <w:r>
        <w:rPr>
          <w:rFonts w:hint="eastAsia" w:ascii="仿宋" w:hAnsi="仿宋" w:eastAsia="仿宋" w:cs="仿宋"/>
          <w:b/>
          <w:color w:val="auto"/>
          <w:sz w:val="24"/>
          <w:highlight w:val="none"/>
        </w:rPr>
        <w:t>2.</w:t>
      </w:r>
      <w:bookmarkEnd w:id="74"/>
      <w:bookmarkEnd w:id="75"/>
      <w:bookmarkEnd w:id="76"/>
      <w:bookmarkEnd w:id="77"/>
      <w:bookmarkEnd w:id="78"/>
      <w:bookmarkEnd w:id="79"/>
      <w:bookmarkEnd w:id="80"/>
      <w:bookmarkEnd w:id="81"/>
      <w:r>
        <w:rPr>
          <w:rFonts w:hint="eastAsia" w:ascii="仿宋" w:hAnsi="仿宋" w:eastAsia="仿宋" w:cs="仿宋"/>
          <w:b/>
          <w:color w:val="auto"/>
          <w:sz w:val="24"/>
          <w:highlight w:val="none"/>
        </w:rPr>
        <w:t>5 履约检查和问题反馈</w:t>
      </w:r>
      <w:bookmarkEnd w:id="82"/>
      <w:bookmarkEnd w:id="83"/>
      <w:bookmarkEnd w:id="84"/>
    </w:p>
    <w:p>
      <w:pPr>
        <w:spacing w:line="560" w:lineRule="exact"/>
        <w:ind w:firstLine="480" w:firstLineChars="200"/>
        <w:rPr>
          <w:rFonts w:ascii="仿宋" w:hAnsi="仿宋" w:eastAsia="仿宋" w:cs="仿宋"/>
          <w:color w:val="auto"/>
          <w:sz w:val="24"/>
          <w:highlight w:val="none"/>
        </w:rPr>
      </w:pPr>
      <w:bookmarkStart w:id="85" w:name="_Ref467379657"/>
      <w:r>
        <w:rPr>
          <w:rFonts w:hint="eastAsia" w:ascii="仿宋" w:hAnsi="仿宋" w:eastAsia="仿宋" w:cs="仿宋"/>
          <w:color w:val="auto"/>
          <w:sz w:val="24"/>
          <w:highlight w:val="none"/>
        </w:rPr>
        <w:t>2.5.1</w:t>
      </w:r>
      <w:bookmarkEnd w:id="85"/>
      <w:bookmarkStart w:id="86" w:name="_Toc186431854"/>
      <w:bookmarkStart w:id="87" w:name="_Toc487900357"/>
      <w:bookmarkStart w:id="88" w:name="_Toc259093676"/>
      <w:bookmarkStart w:id="89" w:name="_Ref467379793"/>
      <w:bookmarkStart w:id="90" w:name="_Ref467379807"/>
      <w:bookmarkStart w:id="91"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6"/>
      <w:bookmarkStart w:id="92" w:name="_Toc186431855"/>
      <w:r>
        <w:rPr>
          <w:rFonts w:hint="eastAsia" w:ascii="仿宋" w:hAnsi="仿宋" w:eastAsia="仿宋" w:cs="仿宋"/>
          <w:color w:val="auto"/>
          <w:sz w:val="24"/>
          <w:highlight w:val="none"/>
        </w:rPr>
        <w:t>。</w:t>
      </w:r>
    </w:p>
    <w:bookmarkEnd w:id="87"/>
    <w:bookmarkEnd w:id="88"/>
    <w:bookmarkEnd w:id="89"/>
    <w:bookmarkEnd w:id="90"/>
    <w:bookmarkEnd w:id="91"/>
    <w:bookmarkEnd w:id="92"/>
    <w:p>
      <w:pPr>
        <w:spacing w:line="560" w:lineRule="exact"/>
        <w:ind w:firstLine="482" w:firstLineChars="200"/>
        <w:outlineLvl w:val="0"/>
        <w:rPr>
          <w:rFonts w:ascii="仿宋" w:hAnsi="仿宋" w:eastAsia="仿宋" w:cs="仿宋"/>
          <w:b/>
          <w:color w:val="auto"/>
          <w:sz w:val="24"/>
          <w:highlight w:val="none"/>
        </w:rPr>
      </w:pPr>
      <w:bookmarkStart w:id="93" w:name="_Toc487900358"/>
      <w:bookmarkStart w:id="94" w:name="_Ref467379852"/>
      <w:bookmarkStart w:id="95" w:name="_Toc279701248"/>
      <w:bookmarkStart w:id="96" w:name="_Ref467379863"/>
      <w:bookmarkStart w:id="97" w:name="_Toc259093677"/>
      <w:bookmarkStart w:id="98" w:name="_Ref467379923"/>
      <w:bookmarkStart w:id="99" w:name="_Toc16110"/>
      <w:bookmarkStart w:id="100" w:name="_Toc774"/>
      <w:bookmarkStart w:id="101" w:name="_Toc3225"/>
      <w:r>
        <w:rPr>
          <w:rFonts w:hint="eastAsia" w:ascii="仿宋" w:hAnsi="仿宋" w:eastAsia="仿宋" w:cs="仿宋"/>
          <w:b/>
          <w:color w:val="auto"/>
          <w:sz w:val="24"/>
          <w:highlight w:val="none"/>
        </w:rPr>
        <w:t>2.6 技术资料</w:t>
      </w:r>
      <w:bookmarkEnd w:id="93"/>
      <w:bookmarkEnd w:id="94"/>
      <w:bookmarkEnd w:id="95"/>
      <w:bookmarkEnd w:id="96"/>
      <w:bookmarkEnd w:id="97"/>
      <w:bookmarkEnd w:id="98"/>
      <w:r>
        <w:rPr>
          <w:rFonts w:hint="eastAsia" w:ascii="仿宋" w:hAnsi="仿宋" w:eastAsia="仿宋" w:cs="仿宋"/>
          <w:b/>
          <w:color w:val="auto"/>
          <w:sz w:val="24"/>
          <w:highlight w:val="none"/>
        </w:rPr>
        <w:t>和保密义务</w:t>
      </w:r>
      <w:bookmarkEnd w:id="99"/>
      <w:bookmarkEnd w:id="100"/>
      <w:bookmarkEnd w:id="10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highlight w:val="none"/>
        </w:rPr>
      </w:pPr>
      <w:bookmarkStart w:id="102" w:name="_Toc7860"/>
      <w:r>
        <w:rPr>
          <w:rFonts w:hint="eastAsia" w:ascii="仿宋" w:hAnsi="仿宋" w:eastAsia="仿宋" w:cs="仿宋"/>
          <w:b/>
          <w:color w:val="auto"/>
          <w:sz w:val="24"/>
          <w:highlight w:val="none"/>
        </w:rPr>
        <w:t>2.7 质量保证</w:t>
      </w:r>
      <w:bookmarkEnd w:id="10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highlight w:val="none"/>
        </w:rPr>
      </w:pPr>
      <w:bookmarkStart w:id="103" w:name="_Toc17244"/>
      <w:bookmarkStart w:id="104" w:name="_Toc259093681"/>
      <w:bookmarkStart w:id="105" w:name="_Toc279701252"/>
      <w:bookmarkStart w:id="106" w:name="_Toc487900362"/>
      <w:r>
        <w:rPr>
          <w:rFonts w:hint="eastAsia" w:ascii="仿宋" w:hAnsi="仿宋" w:eastAsia="仿宋" w:cs="仿宋"/>
          <w:b/>
          <w:color w:val="auto"/>
          <w:sz w:val="24"/>
          <w:highlight w:val="none"/>
        </w:rPr>
        <w:t>2.8 货物的风险负担</w:t>
      </w:r>
      <w:bookmarkEnd w:id="103"/>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07" w:name="_Toc14055"/>
      <w:r>
        <w:rPr>
          <w:rFonts w:hint="eastAsia" w:ascii="仿宋" w:hAnsi="仿宋" w:eastAsia="仿宋" w:cs="仿宋"/>
          <w:b/>
          <w:color w:val="auto"/>
          <w:sz w:val="24"/>
          <w:highlight w:val="none"/>
        </w:rPr>
        <w:t>2.9 延迟交货</w:t>
      </w:r>
      <w:bookmarkEnd w:id="104"/>
      <w:bookmarkEnd w:id="105"/>
      <w:bookmarkEnd w:id="106"/>
      <w:bookmarkEnd w:id="10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auto"/>
          <w:sz w:val="24"/>
          <w:highlight w:val="none"/>
        </w:rPr>
      </w:pPr>
      <w:bookmarkStart w:id="108" w:name="_Toc7502"/>
      <w:bookmarkStart w:id="109" w:name="_Ref467378121"/>
      <w:bookmarkStart w:id="110" w:name="_Toc279701254"/>
      <w:bookmarkStart w:id="111" w:name="_Toc487900364"/>
      <w:bookmarkStart w:id="112" w:name="_Toc259093683"/>
      <w:r>
        <w:rPr>
          <w:rFonts w:hint="eastAsia" w:ascii="仿宋" w:hAnsi="仿宋" w:eastAsia="仿宋" w:cs="仿宋"/>
          <w:b/>
          <w:color w:val="auto"/>
          <w:sz w:val="24"/>
          <w:highlight w:val="none"/>
        </w:rPr>
        <w:t>2.10 合同变更</w:t>
      </w:r>
      <w:bookmarkEnd w:id="10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3" w:name="_Toc487900369"/>
      <w:bookmarkStart w:id="114" w:name="_Toc279701259"/>
      <w:bookmarkStart w:id="115" w:name="_Toc259093688"/>
    </w:p>
    <w:p>
      <w:pPr>
        <w:spacing w:line="560" w:lineRule="exact"/>
        <w:ind w:firstLine="482" w:firstLineChars="200"/>
        <w:outlineLvl w:val="0"/>
        <w:rPr>
          <w:rFonts w:ascii="仿宋" w:hAnsi="仿宋" w:eastAsia="仿宋" w:cs="仿宋"/>
          <w:b/>
          <w:color w:val="auto"/>
          <w:sz w:val="24"/>
          <w:highlight w:val="none"/>
        </w:rPr>
      </w:pPr>
      <w:bookmarkStart w:id="116" w:name="_Toc22955"/>
      <w:bookmarkStart w:id="117" w:name="_Toc15237"/>
      <w:bookmarkStart w:id="118" w:name="_Toc10366"/>
      <w:r>
        <w:rPr>
          <w:rFonts w:hint="eastAsia" w:ascii="仿宋" w:hAnsi="仿宋" w:eastAsia="仿宋" w:cs="仿宋"/>
          <w:b/>
          <w:color w:val="auto"/>
          <w:sz w:val="24"/>
          <w:highlight w:val="none"/>
        </w:rPr>
        <w:t>2.11 合同转让</w:t>
      </w:r>
      <w:bookmarkEnd w:id="113"/>
      <w:bookmarkEnd w:id="114"/>
      <w:bookmarkEnd w:id="115"/>
      <w:r>
        <w:rPr>
          <w:rFonts w:hint="eastAsia" w:ascii="仿宋" w:hAnsi="仿宋" w:eastAsia="仿宋" w:cs="仿宋"/>
          <w:b/>
          <w:color w:val="auto"/>
          <w:sz w:val="24"/>
          <w:highlight w:val="none"/>
        </w:rPr>
        <w:t>和分包</w:t>
      </w:r>
      <w:bookmarkEnd w:id="116"/>
      <w:bookmarkEnd w:id="117"/>
      <w:bookmarkEnd w:id="118"/>
      <w:r>
        <w:rPr>
          <w:rFonts w:hint="eastAsia" w:ascii="仿宋" w:hAnsi="仿宋" w:eastAsia="仿宋" w:cs="仿宋"/>
          <w:b/>
          <w:color w:val="auto"/>
          <w:sz w:val="24"/>
          <w:highlight w:val="none"/>
        </w:rPr>
        <w:t>（如有）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auto"/>
          <w:sz w:val="24"/>
          <w:highlight w:val="none"/>
        </w:rPr>
      </w:pPr>
      <w:bookmarkStart w:id="119" w:name="_Toc16508"/>
      <w:bookmarkStart w:id="120" w:name="_Toc13566"/>
      <w:bookmarkStart w:id="121" w:name="_Toc14066"/>
      <w:r>
        <w:rPr>
          <w:rFonts w:hint="eastAsia" w:ascii="仿宋" w:hAnsi="仿宋" w:eastAsia="仿宋" w:cs="仿宋"/>
          <w:b/>
          <w:color w:val="auto"/>
          <w:sz w:val="24"/>
          <w:highlight w:val="none"/>
        </w:rPr>
        <w:t>2.12 不可抗力</w:t>
      </w:r>
      <w:bookmarkEnd w:id="119"/>
      <w:bookmarkEnd w:id="120"/>
      <w:bookmarkEnd w:id="12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highlight w:val="none"/>
        </w:rPr>
      </w:pPr>
      <w:bookmarkStart w:id="122" w:name="_Toc259093684"/>
      <w:bookmarkStart w:id="123" w:name="_Toc279701255"/>
      <w:bookmarkStart w:id="124" w:name="_Toc6969"/>
      <w:bookmarkStart w:id="125" w:name="_Toc487900365"/>
      <w:bookmarkStart w:id="126" w:name="_Toc30676"/>
      <w:bookmarkStart w:id="127" w:name="_Toc689"/>
      <w:r>
        <w:rPr>
          <w:rFonts w:hint="eastAsia" w:ascii="仿宋" w:hAnsi="仿宋" w:eastAsia="仿宋" w:cs="仿宋"/>
          <w:b/>
          <w:color w:val="auto"/>
          <w:sz w:val="24"/>
          <w:highlight w:val="none"/>
        </w:rPr>
        <w:t>2.13 税费</w:t>
      </w:r>
      <w:bookmarkEnd w:id="122"/>
      <w:bookmarkEnd w:id="123"/>
      <w:bookmarkEnd w:id="124"/>
      <w:bookmarkEnd w:id="125"/>
      <w:bookmarkEnd w:id="126"/>
      <w:bookmarkEnd w:id="12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仿宋"/>
          <w:b/>
          <w:color w:val="auto"/>
          <w:sz w:val="24"/>
          <w:highlight w:val="none"/>
        </w:rPr>
      </w:pPr>
      <w:bookmarkStart w:id="128" w:name="_Toc487900368"/>
      <w:bookmarkStart w:id="129" w:name="_Toc7102"/>
      <w:bookmarkStart w:id="130" w:name="_Toc16959"/>
      <w:bookmarkStart w:id="131" w:name="_Toc279701258"/>
      <w:bookmarkStart w:id="132" w:name="_Toc259093687"/>
      <w:bookmarkStart w:id="133" w:name="_Toc8298"/>
      <w:r>
        <w:rPr>
          <w:rFonts w:hint="eastAsia" w:ascii="仿宋" w:hAnsi="仿宋" w:eastAsia="仿宋" w:cs="仿宋"/>
          <w:b/>
          <w:color w:val="auto"/>
          <w:sz w:val="24"/>
          <w:highlight w:val="none"/>
        </w:rPr>
        <w:t>2.14乙方破产</w:t>
      </w:r>
      <w:bookmarkEnd w:id="128"/>
      <w:bookmarkEnd w:id="129"/>
      <w:bookmarkEnd w:id="130"/>
      <w:bookmarkEnd w:id="131"/>
      <w:bookmarkEnd w:id="132"/>
      <w:bookmarkEnd w:id="13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highlight w:val="none"/>
        </w:rPr>
      </w:pPr>
      <w:bookmarkStart w:id="134" w:name="_Toc15387"/>
      <w:bookmarkStart w:id="135" w:name="_Toc6134"/>
      <w:bookmarkStart w:id="136" w:name="_Toc29333"/>
      <w:r>
        <w:rPr>
          <w:rFonts w:hint="eastAsia" w:ascii="仿宋" w:hAnsi="仿宋" w:eastAsia="仿宋" w:cs="仿宋"/>
          <w:b/>
          <w:color w:val="auto"/>
          <w:sz w:val="24"/>
          <w:highlight w:val="none"/>
        </w:rPr>
        <w:t>2.15 合同中止、终止</w:t>
      </w:r>
      <w:bookmarkEnd w:id="134"/>
      <w:bookmarkEnd w:id="135"/>
      <w:bookmarkEnd w:id="13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37" w:name="_Toc1125"/>
      <w:bookmarkStart w:id="138" w:name="_Toc14563"/>
      <w:bookmarkStart w:id="139" w:name="_Toc6596"/>
      <w:r>
        <w:rPr>
          <w:rFonts w:hint="eastAsia" w:ascii="仿宋" w:hAnsi="仿宋" w:eastAsia="仿宋" w:cs="仿宋"/>
          <w:b/>
          <w:color w:val="auto"/>
          <w:sz w:val="24"/>
          <w:highlight w:val="none"/>
        </w:rPr>
        <w:t>2.16检验和验收</w:t>
      </w:r>
      <w:bookmarkEnd w:id="137"/>
      <w:bookmarkEnd w:id="138"/>
      <w:bookmarkEnd w:id="139"/>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9"/>
    <w:bookmarkEnd w:id="110"/>
    <w:bookmarkEnd w:id="111"/>
    <w:bookmarkEnd w:id="112"/>
    <w:p>
      <w:pPr>
        <w:spacing w:line="560" w:lineRule="exact"/>
        <w:ind w:firstLine="482" w:firstLineChars="200"/>
        <w:outlineLvl w:val="0"/>
        <w:rPr>
          <w:rFonts w:ascii="仿宋" w:hAnsi="仿宋" w:eastAsia="仿宋" w:cs="仿宋"/>
          <w:b/>
          <w:color w:val="auto"/>
          <w:sz w:val="24"/>
          <w:highlight w:val="none"/>
        </w:rPr>
      </w:pPr>
      <w:bookmarkStart w:id="140" w:name="_Toc487900371"/>
      <w:bookmarkStart w:id="141" w:name="_Toc259093690"/>
      <w:bookmarkStart w:id="142" w:name="_Toc279701261"/>
      <w:bookmarkStart w:id="143" w:name="_Toc25182"/>
      <w:bookmarkStart w:id="144" w:name="_Toc11284"/>
      <w:bookmarkStart w:id="145" w:name="_Toc19604"/>
      <w:r>
        <w:rPr>
          <w:rFonts w:hint="eastAsia" w:ascii="仿宋" w:hAnsi="仿宋" w:eastAsia="仿宋" w:cs="仿宋"/>
          <w:b/>
          <w:color w:val="auto"/>
          <w:sz w:val="24"/>
          <w:highlight w:val="none"/>
        </w:rPr>
        <w:t>2.17 通知</w:t>
      </w:r>
      <w:bookmarkEnd w:id="140"/>
      <w:bookmarkEnd w:id="141"/>
      <w:bookmarkEnd w:id="142"/>
      <w:r>
        <w:rPr>
          <w:rFonts w:hint="eastAsia" w:ascii="仿宋" w:hAnsi="仿宋" w:eastAsia="仿宋" w:cs="仿宋"/>
          <w:b/>
          <w:color w:val="auto"/>
          <w:sz w:val="24"/>
          <w:highlight w:val="none"/>
        </w:rPr>
        <w:t>和送达</w:t>
      </w:r>
      <w:bookmarkEnd w:id="143"/>
      <w:bookmarkEnd w:id="144"/>
      <w:bookmarkEnd w:id="145"/>
    </w:p>
    <w:p>
      <w:pPr>
        <w:spacing w:line="560" w:lineRule="exact"/>
        <w:ind w:firstLine="480" w:firstLineChars="200"/>
        <w:rPr>
          <w:rFonts w:ascii="仿宋" w:hAnsi="仿宋" w:eastAsia="仿宋" w:cs="仿宋"/>
          <w:color w:val="auto"/>
          <w:sz w:val="24"/>
          <w:highlight w:val="none"/>
        </w:rPr>
      </w:pPr>
      <w:bookmarkStart w:id="146" w:name="_Toc6698"/>
      <w:bookmarkStart w:id="147" w:name="_Toc3135"/>
      <w:bookmarkStart w:id="148" w:name="_Toc279701262"/>
      <w:bookmarkStart w:id="149" w:name="_Toc259093691"/>
      <w:bookmarkStart w:id="150"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46"/>
      <w:bookmarkEnd w:id="147"/>
    </w:p>
    <w:p>
      <w:pPr>
        <w:spacing w:line="560" w:lineRule="exact"/>
        <w:ind w:firstLine="480" w:firstLineChars="200"/>
        <w:rPr>
          <w:rFonts w:ascii="仿宋" w:hAnsi="仿宋" w:eastAsia="仿宋" w:cs="仿宋"/>
          <w:color w:val="auto"/>
          <w:sz w:val="24"/>
          <w:highlight w:val="none"/>
        </w:rPr>
      </w:pPr>
      <w:bookmarkStart w:id="151" w:name="_Toc23128"/>
      <w:bookmarkStart w:id="152"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pPr>
        <w:spacing w:line="560" w:lineRule="exact"/>
        <w:ind w:firstLine="482" w:firstLineChars="200"/>
        <w:outlineLvl w:val="0"/>
        <w:rPr>
          <w:rFonts w:ascii="仿宋" w:hAnsi="仿宋" w:eastAsia="仿宋" w:cs="仿宋"/>
          <w:b/>
          <w:color w:val="auto"/>
          <w:sz w:val="24"/>
          <w:highlight w:val="none"/>
        </w:rPr>
      </w:pPr>
      <w:bookmarkStart w:id="153" w:name="_Toc30599"/>
      <w:bookmarkStart w:id="154" w:name="_Toc18540"/>
      <w:bookmarkStart w:id="155" w:name="_Toc4355"/>
      <w:r>
        <w:rPr>
          <w:rFonts w:hint="eastAsia" w:ascii="仿宋" w:hAnsi="仿宋" w:eastAsia="仿宋" w:cs="仿宋"/>
          <w:b/>
          <w:color w:val="auto"/>
          <w:sz w:val="24"/>
          <w:highlight w:val="none"/>
        </w:rPr>
        <w:t>2.18 计量单位</w:t>
      </w:r>
      <w:bookmarkEnd w:id="148"/>
      <w:bookmarkEnd w:id="149"/>
      <w:bookmarkEnd w:id="150"/>
      <w:bookmarkEnd w:id="153"/>
      <w:bookmarkEnd w:id="154"/>
      <w:bookmarkEnd w:id="15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highlight w:val="none"/>
        </w:rPr>
      </w:pPr>
      <w:bookmarkStart w:id="156" w:name="_Toc12773"/>
      <w:bookmarkStart w:id="157" w:name="_Toc279701263"/>
      <w:bookmarkStart w:id="158" w:name="_Toc18567"/>
      <w:bookmarkStart w:id="159" w:name="_Toc10330"/>
      <w:bookmarkStart w:id="160" w:name="_Toc487900373"/>
      <w:bookmarkStart w:id="161" w:name="_Toc259093692"/>
      <w:r>
        <w:rPr>
          <w:rFonts w:hint="eastAsia" w:ascii="仿宋" w:hAnsi="仿宋" w:eastAsia="仿宋" w:cs="仿宋"/>
          <w:b/>
          <w:color w:val="auto"/>
          <w:sz w:val="24"/>
          <w:highlight w:val="none"/>
        </w:rPr>
        <w:t>2.19 合同使用的文字和适用的法律</w:t>
      </w:r>
      <w:bookmarkEnd w:id="156"/>
      <w:bookmarkEnd w:id="157"/>
      <w:bookmarkEnd w:id="158"/>
      <w:bookmarkEnd w:id="159"/>
      <w:bookmarkEnd w:id="160"/>
      <w:bookmarkEnd w:id="16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ascii="仿宋" w:hAnsi="仿宋" w:eastAsia="仿宋" w:cs="仿宋"/>
          <w:b/>
          <w:color w:val="auto"/>
          <w:sz w:val="24"/>
          <w:highlight w:val="none"/>
        </w:rPr>
      </w:pPr>
      <w:bookmarkStart w:id="162" w:name="_Toc3148"/>
      <w:bookmarkStart w:id="163" w:name="_Toc16673"/>
      <w:bookmarkStart w:id="164" w:name="_Toc259093693"/>
      <w:bookmarkStart w:id="165" w:name="_Toc279701264"/>
      <w:bookmarkStart w:id="166" w:name="_Toc12004"/>
      <w:bookmarkStart w:id="167" w:name="_Toc487900374"/>
      <w:r>
        <w:rPr>
          <w:rFonts w:hint="eastAsia" w:ascii="仿宋" w:hAnsi="仿宋" w:eastAsia="仿宋" w:cs="仿宋"/>
          <w:b/>
          <w:color w:val="auto"/>
          <w:sz w:val="24"/>
          <w:highlight w:val="none"/>
        </w:rPr>
        <w:t>2.20 履约保证金</w:t>
      </w:r>
      <w:bookmarkEnd w:id="162"/>
      <w:bookmarkEnd w:id="163"/>
      <w:bookmarkEnd w:id="164"/>
      <w:bookmarkEnd w:id="165"/>
      <w:bookmarkEnd w:id="166"/>
    </w:p>
    <w:p>
      <w:pPr>
        <w:pStyle w:val="284"/>
        <w:spacing w:before="0" w:beforeAutospacing="0" w:after="0" w:afterAutospacing="0" w:line="360" w:lineRule="auto"/>
        <w:ind w:firstLine="420"/>
        <w:rPr>
          <w:rFonts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约定的方式将履约保证金退还乙方，逾期退还的，乙方可要求甲方支付违约金，违约金按每迟延退还一日的应退还而未退还金额的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%计算，最高限额为本合同履约保证金的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7"/>
    <w:p>
      <w:pPr>
        <w:spacing w:line="560" w:lineRule="exact"/>
        <w:ind w:firstLine="482" w:firstLineChars="200"/>
        <w:outlineLvl w:val="0"/>
        <w:rPr>
          <w:rFonts w:ascii="仿宋" w:hAnsi="仿宋" w:eastAsia="仿宋" w:cs="仿宋"/>
          <w:b/>
          <w:color w:val="auto"/>
          <w:sz w:val="24"/>
          <w:highlight w:val="none"/>
        </w:rPr>
      </w:pPr>
      <w:bookmarkStart w:id="168" w:name="_Toc6885"/>
      <w:bookmarkStart w:id="169" w:name="_Toc19890"/>
      <w:bookmarkStart w:id="170" w:name="_Toc14001"/>
      <w:r>
        <w:rPr>
          <w:rFonts w:hint="eastAsia" w:ascii="仿宋" w:hAnsi="仿宋" w:eastAsia="仿宋" w:cs="仿宋"/>
          <w:b/>
          <w:color w:val="auto"/>
          <w:sz w:val="24"/>
          <w:highlight w:val="none"/>
        </w:rPr>
        <w:t>2.22合同份数</w:t>
      </w:r>
      <w:bookmarkEnd w:id="168"/>
      <w:bookmarkEnd w:id="169"/>
      <w:bookmarkEnd w:id="17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2.23本项目涉及柴油动力移动源的，该移动源应当符合低排放要求。</w:t>
      </w:r>
    </w:p>
    <w:p>
      <w:pPr>
        <w:pStyle w:val="283"/>
        <w:spacing w:line="560" w:lineRule="exact"/>
        <w:jc w:val="center"/>
        <w:rPr>
          <w:rFonts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71" w:name="_Toc331685784"/>
      <w:r>
        <w:rPr>
          <w:rFonts w:hint="eastAsia" w:ascii="仿宋" w:hAnsi="仿宋" w:eastAsia="仿宋" w:cs="仿宋"/>
          <w:b/>
          <w:color w:val="auto"/>
          <w:szCs w:val="24"/>
          <w:highlight w:val="none"/>
        </w:rPr>
        <w:t xml:space="preserve"> </w:t>
      </w:r>
      <w:bookmarkEnd w:id="171"/>
      <w:r>
        <w:rPr>
          <w:rFonts w:hint="eastAsia" w:ascii="仿宋" w:hAnsi="仿宋" w:eastAsia="仿宋" w:cs="仿宋"/>
          <w:b/>
          <w:color w:val="auto"/>
          <w:szCs w:val="24"/>
          <w:highlight w:val="none"/>
        </w:rPr>
        <w:t>第三部分  合同专用条款</w:t>
      </w:r>
    </w:p>
    <w:p>
      <w:pPr>
        <w:spacing w:line="560" w:lineRule="exac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 xml:space="preserve">2.22 </w:t>
            </w:r>
          </w:p>
        </w:tc>
        <w:tc>
          <w:tcPr>
            <w:tcW w:w="8275" w:type="dxa"/>
            <w:vAlign w:val="center"/>
          </w:tcPr>
          <w:p>
            <w:pPr>
              <w:spacing w:line="360" w:lineRule="auto"/>
              <w:rPr>
                <w:rFonts w:ascii="仿宋" w:hAnsi="仿宋" w:eastAsia="仿宋" w:cs="仿宋"/>
                <w:color w:val="auto"/>
                <w:sz w:val="24"/>
                <w:highlight w:val="none"/>
              </w:rPr>
            </w:pPr>
          </w:p>
        </w:tc>
      </w:tr>
    </w:tbl>
    <w:p>
      <w:pPr>
        <w:spacing w:line="360" w:lineRule="auto"/>
        <w:ind w:left="-420" w:leftChars="-200" w:right="-420" w:rightChars="-200" w:firstLine="480" w:firstLineChars="200"/>
        <w:rPr>
          <w:rFonts w:ascii="仿宋" w:hAnsi="仿宋" w:eastAsia="仿宋" w:cs="仿宋"/>
          <w:color w:val="auto"/>
          <w:sz w:val="24"/>
          <w:highlight w:val="none"/>
        </w:rPr>
      </w:pPr>
    </w:p>
    <w:p>
      <w:pPr>
        <w:spacing w:line="3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5"/>
        <w:spacing w:line="800" w:lineRule="exact"/>
        <w:ind w:firstLine="723"/>
        <w:jc w:val="center"/>
        <w:rPr>
          <w:rFonts w:ascii="仿宋" w:hAnsi="仿宋" w:eastAsia="仿宋" w:cs="仿宋"/>
          <w:b/>
          <w:color w:val="auto"/>
          <w:sz w:val="36"/>
          <w:szCs w:val="36"/>
          <w:highlight w:val="none"/>
        </w:rPr>
      </w:pPr>
    </w:p>
    <w:p>
      <w:pPr>
        <w:pStyle w:val="25"/>
        <w:pageBreakBefore/>
        <w:spacing w:line="800" w:lineRule="exact"/>
        <w:ind w:firstLine="726"/>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共100分，其中商务技术分70分，价格分30分。评分依下述所列为评标打分依据，分值如下（计算分值时，按其算术平均值保留小数2位）。</w:t>
      </w:r>
    </w:p>
    <w:tbl>
      <w:tblPr>
        <w:tblStyle w:val="44"/>
        <w:tblW w:w="92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1"/>
        <w:gridCol w:w="859"/>
        <w:gridCol w:w="648"/>
        <w:gridCol w:w="7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4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85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项 目</w:t>
            </w:r>
          </w:p>
        </w:tc>
        <w:tc>
          <w:tcPr>
            <w:tcW w:w="64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c>
          <w:tcPr>
            <w:tcW w:w="705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 分 细 则 及 标 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41" w:type="dxa"/>
            <w:tcBorders>
              <w:top w:val="single" w:color="000000" w:sz="4" w:space="0"/>
              <w:left w:val="single" w:color="000000" w:sz="4" w:space="0"/>
              <w:right w:val="single" w:color="auto" w:sz="4" w:space="0"/>
            </w:tcBorders>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85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同类项目业绩</w:t>
            </w:r>
          </w:p>
        </w:tc>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3分</w:t>
            </w:r>
          </w:p>
        </w:tc>
        <w:tc>
          <w:tcPr>
            <w:tcW w:w="7057" w:type="dxa"/>
            <w:tcBorders>
              <w:top w:val="single" w:color="auto" w:sz="4" w:space="0"/>
              <w:left w:val="single" w:color="auto" w:sz="4" w:space="0"/>
              <w:bottom w:val="single" w:color="auto" w:sz="4" w:space="0"/>
              <w:right w:val="single" w:color="auto" w:sz="4" w:space="0"/>
            </w:tcBorders>
            <w:vAlign w:val="center"/>
          </w:tcPr>
          <w:p>
            <w:pPr>
              <w:pStyle w:val="25"/>
              <w:rPr>
                <w:rFonts w:ascii="仿宋" w:hAnsi="仿宋" w:eastAsia="仿宋" w:cs="仿宋"/>
                <w:color w:val="auto"/>
                <w:szCs w:val="21"/>
                <w:highlight w:val="none"/>
              </w:rPr>
            </w:pPr>
            <w:r>
              <w:rPr>
                <w:rFonts w:hint="eastAsia" w:ascii="仿宋" w:hAnsi="仿宋" w:eastAsia="仿宋" w:cs="仿宋"/>
                <w:color w:val="auto"/>
                <w:szCs w:val="21"/>
                <w:highlight w:val="none"/>
              </w:rPr>
              <w:t>投标人提供自2019年7月至今以来</w:t>
            </w:r>
            <w:r>
              <w:rPr>
                <w:rFonts w:hint="eastAsia" w:ascii="仿宋" w:hAnsi="仿宋" w:eastAsia="仿宋" w:cs="仿宋"/>
                <w:color w:val="auto"/>
                <w:szCs w:val="21"/>
                <w:highlight w:val="none"/>
              </w:rPr>
              <w:t>具有同类</w:t>
            </w:r>
            <w:r>
              <w:rPr>
                <w:rFonts w:hint="eastAsia" w:ascii="仿宋" w:hAnsi="仿宋" w:eastAsia="仿宋" w:cs="仿宋"/>
                <w:color w:val="auto"/>
                <w:szCs w:val="21"/>
                <w:highlight w:val="none"/>
                <w:lang w:eastAsia="zh-CN"/>
              </w:rPr>
              <w:t>同规模</w:t>
            </w:r>
            <w:r>
              <w:rPr>
                <w:rFonts w:hint="eastAsia" w:ascii="仿宋" w:hAnsi="仿宋" w:eastAsia="仿宋" w:cs="仿宋"/>
                <w:color w:val="auto"/>
                <w:szCs w:val="21"/>
                <w:highlight w:val="none"/>
              </w:rPr>
              <w:t>业绩</w:t>
            </w:r>
            <w:r>
              <w:rPr>
                <w:rFonts w:hint="eastAsia" w:ascii="仿宋" w:hAnsi="仿宋" w:eastAsia="仿宋" w:cs="仿宋"/>
                <w:color w:val="auto"/>
                <w:szCs w:val="21"/>
                <w:highlight w:val="none"/>
              </w:rPr>
              <w:t>（每份合同清单内必须包括医用环保治疗柜、</w:t>
            </w:r>
            <w:r>
              <w:rPr>
                <w:rFonts w:hint="eastAsia" w:ascii="仿宋" w:hAnsi="仿宋" w:eastAsia="仿宋" w:cs="仿宋"/>
                <w:color w:val="auto"/>
                <w:szCs w:val="21"/>
                <w:highlight w:val="none"/>
              </w:rPr>
              <w:t>医用护士台、医用诊查床</w:t>
            </w:r>
            <w:r>
              <w:rPr>
                <w:rFonts w:hint="eastAsia" w:ascii="仿宋" w:hAnsi="仿宋" w:eastAsia="仿宋" w:cs="仿宋"/>
                <w:color w:val="auto"/>
                <w:szCs w:val="21"/>
                <w:highlight w:val="none"/>
              </w:rPr>
              <w:t>等产品），每提供一个业绩证明材料的得1分，未提供的不得分，得分不超过3分。</w:t>
            </w:r>
          </w:p>
          <w:p>
            <w:pPr>
              <w:pStyle w:val="25"/>
              <w:rPr>
                <w:rFonts w:ascii="仿宋" w:hAnsi="仿宋" w:eastAsia="仿宋" w:cs="仿宋"/>
                <w:color w:val="auto"/>
                <w:szCs w:val="21"/>
                <w:highlight w:val="none"/>
              </w:rPr>
            </w:pPr>
            <w:r>
              <w:rPr>
                <w:rFonts w:hint="eastAsia" w:ascii="仿宋" w:hAnsi="仿宋" w:eastAsia="仿宋" w:cs="仿宋"/>
                <w:color w:val="auto"/>
                <w:szCs w:val="21"/>
                <w:highlight w:val="none"/>
              </w:rPr>
              <w:t>证明材料：合同复印件及合同清单，复印件须加盖供应商公章，要求证明材料能体现评审因素，合同内容无法体现评审因素的可提供相应的业主证明材料（须加盖业主章）。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9" w:hRule="atLeast"/>
          <w:jc w:val="center"/>
        </w:trPr>
        <w:tc>
          <w:tcPr>
            <w:tcW w:w="641" w:type="dxa"/>
            <w:vMerge w:val="restart"/>
            <w:tcBorders>
              <w:left w:val="single" w:color="000000" w:sz="4" w:space="0"/>
              <w:right w:val="single" w:color="auto" w:sz="4" w:space="0"/>
            </w:tcBorders>
            <w:vAlign w:val="center"/>
          </w:tcPr>
          <w:p>
            <w:pPr>
              <w:widowControl/>
              <w:jc w:val="center"/>
              <w:rPr>
                <w:rFonts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859" w:type="dxa"/>
            <w:vMerge w:val="restart"/>
            <w:tcBorders>
              <w:left w:val="single" w:color="auto" w:sz="4" w:space="0"/>
              <w:right w:val="single" w:color="auto" w:sz="4" w:space="0"/>
            </w:tcBorders>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认证证书</w:t>
            </w:r>
          </w:p>
        </w:tc>
        <w:tc>
          <w:tcPr>
            <w:tcW w:w="648" w:type="dxa"/>
            <w:vMerge w:val="restart"/>
            <w:tcBorders>
              <w:left w:val="single" w:color="auto" w:sz="4" w:space="0"/>
              <w:right w:val="single" w:color="auto" w:sz="4" w:space="0"/>
            </w:tcBorders>
            <w:vAlign w:val="center"/>
          </w:tcPr>
          <w:p>
            <w:pPr>
              <w:widowControl/>
              <w:adjustRightInd w:val="0"/>
              <w:snapToGrid w:val="0"/>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6分</w:t>
            </w:r>
          </w:p>
        </w:tc>
        <w:tc>
          <w:tcPr>
            <w:tcW w:w="7057" w:type="dxa"/>
            <w:tcBorders>
              <w:top w:val="single" w:color="auto" w:sz="4" w:space="0"/>
              <w:left w:val="single" w:color="auto" w:sz="4" w:space="0"/>
              <w:right w:val="single" w:color="auto" w:sz="4" w:space="0"/>
            </w:tcBorders>
            <w:vAlign w:val="center"/>
          </w:tcPr>
          <w:p>
            <w:pPr>
              <w:pStyle w:val="25"/>
              <w:rPr>
                <w:rFonts w:ascii="仿宋" w:hAnsi="仿宋" w:eastAsia="仿宋" w:cs="仿宋"/>
                <w:color w:val="auto"/>
                <w:szCs w:val="21"/>
                <w:highlight w:val="none"/>
              </w:rPr>
            </w:pPr>
            <w:r>
              <w:rPr>
                <w:rFonts w:hint="eastAsia" w:ascii="仿宋" w:hAnsi="仿宋" w:eastAsia="仿宋" w:cs="仿宋"/>
                <w:color w:val="auto"/>
                <w:szCs w:val="21"/>
                <w:highlight w:val="none"/>
              </w:rPr>
              <w:t>投标人提供有效期内质量管理体系认证证书、环境管理体系认证证书、职业健康安全管理体系认证证书，且</w:t>
            </w:r>
            <w:r>
              <w:rPr>
                <w:rFonts w:hint="eastAsia" w:ascii="仿宋" w:hAnsi="仿宋" w:eastAsia="仿宋" w:cs="仿宋"/>
                <w:color w:val="auto"/>
                <w:szCs w:val="21"/>
                <w:highlight w:val="none"/>
                <w:u w:color="FF0000"/>
                <w:lang w:val="zh-TW" w:eastAsia="zh-TW"/>
              </w:rPr>
              <w:t>认证范围需涵盖医用家</w:t>
            </w:r>
            <w:r>
              <w:rPr>
                <w:rFonts w:hint="eastAsia" w:ascii="仿宋" w:hAnsi="仿宋" w:eastAsia="仿宋" w:cs="仿宋"/>
                <w:color w:val="auto"/>
                <w:szCs w:val="21"/>
                <w:highlight w:val="none"/>
                <w:u w:color="FF0000"/>
              </w:rPr>
              <w:t>具</w:t>
            </w:r>
            <w:r>
              <w:rPr>
                <w:rFonts w:hint="eastAsia" w:ascii="仿宋" w:hAnsi="仿宋" w:eastAsia="仿宋" w:cs="仿宋"/>
                <w:color w:val="auto"/>
                <w:szCs w:val="21"/>
                <w:highlight w:val="none"/>
              </w:rPr>
              <w:t>，每提供一个符合要求的证书得1分，最高得3分。</w:t>
            </w:r>
          </w:p>
          <w:p>
            <w:pPr>
              <w:pStyle w:val="25"/>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评审依据</w:t>
            </w:r>
            <w:r>
              <w:rPr>
                <w:rFonts w:hint="eastAsia" w:ascii="仿宋" w:hAnsi="仿宋" w:eastAsia="仿宋" w:cs="仿宋"/>
                <w:color w:val="auto"/>
                <w:szCs w:val="21"/>
                <w:highlight w:val="none"/>
              </w:rPr>
              <w:t>：提供上述有效证书复印件（加盖公章）、全国认证认可信息公共服务平台网站（cx.cnca.cn）有效网页查询结果截图或打印件作为评审依据（加盖公章）。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0" w:hRule="atLeast"/>
          <w:jc w:val="center"/>
        </w:trPr>
        <w:tc>
          <w:tcPr>
            <w:tcW w:w="641" w:type="dxa"/>
            <w:vMerge w:val="continue"/>
            <w:tcBorders>
              <w:left w:val="single" w:color="000000" w:sz="4" w:space="0"/>
              <w:right w:val="single" w:color="auto" w:sz="4" w:space="0"/>
            </w:tcBorders>
            <w:vAlign w:val="center"/>
          </w:tcPr>
          <w:p>
            <w:pPr>
              <w:widowControl/>
              <w:jc w:val="center"/>
              <w:rPr>
                <w:rFonts w:ascii="仿宋" w:hAnsi="仿宋" w:eastAsia="仿宋" w:cs="仿宋"/>
                <w:color w:val="auto"/>
                <w:szCs w:val="21"/>
                <w:highlight w:val="none"/>
              </w:rPr>
            </w:pPr>
          </w:p>
        </w:tc>
        <w:tc>
          <w:tcPr>
            <w:tcW w:w="859" w:type="dxa"/>
            <w:vMerge w:val="continue"/>
            <w:tcBorders>
              <w:left w:val="single" w:color="auto" w:sz="4" w:space="0"/>
              <w:right w:val="single" w:color="auto" w:sz="4" w:space="0"/>
            </w:tcBorders>
            <w:vAlign w:val="center"/>
          </w:tcPr>
          <w:p>
            <w:pPr>
              <w:jc w:val="center"/>
              <w:rPr>
                <w:rFonts w:ascii="仿宋" w:hAnsi="仿宋" w:eastAsia="仿宋" w:cs="仿宋"/>
                <w:color w:val="auto"/>
                <w:szCs w:val="21"/>
                <w:highlight w:val="none"/>
              </w:rPr>
            </w:pPr>
          </w:p>
        </w:tc>
        <w:tc>
          <w:tcPr>
            <w:tcW w:w="648" w:type="dxa"/>
            <w:vMerge w:val="continue"/>
            <w:tcBorders>
              <w:left w:val="single" w:color="auto" w:sz="4" w:space="0"/>
              <w:right w:val="single" w:color="auto" w:sz="4" w:space="0"/>
            </w:tcBorders>
            <w:vAlign w:val="center"/>
          </w:tcPr>
          <w:p>
            <w:pPr>
              <w:widowControl/>
              <w:adjustRightInd w:val="0"/>
              <w:snapToGrid w:val="0"/>
              <w:jc w:val="center"/>
              <w:rPr>
                <w:rFonts w:ascii="仿宋" w:hAnsi="仿宋" w:eastAsia="仿宋" w:cs="仿宋"/>
                <w:color w:val="auto"/>
                <w:kern w:val="0"/>
                <w:szCs w:val="21"/>
                <w:highlight w:val="none"/>
              </w:rPr>
            </w:pPr>
          </w:p>
        </w:tc>
        <w:tc>
          <w:tcPr>
            <w:tcW w:w="7057" w:type="dxa"/>
            <w:tcBorders>
              <w:top w:val="single" w:color="auto" w:sz="4" w:space="0"/>
              <w:left w:val="single" w:color="auto" w:sz="4" w:space="0"/>
              <w:right w:val="single" w:color="auto" w:sz="4" w:space="0"/>
            </w:tcBorders>
            <w:vAlign w:val="center"/>
          </w:tcPr>
          <w:p>
            <w:pPr>
              <w:rPr>
                <w:rFonts w:ascii="仿宋" w:hAnsi="仿宋" w:eastAsia="仿宋" w:cs="仿宋"/>
                <w:color w:val="auto"/>
                <w:szCs w:val="21"/>
                <w:highlight w:val="none"/>
              </w:rPr>
            </w:pPr>
            <w:r>
              <w:rPr>
                <w:rFonts w:hint="eastAsia" w:ascii="仿宋" w:hAnsi="仿宋" w:eastAsia="仿宋" w:cs="仿宋"/>
                <w:color w:val="auto"/>
                <w:szCs w:val="21"/>
                <w:highlight w:val="none"/>
              </w:rPr>
              <w:t>投标人具有有效期内中国绿色产品认证证书，且认证的主要产品包括：医用环保治疗柜、医用护士台、医用诊查床，提供证书复印件。每一项得0.5分，最高得1.5分。</w:t>
            </w:r>
          </w:p>
          <w:p>
            <w:pPr>
              <w:rPr>
                <w:rFonts w:ascii="仿宋" w:hAnsi="仿宋" w:eastAsia="仿宋" w:cs="仿宋"/>
                <w:color w:val="auto"/>
                <w:szCs w:val="21"/>
                <w:highlight w:val="none"/>
              </w:rPr>
            </w:pPr>
            <w:r>
              <w:rPr>
                <w:rFonts w:hint="eastAsia" w:ascii="仿宋" w:hAnsi="仿宋" w:eastAsia="仿宋" w:cs="仿宋"/>
                <w:color w:val="auto"/>
                <w:szCs w:val="21"/>
                <w:highlight w:val="none"/>
              </w:rPr>
              <w:t>评审依据：提供上述有效证书复印件（加盖公章）、全国认证认可信息公共服务平台网站（cx.cnca.cn）有效网页查询结果截图或打印件作为评审依据（加盖公章）。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3" w:hRule="atLeast"/>
          <w:jc w:val="center"/>
        </w:trPr>
        <w:tc>
          <w:tcPr>
            <w:tcW w:w="641" w:type="dxa"/>
            <w:vMerge w:val="continue"/>
            <w:tcBorders>
              <w:left w:val="single" w:color="000000" w:sz="4" w:space="0"/>
              <w:right w:val="single" w:color="auto" w:sz="4" w:space="0"/>
            </w:tcBorders>
            <w:vAlign w:val="center"/>
          </w:tcPr>
          <w:p>
            <w:pPr>
              <w:widowControl/>
              <w:jc w:val="center"/>
              <w:rPr>
                <w:rFonts w:ascii="仿宋" w:hAnsi="仿宋" w:eastAsia="仿宋" w:cs="仿宋"/>
                <w:color w:val="auto"/>
                <w:szCs w:val="21"/>
                <w:highlight w:val="none"/>
              </w:rPr>
            </w:pPr>
          </w:p>
        </w:tc>
        <w:tc>
          <w:tcPr>
            <w:tcW w:w="859" w:type="dxa"/>
            <w:vMerge w:val="continue"/>
            <w:tcBorders>
              <w:left w:val="single" w:color="auto" w:sz="4" w:space="0"/>
              <w:right w:val="single" w:color="auto" w:sz="4" w:space="0"/>
            </w:tcBorders>
            <w:vAlign w:val="center"/>
          </w:tcPr>
          <w:p>
            <w:pPr>
              <w:jc w:val="center"/>
              <w:rPr>
                <w:rFonts w:ascii="仿宋" w:hAnsi="仿宋" w:eastAsia="仿宋" w:cs="仿宋"/>
                <w:color w:val="auto"/>
                <w:szCs w:val="21"/>
                <w:highlight w:val="none"/>
              </w:rPr>
            </w:pPr>
          </w:p>
        </w:tc>
        <w:tc>
          <w:tcPr>
            <w:tcW w:w="648" w:type="dxa"/>
            <w:vMerge w:val="continue"/>
            <w:tcBorders>
              <w:left w:val="single" w:color="auto" w:sz="4" w:space="0"/>
              <w:right w:val="single" w:color="auto" w:sz="4" w:space="0"/>
            </w:tcBorders>
            <w:vAlign w:val="center"/>
          </w:tcPr>
          <w:p>
            <w:pPr>
              <w:widowControl/>
              <w:adjustRightInd w:val="0"/>
              <w:snapToGrid w:val="0"/>
              <w:jc w:val="center"/>
              <w:rPr>
                <w:rFonts w:ascii="仿宋" w:hAnsi="仿宋" w:eastAsia="仿宋" w:cs="仿宋"/>
                <w:color w:val="auto"/>
                <w:kern w:val="0"/>
                <w:szCs w:val="21"/>
                <w:highlight w:val="none"/>
              </w:rPr>
            </w:pPr>
          </w:p>
        </w:tc>
        <w:tc>
          <w:tcPr>
            <w:tcW w:w="7057" w:type="dxa"/>
            <w:tcBorders>
              <w:top w:val="single" w:color="auto" w:sz="4" w:space="0"/>
              <w:left w:val="single" w:color="auto" w:sz="4" w:space="0"/>
              <w:right w:val="single" w:color="auto" w:sz="4" w:space="0"/>
            </w:tcBorders>
            <w:vAlign w:val="center"/>
          </w:tcPr>
          <w:p>
            <w:pPr>
              <w:rPr>
                <w:rFonts w:ascii="仿宋" w:hAnsi="仿宋" w:eastAsia="仿宋" w:cs="仿宋"/>
                <w:color w:val="auto"/>
                <w:szCs w:val="21"/>
                <w:highlight w:val="none"/>
              </w:rPr>
            </w:pPr>
            <w:r>
              <w:rPr>
                <w:rFonts w:hint="eastAsia" w:ascii="仿宋" w:hAnsi="仿宋" w:eastAsia="仿宋" w:cs="仿宋"/>
                <w:color w:val="auto"/>
                <w:szCs w:val="21"/>
                <w:highlight w:val="none"/>
              </w:rPr>
              <w:t>投标人具有有效期内的“中国环境标志产品认证证书”，且认证的主要产品包括：医用环保治疗柜、医用护士台、医用诊查床，每一项得0.5分，最高得1.5分。</w:t>
            </w:r>
          </w:p>
          <w:p>
            <w:pPr>
              <w:rPr>
                <w:rFonts w:ascii="仿宋" w:hAnsi="仿宋" w:eastAsia="仿宋" w:cs="仿宋"/>
                <w:color w:val="auto"/>
                <w:szCs w:val="21"/>
                <w:highlight w:val="none"/>
              </w:rPr>
            </w:pPr>
            <w:r>
              <w:rPr>
                <w:rFonts w:hint="eastAsia" w:ascii="仿宋" w:hAnsi="仿宋" w:eastAsia="仿宋" w:cs="仿宋"/>
                <w:color w:val="auto"/>
                <w:szCs w:val="21"/>
                <w:highlight w:val="none"/>
              </w:rPr>
              <w:t>需提供认证证书扫描件并加盖投标人公章，且认证机构须符合《市场监管总局关于发布参与实施政府采购节能产品、环境标志产品认证机构名录的公告》。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1" w:hRule="atLeast"/>
          <w:jc w:val="center"/>
        </w:trPr>
        <w:tc>
          <w:tcPr>
            <w:tcW w:w="641" w:type="dxa"/>
            <w:tcBorders>
              <w:left w:val="single" w:color="000000" w:sz="4" w:space="0"/>
              <w:right w:val="single" w:color="auto" w:sz="4" w:space="0"/>
            </w:tcBorders>
            <w:vAlign w:val="center"/>
          </w:tcPr>
          <w:p>
            <w:pPr>
              <w:widowControl/>
              <w:jc w:val="center"/>
              <w:rPr>
                <w:rFonts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859" w:type="dxa"/>
            <w:tcBorders>
              <w:left w:val="single" w:color="auto" w:sz="4" w:space="0"/>
              <w:right w:val="single" w:color="auto" w:sz="4" w:space="0"/>
            </w:tcBorders>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质保期</w:t>
            </w:r>
          </w:p>
        </w:tc>
        <w:tc>
          <w:tcPr>
            <w:tcW w:w="648" w:type="dxa"/>
            <w:tcBorders>
              <w:left w:val="single" w:color="auto" w:sz="4" w:space="0"/>
              <w:right w:val="single" w:color="auto" w:sz="4" w:space="0"/>
            </w:tcBorders>
            <w:vAlign w:val="center"/>
          </w:tcPr>
          <w:p>
            <w:pPr>
              <w:widowControl/>
              <w:adjustRightInd w:val="0"/>
              <w:snapToGrid w:val="0"/>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3分</w:t>
            </w:r>
          </w:p>
        </w:tc>
        <w:tc>
          <w:tcPr>
            <w:tcW w:w="7057" w:type="dxa"/>
            <w:tcBorders>
              <w:top w:val="single" w:color="auto" w:sz="4" w:space="0"/>
              <w:left w:val="single" w:color="auto" w:sz="4" w:space="0"/>
              <w:right w:val="single" w:color="auto" w:sz="4" w:space="0"/>
            </w:tcBorders>
            <w:vAlign w:val="center"/>
          </w:tcPr>
          <w:p>
            <w:pPr>
              <w:pStyle w:val="25"/>
              <w:rPr>
                <w:rFonts w:ascii="仿宋" w:hAnsi="仿宋" w:eastAsia="仿宋" w:cs="仿宋"/>
                <w:color w:val="auto"/>
                <w:szCs w:val="21"/>
                <w:highlight w:val="none"/>
              </w:rPr>
            </w:pPr>
            <w:r>
              <w:rPr>
                <w:rFonts w:hint="eastAsia" w:ascii="仿宋" w:hAnsi="仿宋" w:eastAsia="仿宋" w:cs="仿宋"/>
                <w:color w:val="auto"/>
                <w:szCs w:val="21"/>
                <w:highlight w:val="none"/>
              </w:rPr>
              <w:t>质保期满足招标文件基本要求的，不得分，在此基础上每增加1年加1分，最高加3份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41" w:type="dxa"/>
            <w:tcBorders>
              <w:left w:val="single" w:color="000000" w:sz="4" w:space="0"/>
              <w:right w:val="single" w:color="auto" w:sz="4" w:space="0"/>
            </w:tcBorders>
            <w:vAlign w:val="center"/>
          </w:tcPr>
          <w:p>
            <w:pPr>
              <w:widowControl/>
              <w:jc w:val="center"/>
              <w:rPr>
                <w:rFonts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859" w:type="dxa"/>
            <w:tcBorders>
              <w:left w:val="single" w:color="auto" w:sz="4" w:space="0"/>
              <w:right w:val="single" w:color="auto" w:sz="4" w:space="0"/>
            </w:tcBorders>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售后保障</w:t>
            </w:r>
          </w:p>
        </w:tc>
        <w:tc>
          <w:tcPr>
            <w:tcW w:w="648" w:type="dxa"/>
            <w:tcBorders>
              <w:left w:val="single" w:color="auto" w:sz="4" w:space="0"/>
              <w:right w:val="single" w:color="auto" w:sz="4" w:space="0"/>
            </w:tcBorders>
            <w:vAlign w:val="center"/>
          </w:tcPr>
          <w:p>
            <w:pPr>
              <w:widowControl/>
              <w:adjustRightInd w:val="0"/>
              <w:snapToGrid w:val="0"/>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3分</w:t>
            </w:r>
          </w:p>
        </w:tc>
        <w:tc>
          <w:tcPr>
            <w:tcW w:w="7057" w:type="dxa"/>
            <w:tcBorders>
              <w:top w:val="single" w:color="auto" w:sz="4" w:space="0"/>
              <w:left w:val="single" w:color="auto" w:sz="4" w:space="0"/>
              <w:right w:val="single" w:color="auto" w:sz="4" w:space="0"/>
            </w:tcBorders>
            <w:vAlign w:val="center"/>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投标人提供针对本项目的售后服务方案（保修期、备品备件价格、技术培训、维护保养计划及售后服务措施、售后服务机构设置），进行横向比较综合评审（未提供服务方案得0分），优：2.1-3分，良：1.1-2分，一般：0-1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41" w:type="dxa"/>
            <w:tcBorders>
              <w:left w:val="single" w:color="000000" w:sz="4" w:space="0"/>
              <w:right w:val="single" w:color="auto" w:sz="4" w:space="0"/>
            </w:tcBorders>
            <w:vAlign w:val="center"/>
          </w:tcPr>
          <w:p>
            <w:pPr>
              <w:widowControl/>
              <w:jc w:val="center"/>
              <w:rPr>
                <w:rFonts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859" w:type="dxa"/>
            <w:tcBorders>
              <w:left w:val="single" w:color="auto" w:sz="4" w:space="0"/>
              <w:right w:val="single" w:color="auto" w:sz="4" w:space="0"/>
            </w:tcBorders>
            <w:vAlign w:val="center"/>
          </w:tcPr>
          <w:p>
            <w:pPr>
              <w:jc w:val="left"/>
              <w:rPr>
                <w:rFonts w:ascii="仿宋" w:hAnsi="仿宋" w:eastAsia="仿宋" w:cs="仿宋"/>
                <w:color w:val="auto"/>
                <w:szCs w:val="21"/>
                <w:highlight w:val="none"/>
              </w:rPr>
            </w:pPr>
            <w:r>
              <w:rPr>
                <w:rFonts w:hint="eastAsia" w:ascii="仿宋" w:hAnsi="仿宋" w:eastAsia="仿宋" w:cs="仿宋"/>
                <w:b/>
                <w:bCs/>
                <w:color w:val="auto"/>
                <w:szCs w:val="21"/>
                <w:highlight w:val="none"/>
              </w:rPr>
              <w:t>技术参数</w:t>
            </w:r>
          </w:p>
        </w:tc>
        <w:tc>
          <w:tcPr>
            <w:tcW w:w="648" w:type="dxa"/>
            <w:tcBorders>
              <w:left w:val="single" w:color="auto" w:sz="4" w:space="0"/>
              <w:right w:val="single" w:color="auto" w:sz="4" w:space="0"/>
            </w:tcBorders>
            <w:vAlign w:val="center"/>
          </w:tcPr>
          <w:p>
            <w:pPr>
              <w:widowControl/>
              <w:adjustRightInd w:val="0"/>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20分</w:t>
            </w:r>
          </w:p>
        </w:tc>
        <w:tc>
          <w:tcPr>
            <w:tcW w:w="7057" w:type="dxa"/>
            <w:tcBorders>
              <w:top w:val="single" w:color="auto" w:sz="4" w:space="0"/>
              <w:left w:val="single" w:color="000000" w:sz="4" w:space="0"/>
              <w:bottom w:val="single" w:color="auto" w:sz="4" w:space="0"/>
              <w:right w:val="single" w:color="000000" w:sz="4" w:space="0"/>
            </w:tcBorders>
            <w:vAlign w:val="center"/>
          </w:tcPr>
          <w:p>
            <w:pPr>
              <w:rPr>
                <w:rFonts w:ascii="仿宋" w:hAnsi="仿宋" w:eastAsia="仿宋" w:cs="仿宋"/>
                <w:color w:val="auto"/>
                <w:szCs w:val="21"/>
                <w:highlight w:val="none"/>
              </w:rPr>
            </w:pPr>
            <w:r>
              <w:rPr>
                <w:rFonts w:hint="eastAsia" w:ascii="仿宋" w:hAnsi="仿宋" w:eastAsia="仿宋" w:cs="仿宋"/>
                <w:color w:val="auto"/>
                <w:szCs w:val="21"/>
                <w:highlight w:val="none"/>
              </w:rPr>
              <w:t>根据投标人所提供货物的技术参数的偏离情况：打“▲”指标每负偏离一项项扣2分，其余一般指标每负偏离一项项扣1分，扣完为止。</w:t>
            </w:r>
          </w:p>
          <w:p>
            <w:pPr>
              <w:rPr>
                <w:rFonts w:ascii="仿宋" w:hAnsi="仿宋" w:eastAsia="仿宋" w:cs="仿宋"/>
                <w:color w:val="auto"/>
                <w:szCs w:val="21"/>
                <w:highlight w:val="none"/>
              </w:rPr>
            </w:pPr>
            <w:r>
              <w:rPr>
                <w:rFonts w:hint="eastAsia" w:ascii="仿宋" w:hAnsi="仿宋" w:eastAsia="仿宋" w:cs="仿宋"/>
                <w:color w:val="auto"/>
                <w:szCs w:val="21"/>
                <w:highlight w:val="none"/>
              </w:rPr>
              <w:t>注：对应的技术参数需提供提供202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年1月1日以来的检测报告，检测报告必须由具备家具成品及其原辅材料检测能力并通过国家计量认证（CMA、CNAS资质）的第三方检测机构提供，不提供不得分。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41" w:type="dxa"/>
            <w:tcBorders>
              <w:left w:val="single" w:color="000000" w:sz="4" w:space="0"/>
              <w:right w:val="single" w:color="auto" w:sz="4" w:space="0"/>
            </w:tcBorders>
            <w:vAlign w:val="center"/>
          </w:tcPr>
          <w:p>
            <w:pPr>
              <w:widowControl/>
              <w:jc w:val="center"/>
              <w:rPr>
                <w:rFonts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859" w:type="dxa"/>
            <w:tcBorders>
              <w:left w:val="single" w:color="auto" w:sz="4" w:space="0"/>
              <w:right w:val="single" w:color="auto" w:sz="4" w:space="0"/>
            </w:tcBorders>
            <w:vAlign w:val="center"/>
          </w:tcPr>
          <w:p>
            <w:pPr>
              <w:widowControl/>
              <w:jc w:val="center"/>
              <w:rPr>
                <w:rFonts w:ascii="仿宋" w:hAnsi="仿宋" w:eastAsia="仿宋" w:cs="仿宋"/>
                <w:color w:val="auto"/>
                <w:szCs w:val="21"/>
                <w:highlight w:val="none"/>
              </w:rPr>
            </w:pPr>
            <w:r>
              <w:rPr>
                <w:rFonts w:hint="eastAsia" w:ascii="仿宋" w:hAnsi="仿宋" w:eastAsia="仿宋" w:cs="仿宋"/>
                <w:color w:val="auto"/>
                <w:szCs w:val="21"/>
                <w:highlight w:val="none"/>
              </w:rPr>
              <w:t>深化设计方案</w:t>
            </w:r>
          </w:p>
        </w:tc>
        <w:tc>
          <w:tcPr>
            <w:tcW w:w="648" w:type="dxa"/>
            <w:tcBorders>
              <w:left w:val="single" w:color="auto" w:sz="4" w:space="0"/>
              <w:right w:val="single" w:color="auto" w:sz="4" w:space="0"/>
            </w:tcBorders>
            <w:vAlign w:val="center"/>
          </w:tcPr>
          <w:p>
            <w:pPr>
              <w:widowControl/>
              <w:jc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10分</w:t>
            </w:r>
          </w:p>
        </w:tc>
        <w:tc>
          <w:tcPr>
            <w:tcW w:w="7057" w:type="dxa"/>
            <w:tcBorders>
              <w:top w:val="single" w:color="auto" w:sz="4" w:space="0"/>
              <w:left w:val="single" w:color="000000" w:sz="4" w:space="0"/>
              <w:bottom w:val="single" w:color="auto" w:sz="4" w:space="0"/>
              <w:right w:val="single" w:color="000000" w:sz="4" w:space="0"/>
            </w:tcBorders>
            <w:vAlign w:val="center"/>
          </w:tcPr>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本次项目的设计方案图纸 </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1、结合本项目的效果图及招标清单参考图片及尺寸,根据各自优势产品设计出适合现场主要区域（包括但不限于儿科治疗室、放射科注射室、骨科治疗室、美容科护理区医用护士台、住院部配药室等）空间整体彩色效果图（共不少于5个空间效果图，根据效果综合评分）。优得4.1-5.0分；良得3.1-4.0分；一般得2.1-3.0分；差得0.1-2.0分；未提供不得分。</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2、针对本项目提供对应产品的进行深化设计，并提供产品设计工艺结构图，包括且不限于：（包括但不限于儿科治疗室、放射科注射室、骨科治疗室、美容科护理区医用护士台、住院部配药室等，根据设计产品的合理性、操作性、实用性强，院感流程控制合规性进行打分。优得4.1-5.0分；良得3.1-4.0分；一般得2.1-3.0分；差得0.1-2.0分；未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41" w:type="dxa"/>
            <w:tcBorders>
              <w:left w:val="single" w:color="000000" w:sz="4" w:space="0"/>
              <w:right w:val="single" w:color="auto" w:sz="4" w:space="0"/>
            </w:tcBorders>
            <w:vAlign w:val="center"/>
          </w:tcPr>
          <w:p>
            <w:pPr>
              <w:widowControl/>
              <w:jc w:val="center"/>
              <w:rPr>
                <w:rFonts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859" w:type="dxa"/>
            <w:tcBorders>
              <w:left w:val="single" w:color="auto" w:sz="4" w:space="0"/>
              <w:bottom w:val="single" w:color="auto" w:sz="4" w:space="0"/>
              <w:right w:val="single" w:color="auto" w:sz="4" w:space="0"/>
            </w:tcBorders>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组织实施方案</w:t>
            </w:r>
          </w:p>
        </w:tc>
        <w:tc>
          <w:tcPr>
            <w:tcW w:w="648" w:type="dxa"/>
            <w:tcBorders>
              <w:left w:val="single" w:color="auto" w:sz="4" w:space="0"/>
              <w:bottom w:val="single" w:color="auto" w:sz="4" w:space="0"/>
              <w:right w:val="single" w:color="auto" w:sz="4" w:space="0"/>
            </w:tcBorders>
            <w:vAlign w:val="center"/>
          </w:tcPr>
          <w:p>
            <w:pPr>
              <w:pStyle w:val="290"/>
              <w:jc w:val="center"/>
              <w:rPr>
                <w:rFonts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2分</w:t>
            </w:r>
          </w:p>
        </w:tc>
        <w:tc>
          <w:tcPr>
            <w:tcW w:w="7057" w:type="dxa"/>
            <w:tcBorders>
              <w:top w:val="single" w:color="auto" w:sz="4" w:space="0"/>
              <w:left w:val="single" w:color="000000" w:sz="4" w:space="0"/>
              <w:bottom w:val="single" w:color="auto" w:sz="4" w:space="0"/>
              <w:right w:val="single" w:color="000000" w:sz="4" w:space="0"/>
            </w:tcBorders>
          </w:tcPr>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投标人提供针对本项目的组织实施方案的响应程度、针对性、完整性进行评审，优得1.6-2.0分，一般得1.1-1.5分，良得0-1.0分。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41" w:type="dxa"/>
            <w:tcBorders>
              <w:left w:val="single" w:color="000000" w:sz="4" w:space="0"/>
              <w:right w:val="single" w:color="auto" w:sz="4" w:space="0"/>
            </w:tcBorders>
            <w:vAlign w:val="center"/>
          </w:tcPr>
          <w:p>
            <w:pPr>
              <w:widowControl/>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859" w:type="dxa"/>
            <w:tcBorders>
              <w:left w:val="single" w:color="auto" w:sz="4" w:space="0"/>
              <w:bottom w:val="single" w:color="auto" w:sz="4" w:space="0"/>
              <w:right w:val="single" w:color="auto" w:sz="4" w:space="0"/>
            </w:tcBorders>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质量保证承诺</w:t>
            </w:r>
          </w:p>
        </w:tc>
        <w:tc>
          <w:tcPr>
            <w:tcW w:w="648" w:type="dxa"/>
            <w:tcBorders>
              <w:left w:val="single" w:color="auto" w:sz="4" w:space="0"/>
              <w:bottom w:val="single" w:color="auto" w:sz="4" w:space="0"/>
              <w:right w:val="single" w:color="auto" w:sz="4" w:space="0"/>
            </w:tcBorders>
            <w:vAlign w:val="center"/>
          </w:tcPr>
          <w:p>
            <w:pPr>
              <w:pStyle w:val="290"/>
              <w:jc w:val="center"/>
              <w:rPr>
                <w:rFonts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2分</w:t>
            </w:r>
          </w:p>
        </w:tc>
        <w:tc>
          <w:tcPr>
            <w:tcW w:w="7057" w:type="dxa"/>
            <w:tcBorders>
              <w:top w:val="single" w:color="auto" w:sz="4" w:space="0"/>
              <w:left w:val="single" w:color="000000" w:sz="4" w:space="0"/>
              <w:bottom w:val="single" w:color="auto" w:sz="4" w:space="0"/>
              <w:right w:val="single" w:color="000000" w:sz="4" w:space="0"/>
            </w:tcBorders>
          </w:tcPr>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投标人承诺出现产品质量问题退换货得1分，投标人提供因质量问题引起不良后果的处理措施、承诺得1分，未提供或未承诺不得分。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4" w:hRule="atLeast"/>
          <w:jc w:val="center"/>
        </w:trPr>
        <w:tc>
          <w:tcPr>
            <w:tcW w:w="641" w:type="dxa"/>
            <w:tcBorders>
              <w:left w:val="single" w:color="000000" w:sz="4" w:space="0"/>
              <w:right w:val="single" w:color="auto" w:sz="4" w:space="0"/>
            </w:tcBorders>
            <w:vAlign w:val="center"/>
          </w:tcPr>
          <w:p>
            <w:pPr>
              <w:widowControl/>
              <w:jc w:val="center"/>
              <w:rPr>
                <w:rFonts w:ascii="仿宋" w:hAnsi="仿宋" w:eastAsia="仿宋" w:cs="仿宋"/>
                <w:color w:val="auto"/>
                <w:szCs w:val="21"/>
                <w:highlight w:val="none"/>
              </w:rPr>
            </w:pPr>
            <w:r>
              <w:rPr>
                <w:rFonts w:hint="eastAsia" w:ascii="仿宋" w:hAnsi="仿宋" w:eastAsia="仿宋" w:cs="仿宋"/>
                <w:color w:val="auto"/>
                <w:szCs w:val="21"/>
                <w:highlight w:val="none"/>
              </w:rPr>
              <w:t>11</w:t>
            </w:r>
          </w:p>
        </w:tc>
        <w:tc>
          <w:tcPr>
            <w:tcW w:w="859" w:type="dxa"/>
            <w:vMerge w:val="restart"/>
            <w:tcBorders>
              <w:left w:val="single" w:color="auto" w:sz="4" w:space="0"/>
              <w:right w:val="single" w:color="auto" w:sz="4" w:space="0"/>
            </w:tcBorders>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样品</w:t>
            </w:r>
          </w:p>
        </w:tc>
        <w:tc>
          <w:tcPr>
            <w:tcW w:w="648" w:type="dxa"/>
            <w:tcBorders>
              <w:left w:val="single" w:color="auto" w:sz="4" w:space="0"/>
              <w:right w:val="single" w:color="auto" w:sz="4" w:space="0"/>
            </w:tcBorders>
            <w:vAlign w:val="center"/>
          </w:tcPr>
          <w:p>
            <w:pPr>
              <w:adjustRightInd w:val="0"/>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6分</w:t>
            </w:r>
          </w:p>
        </w:tc>
        <w:tc>
          <w:tcPr>
            <w:tcW w:w="7057" w:type="dxa"/>
            <w:tcBorders>
              <w:top w:val="single" w:color="auto" w:sz="4" w:space="0"/>
              <w:left w:val="single" w:color="000000" w:sz="4" w:space="0"/>
              <w:right w:val="single" w:color="000000" w:sz="4" w:space="0"/>
            </w:tcBorders>
            <w:vAlign w:val="center"/>
          </w:tcPr>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样品小样质量（样品制作工艺、使用灵活性或方便性、结构或构造合理性等方面进行综合评审）：</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1、电解钢板；0~1分</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2、纯亚克力人造石；0~1分</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3、阻尼门铰；0~1分</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4、三节缓冲导轨；0~1分</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5、多层板；0~1分</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6、皮革；0~1分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641" w:type="dxa"/>
            <w:tcBorders>
              <w:left w:val="single" w:color="000000" w:sz="4" w:space="0"/>
              <w:right w:val="single" w:color="auto" w:sz="4" w:space="0"/>
            </w:tcBorders>
            <w:vAlign w:val="center"/>
          </w:tcPr>
          <w:p>
            <w:pPr>
              <w:widowControl/>
              <w:jc w:val="center"/>
              <w:rPr>
                <w:rFonts w:ascii="仿宋" w:hAnsi="仿宋" w:eastAsia="仿宋" w:cs="仿宋"/>
                <w:color w:val="auto"/>
                <w:szCs w:val="21"/>
                <w:highlight w:val="none"/>
              </w:rPr>
            </w:pPr>
            <w:r>
              <w:rPr>
                <w:rFonts w:hint="eastAsia" w:ascii="仿宋" w:hAnsi="仿宋" w:eastAsia="仿宋" w:cs="仿宋"/>
                <w:color w:val="auto"/>
                <w:szCs w:val="21"/>
                <w:highlight w:val="none"/>
              </w:rPr>
              <w:t>12</w:t>
            </w:r>
          </w:p>
        </w:tc>
        <w:tc>
          <w:tcPr>
            <w:tcW w:w="859" w:type="dxa"/>
            <w:vMerge w:val="continue"/>
            <w:tcBorders>
              <w:left w:val="single" w:color="auto" w:sz="4" w:space="0"/>
              <w:right w:val="single" w:color="auto" w:sz="4" w:space="0"/>
            </w:tcBorders>
            <w:vAlign w:val="center"/>
          </w:tcPr>
          <w:p>
            <w:pPr>
              <w:jc w:val="center"/>
              <w:rPr>
                <w:rFonts w:ascii="仿宋" w:hAnsi="仿宋" w:eastAsia="仿宋" w:cs="仿宋"/>
                <w:color w:val="auto"/>
                <w:kern w:val="0"/>
                <w:szCs w:val="21"/>
                <w:highlight w:val="none"/>
              </w:rPr>
            </w:pPr>
          </w:p>
        </w:tc>
        <w:tc>
          <w:tcPr>
            <w:tcW w:w="648" w:type="dxa"/>
            <w:tcBorders>
              <w:left w:val="single" w:color="auto" w:sz="4" w:space="0"/>
              <w:right w:val="single" w:color="auto" w:sz="4" w:space="0"/>
            </w:tcBorders>
            <w:vAlign w:val="center"/>
          </w:tcPr>
          <w:p>
            <w:pPr>
              <w:adjustRightInd w:val="0"/>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15分</w:t>
            </w:r>
          </w:p>
        </w:tc>
        <w:tc>
          <w:tcPr>
            <w:tcW w:w="7057" w:type="dxa"/>
            <w:tcBorders>
              <w:top w:val="single" w:color="auto" w:sz="4" w:space="0"/>
              <w:left w:val="single" w:color="000000" w:sz="4" w:space="0"/>
              <w:right w:val="single" w:color="000000" w:sz="4" w:space="0"/>
            </w:tcBorders>
            <w:vAlign w:val="center"/>
          </w:tcPr>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成品样品质量：样品的制作工艺、表面处理及部件连接工艺情况进行评分：</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样品整体的美观度、色彩搭配协调性；0~3分</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样品材质的符合度、制作工艺精湛度；0~</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表面处理及部件连接工艺；0~</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成品样品结构、稳定性、使用灵活性及方便性；0~</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w:t>
            </w:r>
          </w:p>
        </w:tc>
      </w:tr>
    </w:tbl>
    <w:p>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2.1.1对省级以上主管部门认定的首台套产品，自纳入《省推广应用指导目录》起三年内参加政府采购活动，视同已具备相应销售业绩，业绩分为满分。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2.2价格分（30分）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bookmarkEnd w:id="9"/>
    <w:bookmarkEnd w:id="10"/>
    <w:bookmarkEnd w:id="11"/>
    <w:bookmarkEnd w:id="12"/>
    <w:p>
      <w:pPr>
        <w:snapToGrid w:val="0"/>
        <w:spacing w:line="360" w:lineRule="auto"/>
        <w:rPr>
          <w:rFonts w:ascii="仿宋" w:hAnsi="仿宋" w:eastAsia="仿宋" w:cs="仿宋"/>
          <w:b/>
          <w:color w:val="auto"/>
          <w:sz w:val="36"/>
          <w:szCs w:val="20"/>
          <w:highlight w:val="none"/>
        </w:rPr>
      </w:pPr>
    </w:p>
    <w:p>
      <w:pPr>
        <w:pageBreakBefore/>
        <w:snapToGrid w:val="0"/>
        <w:spacing w:line="360" w:lineRule="auto"/>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ascii="仿宋" w:hAnsi="仿宋" w:eastAsia="仿宋" w:cs="仿宋"/>
          <w:color w:val="auto"/>
          <w:sz w:val="24"/>
          <w:highlight w:val="none"/>
        </w:rPr>
      </w:pPr>
    </w:p>
    <w:p>
      <w:pPr>
        <w:spacing w:line="360" w:lineRule="auto"/>
        <w:ind w:firstLine="480" w:firstLineChars="200"/>
        <w:outlineLvl w:val="0"/>
        <w:rPr>
          <w:rFonts w:ascii="仿宋" w:hAnsi="仿宋" w:eastAsia="仿宋" w:cs="仿宋"/>
          <w:color w:val="auto"/>
          <w:sz w:val="24"/>
          <w:highlight w:val="none"/>
        </w:rPr>
      </w:pPr>
    </w:p>
    <w:p>
      <w:pPr>
        <w:spacing w:line="360" w:lineRule="auto"/>
        <w:ind w:firstLine="480" w:firstLineChars="200"/>
        <w:outlineLvl w:val="0"/>
        <w:rPr>
          <w:rFonts w:ascii="仿宋" w:hAnsi="仿宋" w:eastAsia="仿宋" w:cs="仿宋"/>
          <w:color w:val="auto"/>
          <w:sz w:val="24"/>
          <w:highlight w:val="none"/>
        </w:rPr>
      </w:pPr>
    </w:p>
    <w:p>
      <w:pPr>
        <w:spacing w:line="360" w:lineRule="auto"/>
        <w:ind w:firstLine="480" w:firstLineChars="200"/>
        <w:outlineLvl w:val="0"/>
        <w:rPr>
          <w:rFonts w:ascii="仿宋" w:hAnsi="仿宋" w:eastAsia="仿宋" w:cs="仿宋"/>
          <w:color w:val="auto"/>
          <w:sz w:val="24"/>
          <w:highlight w:val="none"/>
        </w:rPr>
      </w:pPr>
    </w:p>
    <w:p>
      <w:pPr>
        <w:spacing w:line="360" w:lineRule="auto"/>
        <w:ind w:firstLine="480" w:firstLineChars="200"/>
        <w:outlineLvl w:val="0"/>
        <w:rPr>
          <w:rFonts w:ascii="仿宋" w:hAnsi="仿宋" w:eastAsia="仿宋" w:cs="仿宋"/>
          <w:color w:val="auto"/>
          <w:sz w:val="24"/>
          <w:highlight w:val="none"/>
        </w:rPr>
      </w:pPr>
    </w:p>
    <w:p>
      <w:pPr>
        <w:snapToGrid w:val="0"/>
        <w:spacing w:line="360"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24"/>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20"/>
        <w:spacing w:line="800" w:lineRule="atLeast"/>
        <w:ind w:left="0" w:leftChars="0"/>
        <w:rPr>
          <w:rFonts w:ascii="仿宋" w:hAnsi="仿宋" w:eastAsia="仿宋" w:cs="仿宋"/>
          <w:b/>
          <w:color w:val="auto"/>
          <w:sz w:val="36"/>
          <w:szCs w:val="36"/>
          <w:highlight w:val="none"/>
        </w:rPr>
      </w:pPr>
    </w:p>
    <w:p>
      <w:pPr>
        <w:pStyle w:val="20"/>
        <w:spacing w:line="800" w:lineRule="atLeast"/>
        <w:ind w:left="0" w:leftChars="0"/>
        <w:rPr>
          <w:rFonts w:ascii="仿宋" w:hAnsi="仿宋" w:eastAsia="仿宋" w:cs="仿宋"/>
          <w:b/>
          <w:color w:val="auto"/>
          <w:sz w:val="36"/>
          <w:szCs w:val="36"/>
          <w:highlight w:val="none"/>
        </w:rPr>
      </w:pPr>
    </w:p>
    <w:p>
      <w:pPr>
        <w:pStyle w:val="20"/>
        <w:spacing w:line="800" w:lineRule="atLeast"/>
        <w:ind w:left="0" w:leftChars="0"/>
        <w:rPr>
          <w:rFonts w:ascii="仿宋" w:hAnsi="仿宋" w:eastAsia="仿宋" w:cs="仿宋"/>
          <w:b/>
          <w:color w:val="auto"/>
          <w:sz w:val="36"/>
          <w:szCs w:val="36"/>
          <w:highlight w:val="none"/>
        </w:rPr>
      </w:pPr>
    </w:p>
    <w:p>
      <w:pPr>
        <w:rPr>
          <w:rFonts w:ascii="仿宋" w:hAnsi="仿宋" w:eastAsia="仿宋" w:cs="仿宋"/>
          <w:b/>
          <w:color w:val="auto"/>
          <w:sz w:val="30"/>
          <w:szCs w:val="30"/>
          <w:highlight w:val="none"/>
        </w:rPr>
      </w:pPr>
    </w:p>
    <w:p>
      <w:pPr>
        <w:rPr>
          <w:rFonts w:ascii="仿宋" w:hAnsi="仿宋" w:eastAsia="仿宋" w:cs="仿宋"/>
          <w:b/>
          <w:color w:val="auto"/>
          <w:sz w:val="30"/>
          <w:szCs w:val="30"/>
          <w:highlight w:val="none"/>
        </w:rPr>
      </w:pPr>
    </w:p>
    <w:p>
      <w:pPr>
        <w:pageBreakBefore/>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70"/>
        <w:spacing w:afterLines="0" w:line="440" w:lineRule="exact"/>
        <w:ind w:firstLine="0" w:firstLineChars="0"/>
        <w:rPr>
          <w:rFonts w:ascii="仿宋" w:hAnsi="仿宋" w:eastAsia="仿宋" w:cs="仿宋"/>
          <w:color w:val="auto"/>
          <w:szCs w:val="24"/>
          <w:highlight w:val="none"/>
        </w:rPr>
      </w:pPr>
    </w:p>
    <w:p>
      <w:pPr>
        <w:pStyle w:val="70"/>
        <w:spacing w:afterLines="0" w:line="44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绍兴市中医院、泰宇建筑工程技术咨询有限公司</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70"/>
        <w:spacing w:afterLines="0" w:line="440" w:lineRule="exact"/>
        <w:ind w:firstLine="480"/>
        <w:rPr>
          <w:rFonts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70"/>
        <w:spacing w:afterLines="0" w:line="440" w:lineRule="exact"/>
        <w:ind w:firstLine="480"/>
        <w:rPr>
          <w:rFonts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70"/>
        <w:spacing w:afterLines="0" w:line="440" w:lineRule="exact"/>
        <w:ind w:firstLine="480"/>
        <w:rPr>
          <w:rFonts w:ascii="仿宋" w:hAnsi="仿宋" w:eastAsia="仿宋" w:cs="仿宋"/>
          <w:b/>
          <w:color w:val="auto"/>
          <w:sz w:val="30"/>
          <w:szCs w:val="30"/>
          <w:highlight w:val="none"/>
        </w:rPr>
      </w:pPr>
      <w:r>
        <w:rPr>
          <w:rFonts w:hint="eastAsia" w:ascii="仿宋" w:hAnsi="仿宋" w:eastAsia="仿宋" w:cs="仿宋"/>
          <w:color w:val="auto"/>
          <w:szCs w:val="24"/>
          <w:highlight w:val="none"/>
        </w:rPr>
        <w:t xml:space="preserve">投标人(电子签章)：　　　　　　　　　日期：   </w:t>
      </w:r>
    </w:p>
    <w:p>
      <w:pPr>
        <w:pageBreakBefore/>
        <w:spacing w:line="800" w:lineRule="exact"/>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ascii="仿宋" w:hAnsi="仿宋" w:eastAsia="仿宋" w:cs="仿宋"/>
          <w:color w:val="auto"/>
          <w:sz w:val="24"/>
          <w:highlight w:val="none"/>
        </w:rPr>
      </w:pPr>
    </w:p>
    <w:p>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r>
        <w:rPr>
          <w:rFonts w:hint="eastAsia" w:ascii="仿宋" w:hAnsi="仿宋" w:eastAsia="仿宋" w:cs="仿宋"/>
          <w:b/>
          <w:color w:val="auto"/>
          <w:kern w:val="0"/>
          <w:sz w:val="24"/>
          <w:highlight w:val="none"/>
        </w:rPr>
        <w:t>在“规格型号（或具体服务）”一栏中，货物类项目填写规格型号，服务类项目填写具体服务。</w:t>
      </w:r>
      <w:r>
        <w:rPr>
          <w:rFonts w:hint="eastAsia" w:ascii="仿宋" w:hAnsi="仿宋" w:eastAsia="仿宋" w:cs="仿宋"/>
          <w:b/>
          <w:color w:val="auto"/>
          <w:sz w:val="24"/>
          <w:highlight w:val="none"/>
        </w:rPr>
        <w:t>服务包含但不仅限于：服务方案、次数或人数、服务年限等，产品包含但不仅限于:名称、品牌、型号、生产厂商、数量、质保期等。</w:t>
      </w:r>
    </w:p>
    <w:p>
      <w:pPr>
        <w:ind w:firstLine="482" w:firstLineChars="200"/>
        <w:rPr>
          <w:rFonts w:ascii="仿宋" w:hAnsi="仿宋" w:eastAsia="仿宋" w:cs="仿宋"/>
          <w:b/>
          <w:color w:val="auto"/>
          <w:kern w:val="0"/>
          <w:sz w:val="24"/>
          <w:highlight w:val="none"/>
          <w:lang w:val="zh-CN"/>
        </w:rPr>
      </w:pPr>
      <w:r>
        <w:rPr>
          <w:rFonts w:hint="eastAsia" w:ascii="仿宋" w:hAnsi="仿宋" w:eastAsia="仿宋" w:cs="仿宋"/>
          <w:b/>
          <w:color w:val="auto"/>
          <w:sz w:val="24"/>
          <w:highlight w:val="none"/>
        </w:rPr>
        <w:t>6</w:t>
      </w:r>
      <w:r>
        <w:rPr>
          <w:rFonts w:hint="eastAsia" w:ascii="仿宋" w:hAnsi="仿宋" w:eastAsia="仿宋" w:cs="仿宋"/>
          <w:b/>
          <w:color w:val="auto"/>
          <w:kern w:val="0"/>
          <w:sz w:val="24"/>
          <w:highlight w:val="none"/>
          <w:lang w:val="zh-CN"/>
        </w:rPr>
        <w:t>.特别提示：采购机构将对</w:t>
      </w:r>
      <w:r>
        <w:rPr>
          <w:rFonts w:hint="eastAsia" w:ascii="仿宋" w:hAnsi="仿宋" w:eastAsia="仿宋" w:cs="仿宋"/>
          <w:b/>
          <w:color w:val="auto"/>
          <w:kern w:val="0"/>
          <w:sz w:val="24"/>
          <w:highlight w:val="none"/>
        </w:rPr>
        <w:t>项目名称和项目编号，中标供应商名称、地址和中标金额，主要中标标的的名称、规格型号、数量、单价、服务要求等</w:t>
      </w:r>
      <w:r>
        <w:rPr>
          <w:rFonts w:hint="eastAsia" w:ascii="仿宋" w:hAnsi="仿宋" w:eastAsia="仿宋" w:cs="仿宋"/>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 w:hAnsi="仿宋" w:eastAsia="仿宋" w:cs="仿宋"/>
          <w:color w:val="auto"/>
          <w:sz w:val="24"/>
          <w:highlight w:val="none"/>
        </w:rPr>
      </w:pPr>
    </w:p>
    <w:p>
      <w:pPr>
        <w:spacing w:line="360" w:lineRule="auto"/>
        <w:ind w:left="-4" w:leftChars="-2" w:right="-817" w:rightChars="-389" w:firstLine="2"/>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auto"/>
        <w:outlineLvl w:val="0"/>
        <w:rPr>
          <w:rFonts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ascii="仿宋" w:hAnsi="仿宋" w:eastAsia="仿宋" w:cs="仿宋"/>
          <w:b/>
          <w:color w:val="auto"/>
          <w:kern w:val="0"/>
          <w:sz w:val="24"/>
          <w:highlight w:val="none"/>
        </w:rPr>
      </w:pPr>
    </w:p>
    <w:p>
      <w:pPr>
        <w:spacing w:line="360"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4"/>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（1）法定代表人授权书 …………………………………………………………（页码）</w:t>
      </w:r>
    </w:p>
    <w:p>
      <w:pPr>
        <w:pStyle w:val="194"/>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（2）授权代表社保证明（复印件）………………………………………………（页码）</w:t>
      </w:r>
    </w:p>
    <w:p>
      <w:pPr>
        <w:pStyle w:val="194"/>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（3）法定代表人及其授权代表的身份证（复印件）……………………………（页码）</w:t>
      </w:r>
    </w:p>
    <w:p>
      <w:pPr>
        <w:pStyle w:val="194"/>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（4）法定代表人身份证明书………………………………………………………（页码）</w:t>
      </w:r>
    </w:p>
    <w:p>
      <w:pPr>
        <w:spacing w:line="360" w:lineRule="auto"/>
        <w:outlineLvl w:val="0"/>
        <w:rPr>
          <w:rFonts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4"/>
        <w:spacing w:line="360" w:lineRule="auto"/>
        <w:ind w:firstLine="0" w:firstLineChars="0"/>
        <w:rPr>
          <w:rFonts w:ascii="仿宋" w:eastAsia="仿宋" w:cs="仿宋"/>
          <w:color w:val="auto"/>
          <w:highlight w:val="none"/>
        </w:rPr>
      </w:pPr>
      <w:r>
        <w:rPr>
          <w:rFonts w:hint="eastAsia" w:ascii="仿宋" w:eastAsia="仿宋" w:cs="仿宋"/>
          <w:color w:val="auto"/>
          <w:highlight w:val="none"/>
        </w:rPr>
        <w:t>（6）符合特定资格条件（如果项目要求）的有关证明材料（复印件）………（页码）</w:t>
      </w:r>
    </w:p>
    <w:p>
      <w:pPr>
        <w:pStyle w:val="194"/>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（7）</w:t>
      </w:r>
      <w:r>
        <w:rPr>
          <w:rFonts w:hint="eastAsia" w:ascii="仿宋" w:eastAsia="仿宋" w:cs="仿宋"/>
          <w:snapToGrid w:val="0"/>
          <w:color w:val="auto"/>
          <w:highlight w:val="none"/>
        </w:rPr>
        <w:t>投标人售后服务证明材料</w:t>
      </w:r>
      <w:r>
        <w:rPr>
          <w:rFonts w:hint="eastAsia" w:ascii="仿宋" w:eastAsia="仿宋" w:cs="仿宋"/>
          <w:color w:val="auto"/>
          <w:highlight w:val="none"/>
        </w:rPr>
        <w:t>……………………………………………………（页码）</w:t>
      </w:r>
    </w:p>
    <w:p>
      <w:pPr>
        <w:pStyle w:val="194"/>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（8）</w:t>
      </w:r>
      <w:r>
        <w:rPr>
          <w:rFonts w:hint="eastAsia" w:ascii="仿宋" w:eastAsia="仿宋" w:cs="仿宋"/>
          <w:color w:val="auto"/>
          <w:highlight w:val="none"/>
          <w:lang w:val="zh-CN"/>
        </w:rPr>
        <w:t>主要业绩证明…………………………………………………</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pPr>
        <w:pStyle w:val="194"/>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（9）廉政承诺书 …………………………………………………………………（页码）</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绍兴市中医院、泰宇建筑工程技术咨询有限公司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扩建区固定嵌入式及部分活动医疗家具采购安装项目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绍兴市中医院、泰宇建筑工程技术咨询有限公司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扩建区固定嵌入式及部分活动医疗家具采购安装项目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ascii="仿宋" w:hAnsi="仿宋" w:eastAsia="仿宋" w:cs="仿宋"/>
          <w:b/>
          <w:color w:val="auto"/>
          <w:sz w:val="24"/>
          <w:highlight w:val="none"/>
        </w:rPr>
      </w:pPr>
    </w:p>
    <w:p>
      <w:pPr>
        <w:pageBreakBefore/>
        <w:spacing w:line="800" w:lineRule="exact"/>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ascii="仿宋" w:hAnsi="仿宋" w:eastAsia="仿宋" w:cs="仿宋"/>
          <w:color w:val="auto"/>
          <w:sz w:val="24"/>
          <w:highlight w:val="none"/>
        </w:rPr>
      </w:pPr>
    </w:p>
    <w:p>
      <w:pPr>
        <w:spacing w:line="800" w:lineRule="exact"/>
        <w:ind w:firstLine="4337" w:firstLineChars="1800"/>
        <w:rPr>
          <w:rFonts w:ascii="仿宋" w:hAnsi="仿宋" w:eastAsia="仿宋" w:cs="仿宋"/>
          <w:b/>
          <w:color w:val="auto"/>
          <w:sz w:val="24"/>
          <w:highlight w:val="none"/>
        </w:rPr>
      </w:pPr>
    </w:p>
    <w:p>
      <w:pPr>
        <w:spacing w:line="800" w:lineRule="exact"/>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我方郑重承诺，已具有绍兴市中医院扩建区固定嵌入式及部分活动医疗家具采购安装项目（招标编号:ZYJZ2022）招标文件中关于申请人资格要求的下列条件：</w:t>
      </w:r>
    </w:p>
    <w:p>
      <w:pPr>
        <w:pStyle w:val="70"/>
        <w:widowControl w:val="0"/>
        <w:spacing w:afterLines="0" w:line="440" w:lineRule="exact"/>
        <w:ind w:firstLine="480"/>
        <w:jc w:val="left"/>
        <w:rPr>
          <w:rFonts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pPr>
        <w:pStyle w:val="25"/>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color w:val="auto"/>
          <w:sz w:val="24"/>
          <w:szCs w:val="20"/>
          <w:highlight w:val="none"/>
        </w:rPr>
      </w:pPr>
    </w:p>
    <w:p>
      <w:pPr>
        <w:spacing w:line="360" w:lineRule="auto"/>
        <w:ind w:firstLine="480" w:firstLineChars="200"/>
        <w:rPr>
          <w:rFonts w:ascii="仿宋" w:hAnsi="仿宋" w:eastAsia="仿宋" w:cs="仿宋"/>
          <w:color w:val="auto"/>
          <w:sz w:val="24"/>
          <w:szCs w:val="20"/>
          <w:highlight w:val="none"/>
        </w:rPr>
      </w:pPr>
    </w:p>
    <w:p>
      <w:pPr>
        <w:spacing w:line="360" w:lineRule="auto"/>
        <w:ind w:firstLine="480" w:firstLineChars="200"/>
        <w:rPr>
          <w:rFonts w:ascii="仿宋" w:hAnsi="仿宋" w:eastAsia="仿宋" w:cs="仿宋"/>
          <w:color w:val="auto"/>
          <w:sz w:val="24"/>
          <w:szCs w:val="20"/>
          <w:highlight w:val="none"/>
        </w:rPr>
      </w:pPr>
    </w:p>
    <w:p>
      <w:pPr>
        <w:spacing w:line="360" w:lineRule="auto"/>
        <w:ind w:firstLine="480" w:firstLineChars="200"/>
        <w:rPr>
          <w:rFonts w:ascii="仿宋" w:hAnsi="仿宋" w:eastAsia="仿宋" w:cs="仿宋"/>
          <w:color w:val="auto"/>
          <w:sz w:val="24"/>
          <w:szCs w:val="20"/>
          <w:highlight w:val="none"/>
        </w:rPr>
      </w:pPr>
    </w:p>
    <w:p>
      <w:pPr>
        <w:spacing w:line="360" w:lineRule="auto"/>
        <w:ind w:firstLine="480" w:firstLineChars="200"/>
        <w:rPr>
          <w:rFonts w:ascii="仿宋" w:hAnsi="仿宋" w:eastAsia="仿宋" w:cs="仿宋"/>
          <w:color w:val="auto"/>
          <w:sz w:val="24"/>
          <w:szCs w:val="20"/>
          <w:highlight w:val="none"/>
        </w:rPr>
      </w:pPr>
    </w:p>
    <w:p>
      <w:pPr>
        <w:spacing w:line="360" w:lineRule="auto"/>
        <w:ind w:firstLine="480" w:firstLineChars="200"/>
        <w:rPr>
          <w:rFonts w:ascii="仿宋" w:hAnsi="仿宋" w:eastAsia="仿宋" w:cs="仿宋"/>
          <w:color w:val="auto"/>
          <w:sz w:val="24"/>
          <w:szCs w:val="20"/>
          <w:highlight w:val="none"/>
        </w:rPr>
      </w:pP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ascii="仿宋" w:hAnsi="仿宋" w:eastAsia="仿宋" w:cs="仿宋"/>
          <w:b/>
          <w:color w:val="auto"/>
          <w:sz w:val="30"/>
          <w:szCs w:val="30"/>
          <w:highlight w:val="none"/>
        </w:rPr>
      </w:pPr>
    </w:p>
    <w:p>
      <w:pPr>
        <w:snapToGrid w:val="0"/>
        <w:spacing w:line="360" w:lineRule="auto"/>
        <w:rPr>
          <w:rFonts w:ascii="仿宋" w:hAnsi="仿宋" w:eastAsia="仿宋" w:cs="仿宋"/>
          <w:b/>
          <w:color w:val="auto"/>
          <w:sz w:val="30"/>
          <w:szCs w:val="30"/>
          <w:highlight w:val="none"/>
        </w:rPr>
      </w:pPr>
    </w:p>
    <w:p>
      <w:pPr>
        <w:pageBreakBefore/>
        <w:spacing w:line="360" w:lineRule="auto"/>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5"/>
        <w:pageBreakBefore/>
        <w:ind w:firstLine="0"/>
        <w:jc w:val="both"/>
        <w:rPr>
          <w:rFonts w:ascii="仿宋" w:eastAsia="仿宋" w:cs="仿宋"/>
          <w:color w:val="auto"/>
          <w:highlight w:val="none"/>
        </w:rPr>
      </w:pPr>
      <w:r>
        <w:rPr>
          <w:rFonts w:hint="eastAsia" w:ascii="仿宋" w:eastAsia="仿宋" w:cs="仿宋"/>
          <w:color w:val="auto"/>
          <w:highlight w:val="none"/>
        </w:rPr>
        <w:t>9、廉政承诺书</w:t>
      </w:r>
    </w:p>
    <w:p>
      <w:pPr>
        <w:autoSpaceDE w:val="0"/>
        <w:autoSpaceDN w:val="0"/>
        <w:spacing w:line="360" w:lineRule="auto"/>
        <w:ind w:left="2"/>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pageBreakBefore/>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ascii="仿宋" w:hAnsi="仿宋" w:eastAsia="仿宋" w:cs="仿宋"/>
          <w:color w:val="auto"/>
          <w:sz w:val="24"/>
          <w:highlight w:val="none"/>
        </w:rPr>
      </w:pPr>
    </w:p>
    <w:p>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ascii="仿宋" w:hAnsi="仿宋" w:eastAsia="仿宋" w:cs="仿宋"/>
                <w:color w:val="auto"/>
                <w:sz w:val="24"/>
                <w:highlight w:val="none"/>
              </w:rPr>
            </w:pPr>
          </w:p>
        </w:tc>
        <w:tc>
          <w:tcPr>
            <w:tcW w:w="2160" w:type="dxa"/>
            <w:vAlign w:val="center"/>
          </w:tcPr>
          <w:p>
            <w:pPr>
              <w:snapToGrid w:val="0"/>
              <w:spacing w:line="360" w:lineRule="auto"/>
              <w:jc w:val="center"/>
              <w:rPr>
                <w:rFonts w:ascii="仿宋" w:hAnsi="仿宋" w:eastAsia="仿宋" w:cs="仿宋"/>
                <w:color w:val="auto"/>
                <w:sz w:val="24"/>
                <w:highlight w:val="none"/>
              </w:rPr>
            </w:pPr>
          </w:p>
        </w:tc>
        <w:tc>
          <w:tcPr>
            <w:tcW w:w="2340"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33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ascii="仿宋" w:hAnsi="仿宋" w:eastAsia="仿宋" w:cs="仿宋"/>
                <w:color w:val="auto"/>
                <w:sz w:val="24"/>
                <w:highlight w:val="none"/>
              </w:rPr>
            </w:pPr>
          </w:p>
        </w:tc>
        <w:tc>
          <w:tcPr>
            <w:tcW w:w="2160" w:type="dxa"/>
            <w:vAlign w:val="center"/>
          </w:tcPr>
          <w:p>
            <w:pPr>
              <w:snapToGrid w:val="0"/>
              <w:spacing w:line="360" w:lineRule="auto"/>
              <w:jc w:val="center"/>
              <w:rPr>
                <w:rFonts w:ascii="仿宋" w:hAnsi="仿宋" w:eastAsia="仿宋" w:cs="仿宋"/>
                <w:color w:val="auto"/>
                <w:sz w:val="24"/>
                <w:highlight w:val="none"/>
              </w:rPr>
            </w:pPr>
          </w:p>
        </w:tc>
        <w:tc>
          <w:tcPr>
            <w:tcW w:w="2340"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33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ascii="仿宋" w:hAnsi="仿宋" w:eastAsia="仿宋" w:cs="仿宋"/>
                <w:color w:val="auto"/>
                <w:sz w:val="24"/>
                <w:highlight w:val="none"/>
              </w:rPr>
            </w:pPr>
          </w:p>
        </w:tc>
        <w:tc>
          <w:tcPr>
            <w:tcW w:w="2160" w:type="dxa"/>
            <w:vAlign w:val="center"/>
          </w:tcPr>
          <w:p>
            <w:pPr>
              <w:snapToGrid w:val="0"/>
              <w:spacing w:line="360" w:lineRule="auto"/>
              <w:jc w:val="center"/>
              <w:rPr>
                <w:rFonts w:ascii="仿宋" w:hAnsi="仿宋" w:eastAsia="仿宋" w:cs="仿宋"/>
                <w:color w:val="auto"/>
                <w:sz w:val="24"/>
                <w:highlight w:val="none"/>
              </w:rPr>
            </w:pPr>
          </w:p>
        </w:tc>
        <w:tc>
          <w:tcPr>
            <w:tcW w:w="2340"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33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ascii="仿宋" w:hAnsi="仿宋" w:eastAsia="仿宋" w:cs="仿宋"/>
                <w:color w:val="auto"/>
                <w:sz w:val="24"/>
                <w:highlight w:val="none"/>
              </w:rPr>
            </w:pPr>
          </w:p>
        </w:tc>
        <w:tc>
          <w:tcPr>
            <w:tcW w:w="2160" w:type="dxa"/>
            <w:vAlign w:val="center"/>
          </w:tcPr>
          <w:p>
            <w:pPr>
              <w:snapToGrid w:val="0"/>
              <w:spacing w:line="360" w:lineRule="auto"/>
              <w:jc w:val="center"/>
              <w:rPr>
                <w:rFonts w:ascii="仿宋" w:hAnsi="仿宋" w:eastAsia="仿宋" w:cs="仿宋"/>
                <w:color w:val="auto"/>
                <w:sz w:val="24"/>
                <w:highlight w:val="none"/>
              </w:rPr>
            </w:pPr>
          </w:p>
        </w:tc>
        <w:tc>
          <w:tcPr>
            <w:tcW w:w="2340"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33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ascii="仿宋" w:hAnsi="仿宋" w:eastAsia="仿宋" w:cs="仿宋"/>
                <w:color w:val="auto"/>
                <w:sz w:val="24"/>
                <w:highlight w:val="none"/>
              </w:rPr>
            </w:pPr>
          </w:p>
        </w:tc>
        <w:tc>
          <w:tcPr>
            <w:tcW w:w="2160" w:type="dxa"/>
            <w:vAlign w:val="center"/>
          </w:tcPr>
          <w:p>
            <w:pPr>
              <w:snapToGrid w:val="0"/>
              <w:spacing w:line="360" w:lineRule="auto"/>
              <w:jc w:val="center"/>
              <w:rPr>
                <w:rFonts w:ascii="仿宋" w:hAnsi="仿宋" w:eastAsia="仿宋" w:cs="仿宋"/>
                <w:color w:val="auto"/>
                <w:sz w:val="24"/>
                <w:highlight w:val="none"/>
              </w:rPr>
            </w:pPr>
          </w:p>
        </w:tc>
        <w:tc>
          <w:tcPr>
            <w:tcW w:w="2340"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332" w:type="dxa"/>
            <w:vAlign w:val="center"/>
          </w:tcPr>
          <w:p>
            <w:pPr>
              <w:spacing w:line="360" w:lineRule="auto"/>
              <w:jc w:val="center"/>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1pt;width:442.8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1pt;width:441.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p>
    <w:p>
      <w:pPr>
        <w:pageBreakBefore/>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bl>
    <w:p>
      <w:pPr>
        <w:tabs>
          <w:tab w:val="left" w:pos="570"/>
        </w:tabs>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color w:val="auto"/>
          <w:kern w:val="0"/>
          <w:sz w:val="24"/>
          <w:highlight w:val="none"/>
          <w:lang w:val="zh-CN"/>
        </w:rPr>
      </w:pP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pageBreakBefore/>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highlight w:val="none"/>
              </w:rPr>
            </w:pPr>
          </w:p>
        </w:tc>
        <w:tc>
          <w:tcPr>
            <w:tcW w:w="2160" w:type="dxa"/>
          </w:tcPr>
          <w:p>
            <w:pPr>
              <w:autoSpaceDE w:val="0"/>
              <w:autoSpaceDN w:val="0"/>
              <w:spacing w:line="360" w:lineRule="auto"/>
              <w:jc w:val="center"/>
              <w:rPr>
                <w:rFonts w:ascii="仿宋" w:hAnsi="仿宋" w:eastAsia="仿宋" w:cs="仿宋"/>
                <w:color w:val="auto"/>
                <w:sz w:val="24"/>
                <w:highlight w:val="none"/>
              </w:rPr>
            </w:pPr>
          </w:p>
        </w:tc>
        <w:tc>
          <w:tcPr>
            <w:tcW w:w="1620" w:type="dxa"/>
          </w:tcPr>
          <w:p>
            <w:pPr>
              <w:autoSpaceDE w:val="0"/>
              <w:autoSpaceDN w:val="0"/>
              <w:spacing w:line="360" w:lineRule="auto"/>
              <w:jc w:val="center"/>
              <w:rPr>
                <w:rFonts w:ascii="仿宋" w:hAnsi="仿宋" w:eastAsia="仿宋" w:cs="仿宋"/>
                <w:color w:val="auto"/>
                <w:sz w:val="24"/>
                <w:highlight w:val="none"/>
              </w:rPr>
            </w:pPr>
          </w:p>
        </w:tc>
        <w:tc>
          <w:tcPr>
            <w:tcW w:w="1245" w:type="dxa"/>
          </w:tcPr>
          <w:p>
            <w:pPr>
              <w:autoSpaceDE w:val="0"/>
              <w:autoSpaceDN w:val="0"/>
              <w:spacing w:line="360" w:lineRule="auto"/>
              <w:jc w:val="center"/>
              <w:rPr>
                <w:rFonts w:ascii="仿宋" w:hAnsi="仿宋" w:eastAsia="仿宋" w:cs="仿宋"/>
                <w:color w:val="auto"/>
                <w:sz w:val="24"/>
                <w:highlight w:val="none"/>
              </w:rPr>
            </w:pPr>
          </w:p>
        </w:tc>
        <w:tc>
          <w:tcPr>
            <w:tcW w:w="2175" w:type="dxa"/>
          </w:tcPr>
          <w:p>
            <w:pPr>
              <w:autoSpaceDE w:val="0"/>
              <w:autoSpaceDN w:val="0"/>
              <w:spacing w:line="360" w:lineRule="auto"/>
              <w:jc w:val="center"/>
              <w:rPr>
                <w:rFonts w:ascii="仿宋" w:hAnsi="仿宋" w:eastAsia="仿宋" w:cs="仿宋"/>
                <w:color w:val="auto"/>
                <w:sz w:val="24"/>
                <w:highlight w:val="none"/>
              </w:rPr>
            </w:pPr>
          </w:p>
        </w:tc>
        <w:tc>
          <w:tcPr>
            <w:tcW w:w="1260" w:type="dxa"/>
          </w:tcPr>
          <w:p>
            <w:pPr>
              <w:autoSpaceDE w:val="0"/>
              <w:autoSpaceDN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highlight w:val="none"/>
              </w:rPr>
            </w:pPr>
          </w:p>
        </w:tc>
        <w:tc>
          <w:tcPr>
            <w:tcW w:w="2160" w:type="dxa"/>
          </w:tcPr>
          <w:p>
            <w:pPr>
              <w:autoSpaceDE w:val="0"/>
              <w:autoSpaceDN w:val="0"/>
              <w:spacing w:line="360" w:lineRule="auto"/>
              <w:jc w:val="center"/>
              <w:rPr>
                <w:rFonts w:ascii="仿宋" w:hAnsi="仿宋" w:eastAsia="仿宋" w:cs="仿宋"/>
                <w:color w:val="auto"/>
                <w:sz w:val="24"/>
                <w:highlight w:val="none"/>
              </w:rPr>
            </w:pPr>
          </w:p>
        </w:tc>
        <w:tc>
          <w:tcPr>
            <w:tcW w:w="1620" w:type="dxa"/>
          </w:tcPr>
          <w:p>
            <w:pPr>
              <w:autoSpaceDE w:val="0"/>
              <w:autoSpaceDN w:val="0"/>
              <w:spacing w:line="360" w:lineRule="auto"/>
              <w:jc w:val="center"/>
              <w:rPr>
                <w:rFonts w:ascii="仿宋" w:hAnsi="仿宋" w:eastAsia="仿宋" w:cs="仿宋"/>
                <w:color w:val="auto"/>
                <w:sz w:val="24"/>
                <w:highlight w:val="none"/>
              </w:rPr>
            </w:pPr>
          </w:p>
        </w:tc>
        <w:tc>
          <w:tcPr>
            <w:tcW w:w="1245" w:type="dxa"/>
          </w:tcPr>
          <w:p>
            <w:pPr>
              <w:autoSpaceDE w:val="0"/>
              <w:autoSpaceDN w:val="0"/>
              <w:spacing w:line="360" w:lineRule="auto"/>
              <w:jc w:val="center"/>
              <w:rPr>
                <w:rFonts w:ascii="仿宋" w:hAnsi="仿宋" w:eastAsia="仿宋" w:cs="仿宋"/>
                <w:color w:val="auto"/>
                <w:sz w:val="24"/>
                <w:highlight w:val="none"/>
              </w:rPr>
            </w:pPr>
          </w:p>
        </w:tc>
        <w:tc>
          <w:tcPr>
            <w:tcW w:w="2175" w:type="dxa"/>
          </w:tcPr>
          <w:p>
            <w:pPr>
              <w:autoSpaceDE w:val="0"/>
              <w:autoSpaceDN w:val="0"/>
              <w:spacing w:line="360" w:lineRule="auto"/>
              <w:jc w:val="center"/>
              <w:rPr>
                <w:rFonts w:ascii="仿宋" w:hAnsi="仿宋" w:eastAsia="仿宋" w:cs="仿宋"/>
                <w:color w:val="auto"/>
                <w:sz w:val="24"/>
                <w:highlight w:val="none"/>
              </w:rPr>
            </w:pPr>
          </w:p>
        </w:tc>
        <w:tc>
          <w:tcPr>
            <w:tcW w:w="1260" w:type="dxa"/>
          </w:tcPr>
          <w:p>
            <w:pPr>
              <w:autoSpaceDE w:val="0"/>
              <w:autoSpaceDN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highlight w:val="none"/>
              </w:rPr>
            </w:pPr>
          </w:p>
        </w:tc>
        <w:tc>
          <w:tcPr>
            <w:tcW w:w="2160" w:type="dxa"/>
          </w:tcPr>
          <w:p>
            <w:pPr>
              <w:autoSpaceDE w:val="0"/>
              <w:autoSpaceDN w:val="0"/>
              <w:spacing w:line="360" w:lineRule="auto"/>
              <w:jc w:val="center"/>
              <w:rPr>
                <w:rFonts w:ascii="仿宋" w:hAnsi="仿宋" w:eastAsia="仿宋" w:cs="仿宋"/>
                <w:color w:val="auto"/>
                <w:sz w:val="24"/>
                <w:highlight w:val="none"/>
              </w:rPr>
            </w:pPr>
          </w:p>
        </w:tc>
        <w:tc>
          <w:tcPr>
            <w:tcW w:w="1620" w:type="dxa"/>
          </w:tcPr>
          <w:p>
            <w:pPr>
              <w:autoSpaceDE w:val="0"/>
              <w:autoSpaceDN w:val="0"/>
              <w:spacing w:line="360" w:lineRule="auto"/>
              <w:jc w:val="center"/>
              <w:rPr>
                <w:rFonts w:ascii="仿宋" w:hAnsi="仿宋" w:eastAsia="仿宋" w:cs="仿宋"/>
                <w:color w:val="auto"/>
                <w:sz w:val="24"/>
                <w:highlight w:val="none"/>
              </w:rPr>
            </w:pPr>
          </w:p>
        </w:tc>
        <w:tc>
          <w:tcPr>
            <w:tcW w:w="1245" w:type="dxa"/>
          </w:tcPr>
          <w:p>
            <w:pPr>
              <w:autoSpaceDE w:val="0"/>
              <w:autoSpaceDN w:val="0"/>
              <w:spacing w:line="360" w:lineRule="auto"/>
              <w:jc w:val="center"/>
              <w:rPr>
                <w:rFonts w:ascii="仿宋" w:hAnsi="仿宋" w:eastAsia="仿宋" w:cs="仿宋"/>
                <w:color w:val="auto"/>
                <w:sz w:val="24"/>
                <w:highlight w:val="none"/>
              </w:rPr>
            </w:pPr>
          </w:p>
        </w:tc>
        <w:tc>
          <w:tcPr>
            <w:tcW w:w="2175" w:type="dxa"/>
          </w:tcPr>
          <w:p>
            <w:pPr>
              <w:autoSpaceDE w:val="0"/>
              <w:autoSpaceDN w:val="0"/>
              <w:spacing w:line="360" w:lineRule="auto"/>
              <w:jc w:val="center"/>
              <w:rPr>
                <w:rFonts w:ascii="仿宋" w:hAnsi="仿宋" w:eastAsia="仿宋" w:cs="仿宋"/>
                <w:color w:val="auto"/>
                <w:sz w:val="24"/>
                <w:highlight w:val="none"/>
              </w:rPr>
            </w:pPr>
          </w:p>
        </w:tc>
        <w:tc>
          <w:tcPr>
            <w:tcW w:w="1260" w:type="dxa"/>
          </w:tcPr>
          <w:p>
            <w:pPr>
              <w:autoSpaceDE w:val="0"/>
              <w:autoSpaceDN w:val="0"/>
              <w:spacing w:line="360" w:lineRule="auto"/>
              <w:jc w:val="center"/>
              <w:rPr>
                <w:rFonts w:ascii="仿宋" w:hAnsi="仿宋" w:eastAsia="仿宋" w:cs="仿宋"/>
                <w:color w:val="auto"/>
                <w:sz w:val="24"/>
                <w:highlight w:val="none"/>
              </w:rPr>
            </w:pPr>
          </w:p>
        </w:tc>
      </w:tr>
    </w:tbl>
    <w:p>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bl>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bl>
    <w:p>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ascii="仿宋" w:hAnsi="仿宋" w:eastAsia="仿宋" w:cs="仿宋"/>
          <w:color w:val="auto"/>
          <w:sz w:val="18"/>
          <w:szCs w:val="18"/>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ascii="仿宋" w:hAnsi="仿宋" w:eastAsia="仿宋" w:cs="仿宋"/>
          <w:b/>
          <w:bCs/>
          <w:color w:val="auto"/>
          <w:sz w:val="18"/>
          <w:szCs w:val="18"/>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napToGrid w:val="0"/>
        <w:spacing w:line="360" w:lineRule="auto"/>
        <w:ind w:right="1440"/>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pageBreakBefore/>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ascii="仿宋" w:hAnsi="仿宋" w:eastAsia="仿宋" w:cs="仿宋"/>
          <w:b/>
          <w:bCs/>
          <w:color w:val="auto"/>
          <w:sz w:val="30"/>
          <w:szCs w:val="30"/>
          <w:highlight w:val="none"/>
        </w:rPr>
      </w:pPr>
    </w:p>
    <w:p>
      <w:pPr>
        <w:spacing w:line="360" w:lineRule="auto"/>
        <w:jc w:val="center"/>
        <w:rPr>
          <w:rFonts w:ascii="仿宋" w:hAnsi="仿宋" w:eastAsia="仿宋" w:cs="仿宋"/>
          <w:b/>
          <w:bCs/>
          <w:color w:val="auto"/>
          <w:sz w:val="30"/>
          <w:szCs w:val="30"/>
          <w:highlight w:val="none"/>
        </w:rPr>
      </w:pPr>
    </w:p>
    <w:p>
      <w:pPr>
        <w:spacing w:line="360" w:lineRule="auto"/>
        <w:jc w:val="center"/>
        <w:rPr>
          <w:rFonts w:ascii="仿宋" w:hAnsi="仿宋" w:eastAsia="仿宋" w:cs="仿宋"/>
          <w:b/>
          <w:bCs/>
          <w:color w:val="auto"/>
          <w:sz w:val="24"/>
          <w:highlight w:val="none"/>
        </w:rPr>
      </w:pP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联合体成员名称(电子签章/公章)：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ascii="仿宋" w:hAnsi="仿宋" w:eastAsia="仿宋" w:cs="仿宋"/>
          <w:b/>
          <w:color w:val="auto"/>
          <w:kern w:val="0"/>
          <w:sz w:val="32"/>
          <w:szCs w:val="32"/>
          <w:highlight w:val="none"/>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投标人名称(电子签章)：</w:t>
      </w:r>
    </w:p>
    <w:p>
      <w:pPr>
        <w:snapToGrid w:val="0"/>
        <w:spacing w:line="360" w:lineRule="auto"/>
        <w:ind w:firstLine="5640" w:firstLineChars="23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pPr>
        <w:widowControl/>
        <w:spacing w:line="44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jc w:val="center"/>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ascii="仿宋" w:hAnsi="仿宋" w:eastAsia="仿宋" w:cs="仿宋"/>
          <w:color w:val="auto"/>
          <w:sz w:val="24"/>
          <w:highlight w:val="none"/>
        </w:rPr>
      </w:pPr>
    </w:p>
    <w:p>
      <w:pPr>
        <w:spacing w:line="360" w:lineRule="auto"/>
        <w:ind w:firstLine="482" w:firstLineChars="200"/>
        <w:rPr>
          <w:rFonts w:ascii="仿宋" w:hAnsi="仿宋" w:eastAsia="仿宋" w:cs="仿宋"/>
          <w:b/>
          <w:color w:val="auto"/>
          <w:sz w:val="24"/>
          <w:highlight w:val="none"/>
        </w:rPr>
      </w:pPr>
    </w:p>
    <w:p>
      <w:pPr>
        <w:spacing w:line="360" w:lineRule="auto"/>
        <w:ind w:firstLine="482" w:firstLineChars="200"/>
        <w:rPr>
          <w:rFonts w:ascii="仿宋" w:hAnsi="仿宋" w:eastAsia="仿宋" w:cs="仿宋"/>
          <w:b/>
          <w:color w:val="auto"/>
          <w:sz w:val="24"/>
          <w:highlight w:val="none"/>
        </w:rPr>
      </w:pPr>
    </w:p>
    <w:p>
      <w:pPr>
        <w:spacing w:line="360" w:lineRule="auto"/>
        <w:ind w:firstLine="482" w:firstLineChars="200"/>
        <w:rPr>
          <w:rFonts w:ascii="仿宋" w:hAnsi="仿宋" w:eastAsia="仿宋" w:cs="仿宋"/>
          <w:b/>
          <w:color w:val="auto"/>
          <w:sz w:val="24"/>
          <w:highlight w:val="none"/>
        </w:rPr>
      </w:pPr>
    </w:p>
    <w:p>
      <w:pPr>
        <w:pageBreakBefore/>
        <w:spacing w:line="360" w:lineRule="auto"/>
        <w:ind w:firstLine="482" w:firstLineChars="200"/>
        <w:rPr>
          <w:rFonts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snapToGrid w:val="0"/>
        <w:spacing w:line="360" w:lineRule="auto"/>
        <w:ind w:firstLine="5880" w:firstLineChars="24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cs="仿宋"/>
          <w:b/>
          <w:bCs/>
          <w:color w:val="auto"/>
          <w:sz w:val="24"/>
          <w:highlight w:val="none"/>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pageBreakBefore/>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color w:val="auto"/>
          <w:sz w:val="32"/>
          <w:szCs w:val="32"/>
          <w:highlight w:val="none"/>
        </w:rPr>
      </w:pPr>
    </w:p>
    <w:p>
      <w:pPr>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ascii="仿宋" w:hAnsi="仿宋" w:eastAsia="仿宋" w:cs="仿宋"/>
          <w:color w:val="auto"/>
          <w:sz w:val="24"/>
          <w:highlight w:val="none"/>
        </w:rPr>
      </w:pPr>
    </w:p>
    <w:p>
      <w:pPr>
        <w:ind w:right="420" w:firstLine="5880" w:firstLineChars="2450"/>
        <w:rPr>
          <w:rFonts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ascii="仿宋" w:hAnsi="仿宋" w:eastAsia="仿宋" w:cs="仿宋"/>
          <w:b/>
          <w:color w:val="auto"/>
          <w:sz w:val="18"/>
          <w:highlight w:val="none"/>
        </w:rPr>
      </w:pPr>
    </w:p>
    <w:p>
      <w:pPr>
        <w:jc w:val="center"/>
        <w:rPr>
          <w:rFonts w:ascii="仿宋" w:hAnsi="仿宋" w:eastAsia="仿宋" w:cs="仿宋"/>
          <w:b/>
          <w:color w:val="auto"/>
          <w:sz w:val="32"/>
          <w:highlight w:val="none"/>
        </w:rPr>
      </w:pPr>
    </w:p>
    <w:p>
      <w:pPr>
        <w:jc w:val="center"/>
        <w:rPr>
          <w:rFonts w:ascii="仿宋" w:hAnsi="仿宋" w:eastAsia="仿宋" w:cs="仿宋"/>
          <w:b/>
          <w:color w:val="auto"/>
          <w:sz w:val="32"/>
          <w:highlight w:val="none"/>
        </w:rPr>
      </w:pPr>
    </w:p>
    <w:p>
      <w:pPr>
        <w:rPr>
          <w:rFonts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ascii="仿宋" w:hAnsi="仿宋" w:eastAsia="仿宋" w:cs="仿宋"/>
          <w:color w:val="auto"/>
          <w:sz w:val="24"/>
          <w:highlight w:val="none"/>
        </w:rPr>
      </w:pPr>
    </w:p>
    <w:p>
      <w:pPr>
        <w:ind w:right="420" w:firstLine="5880" w:firstLineChars="2450"/>
        <w:rPr>
          <w:rFonts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color w:val="auto"/>
          <w:sz w:val="24"/>
          <w:highlight w:val="none"/>
        </w:rPr>
      </w:pPr>
    </w:p>
    <w:p>
      <w:pPr>
        <w:pageBreakBefore/>
        <w:spacing w:line="588"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ascii="仿宋" w:hAnsi="仿宋" w:eastAsia="仿宋" w:cs="仿宋"/>
          <w:b/>
          <w:color w:val="auto"/>
          <w:spacing w:val="6"/>
          <w:sz w:val="30"/>
          <w:szCs w:val="30"/>
          <w:highlight w:val="none"/>
        </w:rPr>
      </w:pPr>
    </w:p>
    <w:p>
      <w:pPr>
        <w:spacing w:line="588"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ascii="仿宋" w:hAnsi="仿宋" w:eastAsia="仿宋" w:cs="仿宋"/>
          <w:color w:val="auto"/>
          <w:sz w:val="24"/>
          <w:highlight w:val="none"/>
        </w:rPr>
      </w:pPr>
    </w:p>
    <w:p>
      <w:pPr>
        <w:spacing w:line="588" w:lineRule="exact"/>
        <w:ind w:firstLine="480" w:firstLineChars="200"/>
        <w:rPr>
          <w:rFonts w:ascii="仿宋" w:hAnsi="仿宋" w:eastAsia="仿宋" w:cs="仿宋"/>
          <w:color w:val="auto"/>
          <w:sz w:val="24"/>
          <w:highlight w:val="none"/>
        </w:rPr>
      </w:pPr>
    </w:p>
    <w:p>
      <w:pPr>
        <w:ind w:right="420" w:firstLine="5880" w:firstLineChars="2450"/>
        <w:rPr>
          <w:rFonts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ascii="仿宋" w:hAnsi="仿宋" w:eastAsia="仿宋" w:cs="仿宋"/>
          <w:color w:val="auto"/>
          <w:sz w:val="24"/>
          <w:highlight w:val="none"/>
        </w:rPr>
      </w:pPr>
    </w:p>
    <w:p>
      <w:pPr>
        <w:rPr>
          <w:rFonts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ascii="仿宋" w:hAnsi="仿宋" w:eastAsia="仿宋" w:cs="仿宋"/>
          <w:color w:val="auto"/>
          <w:highlight w:val="none"/>
        </w:rPr>
      </w:pPr>
    </w:p>
    <w:p>
      <w:pPr>
        <w:tabs>
          <w:tab w:val="left" w:pos="4860"/>
        </w:tabs>
        <w:ind w:right="1559"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1pt;width:389.9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ind w:firstLine="420" w:firstLineChars="200"/>
        <w:rPr>
          <w:rFonts w:ascii="仿宋" w:hAnsi="仿宋" w:eastAsia="仿宋" w:cs="仿宋"/>
          <w:color w:val="auto"/>
          <w:highlight w:val="none"/>
        </w:rPr>
      </w:pPr>
    </w:p>
    <w:p>
      <w:pPr>
        <w:ind w:firstLine="420" w:firstLineChars="200"/>
        <w:rPr>
          <w:rFonts w:ascii="仿宋" w:hAnsi="仿宋" w:eastAsia="仿宋" w:cs="仿宋"/>
          <w:color w:val="auto"/>
          <w:highlight w:val="none"/>
        </w:rPr>
      </w:pPr>
    </w:p>
    <w:p>
      <w:pPr>
        <w:ind w:firstLine="420" w:firstLineChars="200"/>
        <w:rPr>
          <w:rFonts w:ascii="仿宋" w:hAnsi="仿宋" w:eastAsia="仿宋" w:cs="仿宋"/>
          <w:color w:val="auto"/>
          <w:highlight w:val="none"/>
        </w:rPr>
      </w:pPr>
    </w:p>
    <w:p>
      <w:pPr>
        <w:ind w:firstLine="420" w:firstLineChars="200"/>
        <w:rPr>
          <w:rFonts w:ascii="仿宋" w:hAnsi="仿宋" w:eastAsia="仿宋" w:cs="仿宋"/>
          <w:color w:val="auto"/>
          <w:highlight w:val="none"/>
        </w:rPr>
      </w:pPr>
    </w:p>
    <w:p>
      <w:pPr>
        <w:rPr>
          <w:rFonts w:ascii="仿宋" w:hAnsi="仿宋" w:eastAsia="仿宋" w:cs="仿宋"/>
          <w:b/>
          <w:color w:val="auto"/>
          <w:sz w:val="24"/>
          <w:highlight w:val="none"/>
        </w:rPr>
      </w:pPr>
    </w:p>
    <w:p>
      <w:pPr>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color w:val="auto"/>
          <w:sz w:val="44"/>
          <w:szCs w:val="44"/>
          <w:highlight w:val="none"/>
        </w:rPr>
      </w:pPr>
    </w:p>
    <w:p>
      <w:pPr>
        <w:pageBreakBefore/>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ascii="仿宋" w:hAnsi="仿宋" w:eastAsia="仿宋" w:cs="仿宋"/>
          <w:color w:val="auto"/>
          <w:sz w:val="32"/>
          <w:szCs w:val="32"/>
          <w:highlight w:val="none"/>
        </w:rPr>
      </w:pPr>
    </w:p>
    <w:p>
      <w:pPr>
        <w:adjustRightInd w:val="0"/>
        <w:snapToGrid w:val="0"/>
        <w:spacing w:line="360" w:lineRule="auto"/>
        <w:rPr>
          <w:rFonts w:ascii="仿宋" w:hAnsi="仿宋" w:eastAsia="仿宋" w:cs="仿宋"/>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3.企业划分指标以现行统计制度为准。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（1）从业人员，是指期末从业人员数，没有期末从业人员数的，采用全年平均人员数代替。</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br w:type="textWrapping"/>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中国证券监督管理委员会中国保险监督管理委员会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 适用范围。本规定适用于从事《国民经济行业分类》(GB/T4754-2011)中J门类（金融业）活动的企业。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十、本规定由人民银行会同银监会，证监会、保监会和统计局负责解释。</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rPr>
          <w:rFonts w:ascii="仿宋" w:hAnsi="仿宋" w:eastAsia="仿宋" w:cs="仿宋"/>
          <w:color w:val="auto"/>
          <w:kern w:val="0"/>
          <w:sz w:val="24"/>
          <w:highlight w:val="none"/>
        </w:rPr>
      </w:pPr>
    </w:p>
    <w:sectPr>
      <w:headerReference r:id="rId9" w:type="default"/>
      <w:footerReference r:id="rId10" w:type="default"/>
      <w:footerReference r:id="rId11"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Arial"/>
    <w:panose1 w:val="020B0604020202020204"/>
    <w:charset w:val="00"/>
    <w:family w:val="roman"/>
    <w:pitch w:val="default"/>
    <w:sig w:usb0="00000000" w:usb1="00000000" w:usb2="00000000" w:usb3="00000000" w:csb0="00000001" w:csb1="00000000"/>
  </w:font>
  <w:font w:name="Calibri Light">
    <w:altName w:val="Calibri"/>
    <w:panose1 w:val="020F0302020204030204"/>
    <w:charset w:val="00"/>
    <w:family w:val="swiss"/>
    <w:pitch w:val="default"/>
    <w:sig w:usb0="00000000" w:usb1="00000000" w:usb2="00000000" w:usb3="00000000" w:csb0="0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348F2F"/>
    <w:multiLevelType w:val="singleLevel"/>
    <w:tmpl w:val="DF348F2F"/>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29D8BBFF"/>
    <w:multiLevelType w:val="singleLevel"/>
    <w:tmpl w:val="29D8BBFF"/>
    <w:lvl w:ilvl="0" w:tentative="0">
      <w:start w:val="1"/>
      <w:numFmt w:val="decimal"/>
      <w:suff w:val="nothing"/>
      <w:lvlText w:val="（%1）"/>
      <w:lvlJc w:val="left"/>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7"/>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mY5MDg0NGJlOWY0OTM2N2UyOGI4Y2I1YzJjZWE0M2QifQ=="/>
  </w:docVars>
  <w:rsids>
    <w:rsidRoot w:val="00417C8A"/>
    <w:rsid w:val="00002EF8"/>
    <w:rsid w:val="00003B69"/>
    <w:rsid w:val="00005125"/>
    <w:rsid w:val="0000551C"/>
    <w:rsid w:val="00007ED6"/>
    <w:rsid w:val="00010C9A"/>
    <w:rsid w:val="00010FC1"/>
    <w:rsid w:val="0001278F"/>
    <w:rsid w:val="0002045E"/>
    <w:rsid w:val="00021D87"/>
    <w:rsid w:val="0002203D"/>
    <w:rsid w:val="0002394A"/>
    <w:rsid w:val="0002468D"/>
    <w:rsid w:val="00025A9F"/>
    <w:rsid w:val="00026323"/>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58FB"/>
    <w:rsid w:val="000B625B"/>
    <w:rsid w:val="000C14CF"/>
    <w:rsid w:val="000C1F3C"/>
    <w:rsid w:val="000C20C0"/>
    <w:rsid w:val="000C3344"/>
    <w:rsid w:val="000D0E6C"/>
    <w:rsid w:val="000D110F"/>
    <w:rsid w:val="000D122E"/>
    <w:rsid w:val="000D1267"/>
    <w:rsid w:val="000D1D59"/>
    <w:rsid w:val="000D4D0E"/>
    <w:rsid w:val="000D716C"/>
    <w:rsid w:val="000E1C88"/>
    <w:rsid w:val="000E1F99"/>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478A8"/>
    <w:rsid w:val="00154591"/>
    <w:rsid w:val="00154E3A"/>
    <w:rsid w:val="00156633"/>
    <w:rsid w:val="00157269"/>
    <w:rsid w:val="001576C4"/>
    <w:rsid w:val="0015771E"/>
    <w:rsid w:val="00157914"/>
    <w:rsid w:val="00157FB7"/>
    <w:rsid w:val="00160B0A"/>
    <w:rsid w:val="00161F66"/>
    <w:rsid w:val="00162DD9"/>
    <w:rsid w:val="001637A2"/>
    <w:rsid w:val="00163B9C"/>
    <w:rsid w:val="00165068"/>
    <w:rsid w:val="001657B2"/>
    <w:rsid w:val="00171701"/>
    <w:rsid w:val="00171B28"/>
    <w:rsid w:val="0017334B"/>
    <w:rsid w:val="001739CF"/>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D"/>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1420"/>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37092"/>
    <w:rsid w:val="00240411"/>
    <w:rsid w:val="00243D9A"/>
    <w:rsid w:val="002442F3"/>
    <w:rsid w:val="00244766"/>
    <w:rsid w:val="00247AB8"/>
    <w:rsid w:val="00247FFD"/>
    <w:rsid w:val="00251888"/>
    <w:rsid w:val="00255C10"/>
    <w:rsid w:val="0025660E"/>
    <w:rsid w:val="00256A92"/>
    <w:rsid w:val="0025749B"/>
    <w:rsid w:val="002608A0"/>
    <w:rsid w:val="00260A0D"/>
    <w:rsid w:val="00262E82"/>
    <w:rsid w:val="00264B31"/>
    <w:rsid w:val="00264FFB"/>
    <w:rsid w:val="00266447"/>
    <w:rsid w:val="00267D7C"/>
    <w:rsid w:val="00270E20"/>
    <w:rsid w:val="00271324"/>
    <w:rsid w:val="00274AE8"/>
    <w:rsid w:val="00274B01"/>
    <w:rsid w:val="00275F7B"/>
    <w:rsid w:val="00283EAF"/>
    <w:rsid w:val="002857D3"/>
    <w:rsid w:val="002860D2"/>
    <w:rsid w:val="00286495"/>
    <w:rsid w:val="0028775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4DCA"/>
    <w:rsid w:val="002E65B7"/>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6A0C"/>
    <w:rsid w:val="003670EB"/>
    <w:rsid w:val="00367BF2"/>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1089"/>
    <w:rsid w:val="003E2D56"/>
    <w:rsid w:val="003E4007"/>
    <w:rsid w:val="003E4259"/>
    <w:rsid w:val="003E5724"/>
    <w:rsid w:val="003E6C02"/>
    <w:rsid w:val="003F02CF"/>
    <w:rsid w:val="003F2982"/>
    <w:rsid w:val="003F4084"/>
    <w:rsid w:val="003F475C"/>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149D"/>
    <w:rsid w:val="004350B7"/>
    <w:rsid w:val="004357E0"/>
    <w:rsid w:val="0043766D"/>
    <w:rsid w:val="00440C87"/>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1549"/>
    <w:rsid w:val="004832BC"/>
    <w:rsid w:val="00485E04"/>
    <w:rsid w:val="00486B01"/>
    <w:rsid w:val="00487465"/>
    <w:rsid w:val="004939A7"/>
    <w:rsid w:val="00495C9D"/>
    <w:rsid w:val="00495CE3"/>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00B6"/>
    <w:rsid w:val="00532937"/>
    <w:rsid w:val="005351C1"/>
    <w:rsid w:val="00536C44"/>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5CE8"/>
    <w:rsid w:val="0058680D"/>
    <w:rsid w:val="00586C3A"/>
    <w:rsid w:val="005879E7"/>
    <w:rsid w:val="00590A70"/>
    <w:rsid w:val="00591190"/>
    <w:rsid w:val="00591584"/>
    <w:rsid w:val="00592C38"/>
    <w:rsid w:val="00594CDD"/>
    <w:rsid w:val="00595AB2"/>
    <w:rsid w:val="005A3003"/>
    <w:rsid w:val="005A32FB"/>
    <w:rsid w:val="005A3E6E"/>
    <w:rsid w:val="005A4501"/>
    <w:rsid w:val="005A57A7"/>
    <w:rsid w:val="005A7A4A"/>
    <w:rsid w:val="005B180C"/>
    <w:rsid w:val="005B5530"/>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2AE0"/>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049F"/>
    <w:rsid w:val="00622201"/>
    <w:rsid w:val="006225C8"/>
    <w:rsid w:val="006225CB"/>
    <w:rsid w:val="00624516"/>
    <w:rsid w:val="006257E9"/>
    <w:rsid w:val="00625BC2"/>
    <w:rsid w:val="0062625D"/>
    <w:rsid w:val="006264DB"/>
    <w:rsid w:val="00630ADC"/>
    <w:rsid w:val="00630CF7"/>
    <w:rsid w:val="006351A3"/>
    <w:rsid w:val="0063736A"/>
    <w:rsid w:val="00637770"/>
    <w:rsid w:val="006378C9"/>
    <w:rsid w:val="00642276"/>
    <w:rsid w:val="00643AA9"/>
    <w:rsid w:val="00643BDC"/>
    <w:rsid w:val="0064613F"/>
    <w:rsid w:val="006465FE"/>
    <w:rsid w:val="006467D7"/>
    <w:rsid w:val="00646E44"/>
    <w:rsid w:val="00651F43"/>
    <w:rsid w:val="006527F3"/>
    <w:rsid w:val="006541FB"/>
    <w:rsid w:val="00660E6B"/>
    <w:rsid w:val="00665466"/>
    <w:rsid w:val="00665C19"/>
    <w:rsid w:val="00665CBD"/>
    <w:rsid w:val="00671A32"/>
    <w:rsid w:val="0067222A"/>
    <w:rsid w:val="00672AC8"/>
    <w:rsid w:val="00675C4B"/>
    <w:rsid w:val="0067762D"/>
    <w:rsid w:val="00680B4E"/>
    <w:rsid w:val="006810E4"/>
    <w:rsid w:val="006839B6"/>
    <w:rsid w:val="006843E1"/>
    <w:rsid w:val="0068671B"/>
    <w:rsid w:val="00686F48"/>
    <w:rsid w:val="006872D9"/>
    <w:rsid w:val="00687DA3"/>
    <w:rsid w:val="00690BB5"/>
    <w:rsid w:val="0069160B"/>
    <w:rsid w:val="00692C16"/>
    <w:rsid w:val="006936A5"/>
    <w:rsid w:val="006948E4"/>
    <w:rsid w:val="00694B34"/>
    <w:rsid w:val="00694B87"/>
    <w:rsid w:val="00694D00"/>
    <w:rsid w:val="006A1906"/>
    <w:rsid w:val="006A3D9E"/>
    <w:rsid w:val="006A4364"/>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6923"/>
    <w:rsid w:val="00707395"/>
    <w:rsid w:val="007122EB"/>
    <w:rsid w:val="00715B09"/>
    <w:rsid w:val="0072144E"/>
    <w:rsid w:val="00721688"/>
    <w:rsid w:val="00721BF4"/>
    <w:rsid w:val="007266EE"/>
    <w:rsid w:val="00727382"/>
    <w:rsid w:val="0072764B"/>
    <w:rsid w:val="00727936"/>
    <w:rsid w:val="00727E2C"/>
    <w:rsid w:val="00727F6F"/>
    <w:rsid w:val="007327FF"/>
    <w:rsid w:val="007402C2"/>
    <w:rsid w:val="007402D5"/>
    <w:rsid w:val="00740820"/>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71DE"/>
    <w:rsid w:val="007A06F3"/>
    <w:rsid w:val="007A0F0F"/>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4B55"/>
    <w:rsid w:val="007E6C18"/>
    <w:rsid w:val="007E765C"/>
    <w:rsid w:val="007F0029"/>
    <w:rsid w:val="007F0976"/>
    <w:rsid w:val="007F168D"/>
    <w:rsid w:val="007F1749"/>
    <w:rsid w:val="007F3580"/>
    <w:rsid w:val="007F5965"/>
    <w:rsid w:val="007F5CEC"/>
    <w:rsid w:val="007F6983"/>
    <w:rsid w:val="007F720A"/>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2F70"/>
    <w:rsid w:val="008432A5"/>
    <w:rsid w:val="00844F41"/>
    <w:rsid w:val="008457C1"/>
    <w:rsid w:val="0084613D"/>
    <w:rsid w:val="00850E6B"/>
    <w:rsid w:val="00852E88"/>
    <w:rsid w:val="0085512C"/>
    <w:rsid w:val="008557E8"/>
    <w:rsid w:val="00862C3D"/>
    <w:rsid w:val="00863478"/>
    <w:rsid w:val="00863945"/>
    <w:rsid w:val="00864E3D"/>
    <w:rsid w:val="00875064"/>
    <w:rsid w:val="0087661B"/>
    <w:rsid w:val="00877F0F"/>
    <w:rsid w:val="008800C8"/>
    <w:rsid w:val="0088347A"/>
    <w:rsid w:val="00885797"/>
    <w:rsid w:val="00886234"/>
    <w:rsid w:val="008863D4"/>
    <w:rsid w:val="00886634"/>
    <w:rsid w:val="00887B85"/>
    <w:rsid w:val="00890B37"/>
    <w:rsid w:val="00890DCD"/>
    <w:rsid w:val="00895B37"/>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672"/>
    <w:rsid w:val="00940FA0"/>
    <w:rsid w:val="009415ED"/>
    <w:rsid w:val="00944F1A"/>
    <w:rsid w:val="00947BAD"/>
    <w:rsid w:val="00947FE6"/>
    <w:rsid w:val="00952269"/>
    <w:rsid w:val="00952CE1"/>
    <w:rsid w:val="00953507"/>
    <w:rsid w:val="009557D2"/>
    <w:rsid w:val="009568DF"/>
    <w:rsid w:val="009626CD"/>
    <w:rsid w:val="009639DC"/>
    <w:rsid w:val="00963B11"/>
    <w:rsid w:val="00963B57"/>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4D52"/>
    <w:rsid w:val="009A5E9D"/>
    <w:rsid w:val="009A5F02"/>
    <w:rsid w:val="009A728E"/>
    <w:rsid w:val="009A74ED"/>
    <w:rsid w:val="009B022A"/>
    <w:rsid w:val="009B0779"/>
    <w:rsid w:val="009B1146"/>
    <w:rsid w:val="009B206E"/>
    <w:rsid w:val="009B24E0"/>
    <w:rsid w:val="009B3142"/>
    <w:rsid w:val="009B55F5"/>
    <w:rsid w:val="009B7B41"/>
    <w:rsid w:val="009C17E3"/>
    <w:rsid w:val="009C1E3D"/>
    <w:rsid w:val="009C221E"/>
    <w:rsid w:val="009C3B05"/>
    <w:rsid w:val="009C473A"/>
    <w:rsid w:val="009C4D5D"/>
    <w:rsid w:val="009C4F71"/>
    <w:rsid w:val="009C6549"/>
    <w:rsid w:val="009C725B"/>
    <w:rsid w:val="009C76D3"/>
    <w:rsid w:val="009C77E0"/>
    <w:rsid w:val="009C7CAC"/>
    <w:rsid w:val="009D13D6"/>
    <w:rsid w:val="009D1860"/>
    <w:rsid w:val="009D2177"/>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4E4F"/>
    <w:rsid w:val="00A15C91"/>
    <w:rsid w:val="00A200B6"/>
    <w:rsid w:val="00A2031E"/>
    <w:rsid w:val="00A20F2A"/>
    <w:rsid w:val="00A21010"/>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A7AB4"/>
    <w:rsid w:val="00AB01E4"/>
    <w:rsid w:val="00AB1582"/>
    <w:rsid w:val="00AB29D3"/>
    <w:rsid w:val="00AB39F3"/>
    <w:rsid w:val="00AB44CD"/>
    <w:rsid w:val="00AB44F1"/>
    <w:rsid w:val="00AB454D"/>
    <w:rsid w:val="00AB66C6"/>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6DF8"/>
    <w:rsid w:val="00C17776"/>
    <w:rsid w:val="00C1781A"/>
    <w:rsid w:val="00C2059D"/>
    <w:rsid w:val="00C20DC8"/>
    <w:rsid w:val="00C23661"/>
    <w:rsid w:val="00C2561D"/>
    <w:rsid w:val="00C300F2"/>
    <w:rsid w:val="00C316A8"/>
    <w:rsid w:val="00C3170E"/>
    <w:rsid w:val="00C31EB2"/>
    <w:rsid w:val="00C320DF"/>
    <w:rsid w:val="00C329C3"/>
    <w:rsid w:val="00C34C64"/>
    <w:rsid w:val="00C35B77"/>
    <w:rsid w:val="00C35D54"/>
    <w:rsid w:val="00C408A4"/>
    <w:rsid w:val="00C4126C"/>
    <w:rsid w:val="00C42C0C"/>
    <w:rsid w:val="00C42C40"/>
    <w:rsid w:val="00C45D96"/>
    <w:rsid w:val="00C55889"/>
    <w:rsid w:val="00C55E95"/>
    <w:rsid w:val="00C62563"/>
    <w:rsid w:val="00C6395F"/>
    <w:rsid w:val="00C642F8"/>
    <w:rsid w:val="00C649BC"/>
    <w:rsid w:val="00C66128"/>
    <w:rsid w:val="00C66BD5"/>
    <w:rsid w:val="00C66EE6"/>
    <w:rsid w:val="00C66FCB"/>
    <w:rsid w:val="00C670AB"/>
    <w:rsid w:val="00C71D3E"/>
    <w:rsid w:val="00C721C3"/>
    <w:rsid w:val="00C74EB4"/>
    <w:rsid w:val="00C826A0"/>
    <w:rsid w:val="00C83068"/>
    <w:rsid w:val="00C83429"/>
    <w:rsid w:val="00C8407F"/>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03FE"/>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56718"/>
    <w:rsid w:val="00D625F8"/>
    <w:rsid w:val="00D626F2"/>
    <w:rsid w:val="00D63D29"/>
    <w:rsid w:val="00D649AA"/>
    <w:rsid w:val="00D659D3"/>
    <w:rsid w:val="00D70675"/>
    <w:rsid w:val="00D73693"/>
    <w:rsid w:val="00D74A49"/>
    <w:rsid w:val="00D74BEC"/>
    <w:rsid w:val="00D75A07"/>
    <w:rsid w:val="00D80A4D"/>
    <w:rsid w:val="00D83294"/>
    <w:rsid w:val="00D832F2"/>
    <w:rsid w:val="00D83A4D"/>
    <w:rsid w:val="00D840D8"/>
    <w:rsid w:val="00D85827"/>
    <w:rsid w:val="00D90F07"/>
    <w:rsid w:val="00D92EA4"/>
    <w:rsid w:val="00D93A13"/>
    <w:rsid w:val="00D949A2"/>
    <w:rsid w:val="00D94B21"/>
    <w:rsid w:val="00DA0B33"/>
    <w:rsid w:val="00DA1B47"/>
    <w:rsid w:val="00DA2036"/>
    <w:rsid w:val="00DA3FC7"/>
    <w:rsid w:val="00DA4666"/>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0665"/>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3C16"/>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7A3"/>
    <w:rsid w:val="00E80AE9"/>
    <w:rsid w:val="00E85789"/>
    <w:rsid w:val="00E8610C"/>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3ED6"/>
    <w:rsid w:val="00EE4212"/>
    <w:rsid w:val="00EE54FE"/>
    <w:rsid w:val="00EE55D8"/>
    <w:rsid w:val="00EE5E15"/>
    <w:rsid w:val="00EF03A2"/>
    <w:rsid w:val="00EF1A94"/>
    <w:rsid w:val="00EF20FA"/>
    <w:rsid w:val="00EF52D6"/>
    <w:rsid w:val="00EF7E5B"/>
    <w:rsid w:val="00F00B43"/>
    <w:rsid w:val="00F0162F"/>
    <w:rsid w:val="00F01C96"/>
    <w:rsid w:val="00F02284"/>
    <w:rsid w:val="00F0661F"/>
    <w:rsid w:val="00F07817"/>
    <w:rsid w:val="00F12CBB"/>
    <w:rsid w:val="00F1355C"/>
    <w:rsid w:val="00F16306"/>
    <w:rsid w:val="00F226E8"/>
    <w:rsid w:val="00F2566F"/>
    <w:rsid w:val="00F30E51"/>
    <w:rsid w:val="00F31980"/>
    <w:rsid w:val="00F31AD0"/>
    <w:rsid w:val="00F32B3C"/>
    <w:rsid w:val="00F33527"/>
    <w:rsid w:val="00F3506F"/>
    <w:rsid w:val="00F35DF7"/>
    <w:rsid w:val="00F37F36"/>
    <w:rsid w:val="00F40025"/>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4F48"/>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177E"/>
    <w:rsid w:val="00FC33BC"/>
    <w:rsid w:val="00FC5B79"/>
    <w:rsid w:val="00FC6821"/>
    <w:rsid w:val="00FC7905"/>
    <w:rsid w:val="00FD0273"/>
    <w:rsid w:val="00FE5E89"/>
    <w:rsid w:val="00FE7260"/>
    <w:rsid w:val="00FF0866"/>
    <w:rsid w:val="00FF0CA9"/>
    <w:rsid w:val="00FF2D7D"/>
    <w:rsid w:val="00FF6B49"/>
    <w:rsid w:val="00FF724C"/>
    <w:rsid w:val="00FF7BD2"/>
    <w:rsid w:val="0F9B5B66"/>
    <w:rsid w:val="184D5879"/>
    <w:rsid w:val="2E70759E"/>
    <w:rsid w:val="348C57E1"/>
    <w:rsid w:val="3F477A37"/>
    <w:rsid w:val="6431742D"/>
    <w:rsid w:val="72E87C49"/>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iPriority="99"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1"/>
    <w:link w:val="291"/>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9"/>
    <w:qFormat/>
    <w:uiPriority w:val="0"/>
    <w:pPr>
      <w:keepNext/>
      <w:widowControl/>
      <w:numPr>
        <w:ilvl w:val="0"/>
        <w:numId w:val="4"/>
      </w:numPr>
      <w:jc w:val="left"/>
      <w:outlineLvl w:val="4"/>
    </w:pPr>
    <w:rPr>
      <w:kern w:val="0"/>
      <w:sz w:val="24"/>
      <w:szCs w:val="20"/>
    </w:rPr>
  </w:style>
  <w:style w:type="paragraph" w:styleId="9">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table of authorities"/>
    <w:basedOn w:val="1"/>
    <w:next w:val="1"/>
    <w:unhideWhenUsed/>
    <w:qFormat/>
    <w:uiPriority w:val="99"/>
    <w:pPr>
      <w:ind w:left="420" w:leftChars="200"/>
    </w:p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1"/>
    <w:qFormat/>
    <w:uiPriority w:val="0"/>
    <w:pPr>
      <w:spacing w:line="360" w:lineRule="auto"/>
      <w:jc w:val="center"/>
    </w:pPr>
    <w:rPr>
      <w:rFonts w:ascii="Calibri" w:hAnsi="Calibri"/>
      <w:sz w:val="20"/>
      <w:szCs w:val="20"/>
    </w:rPr>
  </w:style>
  <w:style w:type="paragraph" w:styleId="17">
    <w:name w:val="Document Map"/>
    <w:basedOn w:val="1"/>
    <w:link w:val="120"/>
    <w:semiHidden/>
    <w:qFormat/>
    <w:uiPriority w:val="0"/>
    <w:pPr>
      <w:shd w:val="clear" w:color="auto" w:fill="000080"/>
    </w:pPr>
  </w:style>
  <w:style w:type="paragraph" w:styleId="18">
    <w:name w:val="annotation text"/>
    <w:basedOn w:val="1"/>
    <w:link w:val="72"/>
    <w:qFormat/>
    <w:uiPriority w:val="99"/>
    <w:pPr>
      <w:jc w:val="left"/>
    </w:pPr>
  </w:style>
  <w:style w:type="paragraph" w:styleId="19">
    <w:name w:val="Body Text"/>
    <w:basedOn w:val="1"/>
    <w:link w:val="85"/>
    <w:qFormat/>
    <w:uiPriority w:val="0"/>
    <w:pPr>
      <w:spacing w:line="360" w:lineRule="auto"/>
    </w:pPr>
    <w:rPr>
      <w:rFonts w:eastAsia="仿宋_GB2312"/>
      <w:sz w:val="28"/>
    </w:rPr>
  </w:style>
  <w:style w:type="paragraph" w:styleId="20">
    <w:name w:val="Body Text Indent"/>
    <w:basedOn w:val="1"/>
    <w:next w:val="21"/>
    <w:link w:val="66"/>
    <w:qFormat/>
    <w:uiPriority w:val="0"/>
    <w:pPr>
      <w:spacing w:after="120"/>
      <w:ind w:left="420" w:leftChars="200"/>
    </w:pPr>
  </w:style>
  <w:style w:type="paragraph" w:styleId="21">
    <w:name w:val="envelope return"/>
    <w:basedOn w:val="1"/>
    <w:qFormat/>
    <w:uiPriority w:val="0"/>
    <w:pPr>
      <w:snapToGrid w:val="0"/>
    </w:pPr>
    <w:rPr>
      <w:rFonts w:ascii="Arial" w:hAnsi="Arial"/>
    </w:rPr>
  </w:style>
  <w:style w:type="paragraph" w:styleId="22">
    <w:name w:val="List Number 3"/>
    <w:basedOn w:val="1"/>
    <w:qFormat/>
    <w:uiPriority w:val="0"/>
    <w:pPr>
      <w:widowControl/>
      <w:tabs>
        <w:tab w:val="left" w:pos="482"/>
      </w:tabs>
      <w:spacing w:afterLines="50"/>
      <w:ind w:left="482" w:hanging="340"/>
      <w:jc w:val="left"/>
    </w:pPr>
    <w:rPr>
      <w:kern w:val="0"/>
      <w:sz w:val="24"/>
      <w:szCs w:val="20"/>
    </w:rPr>
  </w:style>
  <w:style w:type="paragraph" w:styleId="23">
    <w:name w:val="Block Text"/>
    <w:basedOn w:val="1"/>
    <w:qFormat/>
    <w:uiPriority w:val="0"/>
    <w:pPr>
      <w:spacing w:before="120" w:line="360" w:lineRule="auto"/>
      <w:ind w:left="824" w:right="202"/>
    </w:pPr>
    <w:rPr>
      <w:rFonts w:ascii="宋体" w:hAnsi="宋体"/>
      <w:sz w:val="24"/>
      <w:szCs w:val="21"/>
    </w:rPr>
  </w:style>
  <w:style w:type="paragraph" w:styleId="24">
    <w:name w:val="toc 3"/>
    <w:basedOn w:val="1"/>
    <w:next w:val="1"/>
    <w:unhideWhenUsed/>
    <w:qFormat/>
    <w:uiPriority w:val="0"/>
    <w:pPr>
      <w:ind w:left="840" w:leftChars="400"/>
    </w:pPr>
    <w:rPr>
      <w:rFonts w:ascii="Calibri" w:hAnsi="Calibri"/>
      <w:szCs w:val="22"/>
    </w:rPr>
  </w:style>
  <w:style w:type="paragraph" w:styleId="25">
    <w:name w:val="Plain Text"/>
    <w:basedOn w:val="1"/>
    <w:next w:val="1"/>
    <w:link w:val="64"/>
    <w:qFormat/>
    <w:uiPriority w:val="0"/>
    <w:rPr>
      <w:rFonts w:ascii="宋体" w:hAnsi="Courier New"/>
      <w:szCs w:val="20"/>
    </w:rPr>
  </w:style>
  <w:style w:type="paragraph" w:styleId="26">
    <w:name w:val="Date"/>
    <w:basedOn w:val="1"/>
    <w:next w:val="1"/>
    <w:link w:val="67"/>
    <w:qFormat/>
    <w:uiPriority w:val="0"/>
    <w:rPr>
      <w:rFonts w:ascii="楷体_GB2312" w:eastAsia="楷体_GB2312"/>
      <w:b/>
      <w:sz w:val="28"/>
      <w:szCs w:val="20"/>
    </w:rPr>
  </w:style>
  <w:style w:type="paragraph" w:styleId="27">
    <w:name w:val="Body Text Indent 2"/>
    <w:basedOn w:val="1"/>
    <w:link w:val="81"/>
    <w:qFormat/>
    <w:uiPriority w:val="0"/>
    <w:pPr>
      <w:spacing w:after="120" w:line="480" w:lineRule="auto"/>
      <w:ind w:left="420" w:leftChars="200"/>
    </w:pPr>
  </w:style>
  <w:style w:type="paragraph" w:styleId="28">
    <w:name w:val="Balloon Text"/>
    <w:basedOn w:val="1"/>
    <w:link w:val="199"/>
    <w:semiHidden/>
    <w:qFormat/>
    <w:uiPriority w:val="0"/>
    <w:rPr>
      <w:sz w:val="18"/>
      <w:szCs w:val="18"/>
    </w:rPr>
  </w:style>
  <w:style w:type="paragraph" w:styleId="29">
    <w:name w:val="footer"/>
    <w:basedOn w:val="1"/>
    <w:link w:val="69"/>
    <w:qFormat/>
    <w:uiPriority w:val="99"/>
    <w:pPr>
      <w:tabs>
        <w:tab w:val="center" w:pos="4153"/>
        <w:tab w:val="right" w:pos="8306"/>
      </w:tabs>
      <w:snapToGrid w:val="0"/>
      <w:jc w:val="left"/>
    </w:pPr>
    <w:rPr>
      <w:sz w:val="18"/>
      <w:szCs w:val="18"/>
    </w:rPr>
  </w:style>
  <w:style w:type="paragraph" w:styleId="30">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style>
  <w:style w:type="paragraph" w:styleId="32">
    <w:name w:val="toc 4"/>
    <w:basedOn w:val="1"/>
    <w:next w:val="1"/>
    <w:semiHidden/>
    <w:qFormat/>
    <w:uiPriority w:val="0"/>
    <w:pPr>
      <w:tabs>
        <w:tab w:val="right" w:leader="dot" w:pos="8314"/>
      </w:tabs>
      <w:ind w:firstLine="588" w:firstLineChars="245"/>
    </w:pPr>
  </w:style>
  <w:style w:type="paragraph" w:styleId="33">
    <w:name w:val="Body Text Indent 3"/>
    <w:basedOn w:val="1"/>
    <w:link w:val="200"/>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3"/>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5"/>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8"/>
    <w:next w:val="18"/>
    <w:link w:val="202"/>
    <w:semiHidden/>
    <w:qFormat/>
    <w:uiPriority w:val="0"/>
    <w:pPr>
      <w:widowControl/>
      <w:spacing w:afterLines="50"/>
    </w:pPr>
    <w:rPr>
      <w:b/>
      <w:bCs/>
      <w:kern w:val="0"/>
      <w:sz w:val="24"/>
      <w:szCs w:val="20"/>
    </w:rPr>
  </w:style>
  <w:style w:type="paragraph" w:styleId="42">
    <w:name w:val="Body Text First Indent"/>
    <w:basedOn w:val="19"/>
    <w:link w:val="203"/>
    <w:qFormat/>
    <w:uiPriority w:val="0"/>
    <w:pPr>
      <w:spacing w:after="120" w:line="240" w:lineRule="auto"/>
      <w:ind w:firstLine="420" w:firstLineChars="100"/>
    </w:pPr>
    <w:rPr>
      <w:rFonts w:eastAsia="宋体"/>
      <w:sz w:val="21"/>
    </w:rPr>
  </w:style>
  <w:style w:type="paragraph" w:styleId="43">
    <w:name w:val="Body Text First Indent 2"/>
    <w:basedOn w:val="20"/>
    <w:link w:val="204"/>
    <w:qFormat/>
    <w:uiPriority w:val="0"/>
    <w:pPr>
      <w:ind w:firstLine="420" w:firstLineChars="200"/>
    </w:pPr>
  </w:style>
  <w:style w:type="table" w:styleId="45">
    <w:name w:val="Table Grid"/>
    <w:basedOn w:val="4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99"/>
    <w:rPr>
      <w:sz w:val="21"/>
      <w:szCs w:val="21"/>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5"/>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3 Char"/>
    <w:link w:val="6"/>
    <w:qFormat/>
    <w:uiPriority w:val="0"/>
    <w:rPr>
      <w:rFonts w:eastAsia="仿宋_GB2312"/>
      <w:b/>
      <w:kern w:val="2"/>
      <w:sz w:val="32"/>
      <w:lang w:val="en-US" w:eastAsia="zh-CN" w:bidi="ar-SA"/>
    </w:rPr>
  </w:style>
  <w:style w:type="character" w:customStyle="1" w:styleId="58">
    <w:name w:val="标题 4 Char1"/>
    <w:link w:val="7"/>
    <w:qFormat/>
    <w:uiPriority w:val="0"/>
    <w:rPr>
      <w:rFonts w:ascii="Arial" w:hAnsi="Arial" w:eastAsia="黑体"/>
      <w:b/>
      <w:kern w:val="2"/>
      <w:sz w:val="28"/>
      <w:lang w:val="en-US" w:eastAsia="zh-CN" w:bidi="ar-SA"/>
    </w:rPr>
  </w:style>
  <w:style w:type="character" w:customStyle="1" w:styleId="59">
    <w:name w:val="标题 5 Char1"/>
    <w:link w:val="8"/>
    <w:qFormat/>
    <w:uiPriority w:val="0"/>
    <w:rPr>
      <w:rFonts w:eastAsia="宋体"/>
      <w:sz w:val="24"/>
      <w:lang w:val="en-US" w:eastAsia="zh-CN" w:bidi="ar-SA"/>
    </w:rPr>
  </w:style>
  <w:style w:type="character" w:customStyle="1" w:styleId="60">
    <w:name w:val="标题 6 Char1"/>
    <w:link w:val="9"/>
    <w:qFormat/>
    <w:uiPriority w:val="0"/>
    <w:rPr>
      <w:rFonts w:ascii="宋体" w:hAnsi="Arial" w:eastAsia="宋体"/>
      <w:sz w:val="24"/>
      <w:lang w:val="en-US" w:eastAsia="zh-CN" w:bidi="ar-SA"/>
    </w:rPr>
  </w:style>
  <w:style w:type="character" w:customStyle="1" w:styleId="61">
    <w:name w:val="标题 7 Char1"/>
    <w:link w:val="10"/>
    <w:qFormat/>
    <w:uiPriority w:val="0"/>
    <w:rPr>
      <w:rFonts w:ascii="宋体" w:hAnsi="Arial" w:eastAsia="宋体"/>
      <w:b/>
      <w:sz w:val="24"/>
      <w:lang w:val="en-US" w:eastAsia="zh-CN" w:bidi="ar-SA"/>
    </w:rPr>
  </w:style>
  <w:style w:type="character" w:customStyle="1" w:styleId="62">
    <w:name w:val="标题 8 Char1"/>
    <w:link w:val="11"/>
    <w:qFormat/>
    <w:uiPriority w:val="0"/>
    <w:rPr>
      <w:rFonts w:ascii="Arial" w:hAnsi="Arial" w:eastAsia="黑体"/>
      <w:sz w:val="24"/>
      <w:lang w:val="en-US" w:eastAsia="zh-CN" w:bidi="ar-SA"/>
    </w:rPr>
  </w:style>
  <w:style w:type="character" w:customStyle="1" w:styleId="63">
    <w:name w:val="标题 9 Char1"/>
    <w:link w:val="12"/>
    <w:qFormat/>
    <w:uiPriority w:val="0"/>
    <w:rPr>
      <w:rFonts w:ascii="Arial" w:hAnsi="Arial" w:eastAsia="黑体"/>
      <w:sz w:val="24"/>
      <w:lang w:val="en-US" w:eastAsia="zh-CN" w:bidi="ar-SA"/>
    </w:rPr>
  </w:style>
  <w:style w:type="character" w:customStyle="1" w:styleId="64">
    <w:name w:val="纯文本 Char"/>
    <w:link w:val="25"/>
    <w:qFormat/>
    <w:uiPriority w:val="0"/>
    <w:rPr>
      <w:rFonts w:ascii="宋体" w:hAnsi="Courier New" w:eastAsia="宋体"/>
      <w:kern w:val="2"/>
      <w:sz w:val="21"/>
      <w:lang w:val="en-US" w:eastAsia="zh-CN" w:bidi="ar-SA"/>
    </w:rPr>
  </w:style>
  <w:style w:type="paragraph" w:customStyle="1" w:styleId="65">
    <w:name w:val="表正文"/>
    <w:basedOn w:val="1"/>
    <w:next w:val="25"/>
    <w:qFormat/>
    <w:uiPriority w:val="0"/>
    <w:rPr>
      <w:rFonts w:ascii="宋体" w:hAnsi="Courier New"/>
      <w:szCs w:val="20"/>
    </w:rPr>
  </w:style>
  <w:style w:type="character" w:customStyle="1" w:styleId="66">
    <w:name w:val="正文文本缩进 Char"/>
    <w:link w:val="20"/>
    <w:qFormat/>
    <w:uiPriority w:val="0"/>
    <w:rPr>
      <w:rFonts w:eastAsia="宋体"/>
      <w:kern w:val="2"/>
      <w:sz w:val="21"/>
      <w:szCs w:val="24"/>
      <w:lang w:val="en-US" w:eastAsia="zh-CN" w:bidi="ar-SA"/>
    </w:rPr>
  </w:style>
  <w:style w:type="character" w:customStyle="1" w:styleId="67">
    <w:name w:val="日期 Char2"/>
    <w:link w:val="26"/>
    <w:qFormat/>
    <w:uiPriority w:val="0"/>
    <w:rPr>
      <w:rFonts w:ascii="楷体_GB2312" w:eastAsia="楷体_GB2312"/>
      <w:b/>
      <w:kern w:val="2"/>
      <w:sz w:val="28"/>
      <w:lang w:val="en-US" w:eastAsia="zh-CN" w:bidi="ar-SA"/>
    </w:rPr>
  </w:style>
  <w:style w:type="character" w:customStyle="1" w:styleId="68">
    <w:name w:val="页眉 Char1"/>
    <w:link w:val="30"/>
    <w:qFormat/>
    <w:uiPriority w:val="0"/>
    <w:rPr>
      <w:rFonts w:eastAsia="宋体"/>
      <w:kern w:val="2"/>
      <w:sz w:val="18"/>
      <w:szCs w:val="18"/>
      <w:lang w:val="en-US" w:eastAsia="zh-CN" w:bidi="ar-SA"/>
    </w:rPr>
  </w:style>
  <w:style w:type="character" w:customStyle="1" w:styleId="69">
    <w:name w:val="页脚 Char"/>
    <w:link w:val="29"/>
    <w:qFormat/>
    <w:locked/>
    <w:uiPriority w:val="0"/>
    <w:rPr>
      <w:rFonts w:eastAsia="宋体"/>
      <w:kern w:val="2"/>
      <w:sz w:val="18"/>
      <w:szCs w:val="18"/>
      <w:lang w:val="en-US" w:eastAsia="zh-CN" w:bidi="ar-SA"/>
    </w:rPr>
  </w:style>
  <w:style w:type="paragraph" w:customStyle="1" w:styleId="70">
    <w:name w:val="正文段"/>
    <w:basedOn w:val="1"/>
    <w:link w:val="71"/>
    <w:qFormat/>
    <w:uiPriority w:val="0"/>
    <w:pPr>
      <w:widowControl/>
      <w:snapToGrid w:val="0"/>
      <w:spacing w:afterLines="50"/>
      <w:ind w:firstLine="200" w:firstLineChars="200"/>
    </w:pPr>
    <w:rPr>
      <w:kern w:val="0"/>
      <w:sz w:val="24"/>
      <w:szCs w:val="20"/>
    </w:rPr>
  </w:style>
  <w:style w:type="character" w:customStyle="1" w:styleId="71">
    <w:name w:val="正文段 Char"/>
    <w:link w:val="70"/>
    <w:qFormat/>
    <w:uiPriority w:val="0"/>
    <w:rPr>
      <w:rFonts w:eastAsia="宋体"/>
      <w:sz w:val="24"/>
      <w:lang w:val="en-US" w:eastAsia="zh-CN" w:bidi="ar-SA"/>
    </w:rPr>
  </w:style>
  <w:style w:type="character" w:customStyle="1" w:styleId="72">
    <w:name w:val="批注文字 Char1"/>
    <w:link w:val="18"/>
    <w:qFormat/>
    <w:uiPriority w:val="0"/>
    <w:rPr>
      <w:rFonts w:eastAsia="宋体"/>
      <w:kern w:val="2"/>
      <w:sz w:val="21"/>
      <w:szCs w:val="24"/>
      <w:lang w:val="en-US" w:eastAsia="zh-CN" w:bidi="ar-SA"/>
    </w:rPr>
  </w:style>
  <w:style w:type="character" w:customStyle="1" w:styleId="73">
    <w:name w:val="正文文本 2 Char1"/>
    <w:link w:val="35"/>
    <w:qFormat/>
    <w:uiPriority w:val="0"/>
    <w:rPr>
      <w:rFonts w:ascii="隶书" w:eastAsia="隶书"/>
      <w:bCs/>
      <w:sz w:val="72"/>
      <w:szCs w:val="84"/>
      <w:lang w:val="en-US" w:eastAsia="zh-CN" w:bidi="ar-SA"/>
    </w:rPr>
  </w:style>
  <w:style w:type="paragraph" w:customStyle="1" w:styleId="74">
    <w:name w:val="Char"/>
    <w:basedOn w:val="1"/>
    <w:qFormat/>
    <w:uiPriority w:val="0"/>
    <w:rPr>
      <w:rFonts w:ascii="仿宋_GB2312" w:eastAsia="仿宋_GB2312"/>
      <w:b/>
      <w:sz w:val="32"/>
      <w:szCs w:val="32"/>
    </w:rPr>
  </w:style>
  <w:style w:type="paragraph" w:customStyle="1" w:styleId="75">
    <w:name w:val="Table Text"/>
    <w:link w:val="76"/>
    <w:qFormat/>
    <w:uiPriority w:val="0"/>
    <w:pPr>
      <w:snapToGrid w:val="0"/>
      <w:spacing w:before="80" w:after="80"/>
    </w:pPr>
    <w:rPr>
      <w:rFonts w:ascii="Arial" w:hAnsi="Arial" w:eastAsia="宋体" w:cs="Times New Roman"/>
      <w:sz w:val="18"/>
      <w:lang w:val="en-US" w:eastAsia="zh-CN" w:bidi="ar-SA"/>
    </w:rPr>
  </w:style>
  <w:style w:type="character" w:customStyle="1" w:styleId="76">
    <w:name w:val="Table Text Char1"/>
    <w:link w:val="75"/>
    <w:qFormat/>
    <w:uiPriority w:val="0"/>
    <w:rPr>
      <w:rFonts w:ascii="Arial" w:hAnsi="Arial"/>
      <w:sz w:val="18"/>
      <w:lang w:val="en-US" w:eastAsia="zh-CN" w:bidi="ar-SA"/>
    </w:rPr>
  </w:style>
  <w:style w:type="character" w:customStyle="1" w:styleId="77">
    <w:name w:val="正文（缩进2汉字） Char"/>
    <w:link w:val="78"/>
    <w:qFormat/>
    <w:uiPriority w:val="0"/>
    <w:rPr>
      <w:rFonts w:ascii="宋体"/>
      <w:kern w:val="2"/>
      <w:sz w:val="21"/>
      <w:lang w:bidi="ar-SA"/>
    </w:rPr>
  </w:style>
  <w:style w:type="paragraph" w:customStyle="1" w:styleId="78">
    <w:name w:val="正文（缩进2汉字）"/>
    <w:basedOn w:val="1"/>
    <w:link w:val="7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9">
    <w:name w:val="Char111"/>
    <w:basedOn w:val="1"/>
    <w:qFormat/>
    <w:uiPriority w:val="0"/>
    <w:pPr>
      <w:tabs>
        <w:tab w:val="left" w:pos="432"/>
      </w:tabs>
      <w:spacing w:beforeLines="50" w:afterLines="50"/>
      <w:ind w:left="432" w:hanging="432"/>
      <w:jc w:val="center"/>
    </w:pPr>
    <w:rPr>
      <w:sz w:val="24"/>
    </w:rPr>
  </w:style>
  <w:style w:type="paragraph" w:customStyle="1" w:styleId="80">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81">
    <w:name w:val="正文文本缩进 2 Char1"/>
    <w:link w:val="27"/>
    <w:qFormat/>
    <w:locked/>
    <w:uiPriority w:val="0"/>
    <w:rPr>
      <w:rFonts w:eastAsia="宋体"/>
      <w:kern w:val="2"/>
      <w:sz w:val="21"/>
      <w:szCs w:val="24"/>
      <w:lang w:val="en-US" w:eastAsia="zh-CN" w:bidi="ar-SA"/>
    </w:rPr>
  </w:style>
  <w:style w:type="paragraph" w:customStyle="1" w:styleId="82">
    <w:name w:val="缺省文本"/>
    <w:basedOn w:val="1"/>
    <w:qFormat/>
    <w:uiPriority w:val="0"/>
    <w:pPr>
      <w:autoSpaceDE w:val="0"/>
      <w:autoSpaceDN w:val="0"/>
      <w:adjustRightInd w:val="0"/>
      <w:jc w:val="left"/>
    </w:pPr>
    <w:rPr>
      <w:kern w:val="0"/>
      <w:sz w:val="24"/>
    </w:rPr>
  </w:style>
  <w:style w:type="paragraph" w:customStyle="1" w:styleId="83">
    <w:name w:val="WW-正文文字缩进 2"/>
    <w:basedOn w:val="1"/>
    <w:qFormat/>
    <w:uiPriority w:val="0"/>
    <w:pPr>
      <w:suppressAutoHyphens/>
      <w:ind w:firstLine="420"/>
    </w:pPr>
    <w:rPr>
      <w:kern w:val="1"/>
      <w:szCs w:val="20"/>
    </w:rPr>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character" w:customStyle="1" w:styleId="85">
    <w:name w:val="正文文本 Char1"/>
    <w:link w:val="19"/>
    <w:qFormat/>
    <w:locked/>
    <w:uiPriority w:val="0"/>
    <w:rPr>
      <w:rFonts w:eastAsia="仿宋_GB2312"/>
      <w:kern w:val="2"/>
      <w:sz w:val="28"/>
      <w:szCs w:val="24"/>
      <w:lang w:val="en-US" w:eastAsia="zh-CN" w:bidi="ar-SA"/>
    </w:rPr>
  </w:style>
  <w:style w:type="paragraph" w:customStyle="1" w:styleId="86">
    <w:name w:val="项目排列"/>
    <w:basedOn w:val="1"/>
    <w:link w:val="87"/>
    <w:qFormat/>
    <w:uiPriority w:val="0"/>
    <w:pPr>
      <w:tabs>
        <w:tab w:val="left" w:pos="900"/>
      </w:tabs>
      <w:spacing w:beforeLines="50" w:afterLines="50" w:line="300" w:lineRule="auto"/>
      <w:ind w:left="900" w:hanging="420"/>
    </w:pPr>
    <w:rPr>
      <w:sz w:val="24"/>
    </w:rPr>
  </w:style>
  <w:style w:type="character" w:customStyle="1" w:styleId="87">
    <w:name w:val="项目排列 Char"/>
    <w:link w:val="86"/>
    <w:qFormat/>
    <w:uiPriority w:val="0"/>
    <w:rPr>
      <w:kern w:val="2"/>
      <w:sz w:val="24"/>
      <w:szCs w:val="24"/>
    </w:rPr>
  </w:style>
  <w:style w:type="character" w:customStyle="1" w:styleId="88">
    <w:name w:val="style21"/>
    <w:qFormat/>
    <w:uiPriority w:val="0"/>
    <w:rPr>
      <w:sz w:val="15"/>
      <w:szCs w:val="15"/>
    </w:rPr>
  </w:style>
  <w:style w:type="paragraph" w:customStyle="1" w:styleId="8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1">
    <w:name w:val="Char1"/>
    <w:basedOn w:val="1"/>
    <w:qFormat/>
    <w:uiPriority w:val="0"/>
    <w:rPr>
      <w:szCs w:val="20"/>
    </w:rPr>
  </w:style>
  <w:style w:type="paragraph" w:customStyle="1" w:styleId="92">
    <w:name w:val="列出段落1"/>
    <w:basedOn w:val="1"/>
    <w:qFormat/>
    <w:uiPriority w:val="0"/>
    <w:pPr>
      <w:ind w:firstLine="420" w:firstLineChars="200"/>
    </w:pPr>
    <w:rPr>
      <w:rFonts w:ascii="Calibri" w:hAnsi="Calibri"/>
      <w:szCs w:val="22"/>
    </w:rPr>
  </w:style>
  <w:style w:type="paragraph" w:customStyle="1" w:styleId="93">
    <w:name w:val="默认段落字体 Para Char Char Char Char"/>
    <w:basedOn w:val="1"/>
    <w:qFormat/>
    <w:uiPriority w:val="0"/>
  </w:style>
  <w:style w:type="paragraph" w:customStyle="1" w:styleId="94">
    <w:name w:val="Char Char Char1 Char Char Char1 Char Char Char Char"/>
    <w:basedOn w:val="1"/>
    <w:qFormat/>
    <w:uiPriority w:val="0"/>
  </w:style>
  <w:style w:type="character" w:customStyle="1" w:styleId="95">
    <w:name w:val="font1"/>
    <w:qFormat/>
    <w:uiPriority w:val="0"/>
    <w:rPr>
      <w:color w:val="999999"/>
      <w:sz w:val="18"/>
      <w:szCs w:val="18"/>
      <w:u w:val="none"/>
    </w:rPr>
  </w:style>
  <w:style w:type="paragraph" w:customStyle="1" w:styleId="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qFormat/>
    <w:uiPriority w:val="0"/>
    <w:rPr>
      <w:rFonts w:ascii="Tahoma" w:hAnsi="Tahoma"/>
      <w:sz w:val="24"/>
      <w:szCs w:val="20"/>
    </w:rPr>
  </w:style>
  <w:style w:type="character" w:customStyle="1" w:styleId="98">
    <w:name w:val="apple-style-span"/>
    <w:basedOn w:val="46"/>
    <w:qFormat/>
    <w:uiPriority w:val="0"/>
  </w:style>
  <w:style w:type="paragraph" w:customStyle="1" w:styleId="99">
    <w:name w:val="正文无缩进"/>
    <w:basedOn w:val="1"/>
    <w:link w:val="100"/>
    <w:qFormat/>
    <w:uiPriority w:val="0"/>
    <w:pPr>
      <w:spacing w:line="360" w:lineRule="auto"/>
    </w:pPr>
    <w:rPr>
      <w:rFonts w:ascii="宋体"/>
      <w:color w:val="000000"/>
      <w:sz w:val="24"/>
    </w:rPr>
  </w:style>
  <w:style w:type="character" w:customStyle="1" w:styleId="100">
    <w:name w:val="正文无缩进 Char"/>
    <w:link w:val="99"/>
    <w:qFormat/>
    <w:uiPriority w:val="0"/>
    <w:rPr>
      <w:rFonts w:ascii="宋体" w:eastAsia="宋体"/>
      <w:color w:val="000000"/>
      <w:kern w:val="2"/>
      <w:sz w:val="24"/>
      <w:szCs w:val="24"/>
      <w:lang w:val="en-US" w:eastAsia="zh-CN" w:bidi="ar-SA"/>
    </w:rPr>
  </w:style>
  <w:style w:type="paragraph" w:customStyle="1" w:styleId="10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6"/>
    <w:qFormat/>
    <w:uiPriority w:val="0"/>
  </w:style>
  <w:style w:type="paragraph" w:customStyle="1" w:styleId="10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4">
    <w:name w:val="表格 Char Char"/>
    <w:link w:val="105"/>
    <w:qFormat/>
    <w:locked/>
    <w:uiPriority w:val="0"/>
    <w:rPr>
      <w:rFonts w:ascii="宋体" w:hAnsi="宋体" w:eastAsia="宋体"/>
      <w:lang w:val="en-US" w:eastAsia="zh-CN" w:bidi="ar-SA"/>
    </w:rPr>
  </w:style>
  <w:style w:type="paragraph" w:customStyle="1" w:styleId="105">
    <w:name w:val="表格"/>
    <w:basedOn w:val="1"/>
    <w:link w:val="104"/>
    <w:qFormat/>
    <w:uiPriority w:val="0"/>
    <w:pPr>
      <w:snapToGrid w:val="0"/>
      <w:ind w:firstLine="42" w:firstLineChars="21"/>
    </w:pPr>
    <w:rPr>
      <w:rFonts w:ascii="宋体" w:hAnsi="宋体"/>
      <w:kern w:val="0"/>
      <w:sz w:val="20"/>
      <w:szCs w:val="20"/>
    </w:rPr>
  </w:style>
  <w:style w:type="paragraph" w:customStyle="1" w:styleId="10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qFormat/>
    <w:uiPriority w:val="0"/>
    <w:pPr>
      <w:widowControl/>
      <w:spacing w:after="160" w:line="240" w:lineRule="exact"/>
      <w:jc w:val="left"/>
    </w:pPr>
  </w:style>
  <w:style w:type="character" w:customStyle="1" w:styleId="108">
    <w:name w:val="Char Char"/>
    <w:qFormat/>
    <w:uiPriority w:val="0"/>
    <w:rPr>
      <w:rFonts w:hint="eastAsia" w:ascii="宋体" w:hAnsi="Courier New" w:eastAsia="宋体"/>
      <w:kern w:val="2"/>
      <w:sz w:val="21"/>
      <w:lang w:val="en-US" w:eastAsia="zh-CN" w:bidi="ar-SA"/>
    </w:rPr>
  </w:style>
  <w:style w:type="character" w:customStyle="1" w:styleId="109">
    <w:name w:val="style51"/>
    <w:qFormat/>
    <w:uiPriority w:val="0"/>
    <w:rPr>
      <w:sz w:val="21"/>
      <w:szCs w:val="21"/>
    </w:rPr>
  </w:style>
  <w:style w:type="paragraph" w:customStyle="1" w:styleId="11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qFormat/>
    <w:uiPriority w:val="0"/>
    <w:pPr>
      <w:spacing w:line="360" w:lineRule="auto"/>
      <w:ind w:firstLine="480" w:firstLineChars="200"/>
    </w:pPr>
    <w:rPr>
      <w:rFonts w:cs="宋体"/>
      <w:sz w:val="24"/>
      <w:szCs w:val="20"/>
    </w:rPr>
  </w:style>
  <w:style w:type="character" w:customStyle="1" w:styleId="112">
    <w:name w:val="标准文本 Char"/>
    <w:link w:val="111"/>
    <w:qFormat/>
    <w:uiPriority w:val="0"/>
    <w:rPr>
      <w:rFonts w:eastAsia="宋体" w:cs="宋体"/>
      <w:kern w:val="2"/>
      <w:sz w:val="24"/>
      <w:lang w:val="en-US" w:eastAsia="zh-CN" w:bidi="ar-SA"/>
    </w:rPr>
  </w:style>
  <w:style w:type="paragraph" w:customStyle="1" w:styleId="11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4">
    <w:name w:val="自定义正文"/>
    <w:basedOn w:val="1"/>
    <w:link w:val="115"/>
    <w:qFormat/>
    <w:uiPriority w:val="0"/>
    <w:pPr>
      <w:spacing w:line="480" w:lineRule="exact"/>
      <w:ind w:firstLine="200" w:firstLineChars="200"/>
      <w:jc w:val="left"/>
    </w:pPr>
    <w:rPr>
      <w:rFonts w:ascii="仿宋_GB2312" w:eastAsia="仿宋_GB2312"/>
      <w:sz w:val="28"/>
    </w:rPr>
  </w:style>
  <w:style w:type="character" w:customStyle="1" w:styleId="115">
    <w:name w:val="自定义正文 Char"/>
    <w:link w:val="114"/>
    <w:qFormat/>
    <w:uiPriority w:val="0"/>
    <w:rPr>
      <w:rFonts w:ascii="仿宋_GB2312" w:eastAsia="仿宋_GB2312"/>
      <w:kern w:val="2"/>
      <w:sz w:val="28"/>
      <w:szCs w:val="24"/>
      <w:lang w:val="en-US" w:eastAsia="zh-CN" w:bidi="ar-SA"/>
    </w:rPr>
  </w:style>
  <w:style w:type="paragraph" w:customStyle="1" w:styleId="11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7">
    <w:name w:val="自定义表格文字"/>
    <w:basedOn w:val="1"/>
    <w:qFormat/>
    <w:uiPriority w:val="0"/>
    <w:pPr>
      <w:spacing w:before="60" w:after="60" w:line="320" w:lineRule="exact"/>
      <w:jc w:val="left"/>
    </w:pPr>
    <w:rPr>
      <w:rFonts w:ascii="宋体" w:eastAsia="楷体_GB2312"/>
    </w:rPr>
  </w:style>
  <w:style w:type="paragraph" w:customStyle="1" w:styleId="11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0">
    <w:name w:val="文档结构图 Char"/>
    <w:link w:val="17"/>
    <w:semiHidden/>
    <w:qFormat/>
    <w:uiPriority w:val="0"/>
    <w:rPr>
      <w:rFonts w:eastAsia="宋体"/>
      <w:kern w:val="2"/>
      <w:sz w:val="21"/>
      <w:szCs w:val="24"/>
      <w:lang w:val="en-US" w:eastAsia="zh-CN" w:bidi="ar-SA"/>
    </w:rPr>
  </w:style>
  <w:style w:type="character" w:customStyle="1" w:styleId="121">
    <w:name w:val="Char Char12"/>
    <w:qFormat/>
    <w:uiPriority w:val="0"/>
    <w:rPr>
      <w:rFonts w:ascii="宋体" w:hAnsi="Courier New" w:eastAsia="宋体"/>
      <w:kern w:val="2"/>
      <w:sz w:val="21"/>
      <w:lang w:val="en-US" w:eastAsia="zh-CN" w:bidi="ar-SA"/>
    </w:rPr>
  </w:style>
  <w:style w:type="character" w:customStyle="1" w:styleId="122">
    <w:name w:val="H4 Char"/>
    <w:qFormat/>
    <w:uiPriority w:val="0"/>
    <w:rPr>
      <w:rFonts w:ascii="宋体" w:hAnsi="宋体" w:eastAsia="黑体"/>
      <w:b/>
      <w:bCs/>
      <w:color w:val="000000"/>
      <w:spacing w:val="-4"/>
      <w:kern w:val="2"/>
      <w:sz w:val="24"/>
      <w:szCs w:val="30"/>
      <w:lang w:val="en-US" w:eastAsia="zh-CN" w:bidi="ar-SA"/>
    </w:rPr>
  </w:style>
  <w:style w:type="character" w:customStyle="1" w:styleId="123">
    <w:name w:val="H5 Char"/>
    <w:qFormat/>
    <w:uiPriority w:val="0"/>
    <w:rPr>
      <w:rFonts w:ascii="Arial" w:hAnsi="Arial" w:eastAsia="宋体"/>
      <w:sz w:val="24"/>
      <w:lang w:val="en-US" w:eastAsia="zh-CN" w:bidi="ar-SA"/>
    </w:rPr>
  </w:style>
  <w:style w:type="character" w:customStyle="1" w:styleId="124">
    <w:name w:val="Char Char8"/>
    <w:qFormat/>
    <w:uiPriority w:val="0"/>
    <w:rPr>
      <w:rFonts w:ascii="宋体" w:eastAsia="宋体"/>
      <w:kern w:val="2"/>
      <w:sz w:val="28"/>
      <w:lang w:val="en-US" w:eastAsia="zh-CN" w:bidi="ar-SA"/>
    </w:rPr>
  </w:style>
  <w:style w:type="character" w:customStyle="1" w:styleId="125">
    <w:name w:val="Char Char7"/>
    <w:qFormat/>
    <w:uiPriority w:val="0"/>
    <w:rPr>
      <w:rFonts w:eastAsia="仿宋_GB2312"/>
      <w:kern w:val="2"/>
      <w:sz w:val="24"/>
      <w:szCs w:val="24"/>
      <w:lang w:val="en-US" w:eastAsia="zh-CN" w:bidi="ar-SA"/>
    </w:rPr>
  </w:style>
  <w:style w:type="paragraph" w:customStyle="1" w:styleId="126">
    <w:name w:val="表内文字"/>
    <w:basedOn w:val="1"/>
    <w:qFormat/>
    <w:uiPriority w:val="0"/>
    <w:pPr>
      <w:jc w:val="center"/>
    </w:pPr>
    <w:rPr>
      <w:color w:val="FF0000"/>
      <w:kern w:val="0"/>
      <w:sz w:val="24"/>
    </w:rPr>
  </w:style>
  <w:style w:type="character" w:customStyle="1" w:styleId="127">
    <w:name w:val="Char Char3"/>
    <w:qFormat/>
    <w:uiPriority w:val="0"/>
    <w:rPr>
      <w:rFonts w:eastAsia="仿宋_GB2312"/>
      <w:kern w:val="2"/>
      <w:sz w:val="28"/>
      <w:szCs w:val="24"/>
      <w:lang w:val="en-US" w:eastAsia="zh-CN" w:bidi="ar-SA"/>
    </w:rPr>
  </w:style>
  <w:style w:type="paragraph" w:customStyle="1" w:styleId="12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2">
    <w:name w:val="项目1"/>
    <w:basedOn w:val="1"/>
    <w:qFormat/>
    <w:uiPriority w:val="0"/>
    <w:pPr>
      <w:tabs>
        <w:tab w:val="left" w:pos="840"/>
      </w:tabs>
      <w:spacing w:after="60"/>
      <w:ind w:left="840" w:hanging="420"/>
    </w:pPr>
    <w:rPr>
      <w:rFonts w:ascii="宋体"/>
      <w:spacing w:val="4"/>
      <w:szCs w:val="20"/>
    </w:rPr>
  </w:style>
  <w:style w:type="paragraph" w:customStyle="1" w:styleId="133">
    <w:name w:val="编10号"/>
    <w:basedOn w:val="1"/>
    <w:qFormat/>
    <w:uiPriority w:val="0"/>
    <w:pPr>
      <w:tabs>
        <w:tab w:val="left" w:pos="1620"/>
      </w:tabs>
      <w:ind w:left="1620" w:hanging="360"/>
    </w:pPr>
  </w:style>
  <w:style w:type="paragraph" w:customStyle="1" w:styleId="134">
    <w:name w:val="段"/>
    <w:basedOn w:val="1"/>
    <w:qFormat/>
    <w:uiPriority w:val="0"/>
    <w:pPr>
      <w:ind w:firstLine="425"/>
    </w:pPr>
    <w:rPr>
      <w:rFonts w:ascii="宋体"/>
      <w:szCs w:val="20"/>
    </w:rPr>
  </w:style>
  <w:style w:type="paragraph" w:customStyle="1" w:styleId="135">
    <w:name w:val="Char Char Char Char"/>
    <w:basedOn w:val="1"/>
    <w:qFormat/>
    <w:uiPriority w:val="0"/>
    <w:pPr>
      <w:widowControl/>
      <w:spacing w:after="160" w:line="240" w:lineRule="exact"/>
      <w:jc w:val="left"/>
    </w:pPr>
    <w:rPr>
      <w:kern w:val="0"/>
      <w:sz w:val="24"/>
    </w:rPr>
  </w:style>
  <w:style w:type="paragraph" w:customStyle="1" w:styleId="13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7">
    <w:name w:val="bulletintext1"/>
    <w:qFormat/>
    <w:uiPriority w:val="0"/>
    <w:rPr>
      <w:rFonts w:hint="eastAsia" w:ascii="宋体" w:hAnsi="宋体" w:eastAsia="宋体"/>
      <w:sz w:val="18"/>
      <w:szCs w:val="18"/>
    </w:rPr>
  </w:style>
  <w:style w:type="paragraph" w:customStyle="1" w:styleId="138">
    <w:name w:val="Char1 Char Char Char Char Char Char"/>
    <w:basedOn w:val="1"/>
    <w:qFormat/>
    <w:uiPriority w:val="0"/>
    <w:rPr>
      <w:rFonts w:ascii="Tahoma" w:hAnsi="Tahoma"/>
      <w:sz w:val="24"/>
      <w:szCs w:val="20"/>
    </w:rPr>
  </w:style>
  <w:style w:type="paragraph" w:customStyle="1" w:styleId="139">
    <w:name w:val="Char Char2 Char Char Char Char"/>
    <w:basedOn w:val="17"/>
    <w:qFormat/>
    <w:uiPriority w:val="0"/>
    <w:rPr>
      <w:rFonts w:ascii="Tahoma" w:hAnsi="Tahoma"/>
      <w:sz w:val="24"/>
    </w:rPr>
  </w:style>
  <w:style w:type="paragraph" w:customStyle="1" w:styleId="140">
    <w:name w:val="Char Char Char"/>
    <w:basedOn w:val="17"/>
    <w:qFormat/>
    <w:uiPriority w:val="0"/>
    <w:rPr>
      <w:rFonts w:ascii="Tahoma" w:hAnsi="Tahoma"/>
      <w:sz w:val="24"/>
    </w:rPr>
  </w:style>
  <w:style w:type="paragraph" w:customStyle="1" w:styleId="141">
    <w:name w:val="正文缩进 New"/>
    <w:basedOn w:val="1"/>
    <w:qFormat/>
    <w:uiPriority w:val="0"/>
    <w:pPr>
      <w:ind w:firstLine="420" w:firstLineChars="200"/>
    </w:pPr>
    <w:rPr>
      <w:szCs w:val="20"/>
    </w:rPr>
  </w:style>
  <w:style w:type="paragraph" w:customStyle="1" w:styleId="14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3">
    <w:name w:val="tpc_content1"/>
    <w:qFormat/>
    <w:uiPriority w:val="0"/>
    <w:rPr>
      <w:sz w:val="20"/>
      <w:szCs w:val="20"/>
    </w:rPr>
  </w:style>
  <w:style w:type="character" w:customStyle="1" w:styleId="144">
    <w:name w:val="Char Char11"/>
    <w:qFormat/>
    <w:uiPriority w:val="0"/>
    <w:rPr>
      <w:b/>
      <w:kern w:val="44"/>
      <w:sz w:val="44"/>
    </w:rPr>
  </w:style>
  <w:style w:type="character" w:customStyle="1" w:styleId="145">
    <w:name w:val="Char Char10"/>
    <w:qFormat/>
    <w:uiPriority w:val="0"/>
    <w:rPr>
      <w:b/>
      <w:kern w:val="2"/>
      <w:sz w:val="28"/>
      <w:szCs w:val="28"/>
    </w:rPr>
  </w:style>
  <w:style w:type="character" w:customStyle="1" w:styleId="146">
    <w:name w:val="Char Char9"/>
    <w:qFormat/>
    <w:uiPriority w:val="0"/>
    <w:rPr>
      <w:b/>
      <w:kern w:val="2"/>
      <w:sz w:val="24"/>
      <w:szCs w:val="24"/>
    </w:rPr>
  </w:style>
  <w:style w:type="paragraph" w:customStyle="1" w:styleId="147">
    <w:name w:val="Char Char Char 字元 字元"/>
    <w:basedOn w:val="1"/>
    <w:qFormat/>
    <w:uiPriority w:val="0"/>
    <w:pPr>
      <w:spacing w:line="360" w:lineRule="auto"/>
      <w:ind w:firstLine="200" w:firstLineChars="200"/>
    </w:pPr>
    <w:rPr>
      <w:szCs w:val="20"/>
    </w:rPr>
  </w:style>
  <w:style w:type="paragraph" w:customStyle="1" w:styleId="14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0">
    <w:name w:val="style11"/>
    <w:qFormat/>
    <w:uiPriority w:val="0"/>
    <w:rPr>
      <w:b/>
      <w:bCs/>
      <w:color w:val="FF0000"/>
    </w:rPr>
  </w:style>
  <w:style w:type="character" w:customStyle="1" w:styleId="151">
    <w:name w:val="info"/>
    <w:basedOn w:val="46"/>
    <w:qFormat/>
    <w:uiPriority w:val="0"/>
  </w:style>
  <w:style w:type="paragraph" w:customStyle="1" w:styleId="152">
    <w:name w:val="样式 正文缩进 + 首行缩进:  2 字符"/>
    <w:basedOn w:val="5"/>
    <w:link w:val="153"/>
    <w:qFormat/>
    <w:uiPriority w:val="0"/>
    <w:pPr>
      <w:spacing w:line="360" w:lineRule="auto"/>
      <w:ind w:firstLine="480"/>
    </w:pPr>
    <w:rPr>
      <w:rFonts w:ascii="宋体" w:hAnsi="宋体"/>
      <w:color w:val="000000"/>
      <w:kern w:val="0"/>
      <w:sz w:val="24"/>
      <w:szCs w:val="20"/>
    </w:rPr>
  </w:style>
  <w:style w:type="character" w:customStyle="1" w:styleId="153">
    <w:name w:val="样式 正文缩进 + 首行缩进:  2 字符 Char"/>
    <w:link w:val="152"/>
    <w:qFormat/>
    <w:locked/>
    <w:uiPriority w:val="0"/>
    <w:rPr>
      <w:rFonts w:ascii="宋体" w:hAnsi="宋体" w:eastAsia="宋体"/>
      <w:color w:val="000000"/>
      <w:sz w:val="24"/>
      <w:lang w:bidi="ar-SA"/>
    </w:rPr>
  </w:style>
  <w:style w:type="paragraph" w:customStyle="1" w:styleId="154">
    <w:name w:val="正文2"/>
    <w:basedOn w:val="1"/>
    <w:link w:val="155"/>
    <w:qFormat/>
    <w:uiPriority w:val="0"/>
    <w:pPr>
      <w:spacing w:before="156" w:line="360" w:lineRule="auto"/>
      <w:ind w:firstLine="510" w:firstLineChars="200"/>
    </w:pPr>
    <w:rPr>
      <w:sz w:val="24"/>
      <w:szCs w:val="20"/>
    </w:rPr>
  </w:style>
  <w:style w:type="character" w:customStyle="1" w:styleId="155">
    <w:name w:val="正文2 Char"/>
    <w:link w:val="154"/>
    <w:qFormat/>
    <w:uiPriority w:val="0"/>
    <w:rPr>
      <w:rFonts w:eastAsia="宋体"/>
      <w:kern w:val="2"/>
      <w:sz w:val="24"/>
      <w:lang w:val="en-US" w:eastAsia="zh-CN" w:bidi="ar-SA"/>
    </w:rPr>
  </w:style>
  <w:style w:type="paragraph" w:customStyle="1" w:styleId="156">
    <w:name w:val="p0"/>
    <w:basedOn w:val="1"/>
    <w:qFormat/>
    <w:uiPriority w:val="0"/>
    <w:pPr>
      <w:widowControl/>
    </w:pPr>
    <w:rPr>
      <w:kern w:val="0"/>
      <w:szCs w:val="21"/>
    </w:rPr>
  </w:style>
  <w:style w:type="character" w:customStyle="1" w:styleId="157">
    <w:name w:val="param-name"/>
    <w:basedOn w:val="46"/>
    <w:qFormat/>
    <w:uiPriority w:val="0"/>
  </w:style>
  <w:style w:type="character" w:customStyle="1" w:styleId="158">
    <w:name w:val="日期 Char"/>
    <w:qFormat/>
    <w:uiPriority w:val="0"/>
    <w:rPr>
      <w:rFonts w:ascii="楷体_GB2312" w:eastAsia="楷体_GB2312"/>
      <w:b/>
      <w:kern w:val="2"/>
      <w:sz w:val="28"/>
      <w:lang w:val="en-US" w:eastAsia="zh-CN" w:bidi="ar-SA"/>
    </w:rPr>
  </w:style>
  <w:style w:type="character" w:customStyle="1" w:styleId="159">
    <w:name w:val="标题 4 Char"/>
    <w:qFormat/>
    <w:uiPriority w:val="0"/>
    <w:rPr>
      <w:rFonts w:ascii="Arial" w:hAnsi="Arial" w:eastAsia="黑体"/>
      <w:b/>
      <w:kern w:val="2"/>
      <w:sz w:val="28"/>
      <w:lang w:val="en-US" w:eastAsia="zh-CN" w:bidi="ar-SA"/>
    </w:rPr>
  </w:style>
  <w:style w:type="character" w:customStyle="1" w:styleId="160">
    <w:name w:val="标题 6 Char"/>
    <w:qFormat/>
    <w:uiPriority w:val="0"/>
    <w:rPr>
      <w:rFonts w:ascii="宋体" w:hAnsi="Arial" w:eastAsia="宋体"/>
      <w:sz w:val="24"/>
      <w:lang w:val="en-US" w:eastAsia="zh-CN" w:bidi="ar-SA"/>
    </w:rPr>
  </w:style>
  <w:style w:type="character" w:customStyle="1" w:styleId="161">
    <w:name w:val="标题 8 Char"/>
    <w:qFormat/>
    <w:uiPriority w:val="0"/>
    <w:rPr>
      <w:rFonts w:ascii="Arial" w:hAnsi="Arial" w:eastAsia="黑体"/>
      <w:sz w:val="24"/>
      <w:lang w:val="en-US" w:eastAsia="zh-CN" w:bidi="ar-SA"/>
    </w:rPr>
  </w:style>
  <w:style w:type="character" w:customStyle="1" w:styleId="162">
    <w:name w:val="标题 9 Char"/>
    <w:qFormat/>
    <w:uiPriority w:val="0"/>
    <w:rPr>
      <w:rFonts w:ascii="Arial" w:hAnsi="Arial" w:eastAsia="黑体"/>
      <w:sz w:val="24"/>
      <w:lang w:val="en-US" w:eastAsia="zh-CN" w:bidi="ar-SA"/>
    </w:rPr>
  </w:style>
  <w:style w:type="character" w:customStyle="1" w:styleId="163">
    <w:name w:val="标题 5 Char"/>
    <w:qFormat/>
    <w:uiPriority w:val="0"/>
    <w:rPr>
      <w:rFonts w:eastAsia="宋体"/>
      <w:sz w:val="24"/>
      <w:lang w:val="en-US" w:eastAsia="zh-CN" w:bidi="ar-SA"/>
    </w:rPr>
  </w:style>
  <w:style w:type="character" w:customStyle="1" w:styleId="164">
    <w:name w:val="正文文本 Char"/>
    <w:qFormat/>
    <w:locked/>
    <w:uiPriority w:val="0"/>
    <w:rPr>
      <w:rFonts w:eastAsia="仿宋_GB2312"/>
      <w:kern w:val="2"/>
      <w:sz w:val="28"/>
      <w:szCs w:val="24"/>
      <w:lang w:val="en-US" w:eastAsia="zh-CN" w:bidi="ar-SA"/>
    </w:rPr>
  </w:style>
  <w:style w:type="character" w:customStyle="1" w:styleId="165">
    <w:name w:val="正文文本缩进 2 Char"/>
    <w:qFormat/>
    <w:locked/>
    <w:uiPriority w:val="0"/>
    <w:rPr>
      <w:rFonts w:eastAsia="宋体"/>
      <w:kern w:val="2"/>
      <w:sz w:val="21"/>
      <w:szCs w:val="24"/>
      <w:lang w:val="en-US" w:eastAsia="zh-CN" w:bidi="ar-SA"/>
    </w:rPr>
  </w:style>
  <w:style w:type="character" w:customStyle="1" w:styleId="166">
    <w:name w:val="正文文本 2 Char"/>
    <w:qFormat/>
    <w:uiPriority w:val="0"/>
    <w:rPr>
      <w:rFonts w:ascii="隶书" w:eastAsia="隶书"/>
      <w:bCs/>
      <w:sz w:val="72"/>
      <w:szCs w:val="84"/>
      <w:lang w:val="en-US" w:eastAsia="zh-CN" w:bidi="ar-SA"/>
    </w:rPr>
  </w:style>
  <w:style w:type="character" w:customStyle="1" w:styleId="167">
    <w:name w:val="标题 7 Char"/>
    <w:qFormat/>
    <w:uiPriority w:val="0"/>
    <w:rPr>
      <w:rFonts w:ascii="宋体" w:hAnsi="Arial" w:eastAsia="宋体"/>
      <w:b/>
      <w:sz w:val="24"/>
      <w:lang w:val="en-US" w:eastAsia="zh-CN" w:bidi="ar-SA"/>
    </w:rPr>
  </w:style>
  <w:style w:type="character" w:customStyle="1" w:styleId="168">
    <w:name w:val="页眉 Char"/>
    <w:qFormat/>
    <w:uiPriority w:val="99"/>
    <w:rPr>
      <w:rFonts w:eastAsia="宋体"/>
      <w:kern w:val="2"/>
      <w:sz w:val="18"/>
      <w:szCs w:val="18"/>
      <w:lang w:val="en-US" w:eastAsia="zh-CN" w:bidi="ar-SA"/>
    </w:rPr>
  </w:style>
  <w:style w:type="character" w:customStyle="1" w:styleId="169">
    <w:name w:val="批注文字 Char"/>
    <w:qFormat/>
    <w:uiPriority w:val="99"/>
    <w:rPr>
      <w:rFonts w:eastAsia="宋体"/>
      <w:kern w:val="2"/>
      <w:sz w:val="21"/>
      <w:szCs w:val="24"/>
      <w:lang w:val="en-US" w:eastAsia="zh-CN" w:bidi="ar-SA"/>
    </w:rPr>
  </w:style>
  <w:style w:type="character" w:customStyle="1" w:styleId="170">
    <w:name w:val="汇视源正文 Char"/>
    <w:link w:val="171"/>
    <w:qFormat/>
    <w:uiPriority w:val="0"/>
    <w:rPr>
      <w:rFonts w:cs="宋体"/>
      <w:kern w:val="2"/>
      <w:sz w:val="24"/>
      <w:lang w:val="en-US" w:eastAsia="zh-CN" w:bidi="ar-SA"/>
    </w:rPr>
  </w:style>
  <w:style w:type="paragraph" w:customStyle="1" w:styleId="171">
    <w:name w:val="汇视源正文"/>
    <w:link w:val="17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2">
    <w:name w:val="样式 列表编号 + 段后: 0.5 行"/>
    <w:basedOn w:val="15"/>
    <w:qFormat/>
    <w:uiPriority w:val="0"/>
    <w:pPr>
      <w:tabs>
        <w:tab w:val="left" w:pos="840"/>
      </w:tabs>
      <w:spacing w:afterLines="0"/>
      <w:ind w:left="425" w:hanging="425"/>
    </w:pPr>
    <w:rPr>
      <w:rFonts w:cs="宋体"/>
    </w:rPr>
  </w:style>
  <w:style w:type="paragraph" w:customStyle="1" w:styleId="17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4">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5">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6">
    <w:name w:val="Date Char"/>
    <w:qFormat/>
    <w:locked/>
    <w:uiPriority w:val="0"/>
    <w:rPr>
      <w:rFonts w:ascii="宋体"/>
      <w:sz w:val="21"/>
      <w:lang w:val="zh-CN"/>
    </w:rPr>
  </w:style>
  <w:style w:type="character" w:customStyle="1" w:styleId="177">
    <w:name w:val="Normal Indent Char"/>
    <w:qFormat/>
    <w:locked/>
    <w:uiPriority w:val="0"/>
    <w:rPr>
      <w:rFonts w:ascii="宋体" w:eastAsia="宋体"/>
      <w:snapToGrid w:val="0"/>
      <w:color w:val="000000"/>
      <w:kern w:val="28"/>
      <w:sz w:val="28"/>
    </w:rPr>
  </w:style>
  <w:style w:type="character" w:customStyle="1" w:styleId="178">
    <w:name w:val="Plain Text Char"/>
    <w:qFormat/>
    <w:locked/>
    <w:uiPriority w:val="0"/>
    <w:rPr>
      <w:rFonts w:ascii="宋体" w:hAnsi="Courier New" w:eastAsia="宋体"/>
      <w:snapToGrid w:val="0"/>
      <w:sz w:val="21"/>
    </w:rPr>
  </w:style>
  <w:style w:type="character" w:customStyle="1" w:styleId="179">
    <w:name w:val="日期 Char1"/>
    <w:qFormat/>
    <w:uiPriority w:val="0"/>
    <w:rPr>
      <w:rFonts w:ascii="Times New Roman" w:hAnsi="Times New Roman" w:eastAsia="宋体" w:cs="Times New Roman"/>
      <w:sz w:val="24"/>
      <w:szCs w:val="24"/>
    </w:rPr>
  </w:style>
  <w:style w:type="character" w:customStyle="1" w:styleId="180">
    <w:name w:val="纯文本 Char1"/>
    <w:link w:val="181"/>
    <w:qFormat/>
    <w:uiPriority w:val="0"/>
    <w:rPr>
      <w:rFonts w:ascii="宋体" w:hAnsi="Courier New" w:eastAsia="宋体" w:cs="Courier New"/>
      <w:sz w:val="21"/>
      <w:szCs w:val="21"/>
    </w:rPr>
  </w:style>
  <w:style w:type="paragraph" w:customStyle="1" w:styleId="181">
    <w:name w:val="纯文本1"/>
    <w:basedOn w:val="1"/>
    <w:link w:val="180"/>
    <w:qFormat/>
    <w:uiPriority w:val="0"/>
    <w:rPr>
      <w:rFonts w:ascii="宋体" w:hAnsi="Courier New" w:cs="Courier New"/>
      <w:kern w:val="0"/>
      <w:szCs w:val="21"/>
    </w:rPr>
  </w:style>
  <w:style w:type="paragraph" w:customStyle="1" w:styleId="1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3">
    <w:name w:val="列出段落112"/>
    <w:basedOn w:val="1"/>
    <w:link w:val="207"/>
    <w:qFormat/>
    <w:uiPriority w:val="0"/>
    <w:pPr>
      <w:adjustRightInd w:val="0"/>
      <w:spacing w:line="360" w:lineRule="auto"/>
      <w:ind w:firstLine="200" w:firstLineChars="200"/>
    </w:pPr>
    <w:rPr>
      <w:rFonts w:eastAsia="楷体_GB2312" w:cs="Lucida Sans"/>
      <w:sz w:val="24"/>
    </w:rPr>
  </w:style>
  <w:style w:type="paragraph" w:customStyle="1" w:styleId="184">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5">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6">
    <w:name w:val="Header Char"/>
    <w:qFormat/>
    <w:locked/>
    <w:uiPriority w:val="0"/>
    <w:rPr>
      <w:rFonts w:ascii="Times New Roman" w:hAnsi="Times New Roman" w:eastAsia="宋体" w:cs="Times New Roman"/>
      <w:sz w:val="18"/>
      <w:szCs w:val="18"/>
    </w:rPr>
  </w:style>
  <w:style w:type="paragraph" w:customStyle="1" w:styleId="18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9">
    <w:name w:val="Comment Text Char"/>
    <w:qFormat/>
    <w:locked/>
    <w:uiPriority w:val="0"/>
    <w:rPr>
      <w:rFonts w:ascii="Times New Roman" w:hAnsi="Times New Roman" w:eastAsia="宋体" w:cs="Times New Roman"/>
      <w:kern w:val="0"/>
      <w:sz w:val="24"/>
      <w:szCs w:val="24"/>
      <w:lang w:val="zh-CN" w:eastAsia="zh-CN"/>
    </w:rPr>
  </w:style>
  <w:style w:type="paragraph" w:customStyle="1" w:styleId="19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2">
    <w:name w:val="Char Char Char Char1"/>
    <w:basedOn w:val="1"/>
    <w:qFormat/>
    <w:uiPriority w:val="0"/>
    <w:rPr>
      <w:rFonts w:ascii="Tahoma" w:hAnsi="Tahoma"/>
      <w:sz w:val="24"/>
      <w:szCs w:val="20"/>
    </w:rPr>
  </w:style>
  <w:style w:type="paragraph" w:customStyle="1" w:styleId="19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qFormat/>
    <w:uiPriority w:val="0"/>
    <w:rPr>
      <w:kern w:val="2"/>
      <w:sz w:val="24"/>
    </w:rPr>
  </w:style>
  <w:style w:type="character" w:customStyle="1" w:styleId="197">
    <w:name w:val="普通文字 Char Char3"/>
    <w:qFormat/>
    <w:uiPriority w:val="0"/>
    <w:rPr>
      <w:rFonts w:ascii="宋体" w:hAnsi="Courier New"/>
      <w:kern w:val="2"/>
      <w:sz w:val="24"/>
      <w:szCs w:val="24"/>
    </w:rPr>
  </w:style>
  <w:style w:type="character" w:customStyle="1" w:styleId="198">
    <w:name w:val="特点 Char2"/>
    <w:qFormat/>
    <w:uiPriority w:val="0"/>
    <w:rPr>
      <w:rFonts w:ascii="Times New Roman" w:hAnsi="Times New Roman" w:eastAsia="宋体" w:cs="Times New Roman"/>
      <w:szCs w:val="24"/>
    </w:rPr>
  </w:style>
  <w:style w:type="character" w:customStyle="1" w:styleId="199">
    <w:name w:val="批注框文本 Char"/>
    <w:basedOn w:val="46"/>
    <w:link w:val="28"/>
    <w:semiHidden/>
    <w:qFormat/>
    <w:uiPriority w:val="0"/>
    <w:rPr>
      <w:kern w:val="2"/>
      <w:sz w:val="18"/>
      <w:szCs w:val="18"/>
    </w:rPr>
  </w:style>
  <w:style w:type="character" w:customStyle="1" w:styleId="200">
    <w:name w:val="正文文本缩进 3 Char"/>
    <w:basedOn w:val="46"/>
    <w:link w:val="33"/>
    <w:qFormat/>
    <w:uiPriority w:val="0"/>
    <w:rPr>
      <w:kern w:val="2"/>
      <w:sz w:val="16"/>
      <w:szCs w:val="16"/>
    </w:rPr>
  </w:style>
  <w:style w:type="character" w:customStyle="1" w:styleId="201">
    <w:name w:val="HTML 预设格式 Char"/>
    <w:basedOn w:val="46"/>
    <w:link w:val="37"/>
    <w:qFormat/>
    <w:uiPriority w:val="0"/>
    <w:rPr>
      <w:rFonts w:ascii="黑体" w:hAnsi="Courier New" w:eastAsia="黑体" w:cs="Courier New"/>
    </w:rPr>
  </w:style>
  <w:style w:type="character" w:customStyle="1" w:styleId="202">
    <w:name w:val="批注主题 Char"/>
    <w:basedOn w:val="169"/>
    <w:link w:val="41"/>
    <w:semiHidden/>
    <w:qFormat/>
    <w:uiPriority w:val="0"/>
    <w:rPr>
      <w:rFonts w:eastAsia="宋体"/>
      <w:b/>
      <w:bCs/>
      <w:kern w:val="2"/>
      <w:sz w:val="24"/>
      <w:szCs w:val="24"/>
      <w:lang w:val="en-US" w:eastAsia="zh-CN" w:bidi="ar-SA"/>
    </w:rPr>
  </w:style>
  <w:style w:type="character" w:customStyle="1" w:styleId="203">
    <w:name w:val="正文首行缩进 Char"/>
    <w:basedOn w:val="164"/>
    <w:link w:val="42"/>
    <w:qFormat/>
    <w:uiPriority w:val="0"/>
    <w:rPr>
      <w:rFonts w:eastAsia="仿宋_GB2312"/>
      <w:kern w:val="2"/>
      <w:sz w:val="21"/>
      <w:szCs w:val="24"/>
      <w:lang w:val="en-US" w:eastAsia="zh-CN" w:bidi="ar-SA"/>
    </w:rPr>
  </w:style>
  <w:style w:type="character" w:customStyle="1" w:styleId="204">
    <w:name w:val="正文首行缩进 2 Char"/>
    <w:basedOn w:val="66"/>
    <w:link w:val="43"/>
    <w:qFormat/>
    <w:uiPriority w:val="0"/>
    <w:rPr>
      <w:rFonts w:eastAsia="宋体"/>
      <w:kern w:val="2"/>
      <w:sz w:val="21"/>
      <w:szCs w:val="24"/>
      <w:lang w:val="en-US" w:eastAsia="zh-CN" w:bidi="ar-SA"/>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3"/>
    <w:qFormat/>
    <w:uiPriority w:val="0"/>
    <w:rPr>
      <w:rFonts w:eastAsia="楷体_GB2312" w:cs="Lucida Sans"/>
      <w:kern w:val="2"/>
      <w:sz w:val="24"/>
      <w:szCs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34"/>
    <w:pPr>
      <w:spacing w:line="440" w:lineRule="exact"/>
      <w:ind w:firstLine="420" w:firstLineChars="200"/>
    </w:pPr>
    <w:rPr>
      <w:rFonts w:eastAsia="仿宋_GB2312"/>
      <w:sz w:val="24"/>
    </w:rPr>
  </w:style>
  <w:style w:type="paragraph" w:customStyle="1" w:styleId="256">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6"/>
    <w:qFormat/>
    <w:uiPriority w:val="0"/>
    <w:rPr>
      <w:rFonts w:hint="eastAsia" w:ascii="宋体" w:hAnsi="宋体" w:eastAsia="宋体" w:cs="宋体"/>
      <w:color w:val="000000"/>
      <w:sz w:val="22"/>
      <w:szCs w:val="22"/>
      <w:u w:val="none"/>
    </w:rPr>
  </w:style>
  <w:style w:type="character" w:customStyle="1" w:styleId="267">
    <w:name w:val="font11"/>
    <w:basedOn w:val="46"/>
    <w:qFormat/>
    <w:uiPriority w:val="0"/>
    <w:rPr>
      <w:rFonts w:hint="eastAsia" w:ascii="宋体" w:hAnsi="宋体" w:eastAsia="宋体" w:cs="宋体"/>
      <w:color w:val="FF0000"/>
      <w:sz w:val="22"/>
      <w:szCs w:val="22"/>
      <w:u w:val="none"/>
    </w:rPr>
  </w:style>
  <w:style w:type="character" w:customStyle="1" w:styleId="268">
    <w:name w:val="font41"/>
    <w:basedOn w:val="46"/>
    <w:qFormat/>
    <w:uiPriority w:val="0"/>
    <w:rPr>
      <w:rFonts w:hint="default" w:ascii="等线" w:hAnsi="等线" w:eastAsia="等线" w:cs="等线"/>
      <w:color w:val="FF0000"/>
      <w:sz w:val="22"/>
      <w:szCs w:val="22"/>
      <w:u w:val="none"/>
    </w:rPr>
  </w:style>
  <w:style w:type="character" w:customStyle="1" w:styleId="269">
    <w:name w:val="font21"/>
    <w:basedOn w:val="46"/>
    <w:qFormat/>
    <w:uiPriority w:val="0"/>
    <w:rPr>
      <w:rFonts w:hint="default" w:ascii="等线" w:hAnsi="等线" w:eastAsia="等线" w:cs="等线"/>
      <w:color w:val="000000"/>
      <w:sz w:val="22"/>
      <w:szCs w:val="22"/>
      <w:u w:val="none"/>
    </w:rPr>
  </w:style>
  <w:style w:type="character" w:customStyle="1" w:styleId="270">
    <w:name w:val="font51"/>
    <w:basedOn w:val="46"/>
    <w:qFormat/>
    <w:uiPriority w:val="0"/>
    <w:rPr>
      <w:rFonts w:hint="default" w:ascii="等线" w:hAnsi="等线" w:eastAsia="等线" w:cs="等线"/>
      <w:color w:val="FF0000"/>
      <w:sz w:val="22"/>
      <w:szCs w:val="22"/>
      <w:u w:val="none"/>
    </w:rPr>
  </w:style>
  <w:style w:type="character" w:customStyle="1" w:styleId="271">
    <w:name w:val="font61"/>
    <w:basedOn w:val="46"/>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6"/>
    <w:semiHidden/>
    <w:unhideWhenUsed/>
    <w:qFormat/>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6"/>
    <w:qFormat/>
    <w:uiPriority w:val="0"/>
  </w:style>
  <w:style w:type="paragraph" w:customStyle="1" w:styleId="28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1">
    <w:name w:val="题注 Char"/>
    <w:link w:val="16"/>
    <w:qFormat/>
    <w:uiPriority w:val="0"/>
    <w:rPr>
      <w:rFonts w:ascii="Calibri" w:hAnsi="Calibri"/>
      <w:kern w:val="2"/>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列表段落1"/>
    <w:basedOn w:val="1"/>
    <w:qFormat/>
    <w:uiPriority w:val="0"/>
    <w:pPr>
      <w:ind w:firstLine="420" w:firstLineChars="200"/>
    </w:pPr>
  </w:style>
  <w:style w:type="paragraph" w:customStyle="1" w:styleId="288">
    <w:name w:val="表格文字"/>
    <w:basedOn w:val="1"/>
    <w:qFormat/>
    <w:uiPriority w:val="0"/>
    <w:pPr>
      <w:spacing w:before="25" w:after="25"/>
      <w:jc w:val="left"/>
    </w:pPr>
    <w:rPr>
      <w:bCs/>
      <w:spacing w:val="10"/>
      <w:kern w:val="0"/>
      <w:sz w:val="24"/>
      <w:szCs w:val="20"/>
    </w:rPr>
  </w:style>
  <w:style w:type="character" w:customStyle="1" w:styleId="289">
    <w:name w:val="标题 3 字符"/>
    <w:qFormat/>
    <w:uiPriority w:val="9"/>
    <w:rPr>
      <w:rFonts w:ascii="Times New Roman" w:hAnsi="Times New Roman" w:eastAsia="宋体" w:cs="Times New Roman"/>
      <w:b/>
      <w:bCs/>
      <w:sz w:val="32"/>
      <w:szCs w:val="32"/>
      <w:lang w:val="en-US" w:eastAsia="zh-CN" w:bidi="ar-SA"/>
    </w:rPr>
  </w:style>
  <w:style w:type="paragraph" w:customStyle="1" w:styleId="290">
    <w:name w:val="Table Paragraph"/>
    <w:basedOn w:val="1"/>
    <w:qFormat/>
    <w:uiPriority w:val="1"/>
    <w:rPr>
      <w:rFonts w:ascii="宋体" w:hAnsi="宋体" w:cs="宋体"/>
      <w:lang w:val="zh-CN" w:bidi="zh-CN"/>
    </w:rPr>
  </w:style>
  <w:style w:type="character" w:customStyle="1" w:styleId="291">
    <w:name w:val="标题 3 Char1"/>
    <w:basedOn w:val="46"/>
    <w:link w:val="6"/>
    <w:qFormat/>
    <w:uiPriority w:val="9"/>
    <w:rPr>
      <w:rFonts w:ascii="Times New Roman" w:hAnsi="Times New Roman"/>
      <w:b/>
      <w:bCs/>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31BDA9-7ACA-4AAA-B4D0-AFF04F4CFDC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91</Pages>
  <Words>50238</Words>
  <Characters>54124</Characters>
  <Lines>452</Lines>
  <Paragraphs>127</Paragraphs>
  <TotalTime>5</TotalTime>
  <ScaleCrop>false</ScaleCrop>
  <LinksUpToDate>false</LinksUpToDate>
  <CharactersWithSpaces>61143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jj</cp:lastModifiedBy>
  <cp:lastPrinted>2022-10-17T07:13:00Z</cp:lastPrinted>
  <dcterms:modified xsi:type="dcterms:W3CDTF">2022-12-02T12:01:23Z</dcterms:modified>
  <dc:title>绍兴文理学院计算机机房设备及录播系统供货项目</dc:title>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7B81231546E0420EB5A0B8627CAEB189</vt:lpwstr>
  </property>
</Properties>
</file>