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440"/>
        </w:tabs>
        <w:adjustRightInd w:val="0"/>
        <w:jc w:val="center"/>
        <w:rPr>
          <w:rFonts w:ascii="宋体" w:hAnsi="宋体"/>
          <w:b/>
          <w:sz w:val="10"/>
          <w:szCs w:val="10"/>
          <w:highlight w:val="none"/>
        </w:rPr>
      </w:pPr>
    </w:p>
    <w:p>
      <w:pPr>
        <w:tabs>
          <w:tab w:val="center" w:pos="6860"/>
          <w:tab w:val="left" w:pos="9863"/>
          <w:tab w:val="left" w:pos="10440"/>
        </w:tabs>
        <w:adjustRightInd w:val="0"/>
        <w:spacing w:line="440" w:lineRule="exact"/>
        <w:jc w:val="left"/>
        <w:rPr>
          <w:rFonts w:ascii="宋体" w:hAnsi="宋体"/>
          <w:b/>
          <w:sz w:val="44"/>
          <w:szCs w:val="44"/>
          <w:highlight w:val="none"/>
        </w:rPr>
      </w:pPr>
      <w:r>
        <w:rPr>
          <w:rFonts w:ascii="宋体" w:hAnsi="宋体"/>
          <w:b/>
          <w:sz w:val="44"/>
          <w:szCs w:val="44"/>
          <w:highlight w:val="none"/>
        </w:rPr>
        <w:tab/>
      </w:r>
      <w:r>
        <w:rPr>
          <w:rFonts w:hint="eastAsia" w:ascii="宋体" w:hAnsi="宋体"/>
          <w:b/>
          <w:sz w:val="44"/>
          <w:szCs w:val="44"/>
          <w:highlight w:val="none"/>
        </w:rPr>
        <w:t>说  明  书</w:t>
      </w:r>
      <w:r>
        <w:rPr>
          <w:rFonts w:ascii="宋体" w:hAnsi="宋体"/>
          <w:b/>
          <w:sz w:val="44"/>
          <w:szCs w:val="44"/>
          <w:highlight w:val="none"/>
        </w:rPr>
        <w:tab/>
      </w:r>
    </w:p>
    <w:p>
      <w:pPr>
        <w:pStyle w:val="3"/>
        <w:adjustRightInd w:val="0"/>
        <w:spacing w:line="440" w:lineRule="exact"/>
        <w:outlineLvl w:val="0"/>
        <w:rPr>
          <w:rFonts w:hAnsi="宋体" w:cs="宋体"/>
          <w:b/>
          <w:sz w:val="24"/>
          <w:szCs w:val="24"/>
          <w:highlight w:val="none"/>
        </w:rPr>
      </w:pPr>
      <w:r>
        <w:rPr>
          <w:rFonts w:hint="eastAsia" w:hAnsi="宋体" w:cs="宋体"/>
          <w:b/>
          <w:sz w:val="24"/>
          <w:szCs w:val="24"/>
          <w:highlight w:val="none"/>
        </w:rPr>
        <w:t>一、工程概况、设计依据及测设过程</w:t>
      </w:r>
    </w:p>
    <w:p>
      <w:pPr>
        <w:pStyle w:val="3"/>
        <w:keepNext w:val="0"/>
        <w:keepLines w:val="0"/>
        <w:pageBreakBefore w:val="0"/>
        <w:widowControl w:val="0"/>
        <w:tabs>
          <w:tab w:val="left" w:pos="8920"/>
        </w:tabs>
        <w:kinsoku/>
        <w:wordWrap/>
        <w:overflowPunct/>
        <w:topLinePunct w:val="0"/>
        <w:autoSpaceDE/>
        <w:autoSpaceDN/>
        <w:bidi w:val="0"/>
        <w:adjustRightInd w:val="0"/>
        <w:snapToGrid/>
        <w:spacing w:line="440" w:lineRule="exact"/>
        <w:ind w:firstLine="482" w:firstLineChars="200"/>
        <w:textAlignment w:val="auto"/>
        <w:outlineLvl w:val="0"/>
        <w:rPr>
          <w:rFonts w:hAnsi="宋体" w:cs="宋体"/>
          <w:b/>
          <w:sz w:val="24"/>
          <w:szCs w:val="24"/>
          <w:highlight w:val="none"/>
        </w:rPr>
      </w:pPr>
      <w:r>
        <w:rPr>
          <w:rFonts w:hint="eastAsia" w:hAnsi="宋体" w:cs="宋体"/>
          <w:b/>
          <w:sz w:val="24"/>
          <w:szCs w:val="24"/>
          <w:highlight w:val="none"/>
        </w:rPr>
        <w:t>1.1概述</w:t>
      </w:r>
    </w:p>
    <w:p>
      <w:pPr>
        <w:pStyle w:val="3"/>
        <w:keepNext w:val="0"/>
        <w:keepLines w:val="0"/>
        <w:pageBreakBefore w:val="0"/>
        <w:widowControl w:val="0"/>
        <w:kinsoku/>
        <w:wordWrap/>
        <w:overflowPunct/>
        <w:topLinePunct w:val="0"/>
        <w:autoSpaceDE/>
        <w:autoSpaceDN/>
        <w:bidi w:val="0"/>
        <w:snapToGrid/>
        <w:spacing w:line="440" w:lineRule="exact"/>
        <w:ind w:firstLine="480" w:firstLineChars="200"/>
        <w:textAlignment w:val="auto"/>
        <w:outlineLvl w:val="0"/>
        <w:rPr>
          <w:rFonts w:hint="eastAsia" w:ascii="宋体" w:hAnsi="宋体" w:eastAsia="宋体" w:cs="宋体"/>
          <w:kern w:val="2"/>
          <w:sz w:val="24"/>
          <w:szCs w:val="24"/>
          <w:highlight w:val="none"/>
          <w:lang w:val="en-US" w:eastAsia="zh-CN" w:bidi="ar-SA"/>
        </w:rPr>
      </w:pPr>
      <w:bookmarkStart w:id="0" w:name="OLE_LINK9"/>
      <w:r>
        <w:rPr>
          <w:rFonts w:hint="eastAsia" w:hAnsi="宋体" w:cs="宋体"/>
          <w:kern w:val="2"/>
          <w:sz w:val="24"/>
          <w:szCs w:val="24"/>
          <w:highlight w:val="none"/>
          <w:lang w:val="en-US" w:eastAsia="zh-CN" w:bidi="ar-SA"/>
        </w:rPr>
        <w:t>2025年度</w:t>
      </w:r>
      <w:r>
        <w:rPr>
          <w:rFonts w:hint="eastAsia" w:ascii="宋体" w:hAnsi="宋体" w:eastAsia="宋体" w:cs="宋体"/>
          <w:kern w:val="2"/>
          <w:sz w:val="24"/>
          <w:szCs w:val="24"/>
          <w:highlight w:val="none"/>
          <w:lang w:val="en-US" w:eastAsia="zh-CN" w:bidi="ar-SA"/>
        </w:rPr>
        <w:t>浑江区七道江镇鲜明村村部主路修建</w:t>
      </w:r>
      <w:bookmarkEnd w:id="0"/>
      <w:r>
        <w:rPr>
          <w:rFonts w:hint="eastAsia" w:hAnsi="宋体" w:cs="宋体"/>
          <w:kern w:val="2"/>
          <w:sz w:val="24"/>
          <w:szCs w:val="24"/>
          <w:highlight w:val="none"/>
          <w:lang w:val="en-US" w:eastAsia="zh-CN" w:bidi="ar-SA"/>
        </w:rPr>
        <w:t>项目</w:t>
      </w:r>
      <w:r>
        <w:rPr>
          <w:rFonts w:hint="eastAsia" w:ascii="宋体" w:hAnsi="宋体" w:eastAsia="宋体" w:cs="宋体"/>
          <w:kern w:val="2"/>
          <w:sz w:val="24"/>
          <w:szCs w:val="24"/>
          <w:highlight w:val="none"/>
          <w:lang w:val="en-US" w:eastAsia="zh-CN" w:bidi="ar-SA"/>
        </w:rPr>
        <w:t>位于白山市浑江区。道路现状为土路</w:t>
      </w:r>
      <w:r>
        <w:rPr>
          <w:rFonts w:hint="eastAsia" w:hAnsi="宋体" w:cs="宋体"/>
          <w:kern w:val="2"/>
          <w:sz w:val="24"/>
          <w:szCs w:val="24"/>
          <w:highlight w:val="none"/>
          <w:lang w:val="en-US" w:eastAsia="zh-CN" w:bidi="ar-SA"/>
        </w:rPr>
        <w:t>与砂石路</w:t>
      </w:r>
      <w:r>
        <w:rPr>
          <w:rFonts w:hint="eastAsia" w:ascii="宋体" w:hAnsi="宋体" w:eastAsia="宋体" w:cs="宋体"/>
          <w:kern w:val="2"/>
          <w:sz w:val="24"/>
          <w:szCs w:val="24"/>
          <w:highlight w:val="none"/>
          <w:lang w:val="en-US" w:eastAsia="zh-CN" w:bidi="ar-SA"/>
        </w:rPr>
        <w:t>，</w:t>
      </w:r>
      <w:bookmarkStart w:id="1" w:name="OLE_LINK4"/>
      <w:r>
        <w:rPr>
          <w:rFonts w:hint="eastAsia" w:ascii="宋体" w:hAnsi="宋体" w:eastAsia="宋体" w:cs="宋体"/>
          <w:kern w:val="2"/>
          <w:sz w:val="24"/>
          <w:szCs w:val="24"/>
          <w:highlight w:val="none"/>
          <w:lang w:val="en-US" w:eastAsia="zh-CN" w:bidi="ar-SA"/>
        </w:rPr>
        <w:t>现有道路路况极差，</w:t>
      </w:r>
      <w:r>
        <w:rPr>
          <w:rFonts w:hint="eastAsia" w:ascii="宋体" w:hAnsi="宋体" w:cs="宋体"/>
          <w:color w:val="auto"/>
          <w:spacing w:val="4"/>
          <w:sz w:val="24"/>
        </w:rPr>
        <w:t>雨季泥泞，晴天扬尘，冬季易积雪、结冰，行车非常困难，严重影响了沿线车辆、行人通行和货物运输</w:t>
      </w:r>
      <w:bookmarkEnd w:id="1"/>
      <w:r>
        <w:rPr>
          <w:rFonts w:hint="eastAsia" w:ascii="宋体" w:hAnsi="宋体" w:cs="宋体"/>
          <w:color w:val="auto"/>
          <w:spacing w:val="4"/>
          <w:sz w:val="24"/>
        </w:rPr>
        <w:t>。</w:t>
      </w:r>
      <w:r>
        <w:rPr>
          <w:rFonts w:hint="eastAsia" w:ascii="宋体" w:hAnsi="宋体" w:eastAsia="宋体" w:cs="宋体"/>
          <w:kern w:val="2"/>
          <w:sz w:val="24"/>
          <w:szCs w:val="24"/>
          <w:highlight w:val="none"/>
          <w:lang w:val="en-US" w:eastAsia="zh-CN" w:bidi="ar-SA"/>
        </w:rPr>
        <w:t>为打造美丽边境小镇，改善现有环境，本项目势在必行。</w:t>
      </w:r>
    </w:p>
    <w:p>
      <w:pPr>
        <w:pStyle w:val="3"/>
        <w:keepNext w:val="0"/>
        <w:keepLines w:val="0"/>
        <w:pageBreakBefore w:val="0"/>
        <w:widowControl w:val="0"/>
        <w:kinsoku/>
        <w:wordWrap/>
        <w:overflowPunct/>
        <w:topLinePunct w:val="0"/>
        <w:autoSpaceDE/>
        <w:autoSpaceDN/>
        <w:bidi w:val="0"/>
        <w:snapToGrid/>
        <w:spacing w:line="440" w:lineRule="exact"/>
        <w:ind w:firstLine="480" w:firstLineChars="200"/>
        <w:textAlignment w:val="auto"/>
        <w:outlineLvl w:val="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白山市是</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"https://baike.baidu.com/item/%E5%90%89%E6%9E%97%E7%9C%81"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吉林省</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下辖地级市，位于吉林</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"https://baike.baidu.com/item/%E9%95%BF%E7%99%BD%E5%B1%B1/9596"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长白山</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西侧，东与</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"https://baike.baidu.com/item/%E5%BB%B6%E8%BE%B9%E6%9C%9D%E9%B2%9C%E6%97%8F%E8%87%AA%E6%B2%BB%E5%B7%9E"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延边朝鲜族自治州</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相邻；西与</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"https://baike.baidu.com/item/%E9%80%9A%E5%8C%96"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通化</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接壤；北与吉林毗连；南与</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"https://baike.baidu.com/item/%E6%9C%9D%E9%B2%9C/191777"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朝鲜</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"https://baike.baidu.com/item/%E6%83%A0%E5%B1%B1/7061640"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惠山</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市隔</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"https://baike.baidu.com/item/%E9%B8%AD%E7%BB%BF%E6%B1%9F/79667"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鸭绿江</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相望。白山市是</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"https://baike.baidu.com/item/%E4%B8%9C%E5%8C%97" \t "_blank"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eastAsia="宋体" w:cs="宋体"/>
          <w:kern w:val="2"/>
          <w:sz w:val="24"/>
          <w:szCs w:val="24"/>
          <w:highlight w:val="none"/>
          <w:lang w:val="en-US" w:eastAsia="zh-CN" w:bidi="ar-SA"/>
        </w:rPr>
        <w:t>东北</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kern w:val="2"/>
          <w:sz w:val="24"/>
          <w:szCs w:val="24"/>
          <w:highlight w:val="none"/>
          <w:lang w:val="en-US" w:eastAsia="zh-CN" w:bidi="ar-SA"/>
        </w:rPr>
        <w:t>东部重要的节点城市和吉林省东南部重要的中心城市。</w:t>
      </w:r>
    </w:p>
    <w:p>
      <w:pPr>
        <w:pStyle w:val="3"/>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outlineLvl w:val="0"/>
        <w:rPr>
          <w:rFonts w:hAnsi="宋体" w:cs="宋体"/>
          <w:b/>
          <w:sz w:val="24"/>
          <w:szCs w:val="24"/>
          <w:highlight w:val="none"/>
        </w:rPr>
      </w:pPr>
      <w:r>
        <w:rPr>
          <w:rFonts w:hint="eastAsia" w:hAnsi="宋体" w:cs="宋体"/>
          <w:b/>
          <w:sz w:val="24"/>
          <w:szCs w:val="24"/>
          <w:highlight w:val="none"/>
        </w:rPr>
        <w:t>1.2设计任务依据</w:t>
      </w:r>
    </w:p>
    <w:p>
      <w:pPr>
        <w:pStyle w:val="3"/>
        <w:keepNext w:val="0"/>
        <w:keepLines w:val="0"/>
        <w:pageBreakBefore w:val="0"/>
        <w:widowControl w:val="0"/>
        <w:kinsoku/>
        <w:wordWrap/>
        <w:overflowPunct/>
        <w:topLinePunct w:val="0"/>
        <w:autoSpaceDE/>
        <w:autoSpaceDN/>
        <w:bidi w:val="0"/>
        <w:adjustRightInd w:val="0"/>
        <w:snapToGrid/>
        <w:spacing w:line="440" w:lineRule="exact"/>
        <w:ind w:firstLine="496" w:firstLineChars="200"/>
        <w:textAlignment w:val="auto"/>
        <w:outlineLvl w:val="0"/>
        <w:rPr>
          <w:rFonts w:hAnsi="宋体" w:cs="宋体"/>
          <w:sz w:val="24"/>
          <w:szCs w:val="24"/>
          <w:highlight w:val="none"/>
        </w:rPr>
      </w:pPr>
      <w:r>
        <w:rPr>
          <w:rFonts w:hint="eastAsia" w:hAnsi="宋体" w:cs="Courier New"/>
          <w:spacing w:val="4"/>
          <w:kern w:val="30"/>
          <w:sz w:val="24"/>
          <w:szCs w:val="24"/>
          <w:highlight w:val="none"/>
        </w:rPr>
        <w:t>受业主委托，我公司</w:t>
      </w:r>
      <w:r>
        <w:rPr>
          <w:rFonts w:hint="eastAsia" w:hAnsi="宋体" w:cs="Courier New"/>
          <w:spacing w:val="4"/>
          <w:kern w:val="30"/>
          <w:sz w:val="24"/>
          <w:szCs w:val="24"/>
          <w:highlight w:val="none"/>
          <w:lang w:val="en-US" w:eastAsia="zh-CN"/>
        </w:rPr>
        <w:t>对</w:t>
      </w:r>
      <w:r>
        <w:rPr>
          <w:rFonts w:hint="eastAsia" w:hAnsi="宋体" w:cs="宋体"/>
          <w:kern w:val="2"/>
          <w:sz w:val="24"/>
          <w:szCs w:val="24"/>
          <w:highlight w:val="none"/>
          <w:lang w:val="en-US" w:eastAsia="zh-CN" w:bidi="ar-SA"/>
        </w:rPr>
        <w:t>2025年度</w:t>
      </w:r>
      <w:r>
        <w:rPr>
          <w:rFonts w:hint="eastAsia" w:ascii="宋体" w:hAnsi="宋体" w:eastAsia="宋体" w:cs="宋体"/>
          <w:kern w:val="2"/>
          <w:sz w:val="24"/>
          <w:szCs w:val="24"/>
          <w:highlight w:val="none"/>
          <w:lang w:val="en-US" w:eastAsia="zh-CN" w:bidi="ar-SA"/>
        </w:rPr>
        <w:t>浑江区七道江镇鲜明村村部主路修建</w:t>
      </w:r>
      <w:r>
        <w:rPr>
          <w:rFonts w:hint="eastAsia" w:hAnsi="宋体" w:cs="宋体"/>
          <w:kern w:val="2"/>
          <w:sz w:val="24"/>
          <w:szCs w:val="24"/>
          <w:highlight w:val="none"/>
          <w:lang w:val="en-US" w:eastAsia="zh-CN" w:bidi="ar-SA"/>
        </w:rPr>
        <w:t>项目</w:t>
      </w:r>
      <w:r>
        <w:rPr>
          <w:rFonts w:hint="eastAsia" w:hAnsi="宋体" w:cs="Courier New"/>
          <w:spacing w:val="4"/>
          <w:kern w:val="30"/>
          <w:sz w:val="24"/>
          <w:szCs w:val="24"/>
          <w:highlight w:val="none"/>
          <w:lang w:val="en-US" w:eastAsia="zh-CN"/>
        </w:rPr>
        <w:t>进行了</w:t>
      </w:r>
      <w:r>
        <w:rPr>
          <w:rFonts w:hint="eastAsia" w:hAnsi="宋体" w:cs="Courier New"/>
          <w:spacing w:val="4"/>
          <w:kern w:val="30"/>
          <w:sz w:val="24"/>
          <w:szCs w:val="24"/>
          <w:highlight w:val="none"/>
        </w:rPr>
        <w:t>勘察设计</w:t>
      </w:r>
      <w:r>
        <w:rPr>
          <w:rFonts w:hint="eastAsia" w:hAnsi="宋体" w:cs="宋体"/>
          <w:sz w:val="24"/>
          <w:szCs w:val="24"/>
          <w:highlight w:val="none"/>
        </w:rPr>
        <w:t>。</w:t>
      </w:r>
      <w:r>
        <w:rPr>
          <w:rFonts w:hint="eastAsia" w:hAnsi="宋体"/>
          <w:spacing w:val="4"/>
          <w:kern w:val="30"/>
          <w:sz w:val="24"/>
          <w:szCs w:val="24"/>
          <w:highlight w:val="none"/>
        </w:rPr>
        <w:t>本工程遵照下列标准、规范进行勘察、设计：</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(01)交通部《公路工程技术标准》（JTG B01-2014）；</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(02)交通部《公路路线设计规范》（JTG D20-2017）；</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(03)交通部《公路养护技术规范》（JTG H10-2009）；</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(04)交通部《公路工程水文勘测设计规范》(JTG C30-2015)；</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(05)交通部《公路沥青路面设计规范》(JTGD50-2017)</w:t>
      </w:r>
      <w:bookmarkStart w:id="2" w:name="OLE_LINK2"/>
      <w:r>
        <w:rPr>
          <w:rFonts w:hint="eastAsia" w:ascii="宋体" w:hAnsi="宋体" w:cs="宋体"/>
          <w:sz w:val="24"/>
          <w:highlight w:val="none"/>
          <w:lang w:val="en-US" w:eastAsia="zh-CN"/>
        </w:rPr>
        <w:t>；</w:t>
      </w:r>
      <w:bookmarkEnd w:id="2"/>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(06)交通部《公路路基设计规范》（JTGD30-2015）；</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(07)吉林省交通运输厅编《吉林省农村公路建设与养护技术指南》；</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(08)交通部《小交通量农村公路工程技术标准》(JTG 2111-2019)；</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(09)国家标准《乡村道路工程技术规范》(GB/T 51224-2017)；</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(10)《公路排水设计规范》(JTG/T D33—2012)；</w:t>
      </w:r>
    </w:p>
    <w:p>
      <w:pPr>
        <w:tabs>
          <w:tab w:val="left" w:pos="988"/>
        </w:tabs>
        <w:adjustRightInd w:val="0"/>
        <w:spacing w:line="440" w:lineRule="exact"/>
        <w:ind w:left="567" w:leftChars="270"/>
        <w:rPr>
          <w:rFonts w:hint="eastAsia" w:ascii="宋体" w:hAnsi="宋体" w:cs="宋体"/>
          <w:sz w:val="24"/>
          <w:highlight w:val="none"/>
          <w:lang w:val="en-US" w:eastAsia="zh-CN"/>
        </w:rPr>
      </w:pPr>
      <w:r>
        <w:rPr>
          <w:rFonts w:hint="eastAsia" w:ascii="宋体" w:hAnsi="宋体" w:cs="宋体"/>
          <w:sz w:val="24"/>
          <w:highlight w:val="none"/>
          <w:lang w:val="en-US" w:eastAsia="zh-CN"/>
        </w:rPr>
        <w:t>(11)</w:t>
      </w:r>
      <w:r>
        <w:rPr>
          <w:rFonts w:hint="eastAsia" w:ascii="宋体" w:hAnsi="宋体" w:cs="宋体"/>
          <w:sz w:val="24"/>
          <w:highlight w:val="none"/>
        </w:rPr>
        <w:t>《镇（乡）村排水工程技术规范》（CJJ 124-2008）</w:t>
      </w:r>
      <w:r>
        <w:rPr>
          <w:rFonts w:hint="eastAsia" w:ascii="宋体" w:hAnsi="宋体" w:cs="宋体"/>
          <w:sz w:val="24"/>
          <w:highlight w:val="none"/>
          <w:lang w:val="en-US" w:eastAsia="zh-CN"/>
        </w:rPr>
        <w:t>；</w:t>
      </w:r>
    </w:p>
    <w:p>
      <w:pPr>
        <w:tabs>
          <w:tab w:val="left" w:pos="988"/>
        </w:tabs>
        <w:adjustRightInd w:val="0"/>
        <w:spacing w:line="440" w:lineRule="exact"/>
        <w:ind w:left="567" w:leftChars="270"/>
        <w:rPr>
          <w:rFonts w:hint="eastAsia" w:ascii="宋体" w:hAnsi="宋体" w:eastAsia="宋体" w:cs="宋体"/>
          <w:sz w:val="24"/>
          <w:highlight w:val="none"/>
          <w:lang w:eastAsia="zh-CN"/>
        </w:rPr>
      </w:pPr>
      <w:r>
        <w:rPr>
          <w:rFonts w:hint="eastAsia" w:ascii="宋体" w:hAnsi="宋体" w:cs="宋体"/>
          <w:sz w:val="24"/>
          <w:highlight w:val="none"/>
          <w:lang w:val="en-US" w:eastAsia="zh-CN"/>
        </w:rPr>
        <w:t>(12)</w:t>
      </w:r>
      <w:r>
        <w:rPr>
          <w:rFonts w:hint="eastAsia" w:ascii="宋体" w:hAnsi="宋体" w:cs="宋体"/>
          <w:sz w:val="24"/>
          <w:highlight w:val="none"/>
        </w:rPr>
        <w:t>《</w:t>
      </w:r>
      <w:r>
        <w:rPr>
          <w:rFonts w:hint="eastAsia" w:ascii="宋体" w:hAnsi="宋体" w:cs="宋体"/>
          <w:sz w:val="24"/>
          <w:highlight w:val="none"/>
          <w:lang w:val="en-US" w:eastAsia="zh-CN"/>
        </w:rPr>
        <w:t>公路交通安全设施设计细则</w:t>
      </w:r>
      <w:r>
        <w:rPr>
          <w:rFonts w:hint="eastAsia" w:ascii="宋体" w:hAnsi="宋体" w:cs="宋体"/>
          <w:sz w:val="24"/>
          <w:highlight w:val="none"/>
        </w:rPr>
        <w:t>》（</w:t>
      </w:r>
      <w:r>
        <w:rPr>
          <w:rFonts w:hint="eastAsia" w:ascii="宋体" w:hAnsi="宋体" w:cs="宋体"/>
          <w:sz w:val="24"/>
          <w:highlight w:val="none"/>
          <w:lang w:val="en-US" w:eastAsia="zh-CN"/>
        </w:rPr>
        <w:t>JTG/TD81-2017</w:t>
      </w:r>
      <w:r>
        <w:rPr>
          <w:rFonts w:hint="eastAsia" w:ascii="宋体" w:hAnsi="宋体" w:cs="宋体"/>
          <w:sz w:val="24"/>
          <w:highlight w:val="none"/>
        </w:rPr>
        <w:t>）</w:t>
      </w:r>
      <w:r>
        <w:rPr>
          <w:rFonts w:hint="eastAsia" w:ascii="宋体" w:hAnsi="宋体" w:cs="宋体"/>
          <w:sz w:val="24"/>
          <w:highlight w:val="none"/>
          <w:lang w:eastAsia="zh-CN"/>
        </w:rPr>
        <w:t>。</w:t>
      </w:r>
    </w:p>
    <w:p>
      <w:pPr>
        <w:pStyle w:val="3"/>
        <w:spacing w:line="440" w:lineRule="exact"/>
        <w:ind w:firstLine="482" w:firstLineChars="200"/>
        <w:outlineLvl w:val="0"/>
        <w:rPr>
          <w:rFonts w:hAnsi="宋体" w:cs="宋体"/>
          <w:b/>
          <w:sz w:val="24"/>
          <w:szCs w:val="24"/>
          <w:highlight w:val="none"/>
        </w:rPr>
      </w:pPr>
      <w:r>
        <w:rPr>
          <w:rFonts w:hint="eastAsia" w:hAnsi="宋体" w:cs="宋体"/>
          <w:b/>
          <w:sz w:val="24"/>
          <w:szCs w:val="24"/>
          <w:highlight w:val="none"/>
        </w:rPr>
        <w:t>1.</w:t>
      </w:r>
      <w:r>
        <w:rPr>
          <w:rFonts w:hAnsi="宋体" w:cs="宋体"/>
          <w:b/>
          <w:sz w:val="24"/>
          <w:szCs w:val="24"/>
          <w:highlight w:val="none"/>
        </w:rPr>
        <w:t xml:space="preserve">3 </w:t>
      </w:r>
      <w:r>
        <w:rPr>
          <w:rFonts w:hint="eastAsia" w:hAnsi="宋体" w:cs="宋体"/>
          <w:b/>
          <w:sz w:val="24"/>
          <w:szCs w:val="24"/>
          <w:highlight w:val="none"/>
        </w:rPr>
        <w:t>技术标准</w:t>
      </w:r>
    </w:p>
    <w:p>
      <w:pPr>
        <w:spacing w:line="440" w:lineRule="exact"/>
        <w:ind w:firstLine="480" w:firstLineChars="200"/>
        <w:rPr>
          <w:rFonts w:ascii="宋体" w:hAnsi="宋体" w:cs="宋体"/>
          <w:sz w:val="24"/>
          <w:highlight w:val="none"/>
        </w:rPr>
      </w:pPr>
      <w:r>
        <w:rPr>
          <w:rFonts w:hint="eastAsia" w:ascii="宋体" w:hAnsi="宋体" w:cs="宋体"/>
          <w:sz w:val="24"/>
          <w:highlight w:val="none"/>
        </w:rPr>
        <w:t>本次设计采用的技术标准如下表：</w:t>
      </w:r>
    </w:p>
    <w:tbl>
      <w:tblPr>
        <w:tblStyle w:val="9"/>
        <w:tblW w:w="816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05"/>
        <w:gridCol w:w="49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205" w:type="dxa"/>
            <w:tcBorders>
              <w:top w:val="single" w:color="auto" w:sz="12"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项目</w:t>
            </w:r>
          </w:p>
        </w:tc>
        <w:tc>
          <w:tcPr>
            <w:tcW w:w="4961" w:type="dxa"/>
            <w:tcBorders>
              <w:top w:val="single" w:color="auto" w:sz="12"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指标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94" w:hRule="exact"/>
          <w:jc w:val="center"/>
        </w:trPr>
        <w:tc>
          <w:tcPr>
            <w:tcW w:w="3205"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路线名称</w:t>
            </w:r>
          </w:p>
        </w:tc>
        <w:tc>
          <w:tcPr>
            <w:tcW w:w="4961"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2"/>
                <w:sz w:val="24"/>
                <w:szCs w:val="24"/>
                <w:highlight w:val="none"/>
                <w:lang w:val="en-US" w:eastAsia="zh-CN" w:bidi="ar-SA"/>
              </w:rPr>
              <w:t>2025年度</w:t>
            </w:r>
            <w:r>
              <w:rPr>
                <w:rFonts w:hint="eastAsia" w:ascii="宋体" w:hAnsi="宋体" w:eastAsia="宋体" w:cs="宋体"/>
                <w:kern w:val="2"/>
                <w:sz w:val="24"/>
                <w:szCs w:val="24"/>
                <w:highlight w:val="none"/>
                <w:lang w:val="en-US" w:eastAsia="zh-CN" w:bidi="ar-SA"/>
              </w:rPr>
              <w:t>浑江区七道江镇鲜明村村部主路修建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205"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设计行车速度(公里/小时)</w:t>
            </w:r>
          </w:p>
        </w:tc>
        <w:tc>
          <w:tcPr>
            <w:tcW w:w="4961"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1</w:t>
            </w:r>
            <w:r>
              <w:rPr>
                <w:rFonts w:ascii="宋体" w:hAnsi="宋体" w:cs="宋体"/>
                <w:kern w:val="0"/>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205"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路基宽度</w:t>
            </w:r>
          </w:p>
        </w:tc>
        <w:tc>
          <w:tcPr>
            <w:tcW w:w="4961" w:type="dxa"/>
            <w:tcBorders>
              <w:top w:val="single" w:color="auto" w:sz="6" w:space="0"/>
              <w:bottom w:val="single" w:color="auto" w:sz="6" w:space="0"/>
            </w:tcBorders>
            <w:vAlign w:val="center"/>
          </w:tcPr>
          <w:p>
            <w:pPr>
              <w:jc w:val="center"/>
              <w:rPr>
                <w:rFonts w:hint="default" w:ascii="宋体" w:hAnsi="宋体" w:cs="宋体"/>
                <w:kern w:val="0"/>
                <w:sz w:val="24"/>
                <w:highlight w:val="none"/>
                <w:lang w:val="en-US"/>
              </w:rPr>
            </w:pPr>
            <w:r>
              <w:rPr>
                <w:rFonts w:hint="eastAsia" w:ascii="宋体" w:hAnsi="宋体" w:cs="宋体"/>
                <w:kern w:val="0"/>
                <w:sz w:val="24"/>
                <w:highlight w:val="none"/>
                <w:lang w:val="en-US" w:eastAsia="zh-CN"/>
              </w:rPr>
              <w:t>3.5</w:t>
            </w:r>
            <w:r>
              <w:rPr>
                <w:rFonts w:ascii="宋体" w:hAnsi="宋体" w:cs="宋体"/>
                <w:kern w:val="0"/>
                <w:sz w:val="24"/>
                <w:highlight w:val="none"/>
              </w:rPr>
              <w:t>m</w:t>
            </w:r>
            <w:r>
              <w:rPr>
                <w:rFonts w:hint="eastAsia" w:ascii="宋体" w:hAnsi="宋体" w:cs="宋体"/>
                <w:kern w:val="0"/>
                <w:sz w:val="24"/>
                <w:highlight w:val="none"/>
                <w:lang w:val="en-US" w:eastAsia="zh-CN"/>
              </w:rPr>
              <w:t>/4.0m/5.0m/6.0m/7.0m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205" w:type="dxa"/>
            <w:tcBorders>
              <w:top w:val="single" w:color="auto" w:sz="6" w:space="0"/>
              <w:bottom w:val="single" w:color="auto" w:sz="6"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路面宽度</w:t>
            </w:r>
          </w:p>
        </w:tc>
        <w:tc>
          <w:tcPr>
            <w:tcW w:w="4961" w:type="dxa"/>
            <w:tcBorders>
              <w:top w:val="single" w:color="auto" w:sz="6" w:space="0"/>
              <w:bottom w:val="single" w:color="auto" w:sz="6" w:space="0"/>
            </w:tcBorders>
            <w:vAlign w:val="center"/>
          </w:tcPr>
          <w:p>
            <w:pPr>
              <w:jc w:val="center"/>
              <w:rPr>
                <w:rFonts w:hint="default" w:ascii="宋体" w:hAnsi="宋体" w:eastAsia="宋体" w:cs="宋体"/>
                <w:kern w:val="0"/>
                <w:sz w:val="24"/>
                <w:highlight w:val="none"/>
                <w:lang w:val="en-US" w:eastAsia="zh-CN"/>
              </w:rPr>
            </w:pPr>
            <w:bookmarkStart w:id="3" w:name="OLE_LINK1"/>
            <w:r>
              <w:rPr>
                <w:rFonts w:hint="eastAsia" w:ascii="宋体" w:hAnsi="宋体" w:cs="宋体"/>
                <w:kern w:val="0"/>
                <w:sz w:val="24"/>
                <w:highlight w:val="none"/>
                <w:lang w:val="en-US" w:eastAsia="zh-CN"/>
              </w:rPr>
              <w:t>2.5</w:t>
            </w:r>
            <w:r>
              <w:rPr>
                <w:rFonts w:ascii="宋体" w:hAnsi="宋体" w:cs="宋体"/>
                <w:kern w:val="0"/>
                <w:sz w:val="24"/>
                <w:highlight w:val="none"/>
              </w:rPr>
              <w:t>m</w:t>
            </w:r>
            <w:r>
              <w:rPr>
                <w:rFonts w:hint="eastAsia" w:ascii="宋体" w:hAnsi="宋体" w:cs="宋体"/>
                <w:kern w:val="0"/>
                <w:sz w:val="24"/>
                <w:highlight w:val="none"/>
                <w:lang w:val="en-US" w:eastAsia="zh-CN"/>
              </w:rPr>
              <w:t>/3.0m/4.0m/5.0m/6.0m</w:t>
            </w:r>
            <w:bookmarkEnd w:id="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03" w:hRule="exact"/>
          <w:jc w:val="center"/>
        </w:trPr>
        <w:tc>
          <w:tcPr>
            <w:tcW w:w="3205" w:type="dxa"/>
            <w:tcBorders>
              <w:top w:val="single" w:color="auto" w:sz="6" w:space="0"/>
              <w:bottom w:val="single" w:color="auto" w:sz="12" w:space="0"/>
            </w:tcBorders>
            <w:vAlign w:val="center"/>
          </w:tcPr>
          <w:p>
            <w:pPr>
              <w:jc w:val="center"/>
              <w:rPr>
                <w:rFonts w:ascii="宋体" w:hAnsi="宋体" w:cs="宋体"/>
                <w:kern w:val="0"/>
                <w:sz w:val="24"/>
                <w:highlight w:val="none"/>
              </w:rPr>
            </w:pPr>
            <w:r>
              <w:rPr>
                <w:rFonts w:ascii="宋体" w:hAnsi="宋体" w:cs="宋体"/>
                <w:kern w:val="0"/>
                <w:sz w:val="24"/>
                <w:highlight w:val="none"/>
              </w:rPr>
              <w:t>BZZ</w:t>
            </w:r>
            <w:r>
              <w:rPr>
                <w:rFonts w:hint="eastAsia" w:ascii="宋体" w:hAnsi="宋体" w:cs="宋体"/>
                <w:kern w:val="0"/>
                <w:sz w:val="24"/>
                <w:highlight w:val="none"/>
              </w:rPr>
              <w:t>-</w:t>
            </w:r>
            <w:r>
              <w:rPr>
                <w:rFonts w:ascii="宋体" w:hAnsi="宋体" w:cs="宋体"/>
                <w:kern w:val="0"/>
                <w:sz w:val="24"/>
                <w:highlight w:val="none"/>
              </w:rPr>
              <w:t>100</w:t>
            </w:r>
            <w:r>
              <w:rPr>
                <w:rFonts w:hint="eastAsia" w:ascii="宋体" w:hAnsi="宋体" w:cs="宋体"/>
                <w:kern w:val="0"/>
                <w:sz w:val="24"/>
                <w:highlight w:val="none"/>
              </w:rPr>
              <w:t>累计标准</w:t>
            </w:r>
          </w:p>
          <w:p>
            <w:pPr>
              <w:jc w:val="center"/>
              <w:rPr>
                <w:rFonts w:ascii="宋体" w:hAnsi="宋体" w:cs="宋体"/>
                <w:kern w:val="0"/>
                <w:sz w:val="24"/>
                <w:highlight w:val="none"/>
              </w:rPr>
            </w:pPr>
            <w:r>
              <w:rPr>
                <w:rFonts w:hint="eastAsia" w:ascii="宋体" w:hAnsi="宋体" w:cs="宋体"/>
                <w:kern w:val="0"/>
                <w:sz w:val="24"/>
                <w:highlight w:val="none"/>
              </w:rPr>
              <w:t>轴次Ne（次/车道）</w:t>
            </w:r>
          </w:p>
        </w:tc>
        <w:tc>
          <w:tcPr>
            <w:tcW w:w="4961" w:type="dxa"/>
            <w:tcBorders>
              <w:top w:val="single" w:color="auto" w:sz="6" w:space="0"/>
              <w:bottom w:val="single" w:color="auto" w:sz="12"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&lt;</w:t>
            </w:r>
            <w:r>
              <w:rPr>
                <w:rFonts w:ascii="宋体" w:hAnsi="宋体" w:cs="宋体"/>
                <w:kern w:val="0"/>
                <w:sz w:val="24"/>
                <w:highlight w:val="none"/>
              </w:rPr>
              <w:t>3</w:t>
            </w:r>
            <w:r>
              <w:rPr>
                <w:rFonts w:hint="eastAsia" w:ascii="宋体" w:hAnsi="宋体" w:cs="宋体"/>
                <w:kern w:val="0"/>
                <w:sz w:val="24"/>
                <w:highlight w:val="none"/>
              </w:rPr>
              <w:t>×10</w:t>
            </w:r>
            <w:r>
              <w:rPr>
                <w:rFonts w:ascii="宋体" w:hAnsi="宋体" w:cs="宋体"/>
                <w:kern w:val="0"/>
                <w:sz w:val="24"/>
                <w:highlight w:val="none"/>
                <w:vertAlign w:val="superscript"/>
              </w:rPr>
              <w:t>6</w:t>
            </w:r>
          </w:p>
        </w:tc>
      </w:tr>
    </w:tbl>
    <w:p>
      <w:pPr>
        <w:pStyle w:val="3"/>
        <w:spacing w:line="440" w:lineRule="exact"/>
        <w:ind w:firstLine="482" w:firstLineChars="200"/>
        <w:outlineLvl w:val="0"/>
        <w:rPr>
          <w:rFonts w:hAnsi="宋体" w:cs="宋体"/>
          <w:b/>
          <w:sz w:val="24"/>
          <w:szCs w:val="24"/>
          <w:highlight w:val="none"/>
        </w:rPr>
      </w:pPr>
      <w:r>
        <w:rPr>
          <w:rFonts w:hint="eastAsia" w:hAnsi="宋体" w:cs="宋体"/>
          <w:b/>
          <w:sz w:val="24"/>
          <w:szCs w:val="24"/>
          <w:highlight w:val="none"/>
        </w:rPr>
        <w:t>1.</w:t>
      </w:r>
      <w:r>
        <w:rPr>
          <w:rFonts w:hAnsi="宋体" w:cs="宋体"/>
          <w:b/>
          <w:sz w:val="24"/>
          <w:szCs w:val="24"/>
          <w:highlight w:val="none"/>
        </w:rPr>
        <w:t xml:space="preserve">4 </w:t>
      </w:r>
      <w:r>
        <w:rPr>
          <w:rFonts w:hint="eastAsia" w:hAnsi="宋体" w:cs="宋体"/>
          <w:b/>
          <w:sz w:val="24"/>
          <w:szCs w:val="24"/>
          <w:highlight w:val="none"/>
        </w:rPr>
        <w:t>测设经过</w:t>
      </w:r>
    </w:p>
    <w:p>
      <w:pPr>
        <w:spacing w:line="440" w:lineRule="exact"/>
        <w:ind w:firstLine="480" w:firstLineChars="200"/>
        <w:rPr>
          <w:rFonts w:ascii="宋体" w:hAnsi="宋体" w:cs="宋体"/>
          <w:sz w:val="24"/>
          <w:highlight w:val="none"/>
        </w:rPr>
      </w:pPr>
      <w:r>
        <w:rPr>
          <w:rFonts w:hint="eastAsia" w:ascii="宋体" w:hAnsi="宋体" w:cs="宋体"/>
          <w:sz w:val="24"/>
          <w:highlight w:val="none"/>
        </w:rPr>
        <w:t>为全面了解和真实系统的掌握本路段的具体情况状况，我公司于</w:t>
      </w:r>
      <w:r>
        <w:rPr>
          <w:rFonts w:hint="eastAsia" w:ascii="宋体" w:hAnsi="宋体" w:cs="宋体"/>
          <w:color w:val="0000FF"/>
          <w:sz w:val="24"/>
          <w:highlight w:val="none"/>
        </w:rPr>
        <w:t>20</w:t>
      </w:r>
      <w:r>
        <w:rPr>
          <w:rFonts w:hint="eastAsia" w:ascii="宋体" w:hAnsi="宋体" w:cs="宋体"/>
          <w:color w:val="0000FF"/>
          <w:sz w:val="24"/>
          <w:highlight w:val="none"/>
          <w:lang w:val="en-US" w:eastAsia="zh-CN"/>
        </w:rPr>
        <w:t>25</w:t>
      </w:r>
      <w:r>
        <w:rPr>
          <w:rFonts w:hint="eastAsia" w:ascii="宋体" w:hAnsi="宋体" w:cs="宋体"/>
          <w:color w:val="0000FF"/>
          <w:sz w:val="24"/>
          <w:highlight w:val="none"/>
        </w:rPr>
        <w:t>年在</w:t>
      </w:r>
      <w:r>
        <w:rPr>
          <w:rFonts w:hint="eastAsia" w:ascii="宋体" w:hAnsi="宋体" w:cs="宋体"/>
          <w:sz w:val="24"/>
          <w:highlight w:val="none"/>
        </w:rPr>
        <w:t>地方领导的配合下，使用南方测绘（SOUTH）生产的RTK对沿线进行了勘测，分别对该路段的路基、路面的病害情况进行详细的调查并拍摄了照片。外业期间积极与业务科、项目科及地方领导、管理部门进行沟通，会同相关人员现场勘察，结合实际情况，形成了完整的外业调查记录，为该路段设计提供了详实可靠的依据。最后在对所有资料进行对比、分析的基础上，分段对路面结构进行整体判断，并在外业现场提出初步的设计方案。内业设计过程中，本着实事求是的原则，科学合理地采用技术指标，利用Card/1、纬地、CAD等国内外先进的软件进行设计。设计人员坚持“质量第一，诚实守信”的设计理念，严格按照质量管理目标，层层把关，确保设计质量。</w:t>
      </w:r>
    </w:p>
    <w:p>
      <w:pPr>
        <w:adjustRightInd w:val="0"/>
        <w:spacing w:line="440" w:lineRule="exact"/>
        <w:rPr>
          <w:rFonts w:ascii="宋体" w:hAnsi="宋体"/>
          <w:b/>
          <w:spacing w:val="4"/>
          <w:kern w:val="30"/>
          <w:sz w:val="24"/>
          <w:highlight w:val="none"/>
        </w:rPr>
      </w:pPr>
      <w:r>
        <w:rPr>
          <w:rFonts w:hint="eastAsia" w:ascii="宋体" w:hAnsi="宋体"/>
          <w:b/>
          <w:spacing w:val="4"/>
          <w:kern w:val="30"/>
          <w:sz w:val="24"/>
          <w:highlight w:val="none"/>
        </w:rPr>
        <w:t>二</w:t>
      </w:r>
      <w:r>
        <w:rPr>
          <w:rFonts w:hint="eastAsia" w:hAnsi="宋体" w:cs="宋体"/>
          <w:b/>
          <w:sz w:val="24"/>
          <w:highlight w:val="none"/>
        </w:rPr>
        <w:t>、</w:t>
      </w:r>
      <w:r>
        <w:rPr>
          <w:rFonts w:hint="eastAsia" w:ascii="宋体" w:hAnsi="宋体"/>
          <w:b/>
          <w:spacing w:val="4"/>
          <w:kern w:val="30"/>
          <w:sz w:val="24"/>
          <w:highlight w:val="none"/>
        </w:rPr>
        <w:t>主要工程规模</w:t>
      </w:r>
    </w:p>
    <w:p>
      <w:pPr>
        <w:adjustRightInd w:val="0"/>
        <w:spacing w:line="360" w:lineRule="auto"/>
        <w:jc w:val="center"/>
        <w:rPr>
          <w:rFonts w:ascii="宋体" w:hAnsi="宋体"/>
          <w:spacing w:val="4"/>
          <w:kern w:val="30"/>
          <w:sz w:val="28"/>
          <w:szCs w:val="28"/>
          <w:highlight w:val="none"/>
        </w:rPr>
      </w:pPr>
      <w:r>
        <w:rPr>
          <w:rFonts w:hint="eastAsia" w:ascii="宋体" w:hAnsi="宋体"/>
          <w:spacing w:val="4"/>
          <w:kern w:val="30"/>
          <w:sz w:val="28"/>
          <w:szCs w:val="28"/>
          <w:highlight w:val="none"/>
        </w:rPr>
        <w:t>主 要 工 程 数 量</w:t>
      </w:r>
    </w:p>
    <w:tbl>
      <w:tblPr>
        <w:tblStyle w:val="8"/>
        <w:tblW w:w="10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4536"/>
        <w:gridCol w:w="184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543" w:type="dxa"/>
            <w:tcBorders>
              <w:top w:val="single" w:color="auto" w:sz="18" w:space="0"/>
              <w:left w:val="single" w:color="auto" w:sz="18" w:space="0"/>
              <w:bottom w:val="single" w:color="auto" w:sz="4" w:space="0"/>
              <w:right w:val="single" w:color="auto" w:sz="4" w:space="0"/>
              <w:tl2br w:val="single" w:color="auto" w:sz="2" w:space="0"/>
            </w:tcBorders>
            <w:noWrap/>
            <w:vAlign w:val="bottom"/>
          </w:tcPr>
          <w:p>
            <w:pPr>
              <w:jc w:val="right"/>
              <w:rPr>
                <w:rFonts w:ascii="宋体" w:cs="宋体"/>
                <w:color w:val="000000"/>
                <w:kern w:val="0"/>
                <w:sz w:val="24"/>
                <w:highlight w:val="none"/>
              </w:rPr>
            </w:pPr>
            <w:r>
              <w:rPr>
                <w:rFonts w:hint="eastAsia" w:ascii="宋体" w:hAnsi="宋体" w:cs="宋体"/>
                <w:kern w:val="0"/>
                <w:sz w:val="24"/>
                <w:highlight w:val="none"/>
              </w:rPr>
              <w:t>内容</w:t>
            </w:r>
            <w:r>
              <w:rPr>
                <w:rFonts w:hint="eastAsia" w:ascii="宋体" w:cs="宋体"/>
                <w:color w:val="000000"/>
                <w:kern w:val="0"/>
                <w:sz w:val="24"/>
                <w:highlight w:val="none"/>
              </w:rPr>
              <w:t xml:space="preserve"> </w:t>
            </w:r>
          </w:p>
          <w:p>
            <w:pPr>
              <w:jc w:val="left"/>
              <w:rPr>
                <w:rFonts w:ascii="宋体" w:cs="宋体"/>
                <w:color w:val="000000"/>
                <w:kern w:val="0"/>
                <w:sz w:val="24"/>
                <w:highlight w:val="none"/>
              </w:rPr>
            </w:pPr>
            <w:r>
              <w:rPr>
                <w:rFonts w:hint="eastAsia" w:ascii="宋体" w:hAnsi="宋体" w:cs="宋体"/>
                <w:kern w:val="0"/>
                <w:sz w:val="24"/>
                <w:highlight w:val="none"/>
              </w:rPr>
              <w:t>编号</w:t>
            </w:r>
          </w:p>
        </w:tc>
        <w:tc>
          <w:tcPr>
            <w:tcW w:w="4536" w:type="dxa"/>
            <w:tcBorders>
              <w:top w:val="single" w:color="auto" w:sz="18" w:space="0"/>
              <w:left w:val="single" w:color="auto" w:sz="4" w:space="0"/>
              <w:bottom w:val="single" w:color="auto" w:sz="4"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项目</w:t>
            </w:r>
          </w:p>
        </w:tc>
        <w:tc>
          <w:tcPr>
            <w:tcW w:w="1843" w:type="dxa"/>
            <w:tcBorders>
              <w:top w:val="single" w:color="auto" w:sz="18" w:space="0"/>
              <w:left w:val="single" w:color="auto" w:sz="4" w:space="0"/>
              <w:bottom w:val="single" w:color="auto" w:sz="4"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单位</w:t>
            </w:r>
          </w:p>
        </w:tc>
        <w:tc>
          <w:tcPr>
            <w:tcW w:w="2693" w:type="dxa"/>
            <w:tcBorders>
              <w:top w:val="single" w:color="auto" w:sz="18" w:space="0"/>
              <w:left w:val="single" w:color="auto" w:sz="4" w:space="0"/>
              <w:bottom w:val="single" w:color="auto" w:sz="4" w:space="0"/>
              <w:right w:val="single" w:color="auto" w:sz="18"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工程量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5" w:type="dxa"/>
            <w:gridSpan w:val="4"/>
            <w:tcBorders>
              <w:top w:val="single" w:color="auto" w:sz="4" w:space="0"/>
              <w:left w:val="single" w:color="auto" w:sz="18" w:space="0"/>
              <w:bottom w:val="single" w:color="auto" w:sz="4" w:space="0"/>
              <w:right w:val="single" w:color="auto" w:sz="18"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沥青路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pPr>
              <w:jc w:val="center"/>
              <w:rPr>
                <w:rFonts w:hint="eastAsia" w:ascii="宋体" w:hAnsi="宋体" w:eastAsia="宋体" w:cs="宋体"/>
                <w:kern w:val="0"/>
                <w:sz w:val="24"/>
                <w:highlight w:val="none"/>
                <w:lang w:eastAsia="zh-CN"/>
              </w:rPr>
            </w:pPr>
            <w:r>
              <w:rPr>
                <w:rFonts w:hint="eastAsia" w:ascii="宋体" w:hAnsi="宋体" w:cs="宋体"/>
                <w:kern w:val="0"/>
                <w:sz w:val="24"/>
                <w:highlight w:val="none"/>
              </w:rPr>
              <w:t>1</w:t>
            </w:r>
          </w:p>
        </w:tc>
        <w:tc>
          <w:tcPr>
            <w:tcW w:w="45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24"/>
                <w:highlight w:val="none"/>
                <w:lang w:eastAsia="zh-CN"/>
              </w:rPr>
            </w:pPr>
            <w:r>
              <w:rPr>
                <w:rFonts w:hint="eastAsia" w:ascii="宋体" w:hAnsi="宋体" w:cs="宋体"/>
                <w:kern w:val="0"/>
                <w:sz w:val="24"/>
                <w:highlight w:val="none"/>
              </w:rPr>
              <w:t>铺筑长度</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公里</w:t>
            </w:r>
          </w:p>
        </w:tc>
        <w:tc>
          <w:tcPr>
            <w:tcW w:w="2693" w:type="dxa"/>
            <w:tcBorders>
              <w:top w:val="single" w:color="auto" w:sz="4" w:space="0"/>
              <w:left w:val="single" w:color="auto" w:sz="4" w:space="0"/>
              <w:bottom w:val="single" w:color="auto" w:sz="4" w:space="0"/>
              <w:right w:val="single" w:color="auto" w:sz="18"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1.367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exact"/>
          <w:jc w:val="center"/>
        </w:trPr>
        <w:tc>
          <w:tcPr>
            <w:tcW w:w="1543" w:type="dxa"/>
            <w:tcBorders>
              <w:top w:val="single" w:color="auto" w:sz="4" w:space="0"/>
              <w:left w:val="single" w:color="auto" w:sz="18" w:space="0"/>
              <w:bottom w:val="single" w:color="auto" w:sz="4" w:space="0"/>
              <w:right w:val="single" w:color="auto" w:sz="4" w:space="0"/>
            </w:tcBorders>
            <w:vAlign w:val="center"/>
          </w:tcPr>
          <w:p>
            <w:pPr>
              <w:jc w:val="center"/>
              <w:rPr>
                <w:rFonts w:hint="eastAsia" w:ascii="宋体" w:hAnsi="宋体" w:eastAsia="宋体" w:cs="宋体"/>
                <w:kern w:val="0"/>
                <w:sz w:val="24"/>
                <w:highlight w:val="none"/>
                <w:lang w:eastAsia="zh-CN"/>
              </w:rPr>
            </w:pPr>
            <w:r>
              <w:rPr>
                <w:rFonts w:hint="eastAsia" w:ascii="宋体" w:hAnsi="宋体" w:cs="宋体"/>
                <w:kern w:val="0"/>
                <w:sz w:val="24"/>
                <w:highlight w:val="none"/>
                <w:lang w:val="en-US" w:eastAsia="zh-CN"/>
              </w:rPr>
              <w:t>2</w:t>
            </w:r>
          </w:p>
        </w:tc>
        <w:tc>
          <w:tcPr>
            <w:tcW w:w="45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rPr>
              <w:t>5cmAC-</w:t>
            </w:r>
            <w:r>
              <w:rPr>
                <w:rFonts w:hint="eastAsia" w:ascii="宋体" w:hAnsi="宋体" w:cs="宋体"/>
                <w:kern w:val="0"/>
                <w:sz w:val="24"/>
                <w:highlight w:val="none"/>
                <w:lang w:val="en-US" w:eastAsia="zh-CN"/>
              </w:rPr>
              <w:t>16</w:t>
            </w:r>
            <w:r>
              <w:rPr>
                <w:rFonts w:hint="eastAsia" w:ascii="宋体" w:hAnsi="宋体" w:cs="宋体"/>
                <w:kern w:val="0"/>
                <w:sz w:val="24"/>
                <w:highlight w:val="none"/>
              </w:rPr>
              <w:t>中粒式沥青混凝土面层</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不含平面交叉工程量</w:t>
            </w:r>
            <w:r>
              <w:rPr>
                <w:rFonts w:hint="eastAsia" w:ascii="宋体" w:hAnsi="宋体" w:cs="宋体"/>
                <w:kern w:val="0"/>
                <w:sz w:val="24"/>
                <w:highlight w:val="none"/>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千平方米</w:t>
            </w:r>
          </w:p>
        </w:tc>
        <w:tc>
          <w:tcPr>
            <w:tcW w:w="2693" w:type="dxa"/>
            <w:tcBorders>
              <w:top w:val="single" w:color="auto" w:sz="4" w:space="0"/>
              <w:left w:val="single" w:color="auto" w:sz="4" w:space="0"/>
              <w:bottom w:val="single" w:color="auto" w:sz="4" w:space="0"/>
              <w:right w:val="single" w:color="auto" w:sz="18"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4.374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exact"/>
          <w:jc w:val="center"/>
        </w:trPr>
        <w:tc>
          <w:tcPr>
            <w:tcW w:w="1543" w:type="dxa"/>
            <w:tcBorders>
              <w:top w:val="single" w:color="auto" w:sz="4" w:space="0"/>
              <w:left w:val="single" w:color="auto" w:sz="18" w:space="0"/>
              <w:bottom w:val="single" w:color="auto" w:sz="6" w:space="0"/>
              <w:right w:val="single" w:color="auto" w:sz="4" w:space="0"/>
            </w:tcBorders>
            <w:vAlign w:val="center"/>
          </w:tcPr>
          <w:p>
            <w:pPr>
              <w:jc w:val="center"/>
              <w:rPr>
                <w:rFonts w:hint="eastAsia" w:ascii="宋体" w:hAnsi="宋体" w:eastAsia="宋体" w:cs="宋体"/>
                <w:kern w:val="0"/>
                <w:sz w:val="24"/>
                <w:highlight w:val="none"/>
                <w:lang w:eastAsia="zh-CN"/>
              </w:rPr>
            </w:pPr>
            <w:r>
              <w:rPr>
                <w:rFonts w:hint="eastAsia" w:ascii="宋体" w:hAnsi="宋体" w:cs="宋体"/>
                <w:kern w:val="0"/>
                <w:sz w:val="24"/>
                <w:highlight w:val="none"/>
                <w:lang w:val="en-US" w:eastAsia="zh-CN"/>
              </w:rPr>
              <w:t>3</w:t>
            </w:r>
          </w:p>
        </w:tc>
        <w:tc>
          <w:tcPr>
            <w:tcW w:w="4536" w:type="dxa"/>
            <w:tcBorders>
              <w:top w:val="single" w:color="auto" w:sz="4" w:space="0"/>
              <w:left w:val="single" w:color="auto" w:sz="4" w:space="0"/>
              <w:bottom w:val="single" w:color="auto" w:sz="6"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lang w:val="en-US" w:eastAsia="zh-CN"/>
              </w:rPr>
              <w:t>20cm水泥稳定碎石基层（5:95）</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不含平面交叉工程量</w:t>
            </w:r>
            <w:r>
              <w:rPr>
                <w:rFonts w:hint="eastAsia" w:ascii="宋体" w:hAnsi="宋体" w:cs="宋体"/>
                <w:kern w:val="0"/>
                <w:sz w:val="24"/>
                <w:highlight w:val="none"/>
                <w:lang w:eastAsia="zh-CN"/>
              </w:rPr>
              <w:t>）</w:t>
            </w:r>
          </w:p>
        </w:tc>
        <w:tc>
          <w:tcPr>
            <w:tcW w:w="1843" w:type="dxa"/>
            <w:tcBorders>
              <w:top w:val="single" w:color="auto" w:sz="4" w:space="0"/>
              <w:left w:val="single" w:color="auto" w:sz="4" w:space="0"/>
              <w:bottom w:val="single" w:color="auto" w:sz="6" w:space="0"/>
              <w:right w:val="single" w:color="auto" w:sz="4" w:space="0"/>
            </w:tcBorders>
            <w:vAlign w:val="center"/>
          </w:tcPr>
          <w:p>
            <w:pPr>
              <w:jc w:val="center"/>
              <w:rPr>
                <w:rFonts w:ascii="宋体" w:hAnsi="宋体" w:cs="宋体"/>
                <w:kern w:val="0"/>
                <w:sz w:val="24"/>
                <w:highlight w:val="none"/>
              </w:rPr>
            </w:pPr>
            <w:r>
              <w:rPr>
                <w:rFonts w:hint="eastAsia" w:ascii="宋体" w:hAnsi="宋体" w:cs="宋体"/>
                <w:kern w:val="0"/>
                <w:sz w:val="24"/>
                <w:highlight w:val="none"/>
              </w:rPr>
              <w:t>千平方米</w:t>
            </w:r>
          </w:p>
        </w:tc>
        <w:tc>
          <w:tcPr>
            <w:tcW w:w="2693" w:type="dxa"/>
            <w:tcBorders>
              <w:top w:val="single" w:color="auto" w:sz="4" w:space="0"/>
              <w:left w:val="single" w:color="auto" w:sz="4" w:space="0"/>
              <w:bottom w:val="single" w:color="auto" w:sz="6" w:space="0"/>
              <w:right w:val="single" w:color="auto" w:sz="18"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5.057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4</w:t>
            </w:r>
          </w:p>
        </w:tc>
        <w:tc>
          <w:tcPr>
            <w:tcW w:w="4536" w:type="dxa"/>
            <w:tcBorders>
              <w:top w:val="single" w:color="auto" w:sz="4" w:space="0"/>
              <w:left w:val="single" w:color="auto" w:sz="4"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透层油</w:t>
            </w:r>
          </w:p>
        </w:tc>
        <w:tc>
          <w:tcPr>
            <w:tcW w:w="1843" w:type="dxa"/>
            <w:tcBorders>
              <w:top w:val="single" w:color="auto" w:sz="4" w:space="0"/>
              <w:left w:val="single" w:color="auto" w:sz="4" w:space="0"/>
              <w:bottom w:val="single" w:color="auto" w:sz="6" w:space="0"/>
              <w:right w:val="single" w:color="auto" w:sz="4" w:space="0"/>
            </w:tcBorders>
            <w:vAlign w:val="center"/>
          </w:tcPr>
          <w:p>
            <w:pPr>
              <w:jc w:val="center"/>
              <w:rPr>
                <w:rFonts w:hint="eastAsia" w:ascii="宋体" w:hAnsi="宋体" w:eastAsia="宋体" w:cs="宋体"/>
                <w:kern w:val="0"/>
                <w:sz w:val="24"/>
                <w:highlight w:val="none"/>
                <w:lang w:val="en-US" w:eastAsia="zh-CN"/>
              </w:rPr>
            </w:pPr>
            <w:r>
              <w:rPr>
                <w:rFonts w:hint="eastAsia" w:ascii="宋体" w:hAnsi="宋体" w:cs="宋体"/>
                <w:kern w:val="0"/>
                <w:sz w:val="24"/>
                <w:highlight w:val="none"/>
              </w:rPr>
              <w:t>千平方米</w:t>
            </w:r>
          </w:p>
        </w:tc>
        <w:tc>
          <w:tcPr>
            <w:tcW w:w="2693" w:type="dxa"/>
            <w:tcBorders>
              <w:top w:val="single" w:color="auto" w:sz="4" w:space="0"/>
              <w:left w:val="single" w:color="auto" w:sz="4" w:space="0"/>
              <w:bottom w:val="single" w:color="auto" w:sz="6" w:space="0"/>
              <w:right w:val="single" w:color="auto" w:sz="18"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5.057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4"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5</w:t>
            </w:r>
          </w:p>
        </w:tc>
        <w:tc>
          <w:tcPr>
            <w:tcW w:w="4536" w:type="dxa"/>
            <w:tcBorders>
              <w:top w:val="single" w:color="auto" w:sz="4" w:space="0"/>
              <w:left w:val="single" w:color="auto" w:sz="4" w:space="0"/>
              <w:bottom w:val="single" w:color="auto" w:sz="6" w:space="0"/>
              <w:right w:val="single" w:color="auto" w:sz="4"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土方总量</w:t>
            </w:r>
          </w:p>
        </w:tc>
        <w:tc>
          <w:tcPr>
            <w:tcW w:w="1843" w:type="dxa"/>
            <w:tcBorders>
              <w:top w:val="single" w:color="auto" w:sz="4" w:space="0"/>
              <w:left w:val="single" w:color="auto" w:sz="4" w:space="0"/>
              <w:bottom w:val="single" w:color="auto" w:sz="6" w:space="0"/>
              <w:right w:val="single" w:color="auto" w:sz="4"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立</w:t>
            </w:r>
          </w:p>
        </w:tc>
        <w:tc>
          <w:tcPr>
            <w:tcW w:w="2693" w:type="dxa"/>
            <w:tcBorders>
              <w:top w:val="single" w:color="auto" w:sz="4" w:space="0"/>
              <w:left w:val="single" w:color="auto" w:sz="4" w:space="0"/>
              <w:bottom w:val="single" w:color="auto" w:sz="6" w:space="0"/>
              <w:right w:val="single" w:color="auto" w:sz="18"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1091.894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6</w:t>
            </w:r>
          </w:p>
        </w:tc>
        <w:tc>
          <w:tcPr>
            <w:tcW w:w="4536" w:type="dxa"/>
            <w:tcBorders>
              <w:top w:val="single" w:color="auto" w:sz="6" w:space="0"/>
              <w:left w:val="single" w:color="auto" w:sz="4"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直径0.5米圆管涵</w:t>
            </w:r>
          </w:p>
        </w:tc>
        <w:tc>
          <w:tcPr>
            <w:tcW w:w="1843" w:type="dxa"/>
            <w:tcBorders>
              <w:top w:val="single" w:color="auto" w:sz="6" w:space="0"/>
              <w:left w:val="single" w:color="auto" w:sz="4" w:space="0"/>
              <w:bottom w:val="single" w:color="auto" w:sz="6" w:space="0"/>
              <w:right w:val="single" w:color="auto" w:sz="4" w:space="0"/>
            </w:tcBorders>
            <w:vAlign w:val="center"/>
          </w:tcPr>
          <w:p>
            <w:pPr>
              <w:jc w:val="center"/>
              <w:rPr>
                <w:rFonts w:hint="default"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道/米</w:t>
            </w:r>
          </w:p>
        </w:tc>
        <w:tc>
          <w:tcPr>
            <w:tcW w:w="2693" w:type="dxa"/>
            <w:tcBorders>
              <w:top w:val="single" w:color="auto" w:sz="6" w:space="0"/>
              <w:left w:val="single" w:color="auto" w:sz="4" w:space="0"/>
              <w:bottom w:val="single" w:color="auto" w:sz="6" w:space="0"/>
              <w:right w:val="single" w:color="auto" w:sz="18"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7</w:t>
            </w:r>
          </w:p>
        </w:tc>
        <w:tc>
          <w:tcPr>
            <w:tcW w:w="4536" w:type="dxa"/>
            <w:tcBorders>
              <w:top w:val="single" w:color="auto" w:sz="6" w:space="0"/>
              <w:left w:val="single" w:color="auto" w:sz="4" w:space="0"/>
              <w:bottom w:val="single" w:color="auto" w:sz="6" w:space="0"/>
              <w:right w:val="single" w:color="auto" w:sz="4"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标志牌</w:t>
            </w:r>
          </w:p>
        </w:tc>
        <w:tc>
          <w:tcPr>
            <w:tcW w:w="1843" w:type="dxa"/>
            <w:tcBorders>
              <w:top w:val="single" w:color="auto" w:sz="6" w:space="0"/>
              <w:left w:val="single" w:color="auto" w:sz="4" w:space="0"/>
              <w:bottom w:val="single" w:color="auto" w:sz="6" w:space="0"/>
              <w:right w:val="single" w:color="auto" w:sz="4"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处</w:t>
            </w:r>
          </w:p>
        </w:tc>
        <w:tc>
          <w:tcPr>
            <w:tcW w:w="2693" w:type="dxa"/>
            <w:tcBorders>
              <w:top w:val="single" w:color="auto" w:sz="6" w:space="0"/>
              <w:left w:val="single" w:color="auto" w:sz="4" w:space="0"/>
              <w:bottom w:val="single" w:color="auto" w:sz="6" w:space="0"/>
              <w:right w:val="single" w:color="auto" w:sz="18" w:space="0"/>
            </w:tcBorders>
            <w:vAlign w:val="center"/>
          </w:tcPr>
          <w:p>
            <w:pPr>
              <w:jc w:val="center"/>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5" w:type="dxa"/>
            <w:gridSpan w:val="4"/>
            <w:tcBorders>
              <w:top w:val="single" w:color="auto" w:sz="6" w:space="0"/>
              <w:left w:val="single" w:color="auto" w:sz="18" w:space="0"/>
              <w:bottom w:val="single" w:color="auto" w:sz="6" w:space="0"/>
              <w:right w:val="single" w:color="auto" w:sz="18"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50U型槽边沟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1</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lang w:val="en-US" w:eastAsia="zh-CN"/>
              </w:rPr>
              <w:t>5</w:t>
            </w:r>
            <w:r>
              <w:rPr>
                <w:rFonts w:hint="eastAsia" w:ascii="宋体" w:hAnsi="宋体"/>
                <w:spacing w:val="4"/>
                <w:kern w:val="30"/>
                <w:sz w:val="24"/>
                <w:szCs w:val="24"/>
              </w:rPr>
              <w:t>0U型槽</w:t>
            </w:r>
            <w:r>
              <w:rPr>
                <w:rFonts w:hint="eastAsia" w:ascii="宋体" w:hAnsi="宋体"/>
                <w:spacing w:val="4"/>
                <w:kern w:val="30"/>
                <w:sz w:val="24"/>
                <w:szCs w:val="24"/>
                <w:lang w:val="en-US" w:eastAsia="zh-CN"/>
              </w:rPr>
              <w:t>边沟</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eastAsia="宋体" w:cs="宋体"/>
                <w:kern w:val="0"/>
                <w:sz w:val="24"/>
                <w:szCs w:val="24"/>
                <w:highlight w:val="none"/>
                <w:lang w:val="en-US" w:eastAsia="zh-CN"/>
              </w:rPr>
            </w:pPr>
            <w:r>
              <w:rPr>
                <w:rFonts w:hint="eastAsia" w:ascii="宋体" w:hAnsi="宋体"/>
                <w:spacing w:val="4"/>
                <w:kern w:val="30"/>
                <w:sz w:val="24"/>
                <w:szCs w:val="24"/>
                <w:lang w:val="en-US" w:eastAsia="zh-CN"/>
              </w:rPr>
              <w:t>米</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cs="Times New Roman"/>
                <w:spacing w:val="4"/>
                <w:kern w:val="30"/>
                <w:sz w:val="24"/>
                <w:szCs w:val="24"/>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2</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rPr>
              <w:t>混凝土盖板</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lang w:val="en-US" w:eastAsia="zh-CN"/>
              </w:rPr>
              <w:t>米</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spacing w:val="4"/>
                <w:kern w:val="3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3</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rPr>
              <w:t>C30混凝土</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立方米</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11.452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4</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lang w:val="en-US" w:eastAsia="zh-CN"/>
              </w:rPr>
              <w:t>C15混凝土</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立方米</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spacing w:val="4"/>
                <w:kern w:val="30"/>
                <w:sz w:val="24"/>
                <w:szCs w:val="24"/>
                <w:lang w:val="en-US" w:eastAsia="zh-CN"/>
              </w:rPr>
              <w:t>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5</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rPr>
              <w:t>砂砾垫层</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立方米</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spacing w:val="4"/>
                <w:kern w:val="30"/>
                <w:sz w:val="24"/>
                <w:szCs w:val="24"/>
                <w:lang w:val="en-US" w:eastAsia="zh-CN"/>
              </w:rPr>
              <w:t>48.168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6"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6</w:t>
            </w:r>
          </w:p>
        </w:tc>
        <w:tc>
          <w:tcPr>
            <w:tcW w:w="4536"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ascii="宋体" w:hAnsi="宋体"/>
                <w:spacing w:val="4"/>
                <w:kern w:val="30"/>
                <w:sz w:val="24"/>
                <w:szCs w:val="24"/>
              </w:rPr>
              <w:t>HRB400</w:t>
            </w:r>
          </w:p>
        </w:tc>
        <w:tc>
          <w:tcPr>
            <w:tcW w:w="1843" w:type="dxa"/>
            <w:tcBorders>
              <w:top w:val="single" w:color="auto" w:sz="6" w:space="0"/>
              <w:left w:val="single" w:color="auto" w:sz="4" w:space="0"/>
              <w:bottom w:val="single" w:color="auto" w:sz="6" w:space="0"/>
              <w:right w:val="single" w:color="auto" w:sz="4" w:space="0"/>
            </w:tcBorders>
            <w:vAlign w:val="top"/>
          </w:tcPr>
          <w:p>
            <w:pPr>
              <w:spacing w:line="480" w:lineRule="exact"/>
              <w:jc w:val="center"/>
              <w:rPr>
                <w:rFonts w:hint="eastAsia" w:ascii="宋体" w:hAnsi="宋体" w:eastAsia="宋体" w:cs="宋体"/>
                <w:kern w:val="0"/>
                <w:sz w:val="24"/>
                <w:szCs w:val="24"/>
                <w:highlight w:val="none"/>
                <w:lang w:val="en-US" w:eastAsia="zh-CN"/>
              </w:rPr>
            </w:pPr>
            <w:r>
              <w:rPr>
                <w:rFonts w:hint="eastAsia" w:ascii="宋体" w:hAnsi="宋体"/>
                <w:spacing w:val="4"/>
                <w:kern w:val="30"/>
                <w:sz w:val="24"/>
                <w:szCs w:val="24"/>
                <w:lang w:val="en-US" w:eastAsia="zh-CN"/>
              </w:rPr>
              <w:t>千克</w:t>
            </w:r>
          </w:p>
        </w:tc>
        <w:tc>
          <w:tcPr>
            <w:tcW w:w="2693" w:type="dxa"/>
            <w:tcBorders>
              <w:top w:val="single" w:color="auto" w:sz="6" w:space="0"/>
              <w:left w:val="single" w:color="auto" w:sz="4" w:space="0"/>
              <w:bottom w:val="single" w:color="auto" w:sz="6"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spacing w:val="4"/>
                <w:kern w:val="30"/>
                <w:sz w:val="24"/>
                <w:szCs w:val="24"/>
                <w:lang w:val="en-US" w:eastAsia="zh-CN"/>
              </w:rPr>
              <w:t>175.040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43" w:type="dxa"/>
            <w:tcBorders>
              <w:top w:val="single" w:color="auto" w:sz="6" w:space="0"/>
              <w:left w:val="single" w:color="auto" w:sz="18" w:space="0"/>
              <w:bottom w:val="single" w:color="auto" w:sz="18" w:space="0"/>
              <w:right w:val="single" w:color="auto" w:sz="4" w:space="0"/>
            </w:tcBorders>
            <w:vAlign w:val="center"/>
          </w:tcPr>
          <w:p>
            <w:pPr>
              <w:jc w:val="center"/>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7</w:t>
            </w:r>
          </w:p>
        </w:tc>
        <w:tc>
          <w:tcPr>
            <w:tcW w:w="4536" w:type="dxa"/>
            <w:tcBorders>
              <w:top w:val="single" w:color="auto" w:sz="6" w:space="0"/>
              <w:left w:val="single" w:color="auto" w:sz="4" w:space="0"/>
              <w:bottom w:val="single" w:color="auto" w:sz="18"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spacing w:val="4"/>
                <w:kern w:val="30"/>
                <w:sz w:val="24"/>
                <w:szCs w:val="24"/>
                <w:lang w:val="en-US" w:eastAsia="zh-CN"/>
              </w:rPr>
              <w:t>挖基土方</w:t>
            </w:r>
          </w:p>
        </w:tc>
        <w:tc>
          <w:tcPr>
            <w:tcW w:w="1843" w:type="dxa"/>
            <w:tcBorders>
              <w:top w:val="single" w:color="auto" w:sz="6" w:space="0"/>
              <w:left w:val="single" w:color="auto" w:sz="4" w:space="0"/>
              <w:bottom w:val="single" w:color="auto" w:sz="18" w:space="0"/>
              <w:right w:val="single" w:color="auto" w:sz="4" w:space="0"/>
            </w:tcBorders>
            <w:vAlign w:val="top"/>
          </w:tcPr>
          <w:p>
            <w:pPr>
              <w:spacing w:line="480" w:lineRule="exact"/>
              <w:jc w:val="center"/>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立方米</w:t>
            </w:r>
          </w:p>
        </w:tc>
        <w:tc>
          <w:tcPr>
            <w:tcW w:w="2693" w:type="dxa"/>
            <w:tcBorders>
              <w:top w:val="single" w:color="auto" w:sz="6" w:space="0"/>
              <w:left w:val="single" w:color="auto" w:sz="4" w:space="0"/>
              <w:bottom w:val="single" w:color="auto" w:sz="18" w:space="0"/>
              <w:right w:val="single" w:color="auto" w:sz="18" w:space="0"/>
            </w:tcBorders>
            <w:vAlign w:val="top"/>
          </w:tcPr>
          <w:p>
            <w:pPr>
              <w:spacing w:line="480" w:lineRule="exact"/>
              <w:jc w:val="center"/>
              <w:rPr>
                <w:rFonts w:hint="default" w:ascii="宋体" w:hAnsi="宋体" w:cs="宋体"/>
                <w:kern w:val="0"/>
                <w:sz w:val="24"/>
                <w:szCs w:val="24"/>
                <w:highlight w:val="none"/>
                <w:lang w:val="en-US" w:eastAsia="zh-CN"/>
              </w:rPr>
            </w:pPr>
            <w:r>
              <w:rPr>
                <w:rFonts w:hint="eastAsia" w:ascii="宋体" w:hAnsi="宋体"/>
                <w:spacing w:val="4"/>
                <w:kern w:val="30"/>
                <w:sz w:val="24"/>
                <w:szCs w:val="24"/>
                <w:lang w:val="en-US" w:eastAsia="zh-CN"/>
              </w:rPr>
              <w:t>106.460</w:t>
            </w:r>
          </w:p>
        </w:tc>
      </w:tr>
    </w:tbl>
    <w:p>
      <w:pPr>
        <w:adjustRightInd w:val="0"/>
        <w:spacing w:line="440" w:lineRule="exact"/>
        <w:rPr>
          <w:rFonts w:ascii="宋体" w:hAnsi="宋体"/>
          <w:spacing w:val="4"/>
          <w:kern w:val="30"/>
          <w:sz w:val="24"/>
          <w:highlight w:val="none"/>
        </w:rPr>
      </w:pPr>
      <w:r>
        <w:rPr>
          <w:rFonts w:hint="eastAsia" w:ascii="宋体" w:hAnsi="宋体"/>
          <w:b/>
          <w:spacing w:val="4"/>
          <w:kern w:val="30"/>
          <w:sz w:val="24"/>
          <w:highlight w:val="none"/>
        </w:rPr>
        <w:t>三</w:t>
      </w:r>
      <w:r>
        <w:rPr>
          <w:rFonts w:hint="eastAsia" w:hAnsi="宋体" w:cs="宋体"/>
          <w:b/>
          <w:bCs/>
          <w:sz w:val="24"/>
          <w:highlight w:val="none"/>
        </w:rPr>
        <w:t>、</w:t>
      </w:r>
      <w:r>
        <w:rPr>
          <w:rFonts w:hint="eastAsia" w:ascii="宋体" w:hAnsi="宋体"/>
          <w:b/>
          <w:spacing w:val="4"/>
          <w:kern w:val="30"/>
          <w:sz w:val="24"/>
          <w:highlight w:val="none"/>
        </w:rPr>
        <w:t>沿线自然地理特征</w:t>
      </w:r>
    </w:p>
    <w:p>
      <w:pPr>
        <w:tabs>
          <w:tab w:val="left" w:pos="9900"/>
        </w:tabs>
        <w:adjustRightInd w:val="0"/>
        <w:spacing w:line="440" w:lineRule="exact"/>
        <w:ind w:firstLine="498" w:firstLineChars="200"/>
        <w:rPr>
          <w:rFonts w:ascii="宋体" w:hAnsi="宋体"/>
          <w:spacing w:val="4"/>
          <w:kern w:val="30"/>
          <w:sz w:val="24"/>
          <w:highlight w:val="none"/>
        </w:rPr>
      </w:pPr>
      <w:r>
        <w:rPr>
          <w:rFonts w:hint="eastAsia" w:ascii="宋体" w:hAnsi="宋体"/>
          <w:b/>
          <w:spacing w:val="4"/>
          <w:kern w:val="30"/>
          <w:sz w:val="24"/>
          <w:highlight w:val="none"/>
        </w:rPr>
        <w:t>3.1地形</w:t>
      </w:r>
    </w:p>
    <w:p>
      <w:pPr>
        <w:adjustRightInd w:val="0"/>
        <w:spacing w:line="440" w:lineRule="exact"/>
        <w:ind w:firstLine="480" w:firstLineChars="200"/>
        <w:rPr>
          <w:rFonts w:hint="eastAsia" w:ascii="宋体" w:hAnsi="宋体" w:cs="Arial"/>
          <w:sz w:val="24"/>
          <w:highlight w:val="none"/>
          <w:shd w:val="clear" w:color="auto" w:fill="FFFFFF"/>
        </w:rPr>
      </w:pPr>
      <w:r>
        <w:rPr>
          <w:rFonts w:hint="eastAsia" w:ascii="宋体" w:hAnsi="宋体" w:cs="Arial"/>
          <w:sz w:val="24"/>
          <w:highlight w:val="none"/>
          <w:shd w:val="clear" w:color="auto" w:fill="FFFFFF"/>
        </w:rPr>
        <w:t>白山市地处长白山腹地，境内山峰林立，绵亘起伏，沟谷交错，河流纵横。长白熔岩台地和靖宇熔岩台地覆盖境内大部分地区，龙岗山脉和老岭山脉斜贯全境。龙岗山脉海拔800—1200米，相对高度在500—700米之间；老岭山脉山体高大，海拔1000—1300米，相对高度500－800米之间。鸭绿江沿岸地形起伏较大，沟谷切割较深，地势较险峻。境内最高点长白山主峰白云峰海拔2691米，为东北地区最高峰；最低点靖宇县的批州口子，海拔279.3米。</w:t>
      </w:r>
    </w:p>
    <w:p>
      <w:pPr>
        <w:adjustRightInd w:val="0"/>
        <w:spacing w:line="440" w:lineRule="exact"/>
        <w:ind w:firstLine="498" w:firstLineChars="200"/>
        <w:rPr>
          <w:rFonts w:ascii="宋体" w:hAnsi="宋体"/>
          <w:b/>
          <w:spacing w:val="4"/>
          <w:kern w:val="30"/>
          <w:sz w:val="24"/>
          <w:highlight w:val="none"/>
        </w:rPr>
      </w:pPr>
      <w:r>
        <w:rPr>
          <w:rFonts w:hint="eastAsia" w:ascii="宋体" w:hAnsi="宋体"/>
          <w:b/>
          <w:spacing w:val="4"/>
          <w:kern w:val="30"/>
          <w:sz w:val="24"/>
          <w:highlight w:val="none"/>
        </w:rPr>
        <w:t>3.2气象</w:t>
      </w:r>
    </w:p>
    <w:p>
      <w:pPr>
        <w:adjustRightInd w:val="0"/>
        <w:spacing w:line="440" w:lineRule="exact"/>
        <w:ind w:firstLine="480" w:firstLineChars="200"/>
        <w:rPr>
          <w:rFonts w:hint="eastAsia" w:ascii="宋体" w:hAnsi="宋体" w:cs="Arial"/>
          <w:sz w:val="24"/>
          <w:highlight w:val="none"/>
          <w:shd w:val="clear" w:color="auto" w:fill="FFFFFF"/>
        </w:rPr>
      </w:pPr>
      <w:bookmarkStart w:id="4" w:name="OLE_LINK5"/>
      <w:r>
        <w:rPr>
          <w:rFonts w:hint="eastAsia" w:ascii="宋体" w:hAnsi="宋体" w:cs="Arial"/>
          <w:sz w:val="24"/>
          <w:highlight w:val="none"/>
          <w:shd w:val="clear" w:color="auto" w:fill="FFFFFF"/>
        </w:rPr>
        <w:t>白山市属北温带大陆性季风气候，是吉林省寒冷地区。春季昼夜温差大；夏季短，温热多雨；秋季凉爽，多晴朗天气；冬季长，干燥寒冷。市区年平均气温4.6℃，夏季最高气温历史极值36.5℃，冬季最低气温历史极值-42.2℃，年平均降水量883.4毫米，日照时数2259小时，无霜期140天。</w:t>
      </w:r>
    </w:p>
    <w:bookmarkEnd w:id="4"/>
    <w:p>
      <w:pPr>
        <w:adjustRightInd w:val="0"/>
        <w:spacing w:line="440" w:lineRule="exact"/>
        <w:ind w:firstLine="498" w:firstLineChars="200"/>
        <w:rPr>
          <w:rFonts w:ascii="宋体" w:hAnsi="宋体"/>
          <w:b/>
          <w:spacing w:val="4"/>
          <w:kern w:val="30"/>
          <w:sz w:val="24"/>
          <w:highlight w:val="none"/>
        </w:rPr>
      </w:pPr>
      <w:r>
        <w:rPr>
          <w:rFonts w:hint="eastAsia" w:ascii="宋体" w:hAnsi="宋体"/>
          <w:b/>
          <w:spacing w:val="4"/>
          <w:kern w:val="30"/>
          <w:sz w:val="24"/>
          <w:highlight w:val="none"/>
        </w:rPr>
        <w:t>3.3地震</w:t>
      </w:r>
    </w:p>
    <w:p>
      <w:pPr>
        <w:adjustRightInd w:val="0"/>
        <w:spacing w:line="440" w:lineRule="exact"/>
        <w:ind w:firstLine="496" w:firstLineChars="200"/>
        <w:rPr>
          <w:rFonts w:ascii="宋体" w:hAnsi="宋体"/>
          <w:spacing w:val="4"/>
          <w:kern w:val="30"/>
          <w:sz w:val="24"/>
          <w:highlight w:val="none"/>
        </w:rPr>
      </w:pPr>
      <w:bookmarkStart w:id="5" w:name="OLE_LINK7"/>
      <w:r>
        <w:rPr>
          <w:rFonts w:hint="eastAsia" w:ascii="宋体" w:hAnsi="宋体"/>
          <w:spacing w:val="4"/>
          <w:kern w:val="30"/>
          <w:sz w:val="24"/>
          <w:highlight w:val="none"/>
        </w:rPr>
        <w:t>根据国家地震局和建设部发布的《中国地震动参数区划图》（GB 18306—2015）及吉林省抗震防灾办公室与吉林省建筑设计院编制的《吉林省地震动参数区划图》，该项目所经地区震动峰值为</w:t>
      </w:r>
      <w:r>
        <w:rPr>
          <w:rFonts w:hint="eastAsia" w:ascii="宋体" w:hAnsi="宋体"/>
          <w:spacing w:val="4"/>
          <w:kern w:val="30"/>
          <w:sz w:val="24"/>
          <w:highlight w:val="none"/>
          <w:lang w:val="en-US" w:eastAsia="zh-CN"/>
        </w:rPr>
        <w:t>小于</w:t>
      </w:r>
      <w:r>
        <w:rPr>
          <w:rFonts w:hint="eastAsia" w:ascii="宋体" w:hAnsi="宋体"/>
          <w:spacing w:val="4"/>
          <w:kern w:val="30"/>
          <w:sz w:val="24"/>
          <w:highlight w:val="none"/>
        </w:rPr>
        <w:t>0.05g（地震基本烈度</w:t>
      </w:r>
      <w:r>
        <w:rPr>
          <w:rFonts w:hint="eastAsia" w:ascii="宋体" w:hAnsi="宋体"/>
          <w:spacing w:val="4"/>
          <w:kern w:val="30"/>
          <w:sz w:val="24"/>
          <w:highlight w:val="none"/>
          <w:lang w:val="en-US" w:eastAsia="zh-CN"/>
        </w:rPr>
        <w:t>小于</w:t>
      </w:r>
      <w:r>
        <w:rPr>
          <w:rFonts w:hint="eastAsia" w:ascii="宋体" w:hAnsi="宋体"/>
          <w:spacing w:val="4"/>
          <w:kern w:val="30"/>
          <w:sz w:val="24"/>
          <w:highlight w:val="none"/>
        </w:rPr>
        <w:t>Ⅵ区），区域稳定性较好。</w:t>
      </w:r>
    </w:p>
    <w:bookmarkEnd w:id="5"/>
    <w:p>
      <w:pPr>
        <w:adjustRightInd w:val="0"/>
        <w:spacing w:line="440" w:lineRule="exact"/>
        <w:ind w:firstLine="498" w:firstLineChars="200"/>
        <w:rPr>
          <w:rFonts w:ascii="宋体" w:hAnsi="宋体"/>
          <w:b/>
          <w:spacing w:val="4"/>
          <w:kern w:val="30"/>
          <w:sz w:val="24"/>
          <w:highlight w:val="none"/>
        </w:rPr>
      </w:pPr>
      <w:r>
        <w:rPr>
          <w:rFonts w:hint="eastAsia" w:ascii="宋体" w:hAnsi="宋体"/>
          <w:b/>
          <w:spacing w:val="4"/>
          <w:kern w:val="30"/>
          <w:sz w:val="24"/>
          <w:highlight w:val="none"/>
        </w:rPr>
        <w:t>3.4项目建设的必要性</w:t>
      </w:r>
    </w:p>
    <w:p>
      <w:pPr>
        <w:adjustRightInd w:val="0"/>
        <w:spacing w:line="440" w:lineRule="exact"/>
        <w:ind w:right="53" w:rightChars="25" w:firstLine="496" w:firstLineChars="200"/>
        <w:rPr>
          <w:rFonts w:hint="eastAsia" w:ascii="宋体" w:hAnsi="宋体" w:cs="Times New Roman"/>
          <w:spacing w:val="4"/>
          <w:sz w:val="24"/>
          <w:highlight w:val="none"/>
        </w:rPr>
      </w:pPr>
      <w:bookmarkStart w:id="6" w:name="OLE_LINK3"/>
      <w:r>
        <w:rPr>
          <w:rFonts w:hint="eastAsia" w:ascii="宋体" w:hAnsi="宋体" w:cs="Times New Roman"/>
          <w:spacing w:val="4"/>
          <w:sz w:val="24"/>
          <w:highlight w:val="none"/>
        </w:rPr>
        <w:t>项目位于吉林省的白山市</w:t>
      </w:r>
      <w:r>
        <w:rPr>
          <w:rFonts w:hint="eastAsia" w:ascii="宋体" w:hAnsi="宋体" w:cs="Times New Roman"/>
          <w:spacing w:val="4"/>
          <w:sz w:val="24"/>
          <w:highlight w:val="none"/>
          <w:lang w:val="en-US" w:eastAsia="zh-CN"/>
        </w:rPr>
        <w:t>七道江镇</w:t>
      </w:r>
      <w:r>
        <w:rPr>
          <w:rFonts w:hint="eastAsia" w:ascii="宋体" w:hAnsi="宋体" w:cs="Times New Roman"/>
          <w:spacing w:val="4"/>
          <w:sz w:val="24"/>
          <w:highlight w:val="none"/>
        </w:rPr>
        <w:t>境内，地处中朝边境，鸭绿江旁，风景秀丽。</w:t>
      </w:r>
      <w:r>
        <w:rPr>
          <w:rFonts w:hint="eastAsia" w:ascii="宋体" w:hAnsi="宋体"/>
          <w:color w:val="auto"/>
          <w:spacing w:val="4"/>
          <w:sz w:val="24"/>
          <w:lang w:val="en-US" w:eastAsia="zh-CN"/>
        </w:rPr>
        <w:t>鲜明村</w:t>
      </w:r>
      <w:r>
        <w:rPr>
          <w:rFonts w:hint="eastAsia" w:ascii="宋体" w:hAnsi="宋体"/>
          <w:color w:val="auto"/>
          <w:spacing w:val="4"/>
          <w:sz w:val="24"/>
        </w:rPr>
        <w:t>本次设计道路现为</w:t>
      </w:r>
      <w:r>
        <w:rPr>
          <w:rFonts w:hint="eastAsia" w:ascii="宋体" w:hAnsi="宋体"/>
          <w:color w:val="auto"/>
          <w:spacing w:val="4"/>
          <w:sz w:val="24"/>
          <w:lang w:val="en-US" w:eastAsia="zh-CN"/>
        </w:rPr>
        <w:t>土</w:t>
      </w:r>
      <w:r>
        <w:rPr>
          <w:rFonts w:hint="eastAsia" w:ascii="宋体" w:hAnsi="宋体"/>
          <w:color w:val="auto"/>
          <w:spacing w:val="4"/>
          <w:sz w:val="24"/>
        </w:rPr>
        <w:t>路</w:t>
      </w:r>
      <w:r>
        <w:rPr>
          <w:rFonts w:hint="eastAsia" w:ascii="宋体" w:hAnsi="宋体"/>
          <w:color w:val="auto"/>
          <w:spacing w:val="4"/>
          <w:sz w:val="24"/>
          <w:lang w:val="en-US" w:eastAsia="zh-CN"/>
        </w:rPr>
        <w:t>与砂石路</w:t>
      </w:r>
      <w:r>
        <w:rPr>
          <w:rFonts w:hint="eastAsia" w:ascii="宋体" w:hAnsi="宋体"/>
          <w:color w:val="auto"/>
          <w:spacing w:val="4"/>
          <w:sz w:val="24"/>
        </w:rPr>
        <w:t>，原路路基宽度为</w:t>
      </w:r>
      <w:r>
        <w:rPr>
          <w:rFonts w:hint="eastAsia" w:ascii="宋体" w:hAnsi="宋体" w:cs="宋体"/>
          <w:kern w:val="0"/>
          <w:sz w:val="24"/>
          <w:highlight w:val="none"/>
          <w:lang w:val="en-US" w:eastAsia="zh-CN"/>
        </w:rPr>
        <w:t>3.5米/4.0米/5.0米/6.0米/7.0米</w:t>
      </w:r>
      <w:r>
        <w:rPr>
          <w:rFonts w:hint="eastAsia" w:ascii="宋体" w:hAnsi="宋体"/>
          <w:color w:val="auto"/>
          <w:spacing w:val="4"/>
          <w:sz w:val="24"/>
        </w:rPr>
        <w:t>，路况较差，夏天雨季和冬天下雪无法行车，交通不便，行车难、行路难已成为制约当地经济发展的瓶</w:t>
      </w:r>
      <w:r>
        <w:rPr>
          <w:rFonts w:hint="eastAsia" w:ascii="宋体" w:hAnsi="宋体"/>
          <w:color w:val="auto"/>
          <w:spacing w:val="4"/>
          <w:sz w:val="24"/>
          <w:highlight w:val="none"/>
        </w:rPr>
        <w:t>颈</w:t>
      </w:r>
      <w:r>
        <w:rPr>
          <w:rFonts w:hint="eastAsia" w:ascii="宋体" w:hAnsi="宋体" w:cs="Times New Roman"/>
          <w:spacing w:val="4"/>
          <w:sz w:val="24"/>
          <w:highlight w:val="none"/>
        </w:rPr>
        <w:t>为此，</w:t>
      </w:r>
      <w:r>
        <w:rPr>
          <w:rFonts w:hint="eastAsia" w:ascii="宋体" w:hAnsi="宋体" w:cs="Times New Roman"/>
          <w:spacing w:val="4"/>
          <w:sz w:val="24"/>
          <w:highlight w:val="none"/>
          <w:lang w:val="en-US" w:eastAsia="zh-CN"/>
        </w:rPr>
        <w:t>七道江镇</w:t>
      </w:r>
      <w:r>
        <w:rPr>
          <w:rFonts w:hint="eastAsia" w:ascii="宋体" w:hAnsi="宋体" w:cs="Times New Roman"/>
          <w:spacing w:val="4"/>
          <w:sz w:val="24"/>
          <w:highlight w:val="none"/>
        </w:rPr>
        <w:t>政府响应建设美丽村落，边境小镇的号召，进一步完善现有道路状况，改善现有道路交通环境，</w:t>
      </w:r>
      <w:r>
        <w:rPr>
          <w:rFonts w:hint="eastAsia" w:ascii="宋体" w:hAnsi="宋体"/>
          <w:color w:val="auto"/>
          <w:spacing w:val="4"/>
          <w:sz w:val="24"/>
        </w:rPr>
        <w:t>方便公路沿线地区居民出行和经济发展</w:t>
      </w:r>
      <w:r>
        <w:rPr>
          <w:rFonts w:hint="eastAsia" w:ascii="宋体" w:hAnsi="宋体"/>
          <w:color w:val="auto"/>
          <w:spacing w:val="4"/>
          <w:sz w:val="24"/>
          <w:lang w:eastAsia="zh-CN"/>
        </w:rPr>
        <w:t>，</w:t>
      </w:r>
      <w:r>
        <w:rPr>
          <w:rFonts w:hint="eastAsia" w:ascii="宋体" w:hAnsi="宋体"/>
          <w:color w:val="auto"/>
          <w:spacing w:val="4"/>
          <w:sz w:val="24"/>
        </w:rPr>
        <w:t>必需改善现有的交通运输环境</w:t>
      </w:r>
      <w:r>
        <w:rPr>
          <w:rFonts w:hint="eastAsia" w:ascii="宋体" w:hAnsi="宋体" w:cs="Times New Roman"/>
          <w:spacing w:val="4"/>
          <w:sz w:val="24"/>
          <w:highlight w:val="none"/>
        </w:rPr>
        <w:t>。</w:t>
      </w:r>
      <w:bookmarkEnd w:id="6"/>
    </w:p>
    <w:p>
      <w:pPr>
        <w:keepNext w:val="0"/>
        <w:keepLines w:val="0"/>
        <w:pageBreakBefore w:val="0"/>
        <w:widowControl w:val="0"/>
        <w:kinsoku/>
        <w:wordWrap/>
        <w:overflowPunct/>
        <w:topLinePunct w:val="0"/>
        <w:autoSpaceDE/>
        <w:autoSpaceDN/>
        <w:bidi w:val="0"/>
        <w:adjustRightInd w:val="0"/>
        <w:snapToGrid/>
        <w:spacing w:line="440" w:lineRule="exact"/>
        <w:ind w:firstLine="498" w:firstLineChars="200"/>
        <w:textAlignment w:val="auto"/>
        <w:rPr>
          <w:rFonts w:hint="eastAsia" w:ascii="宋体" w:hAnsi="宋体" w:cs="Times New Roman"/>
          <w:b/>
          <w:spacing w:val="4"/>
          <w:kern w:val="30"/>
          <w:sz w:val="24"/>
          <w:highlight w:val="none"/>
          <w:lang w:val="en-US" w:eastAsia="zh-CN"/>
        </w:rPr>
      </w:pPr>
      <w:r>
        <w:rPr>
          <w:rFonts w:hint="eastAsia" w:ascii="宋体" w:hAnsi="宋体" w:cs="Times New Roman"/>
          <w:b/>
          <w:spacing w:val="4"/>
          <w:kern w:val="30"/>
          <w:sz w:val="24"/>
          <w:highlight w:val="none"/>
          <w:lang w:val="en-US" w:eastAsia="zh-CN"/>
        </w:rPr>
        <w:t>3.5项目建设的可行性</w:t>
      </w:r>
    </w:p>
    <w:p>
      <w:pPr>
        <w:keepNext w:val="0"/>
        <w:keepLines w:val="0"/>
        <w:pageBreakBefore w:val="0"/>
        <w:widowControl w:val="0"/>
        <w:kinsoku/>
        <w:wordWrap/>
        <w:overflowPunct/>
        <w:topLinePunct w:val="0"/>
        <w:autoSpaceDE/>
        <w:autoSpaceDN/>
        <w:bidi w:val="0"/>
        <w:snapToGrid/>
        <w:spacing w:line="440" w:lineRule="exact"/>
        <w:ind w:firstLine="480" w:firstLineChars="200"/>
        <w:jc w:val="left"/>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由于项目的实施对地方经济影响较大，当地政府对该道路工程建设高度重视，为项目提供了坚强的组织保证与良好的施工环境。</w:t>
      </w:r>
    </w:p>
    <w:p>
      <w:pPr>
        <w:keepNext w:val="0"/>
        <w:keepLines w:val="0"/>
        <w:pageBreakBefore w:val="0"/>
        <w:widowControl w:val="0"/>
        <w:kinsoku/>
        <w:wordWrap/>
        <w:overflowPunct/>
        <w:topLinePunct w:val="0"/>
        <w:autoSpaceDE/>
        <w:autoSpaceDN/>
        <w:bidi w:val="0"/>
        <w:snapToGrid/>
        <w:spacing w:line="440" w:lineRule="exact"/>
        <w:ind w:firstLine="480" w:firstLineChars="200"/>
        <w:jc w:val="left"/>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沿线群众盼望早日改善道路状况，该项目从根本上改善当地交通条件，满足群众多年的夙愿，当地群众将积极拥护并大力支持项目建设，踊跃为项目建设提供便利条件。</w:t>
      </w:r>
    </w:p>
    <w:p>
      <w:pPr>
        <w:keepNext w:val="0"/>
        <w:keepLines w:val="0"/>
        <w:pageBreakBefore w:val="0"/>
        <w:widowControl w:val="0"/>
        <w:kinsoku/>
        <w:wordWrap/>
        <w:overflowPunct/>
        <w:topLinePunct w:val="0"/>
        <w:autoSpaceDE/>
        <w:autoSpaceDN/>
        <w:bidi w:val="0"/>
        <w:snapToGrid/>
        <w:spacing w:line="440" w:lineRule="exact"/>
        <w:ind w:firstLine="480" w:firstLineChars="200"/>
        <w:jc w:val="left"/>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群众积极性很高，劳动力资源丰富，可以满足全部建设用工的需求。</w:t>
      </w:r>
    </w:p>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cs="Times New Roman"/>
          <w:spacing w:val="4"/>
          <w:sz w:val="24"/>
          <w:highlight w:val="none"/>
        </w:rPr>
      </w:pPr>
      <w:r>
        <w:rPr>
          <w:rFonts w:hint="eastAsia" w:ascii="宋体" w:hAnsi="宋体" w:eastAsia="宋体" w:cs="宋体"/>
          <w:color w:val="auto"/>
          <w:kern w:val="0"/>
          <w:sz w:val="24"/>
          <w:highlight w:val="none"/>
          <w:lang w:val="zh-CN"/>
        </w:rPr>
        <w:t>该项目道路路基条件较好，现有路基可满足项目施工要求，对周围环境不产生影响既可减少资源和占地，又可加快工程进度；建材丰富，主材可就近购买，供应有保障。</w:t>
      </w:r>
    </w:p>
    <w:p>
      <w:pPr>
        <w:pStyle w:val="3"/>
        <w:spacing w:line="440" w:lineRule="exact"/>
        <w:outlineLvl w:val="0"/>
        <w:rPr>
          <w:rFonts w:hAnsi="宋体" w:cs="宋体"/>
          <w:b/>
          <w:bCs/>
          <w:sz w:val="24"/>
          <w:szCs w:val="24"/>
          <w:highlight w:val="none"/>
        </w:rPr>
      </w:pPr>
      <w:r>
        <w:rPr>
          <w:rFonts w:hint="eastAsia" w:hAnsi="宋体"/>
          <w:b/>
          <w:spacing w:val="4"/>
          <w:sz w:val="24"/>
          <w:szCs w:val="24"/>
          <w:highlight w:val="none"/>
        </w:rPr>
        <w:t>四</w:t>
      </w:r>
      <w:r>
        <w:rPr>
          <w:rFonts w:hint="eastAsia" w:hAnsi="宋体" w:cs="宋体"/>
          <w:b/>
          <w:bCs/>
          <w:sz w:val="24"/>
          <w:szCs w:val="24"/>
          <w:highlight w:val="none"/>
        </w:rPr>
        <w:t>、设计方案</w:t>
      </w:r>
    </w:p>
    <w:p>
      <w:pPr>
        <w:pStyle w:val="3"/>
        <w:spacing w:line="440" w:lineRule="exact"/>
        <w:ind w:firstLine="482" w:firstLineChars="200"/>
        <w:rPr>
          <w:rFonts w:hAnsi="宋体" w:cs="宋体"/>
          <w:b/>
          <w:bCs/>
          <w:sz w:val="24"/>
          <w:szCs w:val="24"/>
          <w:highlight w:val="none"/>
        </w:rPr>
      </w:pPr>
      <w:r>
        <w:rPr>
          <w:rFonts w:hAnsi="宋体" w:cs="宋体"/>
          <w:b/>
          <w:bCs/>
          <w:sz w:val="24"/>
          <w:szCs w:val="24"/>
          <w:highlight w:val="none"/>
        </w:rPr>
        <w:t>4</w:t>
      </w:r>
      <w:r>
        <w:rPr>
          <w:rFonts w:hint="eastAsia" w:hAnsi="宋体" w:cs="宋体"/>
          <w:b/>
          <w:bCs/>
          <w:sz w:val="24"/>
          <w:szCs w:val="24"/>
          <w:highlight w:val="none"/>
        </w:rPr>
        <w:t>.1路线设计</w:t>
      </w:r>
    </w:p>
    <w:p>
      <w:pPr>
        <w:adjustRightInd w:val="0"/>
        <w:spacing w:line="440" w:lineRule="exact"/>
        <w:ind w:right="53" w:rightChars="25" w:firstLine="496" w:firstLineChars="200"/>
        <w:rPr>
          <w:rFonts w:ascii="宋体" w:hAnsi="宋体"/>
          <w:b/>
          <w:spacing w:val="4"/>
          <w:sz w:val="24"/>
          <w:highlight w:val="none"/>
        </w:rPr>
      </w:pPr>
      <w:r>
        <w:rPr>
          <w:rFonts w:hint="eastAsia" w:ascii="宋体" w:hAnsi="宋体"/>
          <w:spacing w:val="4"/>
          <w:sz w:val="24"/>
          <w:highlight w:val="none"/>
        </w:rPr>
        <w:t>本次路线线形以综合考虑平 、纵 、横三者关系，恰当地掌握标准并注意与周围地形 、景观相配合，在布设路线时利用原有路基中线，平面线形由直线、圆曲线组成。</w:t>
      </w:r>
    </w:p>
    <w:p>
      <w:pPr>
        <w:keepNext w:val="0"/>
        <w:keepLines w:val="0"/>
        <w:pageBreakBefore w:val="0"/>
        <w:widowControl w:val="0"/>
        <w:kinsoku/>
        <w:wordWrap/>
        <w:overflowPunct/>
        <w:topLinePunct w:val="0"/>
        <w:autoSpaceDE/>
        <w:autoSpaceDN/>
        <w:bidi w:val="0"/>
        <w:adjustRightInd w:val="0"/>
        <w:snapToGrid/>
        <w:spacing w:line="440" w:lineRule="exact"/>
        <w:ind w:right="53" w:rightChars="25" w:firstLine="496" w:firstLineChars="20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rPr>
        <w:t>本段纵断面设计高程</w:t>
      </w:r>
      <w:r>
        <w:rPr>
          <w:rFonts w:hint="eastAsia" w:ascii="宋体" w:hAnsi="宋体" w:cs="宋体"/>
          <w:color w:val="auto"/>
          <w:spacing w:val="4"/>
          <w:sz w:val="24"/>
          <w:lang w:eastAsia="zh-CN"/>
        </w:rPr>
        <w:t>采用</w:t>
      </w:r>
      <w:r>
        <w:rPr>
          <w:rFonts w:hint="eastAsia" w:ascii="宋体" w:hAnsi="宋体" w:cs="宋体"/>
          <w:color w:val="auto"/>
          <w:spacing w:val="4"/>
          <w:sz w:val="24"/>
          <w:lang w:val="en-US" w:eastAsia="zh-CN"/>
        </w:rPr>
        <w:t>1985国家高程基准</w:t>
      </w:r>
      <w:r>
        <w:rPr>
          <w:rFonts w:hint="eastAsia" w:ascii="宋体" w:hAnsi="宋体" w:eastAsia="宋体" w:cs="宋体"/>
          <w:color w:val="auto"/>
          <w:spacing w:val="4"/>
          <w:sz w:val="24"/>
        </w:rPr>
        <w:t>，纵断面设计标高为路面中心标高。</w:t>
      </w:r>
    </w:p>
    <w:p>
      <w:pPr>
        <w:pStyle w:val="3"/>
        <w:spacing w:line="440" w:lineRule="exact"/>
        <w:ind w:firstLine="482" w:firstLineChars="200"/>
        <w:rPr>
          <w:rFonts w:hAnsi="宋体" w:cs="宋体"/>
          <w:b/>
          <w:bCs/>
          <w:sz w:val="24"/>
          <w:szCs w:val="24"/>
          <w:highlight w:val="none"/>
        </w:rPr>
      </w:pPr>
      <w:r>
        <w:rPr>
          <w:rFonts w:hAnsi="宋体" w:cs="宋体"/>
          <w:b/>
          <w:bCs/>
          <w:sz w:val="24"/>
          <w:szCs w:val="24"/>
          <w:highlight w:val="none"/>
        </w:rPr>
        <w:t>4</w:t>
      </w:r>
      <w:r>
        <w:rPr>
          <w:rFonts w:hint="eastAsia" w:hAnsi="宋体" w:cs="宋体"/>
          <w:b/>
          <w:bCs/>
          <w:sz w:val="24"/>
          <w:szCs w:val="24"/>
          <w:highlight w:val="none"/>
        </w:rPr>
        <w:t>.2路基横断面设计</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0"/>
        <w:rPr>
          <w:rFonts w:hAnsi="宋体" w:cs="宋体"/>
          <w:color w:val="auto"/>
          <w:sz w:val="24"/>
          <w:szCs w:val="24"/>
        </w:rPr>
      </w:pPr>
      <w:r>
        <w:rPr>
          <w:rFonts w:hint="eastAsia" w:hAnsi="宋体" w:cs="宋体"/>
          <w:color w:val="auto"/>
          <w:sz w:val="24"/>
          <w:szCs w:val="24"/>
        </w:rPr>
        <w:t>本项目为农村公路建设项目，原旧路基标准宽度为</w:t>
      </w:r>
      <w:r>
        <w:rPr>
          <w:rFonts w:hint="eastAsia" w:ascii="宋体" w:hAnsi="宋体" w:cs="宋体"/>
          <w:kern w:val="0"/>
          <w:sz w:val="24"/>
          <w:highlight w:val="none"/>
          <w:lang w:val="en-US" w:eastAsia="zh-CN"/>
        </w:rPr>
        <w:t>3.5米/4.0米/5.0米/6.0米/7.0米</w:t>
      </w:r>
      <w:r>
        <w:rPr>
          <w:rFonts w:hint="eastAsia" w:hAnsi="宋体" w:cs="宋体"/>
          <w:color w:val="auto"/>
          <w:sz w:val="24"/>
          <w:szCs w:val="24"/>
        </w:rPr>
        <w:t>，路面宽度为</w:t>
      </w:r>
      <w:r>
        <w:rPr>
          <w:rFonts w:hint="eastAsia" w:hAnsi="宋体" w:cs="宋体"/>
          <w:kern w:val="0"/>
          <w:sz w:val="24"/>
          <w:highlight w:val="none"/>
          <w:lang w:val="en-US" w:eastAsia="zh-CN"/>
        </w:rPr>
        <w:t>2.5</w:t>
      </w:r>
      <w:r>
        <w:rPr>
          <w:rFonts w:hint="eastAsia" w:ascii="宋体" w:hAnsi="宋体" w:cs="宋体"/>
          <w:kern w:val="0"/>
          <w:sz w:val="24"/>
          <w:highlight w:val="none"/>
          <w:lang w:val="en-US" w:eastAsia="zh-CN"/>
        </w:rPr>
        <w:t>米/</w:t>
      </w:r>
      <w:r>
        <w:rPr>
          <w:rFonts w:hint="eastAsia" w:hAnsi="宋体" w:cs="宋体"/>
          <w:kern w:val="0"/>
          <w:sz w:val="24"/>
          <w:highlight w:val="none"/>
          <w:lang w:val="en-US" w:eastAsia="zh-CN"/>
        </w:rPr>
        <w:t>3</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4</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5</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6</w:t>
      </w:r>
      <w:r>
        <w:rPr>
          <w:rFonts w:hint="eastAsia" w:ascii="宋体" w:hAnsi="宋体" w:cs="宋体"/>
          <w:kern w:val="0"/>
          <w:sz w:val="24"/>
          <w:highlight w:val="none"/>
          <w:lang w:val="en-US" w:eastAsia="zh-CN"/>
        </w:rPr>
        <w:t>.0米</w:t>
      </w:r>
      <w:r>
        <w:rPr>
          <w:rFonts w:hint="eastAsia" w:hAnsi="宋体" w:cs="宋体"/>
          <w:color w:val="auto"/>
          <w:sz w:val="24"/>
          <w:szCs w:val="24"/>
        </w:rPr>
        <w:t>，路面横坡</w:t>
      </w:r>
      <w:r>
        <w:rPr>
          <w:rFonts w:hint="eastAsia" w:hAnsi="宋体" w:cs="宋体"/>
          <w:color w:val="auto"/>
          <w:sz w:val="24"/>
          <w:szCs w:val="24"/>
          <w:lang w:val="en-US" w:eastAsia="zh-CN"/>
        </w:rPr>
        <w:t>分别</w:t>
      </w:r>
      <w:r>
        <w:rPr>
          <w:rFonts w:hint="eastAsia" w:hAnsi="宋体" w:cs="宋体"/>
          <w:color w:val="auto"/>
          <w:sz w:val="24"/>
          <w:szCs w:val="24"/>
        </w:rPr>
        <w:t>为</w:t>
      </w:r>
      <w:r>
        <w:rPr>
          <w:rFonts w:hint="eastAsia" w:hAnsi="宋体" w:cs="宋体"/>
          <w:color w:val="auto"/>
          <w:sz w:val="24"/>
          <w:szCs w:val="24"/>
          <w:lang w:val="en-US" w:eastAsia="zh-CN"/>
        </w:rPr>
        <w:t>单向坡1.5</w:t>
      </w:r>
      <w:r>
        <w:rPr>
          <w:rFonts w:hint="eastAsia" w:hAnsi="宋体" w:cs="宋体"/>
          <w:color w:val="auto"/>
          <w:sz w:val="24"/>
          <w:szCs w:val="24"/>
        </w:rPr>
        <w:t>%</w:t>
      </w:r>
      <w:r>
        <w:rPr>
          <w:rFonts w:hint="eastAsia" w:hAnsi="宋体" w:cs="宋体"/>
          <w:color w:val="auto"/>
          <w:sz w:val="24"/>
          <w:szCs w:val="24"/>
          <w:lang w:eastAsia="zh-CN"/>
        </w:rPr>
        <w:t>、</w:t>
      </w:r>
      <w:r>
        <w:rPr>
          <w:rFonts w:hint="eastAsia" w:hAnsi="宋体" w:cs="宋体"/>
          <w:color w:val="auto"/>
          <w:sz w:val="24"/>
          <w:szCs w:val="24"/>
          <w:lang w:val="en-US" w:eastAsia="zh-CN"/>
        </w:rPr>
        <w:t>双向坡1.5</w:t>
      </w:r>
      <w:r>
        <w:rPr>
          <w:rFonts w:hint="eastAsia" w:hAnsi="宋体" w:cs="宋体"/>
          <w:color w:val="auto"/>
          <w:sz w:val="24"/>
          <w:szCs w:val="24"/>
        </w:rPr>
        <w:t>%，新建路按原路标准设计，路基标准宽度为</w:t>
      </w:r>
      <w:r>
        <w:rPr>
          <w:rFonts w:hint="eastAsia" w:ascii="宋体" w:hAnsi="宋体" w:cs="宋体"/>
          <w:kern w:val="0"/>
          <w:sz w:val="24"/>
          <w:highlight w:val="none"/>
          <w:lang w:val="en-US" w:eastAsia="zh-CN"/>
        </w:rPr>
        <w:t>3.5米/4.0米/5.0米/6.0米/7.0米</w:t>
      </w:r>
      <w:r>
        <w:rPr>
          <w:rFonts w:hint="eastAsia" w:hAnsi="宋体" w:cs="宋体"/>
          <w:color w:val="auto"/>
          <w:sz w:val="24"/>
          <w:szCs w:val="24"/>
        </w:rPr>
        <w:t>，路面宽度为</w:t>
      </w:r>
      <w:r>
        <w:rPr>
          <w:rFonts w:hint="eastAsia" w:hAnsi="宋体" w:cs="宋体"/>
          <w:kern w:val="0"/>
          <w:sz w:val="24"/>
          <w:highlight w:val="none"/>
          <w:lang w:val="en-US" w:eastAsia="zh-CN"/>
        </w:rPr>
        <w:t>2.5</w:t>
      </w:r>
      <w:r>
        <w:rPr>
          <w:rFonts w:hint="eastAsia" w:ascii="宋体" w:hAnsi="宋体" w:cs="宋体"/>
          <w:kern w:val="0"/>
          <w:sz w:val="24"/>
          <w:highlight w:val="none"/>
          <w:lang w:val="en-US" w:eastAsia="zh-CN"/>
        </w:rPr>
        <w:t>米/</w:t>
      </w:r>
      <w:r>
        <w:rPr>
          <w:rFonts w:hint="eastAsia" w:hAnsi="宋体" w:cs="宋体"/>
          <w:kern w:val="0"/>
          <w:sz w:val="24"/>
          <w:highlight w:val="none"/>
          <w:lang w:val="en-US" w:eastAsia="zh-CN"/>
        </w:rPr>
        <w:t>3</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4</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5</w:t>
      </w:r>
      <w:r>
        <w:rPr>
          <w:rFonts w:hint="eastAsia" w:ascii="宋体" w:hAnsi="宋体" w:cs="宋体"/>
          <w:kern w:val="0"/>
          <w:sz w:val="24"/>
          <w:highlight w:val="none"/>
          <w:lang w:val="en-US" w:eastAsia="zh-CN"/>
        </w:rPr>
        <w:t>.0米/</w:t>
      </w:r>
      <w:r>
        <w:rPr>
          <w:rFonts w:hint="eastAsia" w:hAnsi="宋体" w:cs="宋体"/>
          <w:kern w:val="0"/>
          <w:sz w:val="24"/>
          <w:highlight w:val="none"/>
          <w:lang w:val="en-US" w:eastAsia="zh-CN"/>
        </w:rPr>
        <w:t>6</w:t>
      </w:r>
      <w:r>
        <w:rPr>
          <w:rFonts w:hint="eastAsia" w:ascii="宋体" w:hAnsi="宋体" w:cs="宋体"/>
          <w:kern w:val="0"/>
          <w:sz w:val="24"/>
          <w:highlight w:val="none"/>
          <w:lang w:val="en-US" w:eastAsia="zh-CN"/>
        </w:rPr>
        <w:t>.0米</w:t>
      </w:r>
      <w:r>
        <w:rPr>
          <w:rFonts w:hint="eastAsia" w:hAnsi="宋体" w:cs="宋体"/>
          <w:color w:val="auto"/>
          <w:sz w:val="24"/>
          <w:szCs w:val="24"/>
        </w:rPr>
        <w:t>，路面横坡</w:t>
      </w:r>
      <w:r>
        <w:rPr>
          <w:rFonts w:hint="eastAsia" w:hAnsi="宋体" w:cs="宋体"/>
          <w:color w:val="auto"/>
          <w:sz w:val="24"/>
          <w:szCs w:val="24"/>
          <w:lang w:val="en-US" w:eastAsia="zh-CN"/>
        </w:rPr>
        <w:t>分别</w:t>
      </w:r>
      <w:r>
        <w:rPr>
          <w:rFonts w:hint="eastAsia" w:hAnsi="宋体" w:cs="宋体"/>
          <w:color w:val="auto"/>
          <w:sz w:val="24"/>
          <w:szCs w:val="24"/>
        </w:rPr>
        <w:t>为</w:t>
      </w:r>
      <w:bookmarkStart w:id="7" w:name="OLE_LINK8"/>
      <w:r>
        <w:rPr>
          <w:rFonts w:hint="eastAsia" w:hAnsi="宋体" w:cs="宋体"/>
          <w:color w:val="auto"/>
          <w:sz w:val="24"/>
          <w:szCs w:val="24"/>
          <w:lang w:val="en-US" w:eastAsia="zh-CN"/>
        </w:rPr>
        <w:t>单向坡1.5</w:t>
      </w:r>
      <w:r>
        <w:rPr>
          <w:rFonts w:hint="eastAsia" w:hAnsi="宋体" w:cs="宋体"/>
          <w:color w:val="auto"/>
          <w:sz w:val="24"/>
          <w:szCs w:val="24"/>
        </w:rPr>
        <w:t>%</w:t>
      </w:r>
      <w:r>
        <w:rPr>
          <w:rFonts w:hint="eastAsia" w:hAnsi="宋体" w:cs="宋体"/>
          <w:color w:val="auto"/>
          <w:sz w:val="24"/>
          <w:szCs w:val="24"/>
          <w:lang w:eastAsia="zh-CN"/>
        </w:rPr>
        <w:t>、</w:t>
      </w:r>
      <w:r>
        <w:rPr>
          <w:rFonts w:hint="eastAsia" w:hAnsi="宋体" w:cs="宋体"/>
          <w:color w:val="auto"/>
          <w:sz w:val="24"/>
          <w:szCs w:val="24"/>
          <w:lang w:val="en-US" w:eastAsia="zh-CN"/>
        </w:rPr>
        <w:t>双向坡1.5</w:t>
      </w:r>
      <w:r>
        <w:rPr>
          <w:rFonts w:hint="eastAsia" w:hAnsi="宋体" w:cs="宋体"/>
          <w:color w:val="auto"/>
          <w:sz w:val="24"/>
          <w:szCs w:val="24"/>
        </w:rPr>
        <w:t>%</w:t>
      </w:r>
      <w:bookmarkEnd w:id="7"/>
      <w:r>
        <w:rPr>
          <w:rFonts w:hint="eastAsia" w:hAnsi="宋体" w:cs="宋体"/>
          <w:color w:val="auto"/>
          <w:sz w:val="24"/>
          <w:szCs w:val="24"/>
        </w:rPr>
        <w:t>。</w:t>
      </w:r>
    </w:p>
    <w:p>
      <w:pPr>
        <w:pStyle w:val="3"/>
        <w:spacing w:line="440" w:lineRule="exact"/>
        <w:ind w:firstLine="482" w:firstLineChars="200"/>
        <w:rPr>
          <w:rFonts w:hAnsi="宋体" w:cs="宋体"/>
          <w:b/>
          <w:bCs/>
          <w:sz w:val="24"/>
          <w:szCs w:val="24"/>
          <w:highlight w:val="none"/>
        </w:rPr>
      </w:pPr>
      <w:r>
        <w:rPr>
          <w:rFonts w:hAnsi="宋体" w:cs="宋体"/>
          <w:b/>
          <w:bCs/>
          <w:sz w:val="24"/>
          <w:szCs w:val="24"/>
          <w:highlight w:val="none"/>
        </w:rPr>
        <w:t>4</w:t>
      </w:r>
      <w:r>
        <w:rPr>
          <w:rFonts w:hint="eastAsia" w:hAnsi="宋体" w:cs="宋体"/>
          <w:b/>
          <w:bCs/>
          <w:sz w:val="24"/>
          <w:szCs w:val="24"/>
          <w:highlight w:val="none"/>
        </w:rPr>
        <w:t>.3路基、路面排水系统</w:t>
      </w:r>
    </w:p>
    <w:p>
      <w:pPr>
        <w:adjustRightInd w:val="0"/>
        <w:spacing w:line="360" w:lineRule="auto"/>
        <w:ind w:right="53" w:rightChars="25" w:firstLine="496" w:firstLineChars="200"/>
        <w:rPr>
          <w:rFonts w:hint="eastAsia" w:ascii="宋体" w:hAnsi="宋体" w:eastAsia="宋体" w:cs="宋体"/>
          <w:spacing w:val="4"/>
          <w:sz w:val="24"/>
        </w:rPr>
      </w:pPr>
      <w:r>
        <w:rPr>
          <w:rFonts w:hint="eastAsia" w:ascii="宋体" w:hAnsi="宋体" w:eastAsia="宋体" w:cs="宋体"/>
          <w:color w:val="auto"/>
          <w:spacing w:val="4"/>
          <w:sz w:val="24"/>
        </w:rPr>
        <w:t>经现场勘查，原旧路排水系统不能够完全满足排水要求，部分段落存在淤堵、排水不畅现象，本次设计完善排水系统</w:t>
      </w:r>
      <w:r>
        <w:rPr>
          <w:rFonts w:hint="eastAsia" w:ascii="宋体" w:hAnsi="宋体" w:cs="宋体"/>
          <w:color w:val="auto"/>
          <w:spacing w:val="4"/>
          <w:sz w:val="24"/>
          <w:lang w:eastAsia="zh-CN"/>
        </w:rPr>
        <w:t>，</w:t>
      </w:r>
      <w:r>
        <w:rPr>
          <w:rFonts w:hint="eastAsia" w:ascii="宋体" w:hAnsi="宋体" w:cs="宋体"/>
          <w:color w:val="auto"/>
          <w:spacing w:val="4"/>
          <w:sz w:val="24"/>
          <w:lang w:val="en-US" w:eastAsia="zh-CN"/>
        </w:rPr>
        <w:t>新建50U型槽排水边沟，修建长度为193m。</w:t>
      </w:r>
      <w:bookmarkStart w:id="9" w:name="_GoBack"/>
      <w:bookmarkEnd w:id="9"/>
    </w:p>
    <w:p>
      <w:pPr>
        <w:adjustRightInd w:val="0"/>
        <w:spacing w:line="360" w:lineRule="auto"/>
        <w:ind w:right="53" w:rightChars="25" w:firstLine="482" w:firstLineChars="200"/>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4.</w:t>
      </w:r>
      <w:r>
        <w:rPr>
          <w:rFonts w:hint="eastAsia" w:ascii="宋体" w:hAnsi="宋体" w:cs="宋体"/>
          <w:b/>
          <w:bCs/>
          <w:kern w:val="2"/>
          <w:sz w:val="24"/>
          <w:szCs w:val="24"/>
          <w:highlight w:val="none"/>
          <w:lang w:val="en-US" w:eastAsia="zh-CN" w:bidi="ar-SA"/>
        </w:rPr>
        <w:t>4</w:t>
      </w:r>
      <w:r>
        <w:rPr>
          <w:rFonts w:hint="eastAsia" w:ascii="宋体" w:hAnsi="宋体" w:eastAsia="宋体" w:cs="宋体"/>
          <w:b/>
          <w:bCs/>
          <w:kern w:val="2"/>
          <w:sz w:val="24"/>
          <w:szCs w:val="24"/>
          <w:highlight w:val="none"/>
          <w:lang w:val="en-US" w:eastAsia="zh-CN" w:bidi="ar-SA"/>
        </w:rPr>
        <w:t>桥梁涵洞</w:t>
      </w:r>
    </w:p>
    <w:p>
      <w:pPr>
        <w:adjustRightInd w:val="0"/>
        <w:spacing w:line="360" w:lineRule="auto"/>
        <w:ind w:right="53" w:rightChars="25" w:firstLine="496" w:firstLineChars="200"/>
        <w:rPr>
          <w:rFonts w:hint="eastAsia" w:ascii="宋体" w:hAnsi="宋体" w:cs="宋体"/>
          <w:sz w:val="24"/>
        </w:rPr>
      </w:pPr>
      <w:r>
        <w:rPr>
          <w:rFonts w:hint="eastAsia" w:ascii="宋体" w:hAnsi="宋体" w:eastAsia="宋体" w:cs="宋体"/>
          <w:color w:val="auto"/>
          <w:spacing w:val="4"/>
          <w:sz w:val="24"/>
        </w:rPr>
        <w:t>为了方便道路两侧路边沟排水，在</w:t>
      </w:r>
      <w:r>
        <w:rPr>
          <w:rFonts w:hint="eastAsia" w:ascii="宋体" w:hAnsi="宋体" w:cs="宋体"/>
          <w:color w:val="auto"/>
          <w:spacing w:val="4"/>
          <w:sz w:val="24"/>
          <w:lang w:eastAsia="zh-CN"/>
        </w:rPr>
        <w:t>路</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B</w:t>
      </w:r>
      <w:r>
        <w:rPr>
          <w:rFonts w:hint="eastAsia" w:ascii="宋体" w:hAnsi="宋体" w:eastAsia="宋体" w:cs="宋体"/>
          <w:color w:val="auto"/>
          <w:spacing w:val="4"/>
          <w:sz w:val="24"/>
        </w:rPr>
        <w:t>K0+</w:t>
      </w:r>
      <w:r>
        <w:rPr>
          <w:rFonts w:hint="eastAsia" w:ascii="宋体" w:hAnsi="宋体" w:cs="宋体"/>
          <w:color w:val="auto"/>
          <w:spacing w:val="4"/>
          <w:sz w:val="24"/>
          <w:lang w:val="en-US" w:eastAsia="zh-CN"/>
        </w:rPr>
        <w:t>012处</w:t>
      </w:r>
      <w:r>
        <w:rPr>
          <w:rFonts w:hint="eastAsia" w:ascii="宋体" w:hAnsi="宋体" w:eastAsia="宋体" w:cs="宋体"/>
          <w:color w:val="auto"/>
          <w:spacing w:val="4"/>
          <w:sz w:val="24"/>
        </w:rPr>
        <w:t>设置一道直径</w:t>
      </w:r>
      <w:r>
        <w:rPr>
          <w:rFonts w:hint="eastAsia" w:ascii="宋体" w:hAnsi="宋体" w:cs="宋体"/>
          <w:color w:val="auto"/>
          <w:spacing w:val="4"/>
          <w:sz w:val="24"/>
          <w:lang w:val="en-US" w:eastAsia="zh-CN"/>
        </w:rPr>
        <w:t>50</w:t>
      </w:r>
      <w:r>
        <w:rPr>
          <w:rFonts w:hint="eastAsia" w:ascii="宋体" w:hAnsi="宋体" w:eastAsia="宋体" w:cs="宋体"/>
          <w:color w:val="auto"/>
          <w:spacing w:val="4"/>
          <w:sz w:val="24"/>
        </w:rPr>
        <w:t>厘米的钢筋混凝土圆管涵。</w:t>
      </w:r>
    </w:p>
    <w:p>
      <w:pPr>
        <w:pStyle w:val="3"/>
        <w:spacing w:line="440" w:lineRule="exact"/>
        <w:ind w:firstLine="482" w:firstLineChars="200"/>
        <w:rPr>
          <w:rFonts w:hAnsi="宋体" w:cs="宋体"/>
          <w:b/>
          <w:bCs/>
          <w:sz w:val="24"/>
          <w:szCs w:val="24"/>
          <w:highlight w:val="none"/>
        </w:rPr>
      </w:pPr>
      <w:r>
        <w:rPr>
          <w:rFonts w:hAnsi="宋体" w:cs="宋体"/>
          <w:b/>
          <w:bCs/>
          <w:sz w:val="24"/>
          <w:szCs w:val="24"/>
          <w:highlight w:val="none"/>
        </w:rPr>
        <w:t>4</w:t>
      </w:r>
      <w:r>
        <w:rPr>
          <w:rFonts w:hint="eastAsia" w:hAnsi="宋体" w:cs="宋体"/>
          <w:b/>
          <w:bCs/>
          <w:sz w:val="24"/>
          <w:szCs w:val="24"/>
          <w:highlight w:val="none"/>
        </w:rPr>
        <w:t>.</w:t>
      </w:r>
      <w:r>
        <w:rPr>
          <w:rFonts w:hint="eastAsia" w:hAnsi="宋体" w:cs="宋体"/>
          <w:b/>
          <w:bCs/>
          <w:sz w:val="24"/>
          <w:szCs w:val="24"/>
          <w:highlight w:val="none"/>
          <w:lang w:val="en-US" w:eastAsia="zh-CN"/>
        </w:rPr>
        <w:t>5</w:t>
      </w:r>
      <w:r>
        <w:rPr>
          <w:rFonts w:hint="eastAsia" w:hAnsi="宋体" w:cs="宋体"/>
          <w:b/>
          <w:bCs/>
          <w:sz w:val="24"/>
          <w:szCs w:val="24"/>
          <w:highlight w:val="none"/>
        </w:rPr>
        <w:t>取土、弃土设计方案，环保及节约用地措施</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本项目设置弃渣场一处，位于村屯外侧，距项目实施地平均运距</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km，可存储废料</w:t>
      </w:r>
      <w:r>
        <w:rPr>
          <w:rFonts w:hint="eastAsia" w:ascii="宋体" w:hAnsi="宋体" w:cs="宋体"/>
          <w:color w:val="auto"/>
          <w:sz w:val="24"/>
          <w:highlight w:val="none"/>
          <w:lang w:val="en-US" w:eastAsia="zh-CN"/>
        </w:rPr>
        <w:t>1200</w:t>
      </w:r>
      <w:r>
        <w:rPr>
          <w:rFonts w:hint="eastAsia" w:ascii="宋体" w:hAnsi="宋体" w:cs="宋体"/>
          <w:color w:val="auto"/>
          <w:sz w:val="24"/>
          <w:highlight w:val="none"/>
        </w:rPr>
        <w:t>立方米，满足本次设计需求。</w:t>
      </w:r>
    </w:p>
    <w:p>
      <w:pPr>
        <w:spacing w:line="480" w:lineRule="exact"/>
        <w:ind w:right="53" w:rightChars="25" w:firstLine="482" w:firstLineChars="200"/>
        <w:outlineLvl w:val="0"/>
        <w:rPr>
          <w:rFonts w:ascii="宋体" w:hAnsi="宋体" w:eastAsia="宋体" w:cs="宋体"/>
          <w:b/>
          <w:bCs/>
          <w:kern w:val="2"/>
          <w:sz w:val="24"/>
          <w:szCs w:val="24"/>
          <w:highlight w:val="none"/>
          <w:lang w:val="en-US" w:eastAsia="zh-CN" w:bidi="ar-SA"/>
        </w:rPr>
      </w:pPr>
      <w:r>
        <w:rPr>
          <w:rFonts w:ascii="宋体" w:hAnsi="宋体" w:eastAsia="宋体" w:cs="宋体"/>
          <w:b/>
          <w:bCs/>
          <w:kern w:val="2"/>
          <w:sz w:val="24"/>
          <w:szCs w:val="24"/>
          <w:highlight w:val="none"/>
          <w:lang w:val="en-US" w:eastAsia="zh-CN" w:bidi="ar-SA"/>
        </w:rPr>
        <w:t>4</w:t>
      </w:r>
      <w:r>
        <w:rPr>
          <w:rFonts w:hint="eastAsia" w:ascii="宋体" w:hAnsi="宋体" w:eastAsia="宋体" w:cs="宋体"/>
          <w:b/>
          <w:bCs/>
          <w:kern w:val="2"/>
          <w:sz w:val="24"/>
          <w:szCs w:val="24"/>
          <w:highlight w:val="none"/>
          <w:lang w:val="en-US" w:eastAsia="zh-CN" w:bidi="ar-SA"/>
        </w:rPr>
        <w:t>.</w:t>
      </w:r>
      <w:r>
        <w:rPr>
          <w:rFonts w:hint="eastAsia" w:ascii="宋体" w:hAnsi="宋体" w:cs="宋体"/>
          <w:b/>
          <w:bCs/>
          <w:kern w:val="2"/>
          <w:sz w:val="24"/>
          <w:szCs w:val="24"/>
          <w:highlight w:val="none"/>
          <w:lang w:val="en-US" w:eastAsia="zh-CN" w:bidi="ar-SA"/>
        </w:rPr>
        <w:t>6</w:t>
      </w:r>
      <w:r>
        <w:rPr>
          <w:rFonts w:hint="eastAsia" w:ascii="宋体" w:hAnsi="宋体" w:eastAsia="宋体" w:cs="宋体"/>
          <w:b/>
          <w:bCs/>
          <w:kern w:val="2"/>
          <w:sz w:val="24"/>
          <w:szCs w:val="24"/>
          <w:highlight w:val="none"/>
          <w:lang w:val="en-US" w:eastAsia="zh-CN" w:bidi="ar-SA"/>
        </w:rPr>
        <w:t>平面交叉设计</w:t>
      </w:r>
    </w:p>
    <w:p>
      <w:pPr>
        <w:adjustRightInd w:val="0"/>
        <w:spacing w:line="440" w:lineRule="exact"/>
        <w:ind w:right="53" w:rightChars="25" w:firstLine="496" w:firstLineChars="200"/>
        <w:rPr>
          <w:rFonts w:hint="eastAsia" w:ascii="宋体" w:hAnsi="宋体" w:cs="宋体"/>
          <w:color w:val="auto"/>
          <w:sz w:val="24"/>
          <w:highlight w:val="none"/>
        </w:rPr>
      </w:pPr>
      <w:r>
        <w:rPr>
          <w:rFonts w:hint="eastAsia" w:ascii="宋体" w:hAnsi="宋体" w:cs="Times New Roman"/>
          <w:spacing w:val="4"/>
          <w:sz w:val="24"/>
          <w:highlight w:val="none"/>
        </w:rPr>
        <w:t>根据现有公路平面交叉设置情况，结合各交叉道的交通组成及在公路网中的作用，充分考虑沿线土地开发、群众生产和生活需要，提高主线的通行能力，确保行车安全的原则设置，对该路段的平面交叉进行了调查，结合了该路段的情况，共设计</w:t>
      </w:r>
      <w:r>
        <w:rPr>
          <w:rFonts w:hint="eastAsia" w:ascii="宋体" w:hAnsi="宋体" w:cs="Times New Roman"/>
          <w:spacing w:val="4"/>
          <w:sz w:val="24"/>
          <w:highlight w:val="none"/>
          <w:lang w:val="en-US" w:eastAsia="zh-CN"/>
        </w:rPr>
        <w:t>13</w:t>
      </w:r>
      <w:r>
        <w:rPr>
          <w:rFonts w:hint="eastAsia" w:ascii="宋体" w:hAnsi="宋体" w:cs="Times New Roman"/>
          <w:spacing w:val="4"/>
          <w:sz w:val="24"/>
          <w:highlight w:val="none"/>
        </w:rPr>
        <w:t>处平面交叉。具体详见《平面交叉设置及工程数量一览表》。</w:t>
      </w:r>
    </w:p>
    <w:p>
      <w:pPr>
        <w:spacing w:line="480" w:lineRule="exact"/>
        <w:ind w:right="53" w:rightChars="25" w:firstLine="482" w:firstLineChars="200"/>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4.</w:t>
      </w:r>
      <w:r>
        <w:rPr>
          <w:rFonts w:hint="eastAsia" w:ascii="宋体" w:hAnsi="宋体" w:cs="宋体"/>
          <w:b/>
          <w:bCs/>
          <w:kern w:val="2"/>
          <w:sz w:val="24"/>
          <w:szCs w:val="24"/>
          <w:highlight w:val="none"/>
          <w:lang w:val="en-US" w:eastAsia="zh-CN" w:bidi="ar-SA"/>
        </w:rPr>
        <w:t>7</w:t>
      </w:r>
      <w:r>
        <w:rPr>
          <w:rFonts w:hint="eastAsia" w:ascii="宋体" w:hAnsi="宋体" w:eastAsia="宋体" w:cs="宋体"/>
          <w:b/>
          <w:bCs/>
          <w:kern w:val="2"/>
          <w:sz w:val="24"/>
          <w:szCs w:val="24"/>
          <w:highlight w:val="none"/>
          <w:lang w:val="en-US" w:eastAsia="zh-CN" w:bidi="ar-SA"/>
        </w:rPr>
        <w:t>沥青路面面层</w:t>
      </w:r>
    </w:p>
    <w:p>
      <w:pPr>
        <w:adjustRightInd w:val="0"/>
        <w:spacing w:line="440" w:lineRule="exact"/>
        <w:ind w:right="53" w:rightChars="25" w:firstLine="496" w:firstLineChars="200"/>
        <w:rPr>
          <w:rFonts w:hint="eastAsia" w:ascii="宋体" w:hAnsi="宋体" w:cs="Times New Roman"/>
          <w:spacing w:val="4"/>
          <w:sz w:val="24"/>
          <w:highlight w:val="none"/>
        </w:rPr>
      </w:pPr>
      <w:r>
        <w:rPr>
          <w:rFonts w:hint="eastAsia" w:ascii="宋体" w:hAnsi="宋体" w:cs="Times New Roman"/>
          <w:spacing w:val="4"/>
          <w:sz w:val="24"/>
          <w:highlight w:val="none"/>
        </w:rPr>
        <w:t>路面设计本着因地制宜、合理选材、降低造价、便于施工及养护的原则及根据路面的使用要求，结合路线周围自然条件、沿线筑路材料情况和实践经验，进行路面设计。根据任务书要求的路面结构方案，本设计路面面层采用沥青混凝土结构。</w:t>
      </w:r>
    </w:p>
    <w:p>
      <w:pPr>
        <w:adjustRightInd w:val="0"/>
        <w:spacing w:line="440" w:lineRule="exact"/>
        <w:ind w:right="53" w:rightChars="25" w:firstLine="496" w:firstLineChars="200"/>
        <w:rPr>
          <w:rFonts w:hint="eastAsia" w:ascii="宋体" w:hAnsi="宋体" w:cs="Times New Roman"/>
          <w:spacing w:val="4"/>
          <w:sz w:val="24"/>
          <w:highlight w:val="none"/>
        </w:rPr>
      </w:pPr>
      <w:r>
        <w:rPr>
          <w:rFonts w:hint="eastAsia" w:ascii="宋体" w:hAnsi="宋体" w:cs="Times New Roman"/>
          <w:spacing w:val="4"/>
          <w:sz w:val="24"/>
          <w:highlight w:val="none"/>
        </w:rPr>
        <w:t>沥青混凝土路面设计采用双圆垂直均布荷载作用下的多层弹性连续体系理论，以设计弯沉值为路面整体刚度的设计指标，对沥青混凝土面层和半刚性基层进行了层底拉应力验算。路面厚度计算采用多层弹性连续体系理论的专用设计程序（HPDS2003A）进行计算。</w:t>
      </w:r>
    </w:p>
    <w:p>
      <w:pPr>
        <w:adjustRightInd w:val="0"/>
        <w:spacing w:line="440" w:lineRule="exact"/>
        <w:ind w:right="53" w:rightChars="25" w:firstLine="496" w:firstLineChars="200"/>
        <w:rPr>
          <w:rFonts w:hint="eastAsia" w:ascii="宋体" w:hAnsi="宋体" w:cs="Times New Roman"/>
          <w:spacing w:val="4"/>
          <w:sz w:val="24"/>
          <w:highlight w:val="none"/>
        </w:rPr>
      </w:pPr>
      <w:r>
        <w:rPr>
          <w:rFonts w:hint="eastAsia" w:ascii="宋体" w:hAnsi="宋体" w:cs="Times New Roman"/>
          <w:spacing w:val="4"/>
          <w:sz w:val="24"/>
          <w:highlight w:val="none"/>
          <w:lang w:val="zh-CN"/>
        </w:rPr>
        <w:t>路面面层厚度为5cmAC-16中粒式沥青混凝土（AC-16），基层厚度为20cm水泥稳定碎石(5:95)</w:t>
      </w:r>
      <w:r>
        <w:rPr>
          <w:rFonts w:hint="eastAsia" w:ascii="宋体" w:hAnsi="宋体" w:cs="Times New Roman"/>
          <w:spacing w:val="4"/>
          <w:sz w:val="24"/>
          <w:highlight w:val="none"/>
        </w:rPr>
        <w:t>。</w:t>
      </w:r>
    </w:p>
    <w:p>
      <w:pPr>
        <w:ind w:firstLine="420" w:firstLineChars="200"/>
        <w:rPr>
          <w:rFonts w:hint="eastAsia" w:ascii="宋体" w:hAnsi="宋体" w:cs="宋体"/>
          <w:szCs w:val="28"/>
          <w:highlight w:val="none"/>
        </w:rPr>
      </w:pPr>
    </w:p>
    <w:tbl>
      <w:tblPr>
        <w:tblStyle w:val="8"/>
        <w:tblW w:w="11628"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2106"/>
        <w:gridCol w:w="636"/>
        <w:gridCol w:w="636"/>
        <w:gridCol w:w="846"/>
        <w:gridCol w:w="951"/>
        <w:gridCol w:w="846"/>
        <w:gridCol w:w="846"/>
        <w:gridCol w:w="846"/>
        <w:gridCol w:w="846"/>
        <w:gridCol w:w="846"/>
        <w:gridCol w:w="741"/>
        <w:gridCol w:w="741"/>
        <w:gridCol w:w="7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397" w:hRule="atLeast"/>
          <w:jc w:val="center"/>
        </w:trPr>
        <w:tc>
          <w:tcPr>
            <w:tcW w:w="11628" w:type="dxa"/>
            <w:gridSpan w:val="13"/>
            <w:tcBorders>
              <w:top w:val="nil"/>
              <w:left w:val="nil"/>
              <w:bottom w:val="single" w:color="auto" w:sz="12" w:space="0"/>
              <w:right w:val="nil"/>
            </w:tcBorders>
            <w:noWrap w:val="0"/>
            <w:vAlign w:val="center"/>
          </w:tcPr>
          <w:p>
            <w:pPr>
              <w:widowControl/>
              <w:jc w:val="center"/>
              <w:rPr>
                <w:rFonts w:hint="eastAsia" w:ascii="宋体" w:hAnsi="宋体" w:cs="宋体"/>
                <w:sz w:val="21"/>
                <w:szCs w:val="21"/>
                <w:highlight w:val="none"/>
              </w:rPr>
            </w:pPr>
            <w:r>
              <w:rPr>
                <w:rFonts w:hint="eastAsia" w:ascii="宋体" w:hAnsi="宋体" w:cs="宋体"/>
                <w:szCs w:val="28"/>
                <w:highlight w:val="none"/>
              </w:rPr>
              <w:pict>
                <v:shape id="_x0000_s1095" o:spid="_x0000_s1095" o:spt="202" type="#_x0000_t202" style="position:absolute;left:0pt;margin-left:699.9pt;margin-top:-41.25pt;height:54.85pt;width:81pt;z-index:25179955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v:imagedata o:title=""/>
                  <o:lock v:ext="edit" grouping="f" rotation="f" text="f" aspectratio="f"/>
                  <v:textbox>
                    <w:txbxContent>
                      <w:p>
                        <w:pPr>
                          <w:rPr>
                            <w:rFonts w:ascii="宋体" w:hAnsi="宋体"/>
                            <w:b/>
                            <w:sz w:val="32"/>
                            <w:szCs w:val="32"/>
                          </w:rPr>
                        </w:pPr>
                        <w:r>
                          <w:rPr>
                            <w:rFonts w:hint="eastAsia" w:ascii="宋体" w:hAnsi="宋体"/>
                            <w:b/>
                            <w:sz w:val="32"/>
                            <w:szCs w:val="32"/>
                          </w:rPr>
                          <w:t>002</w:t>
                        </w:r>
                      </w:p>
                    </w:txbxContent>
                  </v:textbox>
                </v:shape>
              </w:pict>
            </w:r>
            <w:r>
              <w:rPr>
                <w:rFonts w:hint="eastAsia" w:ascii="宋体" w:hAnsi="宋体" w:cs="宋体"/>
                <w:b/>
                <w:sz w:val="21"/>
                <w:szCs w:val="21"/>
                <w:highlight w:val="none"/>
              </w:rPr>
              <w:t>混合料集料级配表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397" w:hRule="atLeast"/>
          <w:jc w:val="center"/>
        </w:trPr>
        <w:tc>
          <w:tcPr>
            <w:tcW w:w="2106" w:type="dxa"/>
            <w:vMerge w:val="restart"/>
            <w:tcBorders>
              <w:top w:val="single" w:color="auto" w:sz="12" w:space="0"/>
              <w:bottom w:val="single" w:color="auto" w:sz="6" w:space="0"/>
              <w:right w:val="single" w:color="auto" w:sz="6" w:space="0"/>
            </w:tcBorders>
            <w:noWrap w:val="0"/>
            <w:vAlign w:val="center"/>
          </w:tcPr>
          <w:p>
            <w:pPr>
              <w:widowControl/>
              <w:spacing w:line="360" w:lineRule="auto"/>
              <w:jc w:val="center"/>
              <w:rPr>
                <w:rFonts w:hint="eastAsia" w:ascii="宋体" w:hAnsi="宋体" w:cs="宋体"/>
                <w:kern w:val="0"/>
                <w:sz w:val="21"/>
                <w:szCs w:val="21"/>
                <w:highlight w:val="none"/>
              </w:rPr>
            </w:pPr>
            <w:r>
              <w:rPr>
                <w:rFonts w:hint="eastAsia" w:ascii="宋体" w:hAnsi="宋体" w:cs="宋体"/>
                <w:kern w:val="0"/>
                <w:sz w:val="21"/>
                <w:szCs w:val="21"/>
                <w:highlight w:val="none"/>
              </w:rPr>
              <w:t>沥青混合料级配类型</w:t>
            </w:r>
          </w:p>
        </w:tc>
        <w:tc>
          <w:tcPr>
            <w:tcW w:w="9522" w:type="dxa"/>
            <w:gridSpan w:val="12"/>
            <w:tcBorders>
              <w:top w:val="single" w:color="auto" w:sz="12" w:space="0"/>
              <w:left w:val="single" w:color="auto" w:sz="6" w:space="0"/>
              <w:bottom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通过下列方孔筛(mm)重量百分率（％）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397" w:hRule="atLeast"/>
          <w:jc w:val="center"/>
        </w:trPr>
        <w:tc>
          <w:tcPr>
            <w:tcW w:w="2106" w:type="dxa"/>
            <w:vMerge w:val="continue"/>
            <w:tcBorders>
              <w:top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kern w:val="0"/>
                <w:sz w:val="21"/>
                <w:szCs w:val="21"/>
                <w:highlight w:val="none"/>
              </w:rPr>
            </w:pPr>
          </w:p>
        </w:tc>
        <w:tc>
          <w:tcPr>
            <w:tcW w:w="63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26.5</w:t>
            </w:r>
          </w:p>
        </w:tc>
        <w:tc>
          <w:tcPr>
            <w:tcW w:w="63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19</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16</w:t>
            </w:r>
          </w:p>
        </w:tc>
        <w:tc>
          <w:tcPr>
            <w:tcW w:w="951"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13.2</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9.5</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4.75</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2.36</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1.18</w:t>
            </w:r>
          </w:p>
        </w:tc>
        <w:tc>
          <w:tcPr>
            <w:tcW w:w="846"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0.6</w:t>
            </w:r>
          </w:p>
        </w:tc>
        <w:tc>
          <w:tcPr>
            <w:tcW w:w="741"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0.3</w:t>
            </w:r>
          </w:p>
        </w:tc>
        <w:tc>
          <w:tcPr>
            <w:tcW w:w="741"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0.15</w:t>
            </w:r>
          </w:p>
        </w:tc>
        <w:tc>
          <w:tcPr>
            <w:tcW w:w="741" w:type="dxa"/>
            <w:tcBorders>
              <w:top w:val="single" w:color="auto" w:sz="6" w:space="0"/>
              <w:left w:val="single" w:color="auto" w:sz="6" w:space="0"/>
              <w:bottom w:val="single" w:color="auto" w:sz="6" w:space="0"/>
            </w:tcBorders>
            <w:noWrap w:val="0"/>
            <w:vAlign w:val="center"/>
          </w:tcPr>
          <w:p>
            <w:pPr>
              <w:widowControl/>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0.075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397" w:hRule="atLeast"/>
          <w:jc w:val="center"/>
        </w:trPr>
        <w:tc>
          <w:tcPr>
            <w:tcW w:w="2106" w:type="dxa"/>
            <w:tcBorders>
              <w:top w:val="single" w:color="auto" w:sz="6" w:space="0"/>
              <w:bottom w:val="single" w:color="auto" w:sz="12" w:space="0"/>
              <w:right w:val="single" w:color="auto" w:sz="6" w:space="0"/>
            </w:tcBorders>
            <w:noWrap w:val="0"/>
            <w:vAlign w:val="center"/>
          </w:tcPr>
          <w:p>
            <w:pPr>
              <w:widowControl/>
              <w:jc w:val="center"/>
              <w:rPr>
                <w:rFonts w:hint="eastAsia" w:ascii="宋体" w:hAnsi="宋体" w:cs="宋体"/>
                <w:kern w:val="0"/>
                <w:sz w:val="21"/>
                <w:szCs w:val="21"/>
                <w:highlight w:val="none"/>
              </w:rPr>
            </w:pPr>
            <w:r>
              <w:rPr>
                <w:rFonts w:hint="eastAsia" w:ascii="宋体" w:hAnsi="宋体" w:cs="宋体"/>
                <w:kern w:val="0"/>
                <w:sz w:val="21"/>
                <w:szCs w:val="21"/>
                <w:highlight w:val="none"/>
              </w:rPr>
              <w:t>AC-16</w:t>
            </w:r>
          </w:p>
        </w:tc>
        <w:tc>
          <w:tcPr>
            <w:tcW w:w="63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p>
        </w:tc>
        <w:tc>
          <w:tcPr>
            <w:tcW w:w="63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100</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90～100</w:t>
            </w:r>
          </w:p>
        </w:tc>
        <w:tc>
          <w:tcPr>
            <w:tcW w:w="951"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76～92</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60～80</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34～62</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20～48</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13～36</w:t>
            </w:r>
          </w:p>
        </w:tc>
        <w:tc>
          <w:tcPr>
            <w:tcW w:w="846"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9～26</w:t>
            </w:r>
          </w:p>
        </w:tc>
        <w:tc>
          <w:tcPr>
            <w:tcW w:w="741"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7～18</w:t>
            </w:r>
          </w:p>
        </w:tc>
        <w:tc>
          <w:tcPr>
            <w:tcW w:w="741" w:type="dxa"/>
            <w:tcBorders>
              <w:top w:val="single" w:color="auto" w:sz="6" w:space="0"/>
              <w:left w:val="single" w:color="auto" w:sz="6" w:space="0"/>
              <w:bottom w:val="single" w:color="auto" w:sz="12" w:space="0"/>
              <w:right w:val="single" w:color="auto" w:sz="6"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5～14</w:t>
            </w:r>
          </w:p>
        </w:tc>
        <w:tc>
          <w:tcPr>
            <w:tcW w:w="741" w:type="dxa"/>
            <w:tcBorders>
              <w:top w:val="single" w:color="auto" w:sz="6" w:space="0"/>
              <w:left w:val="single" w:color="auto" w:sz="6" w:space="0"/>
              <w:bottom w:val="single" w:color="auto" w:sz="12" w:space="0"/>
            </w:tcBorders>
            <w:noWrap w:val="0"/>
            <w:vAlign w:val="center"/>
          </w:tcPr>
          <w:p>
            <w:pPr>
              <w:widowControl/>
              <w:jc w:val="center"/>
              <w:rPr>
                <w:rFonts w:hint="eastAsia" w:ascii="宋体" w:hAnsi="宋体" w:cs="宋体"/>
                <w:sz w:val="21"/>
                <w:szCs w:val="21"/>
                <w:highlight w:val="none"/>
              </w:rPr>
            </w:pPr>
            <w:r>
              <w:rPr>
                <w:rFonts w:hint="eastAsia" w:ascii="宋体" w:hAnsi="宋体" w:cs="宋体"/>
                <w:sz w:val="21"/>
                <w:szCs w:val="21"/>
                <w:highlight w:val="none"/>
              </w:rPr>
              <w:t>4～8</w:t>
            </w:r>
          </w:p>
        </w:tc>
      </w:tr>
    </w:tbl>
    <w:p>
      <w:pPr>
        <w:adjustRightInd w:val="0"/>
        <w:spacing w:line="440" w:lineRule="exact"/>
        <w:ind w:right="53" w:rightChars="25" w:firstLine="496" w:firstLineChars="200"/>
        <w:rPr>
          <w:rFonts w:hint="eastAsia" w:ascii="宋体" w:hAnsi="宋体" w:cs="Times New Roman"/>
          <w:spacing w:val="4"/>
          <w:sz w:val="24"/>
          <w:highlight w:val="none"/>
        </w:rPr>
      </w:pPr>
      <w:r>
        <w:rPr>
          <w:rFonts w:hint="eastAsia" w:ascii="宋体" w:hAnsi="宋体" w:cs="Times New Roman"/>
          <w:spacing w:val="4"/>
          <w:sz w:val="24"/>
          <w:highlight w:val="none"/>
        </w:rPr>
        <w:t>沥青混凝土粗型密集配以通过关键性筛孔为准： AC-16要求通过2.36mm筛孔的小于38%。</w:t>
      </w:r>
    </w:p>
    <w:p>
      <w:pPr>
        <w:adjustRightInd w:val="0"/>
        <w:spacing w:line="440" w:lineRule="exact"/>
        <w:ind w:right="53" w:rightChars="25" w:firstLine="496" w:firstLineChars="200"/>
        <w:rPr>
          <w:rFonts w:ascii="宋体" w:hAnsi="宋体" w:cs="宋体"/>
          <w:b/>
          <w:bCs/>
          <w:color w:val="auto"/>
          <w:sz w:val="24"/>
        </w:rPr>
      </w:pPr>
      <w:r>
        <w:rPr>
          <w:rFonts w:hint="eastAsia" w:ascii="宋体" w:hAnsi="宋体" w:cs="Times New Roman"/>
          <w:spacing w:val="4"/>
          <w:sz w:val="24"/>
          <w:highlight w:val="none"/>
        </w:rPr>
        <w:t>面层沥青混合料的矿料级配应按混合料级配表的要求，并尽量使级配曲线形成“S”形曲线，这样有利于提高沥青混凝土的性能。沥青混合料的配合比设计及各项技术指标应满足下表要求，试验应遵照《公路工程沥青及沥青混合料试验规程》（JTJ052-2000）的有关规定进行。沥青面层的铺筑质量的内容、频度、允许差应符合《公路沥青路面施工技术规范》（JTG F40-2004）中表11.4.5-1的规定。频度、允许差应符合《公路沥青路面施工技术规范》（JTG F40-2004）中表11.4.5-1的规定。</w:t>
      </w:r>
    </w:p>
    <w:p>
      <w:pPr>
        <w:spacing w:line="440" w:lineRule="exact"/>
        <w:ind w:firstLine="482" w:firstLineChars="200"/>
        <w:rPr>
          <w:rFonts w:ascii="宋体" w:hAnsi="宋体" w:cs="宋体"/>
          <w:b/>
          <w:bCs/>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1</w:t>
      </w:r>
      <w:r>
        <w:rPr>
          <w:rFonts w:hint="eastAsia" w:ascii="宋体" w:hAnsi="宋体" w:cs="宋体"/>
          <w:b/>
          <w:bCs/>
          <w:color w:val="auto"/>
          <w:sz w:val="24"/>
        </w:rPr>
        <w:t>石油沥青</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面层沥青采用A级90号道路石油沥青，其质量应符合《公路沥青路面施工技术规范》（JTG F40-2017）中表4.2.1-2 90号的规定，见下表。</w:t>
      </w:r>
    </w:p>
    <w:p>
      <w:pPr>
        <w:spacing w:line="440" w:lineRule="exact"/>
        <w:ind w:firstLine="480" w:firstLineChars="200"/>
        <w:jc w:val="center"/>
        <w:rPr>
          <w:rFonts w:ascii="宋体" w:hAnsi="宋体"/>
          <w:bCs/>
          <w:color w:val="auto"/>
          <w:sz w:val="24"/>
        </w:rPr>
      </w:pPr>
      <w:r>
        <w:rPr>
          <w:rFonts w:hint="eastAsia" w:ascii="宋体" w:hAnsi="宋体"/>
          <w:bCs/>
          <w:color w:val="auto"/>
          <w:sz w:val="24"/>
        </w:rPr>
        <w:t>道路石油沥青技术要求</w:t>
      </w:r>
    </w:p>
    <w:tbl>
      <w:tblPr>
        <w:tblStyle w:val="8"/>
        <w:tblW w:w="680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056"/>
        <w:gridCol w:w="27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4056" w:type="dxa"/>
            <w:tcBorders>
              <w:top w:val="single" w:color="auto" w:sz="12"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技术指标</w:t>
            </w:r>
          </w:p>
        </w:tc>
        <w:tc>
          <w:tcPr>
            <w:tcW w:w="2750" w:type="dxa"/>
            <w:tcBorders>
              <w:top w:val="single" w:color="auto" w:sz="12"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A级90号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8"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针入度(25℃，100g，5s)(0.1mm)</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80～100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针入度指数PI</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-1.5～+1.0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30"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延度(10℃)，5 (cm)/min 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3"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延度(15℃)，5 (cm)/min 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软化点(环球法)(℃)不小于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44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1"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闪点不小于(℃)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245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8" w:hRule="atLeast"/>
          <w:jc w:val="center"/>
        </w:trPr>
        <w:tc>
          <w:tcPr>
            <w:tcW w:w="4056"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蜡含量(蒸馏法)不大于(%)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4056" w:type="dxa"/>
            <w:tcBorders>
              <w:top w:val="single" w:color="auto" w:sz="6" w:space="0"/>
              <w:bottom w:val="single" w:color="auto" w:sz="6" w:space="0"/>
            </w:tcBorders>
            <w:shd w:val="clear" w:color="auto" w:fill="auto"/>
            <w:vAlign w:val="center"/>
          </w:tcPr>
          <w:p>
            <w:pPr>
              <w:jc w:val="center"/>
              <w:rPr>
                <w:rFonts w:ascii="宋体" w:hAnsi="宋体" w:cs="宋体"/>
                <w:color w:val="auto"/>
                <w:kern w:val="0"/>
                <w:sz w:val="24"/>
              </w:rPr>
            </w:pPr>
            <w:r>
              <w:rPr>
                <w:rFonts w:hint="eastAsia" w:ascii="宋体" w:hAnsi="宋体" w:cs="宋体"/>
                <w:color w:val="auto"/>
                <w:kern w:val="0"/>
                <w:sz w:val="24"/>
              </w:rPr>
              <w:t>溶解度(三氯乙烯)不小于(%)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99.5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1" w:hRule="atLeast"/>
          <w:jc w:val="center"/>
        </w:trPr>
        <w:tc>
          <w:tcPr>
            <w:tcW w:w="4056" w:type="dxa"/>
            <w:tcBorders>
              <w:top w:val="single" w:color="auto" w:sz="6" w:space="0"/>
              <w:bottom w:val="single" w:color="auto" w:sz="6" w:space="0"/>
            </w:tcBorders>
            <w:shd w:val="clear" w:color="auto" w:fill="auto"/>
            <w:vAlign w:val="center"/>
          </w:tcPr>
          <w:p>
            <w:pPr>
              <w:jc w:val="center"/>
              <w:rPr>
                <w:rFonts w:ascii="宋体" w:hAnsi="宋体" w:cs="宋体"/>
                <w:color w:val="auto"/>
                <w:kern w:val="0"/>
                <w:sz w:val="24"/>
              </w:rPr>
            </w:pPr>
            <w:r>
              <w:rPr>
                <w:rFonts w:hint="eastAsia" w:ascii="宋体" w:hAnsi="宋体" w:cs="宋体"/>
                <w:color w:val="auto"/>
                <w:kern w:val="0"/>
                <w:sz w:val="24"/>
              </w:rPr>
              <w:t>质量变化不大于(%)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4" w:hRule="atLeast"/>
          <w:jc w:val="center"/>
        </w:trPr>
        <w:tc>
          <w:tcPr>
            <w:tcW w:w="4056" w:type="dxa"/>
            <w:tcBorders>
              <w:top w:val="single" w:color="auto" w:sz="6" w:space="0"/>
              <w:bottom w:val="single" w:color="auto" w:sz="6" w:space="0"/>
            </w:tcBorders>
            <w:shd w:val="clear" w:color="auto" w:fill="auto"/>
            <w:vAlign w:val="center"/>
          </w:tcPr>
          <w:p>
            <w:pPr>
              <w:jc w:val="center"/>
              <w:rPr>
                <w:rFonts w:ascii="宋体" w:hAnsi="宋体" w:cs="宋体"/>
                <w:color w:val="auto"/>
                <w:kern w:val="0"/>
                <w:sz w:val="24"/>
              </w:rPr>
            </w:pPr>
            <w:r>
              <w:rPr>
                <w:rFonts w:hint="eastAsia" w:ascii="宋体" w:hAnsi="宋体" w:cs="宋体"/>
                <w:color w:val="auto"/>
                <w:kern w:val="0"/>
                <w:sz w:val="24"/>
              </w:rPr>
              <w:t>残留针入度25℃ 不小于(%)</w:t>
            </w:r>
          </w:p>
        </w:tc>
        <w:tc>
          <w:tcPr>
            <w:tcW w:w="2750" w:type="dxa"/>
            <w:tcBorders>
              <w:top w:val="single" w:color="auto" w:sz="6" w:space="0"/>
              <w:bottom w:val="single" w:color="auto" w:sz="6"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57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9" w:hRule="atLeast"/>
          <w:jc w:val="center"/>
        </w:trPr>
        <w:tc>
          <w:tcPr>
            <w:tcW w:w="4056" w:type="dxa"/>
            <w:tcBorders>
              <w:top w:val="single" w:color="auto" w:sz="6" w:space="0"/>
              <w:bottom w:val="single" w:color="auto" w:sz="12" w:space="0"/>
            </w:tcBorders>
            <w:shd w:val="clear" w:color="auto" w:fill="auto"/>
            <w:vAlign w:val="center"/>
          </w:tcPr>
          <w:p>
            <w:pPr>
              <w:jc w:val="center"/>
              <w:rPr>
                <w:rFonts w:ascii="宋体" w:hAnsi="宋体" w:cs="宋体"/>
                <w:color w:val="auto"/>
                <w:kern w:val="0"/>
                <w:sz w:val="24"/>
              </w:rPr>
            </w:pPr>
            <w:r>
              <w:rPr>
                <w:rFonts w:hint="eastAsia" w:ascii="宋体" w:hAnsi="宋体" w:cs="宋体"/>
                <w:color w:val="auto"/>
                <w:kern w:val="0"/>
                <w:sz w:val="24"/>
              </w:rPr>
              <w:t>残留延度(10℃)不小于(%)</w:t>
            </w:r>
          </w:p>
        </w:tc>
        <w:tc>
          <w:tcPr>
            <w:tcW w:w="2750" w:type="dxa"/>
            <w:tcBorders>
              <w:top w:val="single" w:color="auto" w:sz="6" w:space="0"/>
              <w:bottom w:val="single" w:color="auto" w:sz="12" w:space="0"/>
            </w:tcBorders>
            <w:shd w:val="clear" w:color="auto" w:fill="auto"/>
            <w:noWrap/>
            <w:vAlign w:val="center"/>
          </w:tcPr>
          <w:p>
            <w:pPr>
              <w:jc w:val="center"/>
              <w:rPr>
                <w:rFonts w:ascii="宋体" w:hAnsi="宋体" w:cs="宋体"/>
                <w:color w:val="auto"/>
                <w:kern w:val="0"/>
                <w:sz w:val="24"/>
              </w:rPr>
            </w:pPr>
            <w:r>
              <w:rPr>
                <w:rFonts w:hint="eastAsia" w:ascii="宋体" w:hAnsi="宋体" w:cs="宋体"/>
                <w:color w:val="auto"/>
                <w:kern w:val="0"/>
                <w:sz w:val="24"/>
              </w:rPr>
              <w:t>8</w:t>
            </w:r>
          </w:p>
        </w:tc>
      </w:tr>
    </w:tbl>
    <w:p>
      <w:pPr>
        <w:spacing w:line="440" w:lineRule="exact"/>
        <w:ind w:firstLine="482" w:firstLineChars="200"/>
        <w:rPr>
          <w:rFonts w:ascii="宋体" w:hAnsi="宋体" w:cs="宋体"/>
          <w:b/>
          <w:bCs/>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2</w:t>
      </w:r>
      <w:r>
        <w:rPr>
          <w:rFonts w:hint="eastAsia" w:ascii="宋体" w:hAnsi="宋体" w:cs="宋体"/>
          <w:b/>
          <w:bCs/>
          <w:color w:val="auto"/>
          <w:sz w:val="24"/>
        </w:rPr>
        <w:t>粗集料</w:t>
      </w:r>
    </w:p>
    <w:p>
      <w:pPr>
        <w:spacing w:line="440" w:lineRule="exact"/>
        <w:ind w:firstLine="480" w:firstLineChars="200"/>
        <w:rPr>
          <w:rFonts w:ascii="宋体" w:hAnsi="宋体" w:cs="宋体"/>
          <w:color w:val="auto"/>
          <w:sz w:val="24"/>
        </w:rPr>
      </w:pPr>
      <w:r>
        <w:rPr>
          <w:rFonts w:ascii="宋体" w:hAnsi="宋体" w:cs="宋体"/>
          <w:color w:val="auto"/>
          <w:sz w:val="24"/>
        </w:rPr>
        <w:pict>
          <v:shape id="Text Box 4" o:spid="_x0000_s1094" o:spt="202" type="#_x0000_t202" style="position:absolute;left:0pt;margin-left:991.8pt;margin-top:-172.95pt;height:67.45pt;width:81pt;z-index:2517135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pPr>
                    <w:rPr>
                      <w:rFonts w:ascii="宋体" w:hAnsi="宋体"/>
                      <w:sz w:val="44"/>
                      <w:szCs w:val="44"/>
                    </w:rPr>
                  </w:pPr>
                </w:p>
              </w:txbxContent>
            </v:textbox>
          </v:shape>
        </w:pict>
      </w:r>
      <w:r>
        <w:rPr>
          <w:rFonts w:hint="eastAsia" w:ascii="宋体" w:hAnsi="宋体" w:cs="宋体"/>
          <w:color w:val="auto"/>
          <w:sz w:val="24"/>
        </w:rPr>
        <w:t>面层沥青混合料中的粗集料应采用抗滑、耐磨、坚硬、洁净干燥的石料加工而成，宜采用一次颚式破碎后进行二次反击式或锤式破碎加工成具有良好颗粒形状，表面有良好微观构造的集料。</w:t>
      </w:r>
    </w:p>
    <w:p>
      <w:pPr>
        <w:spacing w:line="440" w:lineRule="exact"/>
        <w:ind w:firstLine="480" w:firstLineChars="200"/>
        <w:rPr>
          <w:rFonts w:ascii="宋体" w:hAnsi="宋体" w:cs="宋体"/>
          <w:color w:val="auto"/>
          <w:sz w:val="24"/>
        </w:rPr>
      </w:pPr>
      <w:r>
        <w:rPr>
          <w:rFonts w:hint="eastAsia" w:ascii="宋体" w:hAnsi="宋体" w:cs="宋体"/>
          <w:color w:val="auto"/>
          <w:sz w:val="24"/>
        </w:rPr>
        <w:t>各成品料出口必须安装能回收粉尘的防尘设备，保证粉尘不飞扬，不造成集料的二次污染，保证集料的粉尘含量满足要求。</w:t>
      </w:r>
    </w:p>
    <w:p>
      <w:pPr>
        <w:spacing w:line="440" w:lineRule="exact"/>
        <w:ind w:firstLine="480" w:firstLineChars="200"/>
        <w:rPr>
          <w:rFonts w:ascii="宋体" w:hAnsi="宋体" w:cs="宋体"/>
          <w:color w:val="auto"/>
          <w:sz w:val="24"/>
        </w:rPr>
      </w:pPr>
      <w:r>
        <w:rPr>
          <w:rFonts w:hint="eastAsia" w:ascii="宋体" w:hAnsi="宋体" w:cs="宋体"/>
          <w:color w:val="auto"/>
          <w:sz w:val="24"/>
        </w:rPr>
        <w:t>集料的形状应接近立方体，并具有良好的嵌挤能力，具有一个破碎面颗粒含量应达到80%，具有两个或两个破碎面含量应不小于60%。</w:t>
      </w:r>
    </w:p>
    <w:p>
      <w:pPr>
        <w:spacing w:line="440" w:lineRule="exact"/>
        <w:ind w:firstLine="480" w:firstLineChars="200"/>
        <w:rPr>
          <w:rFonts w:ascii="宋体" w:hAnsi="宋体" w:cs="宋体"/>
          <w:color w:val="auto"/>
          <w:sz w:val="24"/>
        </w:rPr>
      </w:pPr>
      <w:r>
        <w:rPr>
          <w:rFonts w:hint="eastAsia" w:ascii="宋体" w:hAnsi="宋体" w:cs="宋体"/>
          <w:color w:val="auto"/>
          <w:sz w:val="24"/>
        </w:rPr>
        <w:t>集料的粒径规格及技术指标应满足下表的要求，沥青与石料的粘附性小于4级时可掺加抗剥落剂，抗剥落剂类型为消石灰粉，用消石灰粉代替混合料中的矿粉，其用量为沥青混合料的2%。</w:t>
      </w:r>
    </w:p>
    <w:p>
      <w:pPr>
        <w:spacing w:line="440" w:lineRule="exact"/>
        <w:ind w:firstLine="480" w:firstLineChars="200"/>
        <w:rPr>
          <w:rFonts w:ascii="宋体" w:hAnsi="宋体" w:cs="宋体"/>
          <w:color w:val="auto"/>
          <w:sz w:val="24"/>
        </w:rPr>
      </w:pPr>
      <w:r>
        <w:rPr>
          <w:rFonts w:hint="eastAsia" w:ascii="宋体" w:hAnsi="宋体"/>
          <w:color w:val="auto"/>
          <w:sz w:val="24"/>
        </w:rPr>
        <w:t>具</w:t>
      </w:r>
      <w:r>
        <w:rPr>
          <w:rFonts w:hint="eastAsia" w:ascii="宋体" w:hAnsi="宋体" w:cs="宋体"/>
          <w:color w:val="auto"/>
          <w:sz w:val="24"/>
        </w:rPr>
        <w:t>体指标见下表。</w:t>
      </w:r>
    </w:p>
    <w:tbl>
      <w:tblPr>
        <w:tblStyle w:val="8"/>
        <w:tblW w:w="7660" w:type="dxa"/>
        <w:jc w:val="center"/>
        <w:tblInd w:w="0" w:type="dxa"/>
        <w:tblLayout w:type="fixed"/>
        <w:tblCellMar>
          <w:top w:w="0" w:type="dxa"/>
          <w:left w:w="108" w:type="dxa"/>
          <w:bottom w:w="0" w:type="dxa"/>
          <w:right w:w="108" w:type="dxa"/>
        </w:tblCellMar>
      </w:tblPr>
      <w:tblGrid>
        <w:gridCol w:w="4260"/>
        <w:gridCol w:w="3400"/>
      </w:tblGrid>
      <w:tr>
        <w:tblPrEx>
          <w:tblLayout w:type="fixed"/>
          <w:tblCellMar>
            <w:top w:w="0" w:type="dxa"/>
            <w:left w:w="108" w:type="dxa"/>
            <w:bottom w:w="0" w:type="dxa"/>
            <w:right w:w="108" w:type="dxa"/>
          </w:tblCellMar>
        </w:tblPrEx>
        <w:trPr>
          <w:trHeight w:val="90" w:hRule="atLeast"/>
          <w:jc w:val="center"/>
        </w:trPr>
        <w:tc>
          <w:tcPr>
            <w:tcW w:w="7660" w:type="dxa"/>
            <w:gridSpan w:val="2"/>
            <w:tcBorders>
              <w:top w:val="nil"/>
              <w:left w:val="nil"/>
              <w:bottom w:val="single" w:color="auto" w:sz="12" w:space="0"/>
              <w:right w:val="nil"/>
            </w:tcBorders>
            <w:shd w:val="clear" w:color="auto" w:fill="auto"/>
            <w:vAlign w:val="center"/>
          </w:tcPr>
          <w:p>
            <w:pPr>
              <w:spacing w:line="440" w:lineRule="exact"/>
              <w:ind w:firstLine="480" w:firstLineChars="200"/>
              <w:jc w:val="center"/>
              <w:rPr>
                <w:rFonts w:ascii="宋体" w:hAnsi="宋体"/>
                <w:bCs/>
                <w:color w:val="auto"/>
                <w:sz w:val="24"/>
              </w:rPr>
            </w:pPr>
            <w:r>
              <w:rPr>
                <w:rFonts w:hint="eastAsia" w:ascii="宋体" w:hAnsi="宋体"/>
                <w:bCs/>
                <w:color w:val="auto"/>
                <w:sz w:val="24"/>
              </w:rPr>
              <w:t>沥青面层用粗集料质量技术指标表</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项    目</w:t>
            </w:r>
          </w:p>
        </w:tc>
        <w:tc>
          <w:tcPr>
            <w:tcW w:w="3400"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指    标</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石料压碎值不大于(%)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30</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洛杉矶磨耗值不大于(%)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35</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视密度不小于(t/m</w:t>
            </w:r>
            <w:r>
              <w:rPr>
                <w:rFonts w:hint="eastAsia"/>
                <w:color w:val="auto"/>
                <w:vertAlign w:val="superscript"/>
              </w:rPr>
              <w:t>3</w:t>
            </w:r>
            <w:r>
              <w:rPr>
                <w:rFonts w:hint="eastAsia"/>
                <w:color w:val="auto"/>
              </w:rPr>
              <w:t>)</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2.45</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吸水率不大于(%)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3</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对沥青的粘附性不小于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4</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针片状颗粒含量不大于(%)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20</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水洗法&lt;0.075mm颗粒含量不大于(%)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rFonts w:hint="eastAsia"/>
                <w:color w:val="auto"/>
              </w:rPr>
              <w:t>1</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pPr>
              <w:widowControl/>
              <w:jc w:val="center"/>
              <w:rPr>
                <w:color w:val="auto"/>
              </w:rPr>
            </w:pPr>
            <w:r>
              <w:rPr>
                <w:rFonts w:hint="eastAsia"/>
                <w:color w:val="auto"/>
              </w:rPr>
              <w:t>磨光值大于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pPr>
              <w:widowControl/>
              <w:jc w:val="center"/>
              <w:rPr>
                <w:color w:val="auto"/>
              </w:rPr>
            </w:pPr>
            <w:r>
              <w:rPr>
                <w:color w:val="auto"/>
              </w:rPr>
              <w:t>--</w:t>
            </w:r>
          </w:p>
        </w:tc>
      </w:tr>
      <w:tr>
        <w:tblPrEx>
          <w:tblLayout w:type="fixed"/>
          <w:tblCellMar>
            <w:top w:w="0" w:type="dxa"/>
            <w:left w:w="108" w:type="dxa"/>
            <w:bottom w:w="0" w:type="dxa"/>
            <w:right w:w="108" w:type="dxa"/>
          </w:tblCellMar>
        </w:tblPrEx>
        <w:trPr>
          <w:trHeight w:val="454" w:hRule="atLeast"/>
          <w:jc w:val="center"/>
        </w:trPr>
        <w:tc>
          <w:tcPr>
            <w:tcW w:w="4260" w:type="dxa"/>
            <w:tcBorders>
              <w:top w:val="single" w:color="auto" w:sz="6" w:space="0"/>
              <w:left w:val="single" w:color="auto" w:sz="12" w:space="0"/>
              <w:bottom w:val="single" w:color="auto" w:sz="12" w:space="0"/>
              <w:right w:val="single" w:color="auto" w:sz="6" w:space="0"/>
            </w:tcBorders>
            <w:shd w:val="clear" w:color="auto" w:fill="auto"/>
            <w:vAlign w:val="center"/>
          </w:tcPr>
          <w:p>
            <w:pPr>
              <w:widowControl/>
              <w:jc w:val="center"/>
              <w:rPr>
                <w:color w:val="auto"/>
              </w:rPr>
            </w:pPr>
            <w:r>
              <w:rPr>
                <w:rFonts w:hint="eastAsia"/>
                <w:color w:val="auto"/>
              </w:rPr>
              <w:t>软石含量不大于(%)</w:t>
            </w:r>
          </w:p>
        </w:tc>
        <w:tc>
          <w:tcPr>
            <w:tcW w:w="3400" w:type="dxa"/>
            <w:tcBorders>
              <w:top w:val="single" w:color="auto" w:sz="6" w:space="0"/>
              <w:left w:val="single" w:color="auto" w:sz="6" w:space="0"/>
              <w:bottom w:val="single" w:color="auto" w:sz="12" w:space="0"/>
              <w:right w:val="single" w:color="auto" w:sz="12" w:space="0"/>
            </w:tcBorders>
            <w:shd w:val="clear" w:color="auto" w:fill="auto"/>
            <w:vAlign w:val="center"/>
          </w:tcPr>
          <w:p>
            <w:pPr>
              <w:widowControl/>
              <w:jc w:val="center"/>
              <w:rPr>
                <w:color w:val="auto"/>
              </w:rPr>
            </w:pPr>
            <w:r>
              <w:rPr>
                <w:rFonts w:hint="eastAsia"/>
                <w:color w:val="auto"/>
              </w:rPr>
              <w:t>5</w:t>
            </w:r>
          </w:p>
        </w:tc>
      </w:tr>
    </w:tbl>
    <w:p>
      <w:pPr>
        <w:spacing w:line="440" w:lineRule="exact"/>
        <w:ind w:firstLine="480" w:firstLineChars="200"/>
        <w:rPr>
          <w:rFonts w:ascii="宋体" w:hAnsi="宋体" w:cs="宋体"/>
          <w:color w:val="auto"/>
          <w:sz w:val="24"/>
        </w:rPr>
      </w:pPr>
      <w:r>
        <w:rPr>
          <w:rFonts w:hint="eastAsia" w:ascii="宋体" w:hAnsi="宋体" w:cs="宋体"/>
          <w:color w:val="auto"/>
          <w:sz w:val="24"/>
        </w:rPr>
        <w:t>其粒径规格及技术指标符合《公路沥青路面施工技术规范》（JTG F40-2017）中表4.8.3和表4.8.2（其他等级公路项）的规定见表《沥青面层用粗集料质量技术要求》和《沥青面层用粗集料规格(方孔筛)》。</w:t>
      </w:r>
    </w:p>
    <w:tbl>
      <w:tblPr>
        <w:tblStyle w:val="9"/>
        <w:tblW w:w="134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851"/>
        <w:gridCol w:w="567"/>
        <w:gridCol w:w="1021"/>
        <w:gridCol w:w="993"/>
        <w:gridCol w:w="992"/>
        <w:gridCol w:w="992"/>
        <w:gridCol w:w="963"/>
        <w:gridCol w:w="993"/>
        <w:gridCol w:w="1025"/>
        <w:gridCol w:w="992"/>
        <w:gridCol w:w="992"/>
        <w:gridCol w:w="992"/>
        <w:gridCol w:w="851"/>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430" w:type="dxa"/>
            <w:gridSpan w:val="15"/>
            <w:tcBorders>
              <w:top w:val="nil"/>
              <w:left w:val="nil"/>
              <w:bottom w:val="single" w:color="auto" w:sz="12" w:space="0"/>
              <w:right w:val="nil"/>
            </w:tcBorders>
            <w:noWrap/>
            <w:vAlign w:val="center"/>
          </w:tcPr>
          <w:p>
            <w:pPr>
              <w:tabs>
                <w:tab w:val="left" w:pos="10440"/>
              </w:tabs>
              <w:adjustRightInd w:val="0"/>
              <w:spacing w:line="440" w:lineRule="exact"/>
              <w:jc w:val="center"/>
              <w:rPr>
                <w:rFonts w:ascii="宋体" w:hAnsi="宋体"/>
                <w:bCs/>
                <w:color w:val="auto"/>
                <w:sz w:val="24"/>
              </w:rPr>
            </w:pPr>
            <w:r>
              <w:rPr>
                <w:rFonts w:hint="eastAsia" w:ascii="宋体" w:hAnsi="宋体"/>
                <w:bCs/>
                <w:color w:val="auto"/>
                <w:sz w:val="24"/>
              </w:rPr>
              <w:t>沥青面层用粗集料规格(方孔筛)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vMerge w:val="restart"/>
            <w:tcBorders>
              <w:top w:val="single" w:color="auto" w:sz="12"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规格</w:t>
            </w:r>
          </w:p>
        </w:tc>
        <w:tc>
          <w:tcPr>
            <w:tcW w:w="851" w:type="dxa"/>
            <w:vMerge w:val="restart"/>
            <w:tcBorders>
              <w:top w:val="single" w:color="auto" w:sz="12" w:space="0"/>
              <w:left w:val="single" w:color="auto" w:sz="6" w:space="0"/>
              <w:bottom w:val="single" w:color="auto" w:sz="6" w:space="0"/>
              <w:right w:val="single" w:color="auto" w:sz="6" w:space="0"/>
            </w:tcBorders>
            <w:vAlign w:val="center"/>
          </w:tcPr>
          <w:p>
            <w:pPr>
              <w:widowControl/>
              <w:jc w:val="center"/>
              <w:rPr>
                <w:color w:val="auto"/>
              </w:rPr>
            </w:pPr>
            <w:r>
              <w:rPr>
                <w:rFonts w:hint="eastAsia"/>
                <w:color w:val="auto"/>
              </w:rPr>
              <w:t>公 称 粒 径</w:t>
            </w:r>
            <w:r>
              <w:rPr>
                <w:rFonts w:hint="eastAsia"/>
                <w:color w:val="auto"/>
              </w:rPr>
              <w:br w:type="textWrapping"/>
            </w:r>
            <w:r>
              <w:rPr>
                <w:rFonts w:hint="eastAsia"/>
                <w:color w:val="auto"/>
              </w:rPr>
              <w:t>(mm)</w:t>
            </w:r>
          </w:p>
        </w:tc>
        <w:tc>
          <w:tcPr>
            <w:tcW w:w="12036" w:type="dxa"/>
            <w:gridSpan w:val="13"/>
            <w:tcBorders>
              <w:top w:val="single" w:color="auto" w:sz="12" w:space="0"/>
              <w:left w:val="single" w:color="auto" w:sz="6" w:space="0"/>
              <w:bottom w:val="single" w:color="auto" w:sz="6" w:space="0"/>
              <w:right w:val="single" w:color="auto" w:sz="12" w:space="0"/>
            </w:tcBorders>
            <w:noWrap/>
            <w:vAlign w:val="center"/>
          </w:tcPr>
          <w:p>
            <w:pPr>
              <w:tabs>
                <w:tab w:val="left" w:pos="10440"/>
              </w:tabs>
              <w:adjustRightInd w:val="0"/>
              <w:spacing w:line="440" w:lineRule="exact"/>
              <w:jc w:val="center"/>
              <w:rPr>
                <w:rFonts w:ascii="宋体" w:hAnsi="宋体"/>
                <w:bCs/>
                <w:color w:val="auto"/>
                <w:szCs w:val="21"/>
              </w:rPr>
            </w:pPr>
            <w:r>
              <w:rPr>
                <w:rFonts w:hint="eastAsia" w:ascii="宋体" w:hAnsi="宋体"/>
                <w:bCs/>
                <w:color w:val="auto"/>
                <w:szCs w:val="21"/>
              </w:rPr>
              <w:t>通过下列筛孔(方孔筛,mm)的质量百分率（％）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color w:val="auto"/>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widowControl/>
              <w:jc w:val="center"/>
              <w:rPr>
                <w:color w:val="auto"/>
              </w:rPr>
            </w:pP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106</w:t>
            </w: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75</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63</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53</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37.5</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31.5</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26.5</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19</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13.2</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4.75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2.36</w:t>
            </w: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r>
              <w:rPr>
                <w:rFonts w:hint="eastAsia"/>
                <w:color w:val="aut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S1</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40～75</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S2</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40～60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S3</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30～60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S4</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25～50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20～40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S6</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15～30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S7</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10～30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S8</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15～25</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S9</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10～20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S10</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10～15</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S11</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5～15</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40～70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S12</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5～10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0～15</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0～5</w:t>
            </w: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rPr>
            </w:pPr>
            <w:r>
              <w:rPr>
                <w:rFonts w:hint="eastAsia"/>
                <w:color w:val="auto"/>
              </w:rPr>
              <w:t>S13</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3～10</w:t>
            </w:r>
          </w:p>
        </w:tc>
        <w:tc>
          <w:tcPr>
            <w:tcW w:w="567"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90～100</w:t>
            </w:r>
          </w:p>
        </w:tc>
        <w:tc>
          <w:tcPr>
            <w:tcW w:w="992"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40～70</w:t>
            </w:r>
          </w:p>
        </w:tc>
        <w:tc>
          <w:tcPr>
            <w:tcW w:w="851"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rPr>
            </w:pPr>
            <w:r>
              <w:rPr>
                <w:rFonts w:hint="eastAsia"/>
                <w:color w:val="auto"/>
              </w:rPr>
              <w:t>0～20</w:t>
            </w:r>
          </w:p>
        </w:tc>
        <w:tc>
          <w:tcPr>
            <w:tcW w:w="663"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rPr>
            </w:pPr>
            <w:r>
              <w:rPr>
                <w:rFonts w:hint="eastAsia"/>
                <w:color w:val="aut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543" w:type="dxa"/>
            <w:tcBorders>
              <w:top w:val="single" w:color="auto" w:sz="6" w:space="0"/>
              <w:left w:val="single" w:color="auto" w:sz="12" w:space="0"/>
              <w:bottom w:val="single" w:color="auto" w:sz="12" w:space="0"/>
              <w:right w:val="single" w:color="auto" w:sz="6" w:space="0"/>
            </w:tcBorders>
            <w:noWrap/>
            <w:vAlign w:val="center"/>
          </w:tcPr>
          <w:p>
            <w:pPr>
              <w:widowControl/>
              <w:jc w:val="center"/>
              <w:rPr>
                <w:color w:val="auto"/>
              </w:rPr>
            </w:pPr>
            <w:r>
              <w:rPr>
                <w:rFonts w:hint="eastAsia"/>
                <w:color w:val="auto"/>
              </w:rPr>
              <w:t>S14</w:t>
            </w:r>
          </w:p>
        </w:tc>
        <w:tc>
          <w:tcPr>
            <w:tcW w:w="851"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r>
              <w:rPr>
                <w:rFonts w:hint="eastAsia"/>
                <w:color w:val="auto"/>
              </w:rPr>
              <w:t>3～5</w:t>
            </w:r>
          </w:p>
        </w:tc>
        <w:tc>
          <w:tcPr>
            <w:tcW w:w="567"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1021"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63"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3"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1025"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p>
        </w:tc>
        <w:tc>
          <w:tcPr>
            <w:tcW w:w="992"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r>
              <w:rPr>
                <w:rFonts w:hint="eastAsia"/>
                <w:color w:val="auto"/>
              </w:rPr>
              <w:t>100</w:t>
            </w:r>
          </w:p>
        </w:tc>
        <w:tc>
          <w:tcPr>
            <w:tcW w:w="992"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r>
              <w:rPr>
                <w:rFonts w:hint="eastAsia"/>
                <w:color w:val="auto"/>
              </w:rPr>
              <w:t>90～100</w:t>
            </w:r>
          </w:p>
        </w:tc>
        <w:tc>
          <w:tcPr>
            <w:tcW w:w="851" w:type="dxa"/>
            <w:tcBorders>
              <w:top w:val="single" w:color="auto" w:sz="6" w:space="0"/>
              <w:left w:val="single" w:color="auto" w:sz="6" w:space="0"/>
              <w:bottom w:val="single" w:color="auto" w:sz="12" w:space="0"/>
              <w:right w:val="single" w:color="auto" w:sz="6" w:space="0"/>
            </w:tcBorders>
            <w:noWrap/>
            <w:vAlign w:val="center"/>
          </w:tcPr>
          <w:p>
            <w:pPr>
              <w:widowControl/>
              <w:jc w:val="center"/>
              <w:rPr>
                <w:color w:val="auto"/>
              </w:rPr>
            </w:pPr>
            <w:r>
              <w:rPr>
                <w:rFonts w:hint="eastAsia"/>
                <w:color w:val="auto"/>
              </w:rPr>
              <w:t>0～15</w:t>
            </w:r>
          </w:p>
        </w:tc>
        <w:tc>
          <w:tcPr>
            <w:tcW w:w="663" w:type="dxa"/>
            <w:tcBorders>
              <w:top w:val="single" w:color="auto" w:sz="6" w:space="0"/>
              <w:left w:val="single" w:color="auto" w:sz="6" w:space="0"/>
              <w:bottom w:val="single" w:color="auto" w:sz="12" w:space="0"/>
              <w:right w:val="single" w:color="auto" w:sz="12" w:space="0"/>
            </w:tcBorders>
            <w:noWrap/>
            <w:vAlign w:val="center"/>
          </w:tcPr>
          <w:p>
            <w:pPr>
              <w:widowControl/>
              <w:jc w:val="center"/>
              <w:rPr>
                <w:color w:val="auto"/>
              </w:rPr>
            </w:pPr>
            <w:r>
              <w:rPr>
                <w:rFonts w:hint="eastAsia"/>
                <w:color w:val="auto"/>
              </w:rPr>
              <w:t>0～3</w:t>
            </w:r>
          </w:p>
        </w:tc>
      </w:tr>
    </w:tbl>
    <w:p>
      <w:pPr>
        <w:spacing w:line="440" w:lineRule="exact"/>
        <w:ind w:firstLine="482" w:firstLineChars="200"/>
        <w:rPr>
          <w:rFonts w:ascii="宋体" w:hAnsi="宋体" w:cs="宋体"/>
          <w:b/>
          <w:bCs/>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3</w:t>
      </w:r>
      <w:r>
        <w:rPr>
          <w:rFonts w:hint="eastAsia" w:ascii="宋体" w:hAnsi="宋体" w:cs="宋体"/>
          <w:b/>
          <w:bCs/>
          <w:color w:val="auto"/>
          <w:sz w:val="24"/>
        </w:rPr>
        <w:t>细集料</w:t>
      </w:r>
    </w:p>
    <w:p>
      <w:pPr>
        <w:spacing w:line="440" w:lineRule="exact"/>
        <w:ind w:firstLine="480" w:firstLineChars="200"/>
        <w:rPr>
          <w:rFonts w:ascii="宋体" w:hAnsi="宋体" w:cs="宋体"/>
          <w:color w:val="auto"/>
          <w:sz w:val="24"/>
        </w:rPr>
      </w:pPr>
      <w:r>
        <w:rPr>
          <w:rFonts w:hint="eastAsia" w:ascii="宋体" w:hAnsi="宋体" w:cs="宋体"/>
          <w:color w:val="auto"/>
          <w:sz w:val="24"/>
        </w:rPr>
        <w:t>细集料优先采用石屑，应洁净、干燥、无风化、无杂质、并有适当的颗粒级配，石屑生产时应采用抽吸措施，严格控制0.075mm的通过率，其质量技术要求及规格应满足下表的要求。</w:t>
      </w:r>
    </w:p>
    <w:tbl>
      <w:tblPr>
        <w:tblStyle w:val="8"/>
        <w:tblW w:w="921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7"/>
        <w:gridCol w:w="2537"/>
        <w:gridCol w:w="3948"/>
        <w:gridCol w:w="15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214" w:type="dxa"/>
            <w:gridSpan w:val="4"/>
            <w:tcBorders>
              <w:top w:val="nil"/>
              <w:left w:val="nil"/>
              <w:bottom w:val="single" w:color="auto" w:sz="12" w:space="0"/>
              <w:right w:val="nil"/>
            </w:tcBorders>
            <w:shd w:val="clear" w:color="auto" w:fill="auto"/>
            <w:noWrap/>
            <w:vAlign w:val="center"/>
          </w:tcPr>
          <w:p>
            <w:pPr>
              <w:spacing w:line="440" w:lineRule="exact"/>
              <w:ind w:firstLine="560" w:firstLineChars="200"/>
              <w:jc w:val="center"/>
              <w:rPr>
                <w:rFonts w:ascii="宋体" w:hAnsi="宋体"/>
                <w:bCs/>
                <w:color w:val="auto"/>
                <w:sz w:val="28"/>
                <w:szCs w:val="28"/>
              </w:rPr>
            </w:pPr>
            <w:r>
              <w:rPr>
                <w:rFonts w:hint="eastAsia" w:ascii="宋体" w:hAnsi="宋体"/>
                <w:bCs/>
                <w:color w:val="auto"/>
                <w:sz w:val="28"/>
                <w:szCs w:val="28"/>
              </w:rPr>
              <w:t>面层用细集料技术指标表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167" w:type="dxa"/>
            <w:tcBorders>
              <w:top w:val="single" w:color="auto" w:sz="12"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项目</w:t>
            </w:r>
          </w:p>
        </w:tc>
        <w:tc>
          <w:tcPr>
            <w:tcW w:w="2537"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表观相对密度(t/m</w:t>
            </w:r>
            <w:r>
              <w:rPr>
                <w:rFonts w:hint="eastAsia"/>
                <w:color w:val="auto"/>
                <w:sz w:val="24"/>
                <w:vertAlign w:val="superscript"/>
              </w:rPr>
              <w:t>3</w:t>
            </w:r>
            <w:r>
              <w:rPr>
                <w:rFonts w:hint="eastAsia"/>
                <w:color w:val="auto"/>
                <w:sz w:val="24"/>
              </w:rPr>
              <w:t>)</w:t>
            </w:r>
          </w:p>
        </w:tc>
        <w:tc>
          <w:tcPr>
            <w:tcW w:w="3948"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含泥量(小于0.075mm的含量)(%)</w:t>
            </w:r>
          </w:p>
        </w:tc>
        <w:tc>
          <w:tcPr>
            <w:tcW w:w="1562" w:type="dxa"/>
            <w:tcBorders>
              <w:top w:val="single" w:color="auto" w:sz="12" w:space="0"/>
              <w:left w:val="single" w:color="auto" w:sz="6" w:space="0"/>
              <w:bottom w:val="single" w:color="auto" w:sz="6" w:space="0"/>
            </w:tcBorders>
            <w:shd w:val="clear" w:color="auto" w:fill="auto"/>
            <w:vAlign w:val="center"/>
          </w:tcPr>
          <w:p>
            <w:pPr>
              <w:widowControl/>
              <w:jc w:val="center"/>
              <w:rPr>
                <w:color w:val="auto"/>
                <w:sz w:val="24"/>
              </w:rPr>
            </w:pPr>
            <w:r>
              <w:rPr>
                <w:rFonts w:hint="eastAsia"/>
                <w:color w:val="auto"/>
                <w:sz w:val="24"/>
              </w:rPr>
              <w:t>砂当量(%)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167" w:type="dxa"/>
            <w:tcBorders>
              <w:top w:val="single" w:color="auto" w:sz="6" w:space="0"/>
              <w:bottom w:val="single" w:color="auto" w:sz="12" w:space="0"/>
              <w:right w:val="single" w:color="auto" w:sz="6" w:space="0"/>
            </w:tcBorders>
            <w:shd w:val="clear" w:color="auto" w:fill="auto"/>
            <w:vAlign w:val="center"/>
          </w:tcPr>
          <w:p>
            <w:pPr>
              <w:widowControl/>
              <w:jc w:val="center"/>
              <w:rPr>
                <w:color w:val="auto"/>
                <w:sz w:val="24"/>
              </w:rPr>
            </w:pPr>
            <w:r>
              <w:rPr>
                <w:rFonts w:hint="eastAsia"/>
                <w:color w:val="auto"/>
                <w:sz w:val="24"/>
              </w:rPr>
              <w:t>指标</w:t>
            </w:r>
          </w:p>
        </w:tc>
        <w:tc>
          <w:tcPr>
            <w:tcW w:w="2537"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jc w:val="center"/>
              <w:rPr>
                <w:color w:val="auto"/>
                <w:sz w:val="24"/>
              </w:rPr>
            </w:pPr>
            <w:r>
              <w:rPr>
                <w:rFonts w:hint="eastAsia"/>
                <w:color w:val="auto"/>
                <w:sz w:val="24"/>
              </w:rPr>
              <w:t>不小于2.45</w:t>
            </w:r>
          </w:p>
        </w:tc>
        <w:tc>
          <w:tcPr>
            <w:tcW w:w="3948" w:type="dxa"/>
            <w:tcBorders>
              <w:top w:val="single" w:color="auto" w:sz="6" w:space="0"/>
              <w:left w:val="single" w:color="auto" w:sz="6" w:space="0"/>
              <w:bottom w:val="single" w:color="auto" w:sz="12" w:space="0"/>
              <w:right w:val="single" w:color="auto" w:sz="6" w:space="0"/>
            </w:tcBorders>
            <w:shd w:val="clear" w:color="auto" w:fill="auto"/>
            <w:vAlign w:val="center"/>
          </w:tcPr>
          <w:p>
            <w:pPr>
              <w:widowControl/>
              <w:jc w:val="center"/>
              <w:rPr>
                <w:color w:val="auto"/>
                <w:sz w:val="24"/>
              </w:rPr>
            </w:pPr>
            <w:r>
              <w:rPr>
                <w:rFonts w:hint="eastAsia"/>
                <w:color w:val="auto"/>
                <w:sz w:val="24"/>
              </w:rPr>
              <w:t>不大于5</w:t>
            </w:r>
          </w:p>
        </w:tc>
        <w:tc>
          <w:tcPr>
            <w:tcW w:w="1562" w:type="dxa"/>
            <w:tcBorders>
              <w:top w:val="single" w:color="auto" w:sz="6" w:space="0"/>
              <w:left w:val="single" w:color="auto" w:sz="6" w:space="0"/>
              <w:bottom w:val="single" w:color="auto" w:sz="12" w:space="0"/>
            </w:tcBorders>
            <w:shd w:val="clear" w:color="auto" w:fill="auto"/>
            <w:vAlign w:val="center"/>
          </w:tcPr>
          <w:p>
            <w:pPr>
              <w:widowControl/>
              <w:jc w:val="center"/>
              <w:rPr>
                <w:color w:val="auto"/>
                <w:sz w:val="24"/>
              </w:rPr>
            </w:pPr>
            <w:r>
              <w:rPr>
                <w:rFonts w:hint="eastAsia"/>
                <w:color w:val="auto"/>
                <w:sz w:val="24"/>
              </w:rPr>
              <w:t>不小于50</w:t>
            </w:r>
          </w:p>
        </w:tc>
      </w:tr>
    </w:tbl>
    <w:p>
      <w:pPr>
        <w:spacing w:line="440" w:lineRule="exact"/>
        <w:ind w:firstLine="480" w:firstLineChars="200"/>
        <w:jc w:val="left"/>
        <w:rPr>
          <w:rFonts w:ascii="宋体" w:hAnsi="宋体"/>
          <w:color w:val="auto"/>
          <w:sz w:val="24"/>
        </w:rPr>
      </w:pPr>
      <w:r>
        <w:rPr>
          <w:rFonts w:hint="eastAsia" w:ascii="宋体" w:hAnsi="宋体" w:cs="宋体"/>
          <w:color w:val="auto"/>
          <w:sz w:val="24"/>
        </w:rPr>
        <w:t>石屑的规格见下表。</w:t>
      </w:r>
    </w:p>
    <w:tbl>
      <w:tblPr>
        <w:tblStyle w:val="8"/>
        <w:tblW w:w="10178" w:type="dxa"/>
        <w:jc w:val="center"/>
        <w:tblInd w:w="0" w:type="dxa"/>
        <w:tblLayout w:type="fixed"/>
        <w:tblCellMar>
          <w:top w:w="0" w:type="dxa"/>
          <w:left w:w="108" w:type="dxa"/>
          <w:bottom w:w="0" w:type="dxa"/>
          <w:right w:w="108" w:type="dxa"/>
        </w:tblCellMar>
      </w:tblPr>
      <w:tblGrid>
        <w:gridCol w:w="709"/>
        <w:gridCol w:w="1098"/>
        <w:gridCol w:w="954"/>
        <w:gridCol w:w="1161"/>
        <w:gridCol w:w="1150"/>
        <w:gridCol w:w="1142"/>
        <w:gridCol w:w="1142"/>
        <w:gridCol w:w="962"/>
        <w:gridCol w:w="924"/>
        <w:gridCol w:w="936"/>
      </w:tblGrid>
      <w:tr>
        <w:tblPrEx>
          <w:tblLayout w:type="fixed"/>
          <w:tblCellMar>
            <w:top w:w="0" w:type="dxa"/>
            <w:left w:w="108" w:type="dxa"/>
            <w:bottom w:w="0" w:type="dxa"/>
            <w:right w:w="108" w:type="dxa"/>
          </w:tblCellMar>
        </w:tblPrEx>
        <w:trPr>
          <w:trHeight w:val="454" w:hRule="atLeast"/>
          <w:jc w:val="center"/>
        </w:trPr>
        <w:tc>
          <w:tcPr>
            <w:tcW w:w="10178" w:type="dxa"/>
            <w:gridSpan w:val="10"/>
            <w:tcBorders>
              <w:top w:val="nil"/>
              <w:left w:val="nil"/>
              <w:bottom w:val="single" w:color="auto" w:sz="12" w:space="0"/>
              <w:right w:val="nil"/>
            </w:tcBorders>
          </w:tcPr>
          <w:p>
            <w:pPr>
              <w:spacing w:line="440" w:lineRule="exact"/>
              <w:ind w:firstLine="480" w:firstLineChars="200"/>
              <w:jc w:val="center"/>
              <w:rPr>
                <w:rFonts w:ascii="宋体" w:hAnsi="宋体"/>
                <w:bCs/>
                <w:color w:val="auto"/>
                <w:sz w:val="24"/>
              </w:rPr>
            </w:pPr>
            <w:r>
              <w:rPr>
                <w:rFonts w:hint="eastAsia" w:ascii="宋体" w:hAnsi="宋体"/>
                <w:bCs/>
                <w:color w:val="auto"/>
                <w:sz w:val="24"/>
              </w:rPr>
              <w:t>沥青面层用细集料规格及级配要求表</w:t>
            </w:r>
          </w:p>
        </w:tc>
      </w:tr>
      <w:tr>
        <w:tblPrEx>
          <w:tblLayout w:type="fixed"/>
          <w:tblCellMar>
            <w:top w:w="0" w:type="dxa"/>
            <w:left w:w="108" w:type="dxa"/>
            <w:bottom w:w="0" w:type="dxa"/>
            <w:right w:w="108" w:type="dxa"/>
          </w:tblCellMar>
        </w:tblPrEx>
        <w:trPr>
          <w:trHeight w:val="454" w:hRule="exact"/>
          <w:jc w:val="center"/>
        </w:trPr>
        <w:tc>
          <w:tcPr>
            <w:tcW w:w="709" w:type="dxa"/>
            <w:vMerge w:val="restart"/>
            <w:tcBorders>
              <w:top w:val="single" w:color="auto" w:sz="12" w:space="0"/>
              <w:left w:val="single" w:color="auto" w:sz="12" w:space="0"/>
              <w:right w:val="single" w:color="auto" w:sz="6" w:space="0"/>
            </w:tcBorders>
            <w:shd w:val="clear" w:color="auto" w:fill="auto"/>
            <w:noWrap/>
            <w:vAlign w:val="center"/>
          </w:tcPr>
          <w:p>
            <w:pPr>
              <w:widowControl/>
              <w:jc w:val="center"/>
              <w:rPr>
                <w:color w:val="auto"/>
                <w:sz w:val="24"/>
              </w:rPr>
            </w:pPr>
            <w:r>
              <w:rPr>
                <w:rFonts w:hint="eastAsia"/>
                <w:color w:val="auto"/>
                <w:sz w:val="24"/>
              </w:rPr>
              <w:t>规格</w:t>
            </w:r>
          </w:p>
        </w:tc>
        <w:tc>
          <w:tcPr>
            <w:tcW w:w="1098" w:type="dxa"/>
            <w:vMerge w:val="restart"/>
            <w:tcBorders>
              <w:top w:val="single" w:color="auto" w:sz="12" w:space="0"/>
              <w:left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公称粒径(mm)</w:t>
            </w:r>
          </w:p>
        </w:tc>
        <w:tc>
          <w:tcPr>
            <w:tcW w:w="8371" w:type="dxa"/>
            <w:gridSpan w:val="8"/>
            <w:tcBorders>
              <w:top w:val="single" w:color="auto" w:sz="12" w:space="0"/>
              <w:left w:val="single" w:color="auto" w:sz="6" w:space="0"/>
              <w:bottom w:val="single" w:color="auto" w:sz="6" w:space="0"/>
              <w:right w:val="single" w:color="auto" w:sz="12" w:space="0"/>
            </w:tcBorders>
            <w:vAlign w:val="center"/>
          </w:tcPr>
          <w:p>
            <w:pPr>
              <w:widowControl/>
              <w:jc w:val="center"/>
              <w:rPr>
                <w:color w:val="auto"/>
                <w:sz w:val="24"/>
              </w:rPr>
            </w:pPr>
            <w:r>
              <w:rPr>
                <w:rFonts w:hint="eastAsia"/>
                <w:color w:val="auto"/>
                <w:sz w:val="24"/>
              </w:rPr>
              <w:t>通过各筛孔的质量百分率(%)</w:t>
            </w:r>
          </w:p>
        </w:tc>
      </w:tr>
      <w:tr>
        <w:tblPrEx>
          <w:tblLayout w:type="fixed"/>
          <w:tblCellMar>
            <w:top w:w="0" w:type="dxa"/>
            <w:left w:w="108" w:type="dxa"/>
            <w:bottom w:w="0" w:type="dxa"/>
            <w:right w:w="108" w:type="dxa"/>
          </w:tblCellMar>
        </w:tblPrEx>
        <w:trPr>
          <w:trHeight w:val="454" w:hRule="exact"/>
          <w:jc w:val="center"/>
        </w:trPr>
        <w:tc>
          <w:tcPr>
            <w:tcW w:w="709" w:type="dxa"/>
            <w:vMerge w:val="continue"/>
            <w:tcBorders>
              <w:left w:val="single" w:color="auto" w:sz="12" w:space="0"/>
              <w:bottom w:val="single" w:color="auto" w:sz="6" w:space="0"/>
              <w:right w:val="single" w:color="auto" w:sz="6" w:space="0"/>
            </w:tcBorders>
            <w:vAlign w:val="center"/>
          </w:tcPr>
          <w:p>
            <w:pPr>
              <w:widowControl/>
              <w:jc w:val="center"/>
              <w:rPr>
                <w:color w:val="auto"/>
                <w:sz w:val="24"/>
              </w:rPr>
            </w:pPr>
          </w:p>
        </w:tc>
        <w:tc>
          <w:tcPr>
            <w:tcW w:w="1098" w:type="dxa"/>
            <w:vMerge w:val="continue"/>
            <w:tcBorders>
              <w:left w:val="single" w:color="auto" w:sz="6" w:space="0"/>
              <w:bottom w:val="single" w:color="auto" w:sz="6" w:space="0"/>
              <w:right w:val="single" w:color="auto" w:sz="6" w:space="0"/>
            </w:tcBorders>
            <w:vAlign w:val="center"/>
          </w:tcPr>
          <w:p>
            <w:pPr>
              <w:widowControl/>
              <w:jc w:val="center"/>
              <w:rPr>
                <w:color w:val="auto"/>
                <w:sz w:val="24"/>
              </w:rPr>
            </w:pPr>
          </w:p>
        </w:tc>
        <w:tc>
          <w:tcPr>
            <w:tcW w:w="954"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color w:val="auto"/>
                <w:sz w:val="24"/>
              </w:rPr>
              <w:t>9.5</w:t>
            </w:r>
          </w:p>
        </w:tc>
        <w:tc>
          <w:tcPr>
            <w:tcW w:w="116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4.75</w:t>
            </w:r>
          </w:p>
        </w:tc>
        <w:tc>
          <w:tcPr>
            <w:tcW w:w="11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rFonts w:hint="eastAsia"/>
                <w:color w:val="auto"/>
                <w:sz w:val="24"/>
              </w:rPr>
              <w:t>2.36</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rFonts w:hint="eastAsia"/>
                <w:color w:val="auto"/>
                <w:sz w:val="24"/>
              </w:rPr>
              <w:t>1.18</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rFonts w:hint="eastAsia"/>
                <w:color w:val="auto"/>
                <w:sz w:val="24"/>
              </w:rPr>
              <w:t>0.6</w:t>
            </w:r>
          </w:p>
        </w:tc>
        <w:tc>
          <w:tcPr>
            <w:tcW w:w="96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rFonts w:hint="eastAsia"/>
                <w:color w:val="auto"/>
                <w:sz w:val="24"/>
              </w:rPr>
              <w:t>0.3</w:t>
            </w:r>
          </w:p>
        </w:tc>
        <w:tc>
          <w:tcPr>
            <w:tcW w:w="924"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color w:val="auto"/>
                <w:sz w:val="24"/>
              </w:rPr>
            </w:pPr>
            <w:r>
              <w:rPr>
                <w:rFonts w:hint="eastAsia"/>
                <w:color w:val="auto"/>
                <w:sz w:val="24"/>
              </w:rPr>
              <w:t>0.15</w:t>
            </w:r>
          </w:p>
        </w:tc>
        <w:tc>
          <w:tcPr>
            <w:tcW w:w="936" w:type="dxa"/>
            <w:tcBorders>
              <w:top w:val="single" w:color="auto" w:sz="6" w:space="0"/>
              <w:left w:val="single" w:color="auto" w:sz="6" w:space="0"/>
              <w:bottom w:val="single" w:color="auto" w:sz="6" w:space="0"/>
              <w:right w:val="single" w:color="auto" w:sz="12" w:space="0"/>
            </w:tcBorders>
            <w:shd w:val="clear" w:color="auto" w:fill="auto"/>
            <w:noWrap/>
            <w:vAlign w:val="center"/>
          </w:tcPr>
          <w:p>
            <w:pPr>
              <w:widowControl/>
              <w:jc w:val="center"/>
              <w:rPr>
                <w:color w:val="auto"/>
                <w:sz w:val="24"/>
              </w:rPr>
            </w:pPr>
            <w:r>
              <w:rPr>
                <w:rFonts w:hint="eastAsia"/>
                <w:color w:val="auto"/>
                <w:sz w:val="24"/>
              </w:rPr>
              <w:t>0.075</w:t>
            </w:r>
          </w:p>
        </w:tc>
      </w:tr>
      <w:tr>
        <w:tblPrEx>
          <w:tblLayout w:type="fixed"/>
          <w:tblCellMar>
            <w:top w:w="0" w:type="dxa"/>
            <w:left w:w="108" w:type="dxa"/>
            <w:bottom w:w="0" w:type="dxa"/>
            <w:right w:w="108" w:type="dxa"/>
          </w:tblCellMar>
        </w:tblPrEx>
        <w:trPr>
          <w:trHeight w:val="454" w:hRule="exact"/>
          <w:jc w:val="center"/>
        </w:trPr>
        <w:tc>
          <w:tcPr>
            <w:tcW w:w="709" w:type="dxa"/>
            <w:tcBorders>
              <w:top w:val="single" w:color="auto" w:sz="6" w:space="0"/>
              <w:left w:val="single" w:color="auto" w:sz="12" w:space="0"/>
              <w:bottom w:val="single" w:color="auto" w:sz="12" w:space="0"/>
              <w:right w:val="single" w:color="auto" w:sz="6" w:space="0"/>
            </w:tcBorders>
            <w:shd w:val="clear" w:color="auto" w:fill="auto"/>
            <w:noWrap/>
            <w:vAlign w:val="center"/>
          </w:tcPr>
          <w:p>
            <w:pPr>
              <w:widowControl/>
              <w:jc w:val="center"/>
              <w:rPr>
                <w:color w:val="auto"/>
                <w:sz w:val="24"/>
              </w:rPr>
            </w:pPr>
            <w:r>
              <w:rPr>
                <w:rFonts w:hint="eastAsia"/>
                <w:color w:val="auto"/>
                <w:sz w:val="24"/>
              </w:rPr>
              <w:t>S1</w:t>
            </w:r>
            <w:r>
              <w:rPr>
                <w:color w:val="auto"/>
                <w:sz w:val="24"/>
              </w:rPr>
              <w:t>5</w:t>
            </w:r>
          </w:p>
        </w:tc>
        <w:tc>
          <w:tcPr>
            <w:tcW w:w="1098"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rFonts w:hint="eastAsia"/>
                <w:color w:val="auto"/>
                <w:sz w:val="24"/>
              </w:rPr>
              <w:t>0～</w:t>
            </w:r>
            <w:r>
              <w:rPr>
                <w:color w:val="auto"/>
                <w:sz w:val="24"/>
              </w:rPr>
              <w:t>5</w:t>
            </w:r>
          </w:p>
        </w:tc>
        <w:tc>
          <w:tcPr>
            <w:tcW w:w="954"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rFonts w:hint="eastAsia"/>
                <w:color w:val="auto"/>
                <w:sz w:val="24"/>
              </w:rPr>
              <w:t>100</w:t>
            </w:r>
          </w:p>
        </w:tc>
        <w:tc>
          <w:tcPr>
            <w:tcW w:w="1161" w:type="dxa"/>
            <w:tcBorders>
              <w:top w:val="single" w:color="auto" w:sz="6" w:space="0"/>
              <w:left w:val="single" w:color="auto" w:sz="6" w:space="0"/>
              <w:bottom w:val="single" w:color="auto" w:sz="12" w:space="0"/>
              <w:right w:val="single" w:color="auto" w:sz="6" w:space="0"/>
            </w:tcBorders>
            <w:vAlign w:val="center"/>
          </w:tcPr>
          <w:p>
            <w:pPr>
              <w:widowControl/>
              <w:jc w:val="center"/>
              <w:rPr>
                <w:color w:val="auto"/>
                <w:sz w:val="24"/>
              </w:rPr>
            </w:pPr>
            <w:r>
              <w:rPr>
                <w:color w:val="auto"/>
                <w:sz w:val="24"/>
              </w:rPr>
              <w:t>90</w:t>
            </w:r>
            <w:r>
              <w:rPr>
                <w:rFonts w:hint="eastAsia"/>
                <w:color w:val="auto"/>
                <w:sz w:val="24"/>
              </w:rPr>
              <w:t>～100</w:t>
            </w:r>
          </w:p>
        </w:tc>
        <w:tc>
          <w:tcPr>
            <w:tcW w:w="1150"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color w:val="auto"/>
                <w:sz w:val="24"/>
              </w:rPr>
              <w:t>60</w:t>
            </w:r>
            <w:r>
              <w:rPr>
                <w:rFonts w:hint="eastAsia"/>
                <w:color w:val="auto"/>
                <w:sz w:val="24"/>
              </w:rPr>
              <w:t>～</w:t>
            </w:r>
            <w:r>
              <w:rPr>
                <w:color w:val="auto"/>
                <w:sz w:val="24"/>
              </w:rPr>
              <w:t>90</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color w:val="auto"/>
                <w:sz w:val="24"/>
              </w:rPr>
              <w:t>40</w:t>
            </w:r>
            <w:r>
              <w:rPr>
                <w:rFonts w:hint="eastAsia"/>
                <w:color w:val="auto"/>
                <w:sz w:val="24"/>
              </w:rPr>
              <w:t>～</w:t>
            </w:r>
            <w:r>
              <w:rPr>
                <w:color w:val="auto"/>
                <w:sz w:val="24"/>
              </w:rPr>
              <w:t>75</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color w:val="auto"/>
                <w:sz w:val="24"/>
              </w:rPr>
              <w:t>20</w:t>
            </w:r>
            <w:r>
              <w:rPr>
                <w:rFonts w:hint="eastAsia"/>
                <w:color w:val="auto"/>
                <w:sz w:val="24"/>
              </w:rPr>
              <w:t>～</w:t>
            </w:r>
            <w:r>
              <w:rPr>
                <w:color w:val="auto"/>
                <w:sz w:val="24"/>
              </w:rPr>
              <w:t>55</w:t>
            </w:r>
          </w:p>
        </w:tc>
        <w:tc>
          <w:tcPr>
            <w:tcW w:w="962"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color w:val="auto"/>
                <w:sz w:val="24"/>
              </w:rPr>
              <w:t>7</w:t>
            </w:r>
            <w:r>
              <w:rPr>
                <w:rFonts w:hint="eastAsia"/>
                <w:color w:val="auto"/>
                <w:sz w:val="24"/>
              </w:rPr>
              <w:t>～</w:t>
            </w:r>
            <w:r>
              <w:rPr>
                <w:color w:val="auto"/>
                <w:sz w:val="24"/>
              </w:rPr>
              <w:t>40</w:t>
            </w:r>
          </w:p>
        </w:tc>
        <w:tc>
          <w:tcPr>
            <w:tcW w:w="924"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color w:val="auto"/>
                <w:sz w:val="24"/>
              </w:rPr>
            </w:pPr>
            <w:r>
              <w:rPr>
                <w:color w:val="auto"/>
                <w:sz w:val="24"/>
              </w:rPr>
              <w:t>2</w:t>
            </w:r>
            <w:r>
              <w:rPr>
                <w:rFonts w:hint="eastAsia"/>
                <w:color w:val="auto"/>
                <w:sz w:val="24"/>
              </w:rPr>
              <w:t>～</w:t>
            </w:r>
            <w:r>
              <w:rPr>
                <w:color w:val="auto"/>
                <w:sz w:val="24"/>
              </w:rPr>
              <w:t>20</w:t>
            </w:r>
          </w:p>
        </w:tc>
        <w:tc>
          <w:tcPr>
            <w:tcW w:w="936" w:type="dxa"/>
            <w:tcBorders>
              <w:top w:val="single" w:color="auto" w:sz="6" w:space="0"/>
              <w:left w:val="single" w:color="auto" w:sz="6" w:space="0"/>
              <w:bottom w:val="single" w:color="auto" w:sz="12" w:space="0"/>
              <w:right w:val="single" w:color="auto" w:sz="12" w:space="0"/>
            </w:tcBorders>
            <w:shd w:val="clear" w:color="auto" w:fill="auto"/>
            <w:noWrap/>
            <w:vAlign w:val="center"/>
          </w:tcPr>
          <w:p>
            <w:pPr>
              <w:widowControl/>
              <w:jc w:val="center"/>
              <w:rPr>
                <w:color w:val="auto"/>
                <w:sz w:val="24"/>
              </w:rPr>
            </w:pPr>
            <w:r>
              <w:rPr>
                <w:rFonts w:hint="eastAsia"/>
                <w:color w:val="auto"/>
                <w:sz w:val="24"/>
              </w:rPr>
              <w:t>0～</w:t>
            </w:r>
            <w:r>
              <w:rPr>
                <w:color w:val="auto"/>
                <w:sz w:val="24"/>
              </w:rPr>
              <w:t>10</w:t>
            </w:r>
          </w:p>
        </w:tc>
      </w:tr>
    </w:tbl>
    <w:p>
      <w:pPr>
        <w:spacing w:line="440" w:lineRule="exact"/>
        <w:ind w:firstLine="482" w:firstLineChars="200"/>
        <w:rPr>
          <w:rFonts w:ascii="宋体" w:hAnsi="宋体" w:cs="宋体"/>
          <w:b/>
          <w:bCs/>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4</w:t>
      </w:r>
      <w:r>
        <w:rPr>
          <w:rFonts w:hint="eastAsia" w:ascii="宋体" w:hAnsi="宋体" w:cs="宋体"/>
          <w:b/>
          <w:bCs/>
          <w:color w:val="auto"/>
          <w:sz w:val="24"/>
        </w:rPr>
        <w:t>填料：</w:t>
      </w:r>
    </w:p>
    <w:p>
      <w:pPr>
        <w:tabs>
          <w:tab w:val="left" w:pos="10440"/>
        </w:tabs>
        <w:adjustRightInd w:val="0"/>
        <w:spacing w:line="440" w:lineRule="exact"/>
        <w:ind w:firstLine="480" w:firstLineChars="200"/>
        <w:jc w:val="left"/>
        <w:rPr>
          <w:rFonts w:ascii="宋体" w:hAnsi="宋体" w:cs="宋体"/>
          <w:color w:val="auto"/>
          <w:sz w:val="24"/>
        </w:rPr>
      </w:pPr>
      <w:r>
        <w:rPr>
          <w:rFonts w:hint="eastAsia" w:ascii="宋体" w:hAnsi="宋体" w:cs="宋体"/>
          <w:color w:val="auto"/>
          <w:sz w:val="24"/>
        </w:rPr>
        <w:t>填料必须采用石灰岩或岩浆岩等憎水性石料经过磨细得到的矿粉，原石料中的杂质应除净。矿粉要求干燥、洁净，能自由地从矿粉仓中流出，其质量要求要符合《公路沥青路面施工技术规范》（JTG F40-2017）中表4.10.1的规定见下表：</w:t>
      </w:r>
    </w:p>
    <w:tbl>
      <w:tblPr>
        <w:tblStyle w:val="9"/>
        <w:tblW w:w="7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5"/>
        <w:gridCol w:w="3411"/>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840" w:type="dxa"/>
            <w:gridSpan w:val="3"/>
            <w:tcBorders>
              <w:top w:val="nil"/>
              <w:left w:val="nil"/>
              <w:bottom w:val="single" w:color="auto" w:sz="12" w:space="0"/>
              <w:right w:val="nil"/>
            </w:tcBorders>
            <w:noWrap/>
          </w:tcPr>
          <w:p>
            <w:pPr>
              <w:tabs>
                <w:tab w:val="left" w:pos="10440"/>
              </w:tabs>
              <w:adjustRightInd w:val="0"/>
              <w:spacing w:line="480" w:lineRule="exact"/>
              <w:jc w:val="center"/>
              <w:rPr>
                <w:rFonts w:ascii="宋体" w:hAnsi="宋体"/>
                <w:bCs/>
                <w:color w:val="auto"/>
                <w:sz w:val="24"/>
              </w:rPr>
            </w:pPr>
            <w:r>
              <w:rPr>
                <w:rFonts w:hint="eastAsia" w:ascii="宋体" w:hAnsi="宋体"/>
                <w:bCs/>
                <w:color w:val="auto"/>
                <w:sz w:val="24"/>
              </w:rPr>
              <w:t>沥青路面用矿粉的质量技术要求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exact"/>
          <w:jc w:val="center"/>
        </w:trPr>
        <w:tc>
          <w:tcPr>
            <w:tcW w:w="2215" w:type="dxa"/>
            <w:tcBorders>
              <w:top w:val="single" w:color="auto" w:sz="12"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视密度</w:t>
            </w:r>
          </w:p>
        </w:tc>
        <w:tc>
          <w:tcPr>
            <w:tcW w:w="3411" w:type="dxa"/>
            <w:tcBorders>
              <w:top w:val="single" w:color="auto" w:sz="12"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不小于(t/ m</w:t>
            </w:r>
            <w:r>
              <w:rPr>
                <w:rFonts w:hint="eastAsia"/>
                <w:color w:val="auto"/>
                <w:sz w:val="24"/>
                <w:vertAlign w:val="superscript"/>
              </w:rPr>
              <w:t>3</w:t>
            </w:r>
            <w:r>
              <w:rPr>
                <w:rFonts w:hint="eastAsia"/>
                <w:color w:val="auto"/>
                <w:sz w:val="24"/>
              </w:rPr>
              <w:t>)</w:t>
            </w:r>
          </w:p>
        </w:tc>
        <w:tc>
          <w:tcPr>
            <w:tcW w:w="2214" w:type="dxa"/>
            <w:tcBorders>
              <w:top w:val="single" w:color="auto" w:sz="12"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含水量</w:t>
            </w: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不大于(%)</w:t>
            </w: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exact"/>
          <w:jc w:val="center"/>
        </w:trPr>
        <w:tc>
          <w:tcPr>
            <w:tcW w:w="2215" w:type="dxa"/>
            <w:vMerge w:val="restart"/>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粒度范围</w:t>
            </w: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&lt;0.6mm    (%)</w:t>
            </w: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color w:val="auto"/>
                <w:sz w:val="24"/>
              </w:rPr>
            </w:pP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&lt;0.15mm   (%)</w:t>
            </w: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color w:val="auto"/>
                <w:sz w:val="24"/>
              </w:rPr>
            </w:pP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&lt;0.075mm  (%)</w:t>
            </w: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70～100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外观</w:t>
            </w: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无团粒结块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亲水系数</w:t>
            </w: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pPr>
              <w:widowControl/>
              <w:jc w:val="center"/>
              <w:rPr>
                <w:color w:val="auto"/>
                <w:sz w:val="24"/>
              </w:rPr>
            </w:pPr>
            <w:r>
              <w:rPr>
                <w:rFonts w:hint="eastAsia"/>
                <w:color w:val="auto"/>
                <w:sz w:val="24"/>
              </w:rPr>
              <w:t>塑性指数</w:t>
            </w:r>
          </w:p>
        </w:tc>
        <w:tc>
          <w:tcPr>
            <w:tcW w:w="3411"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sz w:val="24"/>
              </w:rPr>
            </w:pPr>
            <w:r>
              <w:rPr>
                <w:rFonts w:hint="eastAsia"/>
                <w:color w:val="auto"/>
                <w:sz w:val="24"/>
              </w:rPr>
              <w:t>％</w:t>
            </w:r>
          </w:p>
        </w:tc>
        <w:tc>
          <w:tcPr>
            <w:tcW w:w="2214" w:type="dxa"/>
            <w:tcBorders>
              <w:top w:val="single" w:color="auto" w:sz="6" w:space="0"/>
              <w:left w:val="single" w:color="auto" w:sz="6" w:space="0"/>
              <w:bottom w:val="single" w:color="auto" w:sz="6" w:space="0"/>
              <w:right w:val="single" w:color="auto" w:sz="12" w:space="0"/>
            </w:tcBorders>
            <w:noWrap/>
            <w:vAlign w:val="center"/>
          </w:tcPr>
          <w:p>
            <w:pPr>
              <w:widowControl/>
              <w:jc w:val="center"/>
              <w:rPr>
                <w:color w:val="auto"/>
                <w:sz w:val="24"/>
              </w:rPr>
            </w:pPr>
            <w:r>
              <w:rPr>
                <w:rFonts w:hint="eastAsia"/>
                <w:color w:val="auto"/>
                <w:sz w:val="24"/>
              </w:rPr>
              <w:t>&lt;4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exact"/>
          <w:jc w:val="center"/>
        </w:trPr>
        <w:tc>
          <w:tcPr>
            <w:tcW w:w="2215" w:type="dxa"/>
            <w:tcBorders>
              <w:top w:val="single" w:color="auto" w:sz="6" w:space="0"/>
              <w:left w:val="single" w:color="auto" w:sz="12" w:space="0"/>
              <w:bottom w:val="single" w:color="auto" w:sz="12" w:space="0"/>
              <w:right w:val="single" w:color="auto" w:sz="6" w:space="0"/>
            </w:tcBorders>
            <w:noWrap/>
            <w:vAlign w:val="center"/>
          </w:tcPr>
          <w:p>
            <w:pPr>
              <w:widowControl/>
              <w:jc w:val="center"/>
              <w:rPr>
                <w:color w:val="auto"/>
                <w:sz w:val="24"/>
              </w:rPr>
            </w:pPr>
            <w:r>
              <w:rPr>
                <w:rFonts w:hint="eastAsia"/>
                <w:color w:val="auto"/>
                <w:sz w:val="24"/>
              </w:rPr>
              <w:t>加热安定性</w:t>
            </w:r>
          </w:p>
        </w:tc>
        <w:tc>
          <w:tcPr>
            <w:tcW w:w="3411" w:type="dxa"/>
            <w:tcBorders>
              <w:top w:val="single" w:color="auto" w:sz="6" w:space="0"/>
              <w:left w:val="single" w:color="auto" w:sz="6" w:space="0"/>
              <w:bottom w:val="single" w:color="auto" w:sz="12" w:space="0"/>
              <w:right w:val="single" w:color="auto" w:sz="6" w:space="0"/>
            </w:tcBorders>
            <w:vAlign w:val="center"/>
          </w:tcPr>
          <w:p>
            <w:pPr>
              <w:widowControl/>
              <w:jc w:val="center"/>
              <w:rPr>
                <w:color w:val="auto"/>
                <w:sz w:val="24"/>
              </w:rPr>
            </w:pPr>
          </w:p>
        </w:tc>
        <w:tc>
          <w:tcPr>
            <w:tcW w:w="2214" w:type="dxa"/>
            <w:tcBorders>
              <w:top w:val="single" w:color="auto" w:sz="6" w:space="0"/>
              <w:left w:val="single" w:color="auto" w:sz="6" w:space="0"/>
              <w:bottom w:val="single" w:color="auto" w:sz="12" w:space="0"/>
              <w:right w:val="single" w:color="auto" w:sz="12" w:space="0"/>
            </w:tcBorders>
            <w:noWrap/>
            <w:vAlign w:val="center"/>
          </w:tcPr>
          <w:p>
            <w:pPr>
              <w:widowControl/>
              <w:jc w:val="center"/>
              <w:rPr>
                <w:color w:val="auto"/>
                <w:sz w:val="24"/>
              </w:rPr>
            </w:pPr>
            <w:r>
              <w:rPr>
                <w:rFonts w:hint="eastAsia"/>
                <w:color w:val="auto"/>
                <w:sz w:val="24"/>
              </w:rPr>
              <w:t>实测记录</w:t>
            </w:r>
          </w:p>
        </w:tc>
      </w:tr>
    </w:tbl>
    <w:p>
      <w:pPr>
        <w:spacing w:line="440" w:lineRule="exact"/>
        <w:ind w:firstLine="482" w:firstLineChars="200"/>
        <w:rPr>
          <w:rFonts w:ascii="宋体" w:hAnsi="宋体" w:cs="宋体"/>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5</w:t>
      </w:r>
      <w:r>
        <w:rPr>
          <w:rFonts w:ascii="宋体" w:hAnsi="宋体" w:cs="宋体"/>
          <w:b/>
          <w:bCs/>
          <w:color w:val="auto"/>
          <w:sz w:val="24"/>
        </w:rPr>
        <w:t xml:space="preserve"> </w:t>
      </w:r>
      <w:r>
        <w:rPr>
          <w:rFonts w:hint="eastAsia" w:ascii="宋体" w:hAnsi="宋体" w:cs="宋体"/>
          <w:color w:val="auto"/>
          <w:sz w:val="24"/>
        </w:rPr>
        <w:t>沥青混合料的配合比设计</w:t>
      </w:r>
    </w:p>
    <w:p>
      <w:pPr>
        <w:spacing w:line="440" w:lineRule="exact"/>
        <w:ind w:firstLine="480" w:firstLineChars="200"/>
        <w:rPr>
          <w:rFonts w:ascii="宋体" w:hAnsi="宋体"/>
          <w:color w:val="auto"/>
          <w:sz w:val="10"/>
          <w:szCs w:val="10"/>
        </w:rPr>
      </w:pPr>
      <w:r>
        <w:rPr>
          <w:rFonts w:hint="eastAsia" w:ascii="宋体" w:hAnsi="宋体" w:cs="宋体"/>
          <w:color w:val="auto"/>
          <w:sz w:val="24"/>
        </w:rPr>
        <w:t>应通过热拌沥青混合料的目标配合比、生产配合比及生产配合比验证三个阶段，确定矿料级配及最佳沥青用量。面层沥青混凝土混合料的矿料级配在规范的基础上进行调整，使级配形成“</w:t>
      </w:r>
      <w:r>
        <w:rPr>
          <w:rFonts w:ascii="宋体" w:hAnsi="宋体" w:cs="宋体"/>
          <w:color w:val="auto"/>
          <w:sz w:val="24"/>
        </w:rPr>
        <w:t>S</w:t>
      </w:r>
      <w:r>
        <w:rPr>
          <w:rFonts w:hint="eastAsia" w:ascii="宋体" w:hAnsi="宋体" w:cs="宋体"/>
          <w:color w:val="auto"/>
          <w:sz w:val="24"/>
        </w:rPr>
        <w:t>”型曲线，有利于提高沥青混凝土的性能。推荐的混合料级配见下表。</w:t>
      </w:r>
    </w:p>
    <w:p>
      <w:pPr>
        <w:spacing w:line="440" w:lineRule="exact"/>
        <w:ind w:firstLine="480" w:firstLineChars="200"/>
        <w:jc w:val="center"/>
        <w:rPr>
          <w:rFonts w:ascii="宋体" w:hAnsi="宋体"/>
          <w:bCs/>
          <w:color w:val="auto"/>
          <w:sz w:val="24"/>
        </w:rPr>
      </w:pPr>
      <w:r>
        <w:rPr>
          <w:rFonts w:hint="eastAsia" w:ascii="宋体" w:hAnsi="宋体"/>
          <w:bCs/>
          <w:color w:val="auto"/>
          <w:sz w:val="24"/>
        </w:rPr>
        <w:t>沥青混合料级配</w:t>
      </w:r>
    </w:p>
    <w:tbl>
      <w:tblPr>
        <w:tblStyle w:val="8"/>
        <w:tblW w:w="794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5"/>
        <w:gridCol w:w="1985"/>
        <w:gridCol w:w="1985"/>
        <w:gridCol w:w="19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970" w:type="dxa"/>
            <w:gridSpan w:val="2"/>
            <w:shd w:val="clear" w:color="auto" w:fill="auto"/>
            <w:noWrap/>
            <w:vAlign w:val="center"/>
          </w:tcPr>
          <w:p>
            <w:pPr>
              <w:widowControl/>
              <w:jc w:val="center"/>
              <w:rPr>
                <w:color w:val="auto"/>
                <w:sz w:val="24"/>
              </w:rPr>
            </w:pPr>
            <w:r>
              <w:rPr>
                <w:rFonts w:hint="eastAsia"/>
                <w:color w:val="auto"/>
                <w:sz w:val="24"/>
              </w:rPr>
              <w:t>沥青混合料级配类型</w:t>
            </w:r>
          </w:p>
        </w:tc>
        <w:tc>
          <w:tcPr>
            <w:tcW w:w="1985" w:type="dxa"/>
            <w:vAlign w:val="center"/>
          </w:tcPr>
          <w:p>
            <w:pPr>
              <w:widowControl/>
              <w:jc w:val="center"/>
              <w:rPr>
                <w:color w:val="auto"/>
                <w:sz w:val="24"/>
              </w:rPr>
            </w:pPr>
            <w:r>
              <w:rPr>
                <w:rFonts w:hint="eastAsia"/>
                <w:color w:val="auto"/>
                <w:sz w:val="24"/>
              </w:rPr>
              <w:t>AC-13</w:t>
            </w:r>
          </w:p>
        </w:tc>
        <w:tc>
          <w:tcPr>
            <w:tcW w:w="1985" w:type="dxa"/>
            <w:shd w:val="clear" w:color="auto" w:fill="auto"/>
            <w:noWrap/>
            <w:vAlign w:val="center"/>
          </w:tcPr>
          <w:p>
            <w:pPr>
              <w:widowControl/>
              <w:jc w:val="center"/>
              <w:rPr>
                <w:color w:val="auto"/>
                <w:sz w:val="24"/>
              </w:rPr>
            </w:pPr>
            <w:r>
              <w:rPr>
                <w:rFonts w:hint="eastAsia"/>
                <w:color w:val="auto"/>
                <w:sz w:val="24"/>
              </w:rPr>
              <w:t>AC-</w:t>
            </w:r>
            <w:r>
              <w:rPr>
                <w:color w:val="auto"/>
                <w:sz w:val="24"/>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restart"/>
            <w:shd w:val="clear" w:color="auto" w:fill="auto"/>
            <w:noWrap/>
            <w:vAlign w:val="center"/>
          </w:tcPr>
          <w:p>
            <w:pPr>
              <w:widowControl/>
              <w:jc w:val="center"/>
              <w:rPr>
                <w:color w:val="auto"/>
                <w:sz w:val="24"/>
              </w:rPr>
            </w:pPr>
            <w:r>
              <w:rPr>
                <w:rFonts w:hint="eastAsia"/>
                <w:color w:val="auto"/>
                <w:sz w:val="24"/>
              </w:rPr>
              <w:t>通过下列</w:t>
            </w:r>
          </w:p>
          <w:p>
            <w:pPr>
              <w:widowControl/>
              <w:jc w:val="center"/>
              <w:rPr>
                <w:color w:val="auto"/>
                <w:sz w:val="24"/>
              </w:rPr>
            </w:pPr>
            <w:r>
              <w:rPr>
                <w:rFonts w:hint="eastAsia"/>
                <w:color w:val="auto"/>
                <w:sz w:val="24"/>
              </w:rPr>
              <w:t>方孔筛(mm)</w:t>
            </w:r>
          </w:p>
          <w:p>
            <w:pPr>
              <w:widowControl/>
              <w:jc w:val="center"/>
              <w:rPr>
                <w:color w:val="auto"/>
                <w:sz w:val="24"/>
              </w:rPr>
            </w:pPr>
            <w:r>
              <w:rPr>
                <w:rFonts w:hint="eastAsia"/>
                <w:color w:val="auto"/>
                <w:sz w:val="24"/>
              </w:rPr>
              <w:t>重量百分率(%)</w:t>
            </w:r>
          </w:p>
        </w:tc>
        <w:tc>
          <w:tcPr>
            <w:tcW w:w="1985" w:type="dxa"/>
            <w:shd w:val="clear" w:color="auto" w:fill="auto"/>
            <w:vAlign w:val="center"/>
          </w:tcPr>
          <w:p>
            <w:pPr>
              <w:widowControl/>
              <w:jc w:val="center"/>
              <w:rPr>
                <w:color w:val="auto"/>
                <w:sz w:val="24"/>
              </w:rPr>
            </w:pPr>
            <w:r>
              <w:rPr>
                <w:rFonts w:hint="eastAsia"/>
                <w:color w:val="auto"/>
                <w:sz w:val="24"/>
              </w:rPr>
              <w:t>19</w:t>
            </w:r>
          </w:p>
        </w:tc>
        <w:tc>
          <w:tcPr>
            <w:tcW w:w="1985" w:type="dxa"/>
            <w:vAlign w:val="center"/>
          </w:tcPr>
          <w:p>
            <w:pPr>
              <w:widowControl/>
              <w:jc w:val="center"/>
              <w:rPr>
                <w:color w:val="auto"/>
                <w:sz w:val="24"/>
              </w:rPr>
            </w:pPr>
          </w:p>
        </w:tc>
        <w:tc>
          <w:tcPr>
            <w:tcW w:w="1985" w:type="dxa"/>
            <w:shd w:val="clear" w:color="auto" w:fill="auto"/>
            <w:vAlign w:val="center"/>
          </w:tcPr>
          <w:p>
            <w:pPr>
              <w:widowControl/>
              <w:jc w:val="center"/>
              <w:rPr>
                <w:color w:val="auto"/>
                <w:sz w:val="24"/>
              </w:rPr>
            </w:pPr>
            <w:r>
              <w:rPr>
                <w:rFonts w:hint="eastAsia"/>
                <w:color w:val="auto"/>
                <w:sz w:val="24"/>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16</w:t>
            </w:r>
          </w:p>
        </w:tc>
        <w:tc>
          <w:tcPr>
            <w:tcW w:w="1985" w:type="dxa"/>
            <w:vAlign w:val="center"/>
          </w:tcPr>
          <w:p>
            <w:pPr>
              <w:widowControl/>
              <w:jc w:val="center"/>
              <w:rPr>
                <w:color w:val="auto"/>
                <w:sz w:val="24"/>
              </w:rPr>
            </w:pPr>
            <w:r>
              <w:rPr>
                <w:rFonts w:hint="eastAsia"/>
                <w:color w:val="auto"/>
                <w:sz w:val="24"/>
              </w:rPr>
              <w:t>100</w:t>
            </w:r>
          </w:p>
        </w:tc>
        <w:tc>
          <w:tcPr>
            <w:tcW w:w="1985" w:type="dxa"/>
            <w:shd w:val="clear" w:color="auto" w:fill="auto"/>
            <w:noWrap/>
            <w:vAlign w:val="center"/>
          </w:tcPr>
          <w:p>
            <w:pPr>
              <w:widowControl/>
              <w:jc w:val="center"/>
              <w:rPr>
                <w:color w:val="auto"/>
                <w:sz w:val="24"/>
              </w:rPr>
            </w:pPr>
            <w:r>
              <w:rPr>
                <w:color w:val="auto"/>
                <w:sz w:val="24"/>
              </w:rPr>
              <w:t>90</w:t>
            </w:r>
            <w:r>
              <w:rPr>
                <w:rFonts w:hint="eastAsia"/>
                <w:color w:val="auto"/>
                <w:sz w:val="24"/>
              </w:rPr>
              <w:t>～</w:t>
            </w:r>
            <w:r>
              <w:rPr>
                <w:color w:val="auto"/>
                <w:sz w:val="24"/>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13.2</w:t>
            </w:r>
          </w:p>
        </w:tc>
        <w:tc>
          <w:tcPr>
            <w:tcW w:w="1985" w:type="dxa"/>
            <w:vAlign w:val="center"/>
          </w:tcPr>
          <w:p>
            <w:pPr>
              <w:widowControl/>
              <w:jc w:val="center"/>
              <w:rPr>
                <w:color w:val="auto"/>
                <w:sz w:val="24"/>
              </w:rPr>
            </w:pPr>
            <w:r>
              <w:rPr>
                <w:rFonts w:hint="eastAsia"/>
                <w:color w:val="auto"/>
                <w:sz w:val="24"/>
              </w:rPr>
              <w:t>90～100</w:t>
            </w:r>
          </w:p>
        </w:tc>
        <w:tc>
          <w:tcPr>
            <w:tcW w:w="1985" w:type="dxa"/>
            <w:shd w:val="clear" w:color="auto" w:fill="auto"/>
            <w:noWrap/>
            <w:vAlign w:val="center"/>
          </w:tcPr>
          <w:p>
            <w:pPr>
              <w:widowControl/>
              <w:jc w:val="center"/>
              <w:rPr>
                <w:color w:val="auto"/>
                <w:sz w:val="24"/>
              </w:rPr>
            </w:pPr>
            <w:r>
              <w:rPr>
                <w:color w:val="auto"/>
                <w:sz w:val="24"/>
              </w:rPr>
              <w:t>76</w:t>
            </w:r>
            <w:r>
              <w:rPr>
                <w:rFonts w:hint="eastAsia"/>
                <w:color w:val="auto"/>
                <w:sz w:val="24"/>
              </w:rPr>
              <w:t>～</w:t>
            </w:r>
            <w:r>
              <w:rPr>
                <w:color w:val="auto"/>
                <w:sz w:val="24"/>
              </w:rPr>
              <w:t>92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9.5</w:t>
            </w:r>
          </w:p>
        </w:tc>
        <w:tc>
          <w:tcPr>
            <w:tcW w:w="1985" w:type="dxa"/>
            <w:vAlign w:val="center"/>
          </w:tcPr>
          <w:p>
            <w:pPr>
              <w:widowControl/>
              <w:jc w:val="center"/>
              <w:rPr>
                <w:color w:val="auto"/>
                <w:sz w:val="24"/>
              </w:rPr>
            </w:pPr>
            <w:r>
              <w:rPr>
                <w:rFonts w:hint="eastAsia"/>
                <w:color w:val="auto"/>
                <w:sz w:val="24"/>
              </w:rPr>
              <w:t>68～85</w:t>
            </w:r>
          </w:p>
        </w:tc>
        <w:tc>
          <w:tcPr>
            <w:tcW w:w="1985" w:type="dxa"/>
            <w:shd w:val="clear" w:color="auto" w:fill="auto"/>
            <w:noWrap/>
            <w:vAlign w:val="center"/>
          </w:tcPr>
          <w:p>
            <w:pPr>
              <w:widowControl/>
              <w:jc w:val="center"/>
              <w:rPr>
                <w:color w:val="auto"/>
                <w:sz w:val="24"/>
              </w:rPr>
            </w:pPr>
            <w:r>
              <w:rPr>
                <w:color w:val="auto"/>
                <w:sz w:val="24"/>
              </w:rPr>
              <w:t>60</w:t>
            </w:r>
            <w:r>
              <w:rPr>
                <w:rFonts w:hint="eastAsia"/>
                <w:color w:val="auto"/>
                <w:sz w:val="24"/>
              </w:rPr>
              <w:t>～</w:t>
            </w:r>
            <w:r>
              <w:rPr>
                <w:color w:val="auto"/>
                <w:sz w:val="24"/>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4.75</w:t>
            </w:r>
          </w:p>
        </w:tc>
        <w:tc>
          <w:tcPr>
            <w:tcW w:w="1985" w:type="dxa"/>
            <w:vAlign w:val="center"/>
          </w:tcPr>
          <w:p>
            <w:pPr>
              <w:widowControl/>
              <w:jc w:val="center"/>
              <w:rPr>
                <w:color w:val="auto"/>
                <w:sz w:val="24"/>
              </w:rPr>
            </w:pPr>
            <w:r>
              <w:rPr>
                <w:rFonts w:hint="eastAsia"/>
                <w:color w:val="auto"/>
                <w:sz w:val="24"/>
              </w:rPr>
              <w:t>38～68</w:t>
            </w:r>
          </w:p>
        </w:tc>
        <w:tc>
          <w:tcPr>
            <w:tcW w:w="1985" w:type="dxa"/>
            <w:shd w:val="clear" w:color="auto" w:fill="auto"/>
            <w:noWrap/>
            <w:vAlign w:val="center"/>
          </w:tcPr>
          <w:p>
            <w:pPr>
              <w:widowControl/>
              <w:jc w:val="center"/>
              <w:rPr>
                <w:color w:val="auto"/>
                <w:sz w:val="24"/>
              </w:rPr>
            </w:pPr>
            <w:r>
              <w:rPr>
                <w:color w:val="auto"/>
                <w:sz w:val="24"/>
              </w:rPr>
              <w:t>34</w:t>
            </w:r>
            <w:r>
              <w:rPr>
                <w:rFonts w:hint="eastAsia"/>
                <w:color w:val="auto"/>
                <w:sz w:val="24"/>
              </w:rPr>
              <w:t>～</w:t>
            </w:r>
            <w:r>
              <w:rPr>
                <w:color w:val="auto"/>
                <w:sz w:val="24"/>
              </w:rPr>
              <w:t>62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2.36</w:t>
            </w:r>
          </w:p>
        </w:tc>
        <w:tc>
          <w:tcPr>
            <w:tcW w:w="1985" w:type="dxa"/>
            <w:vAlign w:val="center"/>
          </w:tcPr>
          <w:p>
            <w:pPr>
              <w:widowControl/>
              <w:jc w:val="center"/>
              <w:rPr>
                <w:color w:val="auto"/>
                <w:sz w:val="24"/>
              </w:rPr>
            </w:pPr>
            <w:r>
              <w:rPr>
                <w:rFonts w:hint="eastAsia"/>
                <w:color w:val="auto"/>
                <w:sz w:val="24"/>
              </w:rPr>
              <w:t>24～50</w:t>
            </w:r>
          </w:p>
        </w:tc>
        <w:tc>
          <w:tcPr>
            <w:tcW w:w="1985" w:type="dxa"/>
            <w:shd w:val="clear" w:color="auto" w:fill="auto"/>
            <w:noWrap/>
            <w:vAlign w:val="center"/>
          </w:tcPr>
          <w:p>
            <w:pPr>
              <w:widowControl/>
              <w:jc w:val="center"/>
              <w:rPr>
                <w:color w:val="auto"/>
                <w:sz w:val="24"/>
              </w:rPr>
            </w:pPr>
            <w:r>
              <w:rPr>
                <w:color w:val="auto"/>
                <w:sz w:val="24"/>
              </w:rPr>
              <w:t>20</w:t>
            </w:r>
            <w:r>
              <w:rPr>
                <w:rFonts w:hint="eastAsia"/>
                <w:color w:val="auto"/>
                <w:sz w:val="24"/>
              </w:rPr>
              <w:t>～</w:t>
            </w:r>
            <w:r>
              <w:rPr>
                <w:color w:val="auto"/>
                <w:sz w:val="24"/>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1.18</w:t>
            </w:r>
          </w:p>
        </w:tc>
        <w:tc>
          <w:tcPr>
            <w:tcW w:w="1985" w:type="dxa"/>
            <w:vAlign w:val="center"/>
          </w:tcPr>
          <w:p>
            <w:pPr>
              <w:widowControl/>
              <w:jc w:val="center"/>
              <w:rPr>
                <w:color w:val="auto"/>
                <w:sz w:val="24"/>
              </w:rPr>
            </w:pPr>
            <w:r>
              <w:rPr>
                <w:rFonts w:hint="eastAsia"/>
                <w:color w:val="auto"/>
                <w:sz w:val="24"/>
              </w:rPr>
              <w:t>15～38</w:t>
            </w:r>
          </w:p>
        </w:tc>
        <w:tc>
          <w:tcPr>
            <w:tcW w:w="1985" w:type="dxa"/>
            <w:shd w:val="clear" w:color="auto" w:fill="auto"/>
            <w:noWrap/>
            <w:vAlign w:val="center"/>
          </w:tcPr>
          <w:p>
            <w:pPr>
              <w:widowControl/>
              <w:jc w:val="center"/>
              <w:rPr>
                <w:color w:val="auto"/>
                <w:sz w:val="24"/>
              </w:rPr>
            </w:pPr>
            <w:r>
              <w:rPr>
                <w:color w:val="auto"/>
                <w:sz w:val="24"/>
              </w:rPr>
              <w:t>13</w:t>
            </w:r>
            <w:r>
              <w:rPr>
                <w:rFonts w:hint="eastAsia"/>
                <w:color w:val="auto"/>
                <w:sz w:val="24"/>
              </w:rPr>
              <w:t>～</w:t>
            </w:r>
            <w:r>
              <w:rPr>
                <w:color w:val="auto"/>
                <w:sz w:val="24"/>
              </w:rPr>
              <w:t>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0.6</w:t>
            </w:r>
          </w:p>
        </w:tc>
        <w:tc>
          <w:tcPr>
            <w:tcW w:w="1985" w:type="dxa"/>
            <w:vAlign w:val="center"/>
          </w:tcPr>
          <w:p>
            <w:pPr>
              <w:widowControl/>
              <w:jc w:val="center"/>
              <w:rPr>
                <w:color w:val="auto"/>
                <w:sz w:val="24"/>
              </w:rPr>
            </w:pPr>
            <w:r>
              <w:rPr>
                <w:rFonts w:hint="eastAsia"/>
                <w:color w:val="auto"/>
                <w:sz w:val="24"/>
              </w:rPr>
              <w:t>10～28</w:t>
            </w:r>
          </w:p>
        </w:tc>
        <w:tc>
          <w:tcPr>
            <w:tcW w:w="1985" w:type="dxa"/>
            <w:shd w:val="clear" w:color="auto" w:fill="auto"/>
            <w:noWrap/>
            <w:vAlign w:val="center"/>
          </w:tcPr>
          <w:p>
            <w:pPr>
              <w:widowControl/>
              <w:jc w:val="center"/>
              <w:rPr>
                <w:color w:val="auto"/>
                <w:sz w:val="24"/>
              </w:rPr>
            </w:pPr>
            <w:r>
              <w:rPr>
                <w:color w:val="auto"/>
                <w:sz w:val="24"/>
              </w:rPr>
              <w:t>9</w:t>
            </w:r>
            <w:r>
              <w:rPr>
                <w:rFonts w:hint="eastAsia"/>
                <w:color w:val="auto"/>
                <w:sz w:val="24"/>
              </w:rPr>
              <w:t>～2</w:t>
            </w:r>
            <w:r>
              <w:rPr>
                <w:color w:val="auto"/>
                <w:sz w:val="24"/>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0.3</w:t>
            </w:r>
          </w:p>
        </w:tc>
        <w:tc>
          <w:tcPr>
            <w:tcW w:w="1985" w:type="dxa"/>
            <w:vAlign w:val="center"/>
          </w:tcPr>
          <w:p>
            <w:pPr>
              <w:widowControl/>
              <w:jc w:val="center"/>
              <w:rPr>
                <w:color w:val="auto"/>
                <w:sz w:val="24"/>
              </w:rPr>
            </w:pPr>
            <w:r>
              <w:rPr>
                <w:rFonts w:hint="eastAsia"/>
                <w:color w:val="auto"/>
                <w:sz w:val="24"/>
              </w:rPr>
              <w:t>7～20</w:t>
            </w:r>
          </w:p>
        </w:tc>
        <w:tc>
          <w:tcPr>
            <w:tcW w:w="1985" w:type="dxa"/>
            <w:shd w:val="clear" w:color="auto" w:fill="auto"/>
            <w:noWrap/>
            <w:vAlign w:val="center"/>
          </w:tcPr>
          <w:p>
            <w:pPr>
              <w:widowControl/>
              <w:jc w:val="center"/>
              <w:rPr>
                <w:color w:val="auto"/>
                <w:sz w:val="24"/>
              </w:rPr>
            </w:pPr>
            <w:r>
              <w:rPr>
                <w:color w:val="auto"/>
                <w:sz w:val="24"/>
              </w:rPr>
              <w:t>7</w:t>
            </w:r>
            <w:r>
              <w:rPr>
                <w:rFonts w:hint="eastAsia"/>
                <w:color w:val="auto"/>
                <w:sz w:val="24"/>
              </w:rPr>
              <w:t>～</w:t>
            </w:r>
            <w:r>
              <w:rPr>
                <w:color w:val="auto"/>
                <w:sz w:val="24"/>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0.15</w:t>
            </w:r>
          </w:p>
        </w:tc>
        <w:tc>
          <w:tcPr>
            <w:tcW w:w="1985" w:type="dxa"/>
            <w:vAlign w:val="center"/>
          </w:tcPr>
          <w:p>
            <w:pPr>
              <w:widowControl/>
              <w:jc w:val="center"/>
              <w:rPr>
                <w:color w:val="auto"/>
                <w:sz w:val="24"/>
              </w:rPr>
            </w:pPr>
            <w:r>
              <w:rPr>
                <w:rFonts w:hint="eastAsia"/>
                <w:color w:val="auto"/>
                <w:sz w:val="24"/>
              </w:rPr>
              <w:t>5～15</w:t>
            </w:r>
          </w:p>
        </w:tc>
        <w:tc>
          <w:tcPr>
            <w:tcW w:w="1985" w:type="dxa"/>
            <w:shd w:val="clear" w:color="auto" w:fill="auto"/>
            <w:noWrap/>
            <w:vAlign w:val="center"/>
          </w:tcPr>
          <w:p>
            <w:pPr>
              <w:widowControl/>
              <w:jc w:val="center"/>
              <w:rPr>
                <w:color w:val="auto"/>
                <w:sz w:val="24"/>
              </w:rPr>
            </w:pPr>
            <w:r>
              <w:rPr>
                <w:color w:val="auto"/>
                <w:sz w:val="24"/>
              </w:rPr>
              <w:t>5</w:t>
            </w:r>
            <w:r>
              <w:rPr>
                <w:rFonts w:hint="eastAsia"/>
                <w:color w:val="auto"/>
                <w:sz w:val="24"/>
              </w:rPr>
              <w:t>～</w:t>
            </w:r>
            <w:r>
              <w:rPr>
                <w:color w:val="auto"/>
                <w:sz w:val="24"/>
              </w:rPr>
              <w:t>14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1985" w:type="dxa"/>
            <w:vMerge w:val="continue"/>
            <w:shd w:val="clear" w:color="auto" w:fill="auto"/>
            <w:noWrap/>
            <w:vAlign w:val="center"/>
          </w:tcPr>
          <w:p>
            <w:pPr>
              <w:widowControl/>
              <w:jc w:val="center"/>
              <w:rPr>
                <w:color w:val="auto"/>
                <w:sz w:val="24"/>
              </w:rPr>
            </w:pPr>
          </w:p>
        </w:tc>
        <w:tc>
          <w:tcPr>
            <w:tcW w:w="1985" w:type="dxa"/>
            <w:shd w:val="clear" w:color="auto" w:fill="auto"/>
            <w:noWrap/>
            <w:vAlign w:val="center"/>
          </w:tcPr>
          <w:p>
            <w:pPr>
              <w:widowControl/>
              <w:jc w:val="center"/>
              <w:rPr>
                <w:color w:val="auto"/>
                <w:sz w:val="24"/>
              </w:rPr>
            </w:pPr>
            <w:r>
              <w:rPr>
                <w:rFonts w:hint="eastAsia"/>
                <w:color w:val="auto"/>
                <w:sz w:val="24"/>
              </w:rPr>
              <w:t>0.075</w:t>
            </w:r>
          </w:p>
        </w:tc>
        <w:tc>
          <w:tcPr>
            <w:tcW w:w="1985" w:type="dxa"/>
            <w:vAlign w:val="center"/>
          </w:tcPr>
          <w:p>
            <w:pPr>
              <w:widowControl/>
              <w:jc w:val="center"/>
              <w:rPr>
                <w:color w:val="auto"/>
                <w:sz w:val="24"/>
              </w:rPr>
            </w:pPr>
            <w:r>
              <w:rPr>
                <w:rFonts w:hint="eastAsia"/>
                <w:color w:val="auto"/>
                <w:sz w:val="24"/>
              </w:rPr>
              <w:t>4～8</w:t>
            </w:r>
          </w:p>
        </w:tc>
        <w:tc>
          <w:tcPr>
            <w:tcW w:w="1985" w:type="dxa"/>
            <w:shd w:val="clear" w:color="auto" w:fill="auto"/>
            <w:noWrap/>
            <w:vAlign w:val="center"/>
          </w:tcPr>
          <w:p>
            <w:pPr>
              <w:widowControl/>
              <w:jc w:val="center"/>
              <w:rPr>
                <w:color w:val="auto"/>
                <w:sz w:val="24"/>
              </w:rPr>
            </w:pPr>
            <w:r>
              <w:rPr>
                <w:color w:val="auto"/>
                <w:sz w:val="24"/>
              </w:rPr>
              <w:t>4</w:t>
            </w:r>
            <w:r>
              <w:rPr>
                <w:rFonts w:hint="eastAsia"/>
                <w:color w:val="auto"/>
                <w:sz w:val="24"/>
              </w:rPr>
              <w:t>～8</w:t>
            </w:r>
          </w:p>
        </w:tc>
      </w:tr>
    </w:tbl>
    <w:p>
      <w:pPr>
        <w:spacing w:line="440" w:lineRule="exact"/>
        <w:ind w:firstLine="482" w:firstLineChars="200"/>
        <w:rPr>
          <w:rFonts w:ascii="宋体" w:hAnsi="宋体"/>
          <w:color w:val="auto"/>
          <w:sz w:val="24"/>
        </w:rPr>
      </w:pPr>
      <w:r>
        <w:rPr>
          <w:rFonts w:ascii="宋体" w:hAnsi="宋体" w:cs="宋体"/>
          <w:b/>
          <w:bCs/>
          <w:color w:val="auto"/>
          <w:sz w:val="24"/>
        </w:rPr>
        <w:t>4</w:t>
      </w:r>
      <w:r>
        <w:rPr>
          <w:rFonts w:hint="eastAsia" w:ascii="宋体" w:hAnsi="宋体" w:cs="宋体"/>
          <w:b/>
          <w:bCs/>
          <w:color w:val="auto"/>
          <w:sz w:val="24"/>
        </w:rPr>
        <w:t>.</w:t>
      </w:r>
      <w:r>
        <w:rPr>
          <w:rFonts w:hint="eastAsia" w:ascii="宋体" w:hAnsi="宋体" w:cs="宋体"/>
          <w:b/>
          <w:bCs/>
          <w:color w:val="auto"/>
          <w:sz w:val="24"/>
          <w:lang w:val="en-US" w:eastAsia="zh-CN"/>
        </w:rPr>
        <w:t>7</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ascii="宋体" w:hAnsi="宋体" w:cs="宋体"/>
          <w:b/>
          <w:bCs/>
          <w:color w:val="auto"/>
          <w:sz w:val="24"/>
        </w:rPr>
        <w:t xml:space="preserve"> </w:t>
      </w:r>
      <w:r>
        <w:rPr>
          <w:rFonts w:hint="eastAsia" w:ascii="宋体" w:hAnsi="宋体"/>
          <w:b/>
          <w:bCs/>
          <w:color w:val="auto"/>
          <w:sz w:val="24"/>
        </w:rPr>
        <w:t>沥青混合料技术指标</w:t>
      </w:r>
    </w:p>
    <w:p>
      <w:pPr>
        <w:spacing w:line="440" w:lineRule="exact"/>
        <w:ind w:firstLine="480" w:firstLineChars="200"/>
        <w:rPr>
          <w:rFonts w:ascii="宋体" w:hAnsi="宋体"/>
          <w:color w:val="auto"/>
          <w:sz w:val="24"/>
        </w:rPr>
      </w:pPr>
      <w:r>
        <w:rPr>
          <w:rFonts w:hint="eastAsia" w:ascii="宋体" w:hAnsi="宋体" w:cs="宋体"/>
          <w:color w:val="auto"/>
          <w:sz w:val="24"/>
        </w:rPr>
        <w:t>沥青混合料配合比设计及检验的各项技术指标应符合表</w:t>
      </w:r>
      <w:r>
        <w:rPr>
          <w:rFonts w:ascii="宋体" w:hAnsi="宋体" w:cs="宋体"/>
          <w:color w:val="auto"/>
          <w:sz w:val="24"/>
        </w:rPr>
        <w:t>9-7</w:t>
      </w:r>
      <w:r>
        <w:rPr>
          <w:rFonts w:hint="eastAsia" w:ascii="宋体" w:hAnsi="宋体" w:cs="宋体"/>
          <w:color w:val="auto"/>
          <w:sz w:val="24"/>
        </w:rPr>
        <w:t>的要求。试验应遵照《公路工程沥青及沥青混合料试验规程》</w:t>
      </w:r>
      <w:r>
        <w:rPr>
          <w:rFonts w:ascii="宋体" w:hAnsi="宋体" w:cs="宋体"/>
          <w:color w:val="auto"/>
          <w:sz w:val="24"/>
        </w:rPr>
        <w:t>(</w:t>
      </w:r>
      <w:r>
        <w:rPr>
          <w:rFonts w:hint="eastAsia" w:ascii="宋体" w:hAnsi="宋体" w:cs="宋体"/>
          <w:color w:val="auto"/>
          <w:sz w:val="24"/>
        </w:rPr>
        <w:t>JTG E20-2011</w:t>
      </w:r>
      <w:r>
        <w:rPr>
          <w:rFonts w:ascii="宋体" w:hAnsi="宋体" w:cs="宋体"/>
          <w:color w:val="auto"/>
          <w:sz w:val="24"/>
        </w:rPr>
        <w:t>)</w:t>
      </w:r>
      <w:r>
        <w:rPr>
          <w:rFonts w:hint="eastAsia" w:ascii="宋体" w:hAnsi="宋体" w:cs="宋体"/>
          <w:color w:val="auto"/>
          <w:sz w:val="24"/>
        </w:rPr>
        <w:t>的有关规定进行。</w:t>
      </w:r>
    </w:p>
    <w:tbl>
      <w:tblPr>
        <w:tblStyle w:val="8"/>
        <w:tblW w:w="9639" w:type="dxa"/>
        <w:jc w:val="center"/>
        <w:tblInd w:w="0" w:type="dxa"/>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6432"/>
        <w:gridCol w:w="3207"/>
      </w:tblGrid>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pPr>
              <w:spacing w:line="440" w:lineRule="exact"/>
              <w:ind w:firstLine="480" w:firstLineChars="200"/>
              <w:jc w:val="center"/>
              <w:rPr>
                <w:rFonts w:ascii="宋体" w:hAnsi="宋体"/>
                <w:bCs/>
                <w:color w:val="auto"/>
                <w:sz w:val="24"/>
              </w:rPr>
            </w:pPr>
            <w:r>
              <w:rPr>
                <w:rFonts w:hint="eastAsia" w:ascii="宋体" w:hAnsi="宋体"/>
                <w:bCs/>
                <w:color w:val="auto"/>
                <w:sz w:val="24"/>
              </w:rPr>
              <w:t>面层沥青混合料技术指标表</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沥青混凝土</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50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2～4.5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3～6</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70～85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65"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80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75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800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pPr>
              <w:widowControl/>
              <w:jc w:val="center"/>
              <w:rPr>
                <w:color w:val="auto"/>
                <w:sz w:val="24"/>
              </w:rPr>
            </w:pPr>
            <w:r>
              <w:rPr>
                <w:rFonts w:hint="eastAsia"/>
                <w:color w:val="auto"/>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pPr>
              <w:widowControl/>
              <w:jc w:val="center"/>
              <w:rPr>
                <w:color w:val="auto"/>
                <w:sz w:val="24"/>
              </w:rPr>
            </w:pPr>
            <w:r>
              <w:rPr>
                <w:rFonts w:hint="eastAsia"/>
                <w:color w:val="auto"/>
                <w:sz w:val="24"/>
              </w:rPr>
              <w:t>不小于2300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pPr>
              <w:widowControl/>
              <w:jc w:val="center"/>
              <w:rPr>
                <w:color w:val="auto"/>
                <w:sz w:val="24"/>
              </w:rPr>
            </w:pPr>
            <w:r>
              <w:rPr>
                <w:rFonts w:hint="eastAsia"/>
                <w:color w:val="auto"/>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pPr>
              <w:widowControl/>
              <w:jc w:val="center"/>
              <w:rPr>
                <w:color w:val="auto"/>
                <w:sz w:val="24"/>
              </w:rPr>
            </w:pPr>
            <w:r>
              <w:rPr>
                <w:rFonts w:hint="eastAsia"/>
                <w:color w:val="auto"/>
                <w:sz w:val="24"/>
              </w:rPr>
              <w:t>120ml/min</w:t>
            </w:r>
          </w:p>
        </w:tc>
      </w:tr>
    </w:tbl>
    <w:p>
      <w:pPr>
        <w:spacing w:line="440" w:lineRule="exact"/>
        <w:ind w:firstLine="480" w:firstLineChars="200"/>
        <w:rPr>
          <w:rFonts w:ascii="宋体" w:hAnsi="宋体" w:cs="宋体"/>
          <w:color w:val="auto"/>
          <w:sz w:val="24"/>
        </w:rPr>
      </w:pPr>
      <w:r>
        <w:rPr>
          <w:rFonts w:hint="eastAsia" w:ascii="宋体" w:hAnsi="宋体" w:cs="宋体"/>
          <w:color w:val="auto"/>
          <w:sz w:val="24"/>
        </w:rPr>
        <w:t>施工单位应根据《公路工程沥青及沥青混合料试验规程》(JTG E20-2011)的有关规定进行配合比设计，以选取满足质量要求的、更加经济合理的配合比。</w:t>
      </w:r>
    </w:p>
    <w:p>
      <w:pPr>
        <w:spacing w:line="440" w:lineRule="exact"/>
        <w:ind w:firstLine="482" w:firstLineChars="200"/>
        <w:rPr>
          <w:rFonts w:ascii="宋体" w:hAnsi="宋体" w:cs="宋体"/>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8</w:t>
      </w:r>
      <w:r>
        <w:rPr>
          <w:rFonts w:hint="eastAsia" w:ascii="宋体" w:hAnsi="宋体" w:cs="宋体"/>
          <w:b/>
          <w:bCs/>
          <w:sz w:val="24"/>
          <w:highlight w:val="none"/>
        </w:rPr>
        <w:t>透层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在基层顶面宜设置透层，当透层油采用乳化沥青时，用油量为1.0～1.2L/</w:t>
      </w:r>
      <w:r>
        <w:rPr>
          <w:rFonts w:hint="eastAsia" w:ascii="宋体" w:hAnsi="宋体" w:cs="Times New Roman"/>
          <w:spacing w:val="4"/>
          <w:sz w:val="24"/>
          <w:highlight w:val="none"/>
          <w:lang w:val="en-US" w:eastAsia="zh-CN"/>
        </w:rPr>
        <w:t>㎡</w:t>
      </w:r>
      <w:r>
        <w:rPr>
          <w:rFonts w:hint="eastAsia" w:ascii="宋体" w:hAnsi="宋体" w:cs="Times New Roman"/>
          <w:spacing w:val="4"/>
          <w:sz w:val="24"/>
          <w:highlight w:val="none"/>
        </w:rPr>
        <w:t>，透层的材料和施工工艺应符合《公路沥青路面施工技术规范》（JTG F40-2017）的要求。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透层的材料和施工工艺应符合《公路沥青路面施工技术规范》(JTG F40-2017)的要求。</w:t>
      </w:r>
    </w:p>
    <w:p>
      <w:pPr>
        <w:spacing w:line="440" w:lineRule="exact"/>
        <w:ind w:firstLine="482" w:firstLineChars="200"/>
        <w:rPr>
          <w:rFonts w:ascii="宋体" w:hAnsi="宋体"/>
          <w:b/>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9</w:t>
      </w:r>
      <w:r>
        <w:rPr>
          <w:rFonts w:hint="eastAsia" w:ascii="宋体" w:hAnsi="宋体"/>
          <w:b/>
          <w:sz w:val="24"/>
          <w:highlight w:val="none"/>
        </w:rPr>
        <w:t>水泥稳定碎石基层</w:t>
      </w:r>
    </w:p>
    <w:p>
      <w:pPr>
        <w:spacing w:line="440" w:lineRule="exact"/>
        <w:ind w:firstLine="482" w:firstLineChars="200"/>
        <w:rPr>
          <w:rFonts w:ascii="宋体" w:hAnsi="宋体"/>
          <w:b/>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9.</w:t>
      </w:r>
      <w:r>
        <w:rPr>
          <w:rFonts w:ascii="宋体" w:hAnsi="宋体"/>
          <w:b/>
          <w:sz w:val="24"/>
          <w:highlight w:val="none"/>
        </w:rPr>
        <w:t>1</w:t>
      </w:r>
      <w:r>
        <w:rPr>
          <w:rFonts w:hint="eastAsia" w:ascii="宋体" w:hAnsi="宋体"/>
          <w:b/>
          <w:sz w:val="24"/>
          <w:highlight w:val="none"/>
        </w:rPr>
        <w:t>骨架主体材料技术要求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粗集料的针片状含量应小于等于20%；水泥稳定碎石中的粗集料压碎值应不大于30%；基层的粗集料规格要求应符合《公路路面基层施工技术细则》(JTG∕T F20-2015)表3.6.2的要求；基层应满足下表中 C-C-1的要求。</w:t>
      </w:r>
    </w:p>
    <w:p>
      <w:pPr>
        <w:spacing w:line="240" w:lineRule="atLeast"/>
        <w:jc w:val="both"/>
        <w:rPr>
          <w:rFonts w:ascii="宋体" w:hAnsi="宋体" w:cs="宋体"/>
          <w:sz w:val="10"/>
          <w:szCs w:val="10"/>
          <w:highlight w:val="none"/>
        </w:rPr>
      </w:pPr>
    </w:p>
    <w:tbl>
      <w:tblPr>
        <w:tblStyle w:val="8"/>
        <w:tblW w:w="8482" w:type="dxa"/>
        <w:jc w:val="center"/>
        <w:tblInd w:w="0" w:type="dxa"/>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2933"/>
        <w:gridCol w:w="2776"/>
        <w:gridCol w:w="2773"/>
      </w:tblGrid>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569" w:hRule="exact"/>
          <w:jc w:val="center"/>
        </w:trPr>
        <w:tc>
          <w:tcPr>
            <w:tcW w:w="5709" w:type="dxa"/>
            <w:gridSpan w:val="2"/>
            <w:tcBorders>
              <w:top w:val="single" w:color="auto" w:sz="12"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级配类型</w:t>
            </w:r>
          </w:p>
        </w:tc>
        <w:tc>
          <w:tcPr>
            <w:tcW w:w="2773" w:type="dxa"/>
            <w:tcBorders>
              <w:top w:val="single" w:color="auto" w:sz="12"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C-C-1</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restart"/>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bookmarkStart w:id="8" w:name="OLE_LINK6"/>
            <w:r>
              <w:rPr>
                <w:rFonts w:hint="eastAsia" w:ascii="宋体" w:hAnsi="宋体"/>
                <w:sz w:val="24"/>
                <w:highlight w:val="none"/>
              </w:rPr>
              <w:t>通过下列</w:t>
            </w:r>
          </w:p>
          <w:p>
            <w:pPr>
              <w:widowControl/>
              <w:jc w:val="center"/>
              <w:rPr>
                <w:rFonts w:ascii="宋体" w:hAnsi="宋体"/>
                <w:sz w:val="24"/>
                <w:highlight w:val="none"/>
              </w:rPr>
            </w:pPr>
            <w:r>
              <w:rPr>
                <w:rFonts w:hint="eastAsia" w:ascii="宋体" w:hAnsi="宋体"/>
                <w:sz w:val="24"/>
                <w:highlight w:val="none"/>
              </w:rPr>
              <w:t>方孔筛(mm)</w:t>
            </w:r>
          </w:p>
          <w:bookmarkEnd w:id="8"/>
          <w:p>
            <w:pPr>
              <w:widowControl/>
              <w:jc w:val="center"/>
              <w:rPr>
                <w:rFonts w:ascii="宋体" w:hAnsi="宋体"/>
                <w:sz w:val="24"/>
                <w:highlight w:val="none"/>
              </w:rPr>
            </w:pPr>
            <w:r>
              <w:rPr>
                <w:rFonts w:hint="eastAsia" w:ascii="宋体" w:hAnsi="宋体"/>
                <w:sz w:val="24"/>
                <w:highlight w:val="none"/>
              </w:rPr>
              <w:t>重量百分率(%)</w:t>
            </w: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37.5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100</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31.5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90～100</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26.5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94～81</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19</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83～67</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16</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78～61</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13.2</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73～54</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9.5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64～45</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4.75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50～30</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2.36</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36～19</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1.18</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26～12</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0.6</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19～8</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0.3</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14～5</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0.15</w:t>
            </w:r>
          </w:p>
        </w:tc>
        <w:tc>
          <w:tcPr>
            <w:tcW w:w="2773" w:type="dxa"/>
            <w:tcBorders>
              <w:top w:val="single" w:color="auto" w:sz="6" w:space="0"/>
              <w:left w:val="single" w:color="auto" w:sz="6" w:space="0"/>
              <w:bottom w:val="single" w:color="auto" w:sz="6"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10～3</w:t>
            </w:r>
          </w:p>
        </w:tc>
      </w:tr>
      <w:tr>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12" w:space="0"/>
              <w:right w:val="single" w:color="auto" w:sz="6" w:space="0"/>
            </w:tcBorders>
            <w:shd w:val="clear" w:color="auto" w:fill="auto"/>
            <w:noWrap/>
            <w:vAlign w:val="center"/>
          </w:tcPr>
          <w:p>
            <w:pPr>
              <w:widowControl/>
              <w:jc w:val="center"/>
              <w:rPr>
                <w:rFonts w:ascii="宋体" w:hAnsi="宋体"/>
                <w:sz w:val="24"/>
                <w:highlight w:val="none"/>
              </w:rPr>
            </w:pPr>
          </w:p>
        </w:tc>
        <w:tc>
          <w:tcPr>
            <w:tcW w:w="2776" w:type="dxa"/>
            <w:tcBorders>
              <w:top w:val="single" w:color="auto" w:sz="6" w:space="0"/>
              <w:left w:val="single" w:color="auto" w:sz="6" w:space="0"/>
              <w:bottom w:val="single" w:color="auto" w:sz="12"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0.075</w:t>
            </w:r>
          </w:p>
        </w:tc>
        <w:tc>
          <w:tcPr>
            <w:tcW w:w="2773" w:type="dxa"/>
            <w:tcBorders>
              <w:top w:val="single" w:color="auto" w:sz="6" w:space="0"/>
              <w:left w:val="single" w:color="auto" w:sz="6" w:space="0"/>
              <w:bottom w:val="single" w:color="auto" w:sz="12" w:space="0"/>
            </w:tcBorders>
            <w:shd w:val="clear" w:color="auto" w:fill="auto"/>
            <w:vAlign w:val="center"/>
          </w:tcPr>
          <w:p>
            <w:pPr>
              <w:widowControl/>
              <w:jc w:val="center"/>
              <w:rPr>
                <w:rFonts w:ascii="宋体" w:hAnsi="宋体"/>
                <w:sz w:val="24"/>
                <w:highlight w:val="none"/>
              </w:rPr>
            </w:pPr>
            <w:r>
              <w:rPr>
                <w:rFonts w:hint="eastAsia" w:ascii="宋体" w:hAnsi="宋体"/>
                <w:sz w:val="24"/>
                <w:highlight w:val="none"/>
              </w:rPr>
              <w:t>7～2</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水泥稳定碎石中细集料应洁净、干燥、无风化、无杂质、并有适当的级配；其技术要求应满足《公路路面基层施工技术细则》(JTG∕T F20-2015)表3.7.2的要求；细集料的规格应符合《公路路面基层施工技术细则》(JTG∕T F20-2015)表3.7.3的要求；细集料中小于0.075mm的颗粒含量应不大于20%。</w:t>
      </w:r>
    </w:p>
    <w:p>
      <w:pPr>
        <w:spacing w:line="440" w:lineRule="exact"/>
        <w:ind w:firstLine="482" w:firstLineChars="200"/>
        <w:rPr>
          <w:rFonts w:ascii="宋体" w:hAnsi="宋体"/>
          <w:b/>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9</w:t>
      </w:r>
      <w:r>
        <w:rPr>
          <w:rFonts w:ascii="宋体" w:hAnsi="宋体"/>
          <w:b/>
          <w:sz w:val="24"/>
          <w:highlight w:val="none"/>
        </w:rPr>
        <w:t>.2</w:t>
      </w:r>
      <w:r>
        <w:rPr>
          <w:rFonts w:hint="eastAsia" w:ascii="宋体" w:hAnsi="宋体"/>
          <w:b/>
          <w:sz w:val="24"/>
          <w:highlight w:val="none"/>
        </w:rPr>
        <w:t>水泥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采用《公路路面基层施工技术细则》(JTG∕T F20-2015)要求的水泥。</w:t>
      </w:r>
    </w:p>
    <w:tbl>
      <w:tblPr>
        <w:tblStyle w:val="8"/>
        <w:tblW w:w="875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5"/>
        <w:gridCol w:w="53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8754" w:type="dxa"/>
            <w:gridSpan w:val="2"/>
            <w:tcBorders>
              <w:top w:val="nil"/>
              <w:left w:val="nil"/>
              <w:bottom w:val="single" w:color="auto" w:sz="12" w:space="0"/>
              <w:right w:val="nil"/>
            </w:tcBorders>
            <w:shd w:val="clear" w:color="auto" w:fill="auto"/>
            <w:noWrap/>
            <w:vAlign w:val="center"/>
          </w:tcPr>
          <w:p>
            <w:pPr>
              <w:spacing w:line="440" w:lineRule="exact"/>
              <w:ind w:firstLine="480" w:firstLineChars="200"/>
              <w:jc w:val="center"/>
              <w:rPr>
                <w:rFonts w:ascii="宋体" w:hAnsi="宋体"/>
                <w:bCs/>
                <w:sz w:val="24"/>
                <w:highlight w:val="none"/>
              </w:rPr>
            </w:pPr>
            <w:r>
              <w:rPr>
                <w:rFonts w:hint="eastAsia" w:ascii="宋体" w:hAnsi="宋体"/>
                <w:bCs/>
                <w:sz w:val="24"/>
                <w:highlight w:val="none"/>
              </w:rPr>
              <w:t>水泥技术标准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12"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氧化镁</w:t>
            </w:r>
          </w:p>
        </w:tc>
        <w:tc>
          <w:tcPr>
            <w:tcW w:w="5329" w:type="dxa"/>
            <w:tcBorders>
              <w:top w:val="single" w:color="auto" w:sz="12"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不大于5％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三氧化硫</w:t>
            </w:r>
          </w:p>
        </w:tc>
        <w:tc>
          <w:tcPr>
            <w:tcW w:w="5329" w:type="dxa"/>
            <w:tcBorders>
              <w:top w:val="single" w:color="auto" w:sz="6"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不大于3.5％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烧失量</w:t>
            </w:r>
          </w:p>
        </w:tc>
        <w:tc>
          <w:tcPr>
            <w:tcW w:w="5329" w:type="dxa"/>
            <w:tcBorders>
              <w:top w:val="single" w:color="auto" w:sz="6"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不大于3％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比表面积</w:t>
            </w:r>
          </w:p>
        </w:tc>
        <w:tc>
          <w:tcPr>
            <w:tcW w:w="5329" w:type="dxa"/>
            <w:tcBorders>
              <w:top w:val="single" w:color="auto" w:sz="6"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300 m</w:t>
            </w:r>
            <w:r>
              <w:rPr>
                <w:rFonts w:hint="eastAsia" w:ascii="宋体" w:hAnsi="宋体"/>
                <w:sz w:val="24"/>
                <w:highlight w:val="none"/>
                <w:vertAlign w:val="superscript"/>
              </w:rPr>
              <w:t>2</w:t>
            </w:r>
            <w:r>
              <w:rPr>
                <w:rFonts w:hint="eastAsia" w:ascii="宋体" w:hAnsi="宋体"/>
                <w:sz w:val="24"/>
                <w:highlight w:val="none"/>
              </w:rPr>
              <w:t>/kg～450 m</w:t>
            </w:r>
            <w:r>
              <w:rPr>
                <w:rFonts w:hint="eastAsia" w:ascii="宋体" w:hAnsi="宋体"/>
                <w:sz w:val="24"/>
                <w:highlight w:val="none"/>
                <w:vertAlign w:val="superscript"/>
              </w:rPr>
              <w:t>2</w:t>
            </w:r>
            <w:r>
              <w:rPr>
                <w:rFonts w:hint="eastAsia" w:ascii="宋体" w:hAnsi="宋体"/>
                <w:sz w:val="24"/>
                <w:highlight w:val="none"/>
              </w:rPr>
              <w:t>/kg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安定性</w:t>
            </w:r>
          </w:p>
        </w:tc>
        <w:tc>
          <w:tcPr>
            <w:tcW w:w="5329" w:type="dxa"/>
            <w:tcBorders>
              <w:top w:val="single" w:color="auto" w:sz="6"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雷氏法必须合格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6"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干缩率</w:t>
            </w:r>
          </w:p>
        </w:tc>
        <w:tc>
          <w:tcPr>
            <w:tcW w:w="5329" w:type="dxa"/>
            <w:tcBorders>
              <w:top w:val="single" w:color="auto" w:sz="6" w:space="0"/>
              <w:left w:val="single" w:color="auto" w:sz="6"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28d值不大于0.1％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3425" w:type="dxa"/>
            <w:tcBorders>
              <w:top w:val="single" w:color="auto" w:sz="6" w:space="0"/>
              <w:bottom w:val="single" w:color="auto" w:sz="12" w:space="0"/>
              <w:right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耐磨性</w:t>
            </w:r>
          </w:p>
        </w:tc>
        <w:tc>
          <w:tcPr>
            <w:tcW w:w="5329" w:type="dxa"/>
            <w:tcBorders>
              <w:top w:val="single" w:color="auto" w:sz="6" w:space="0"/>
              <w:left w:val="single" w:color="auto" w:sz="6" w:space="0"/>
              <w:bottom w:val="single" w:color="auto" w:sz="12"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28d值不大于3kg/ m</w:t>
            </w:r>
            <w:r>
              <w:rPr>
                <w:rFonts w:hint="eastAsia" w:ascii="宋体" w:hAnsi="宋体"/>
                <w:sz w:val="24"/>
                <w:highlight w:val="none"/>
                <w:vertAlign w:val="superscript"/>
              </w:rPr>
              <w:t>2</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(1)水泥安定性合格，应为水泥出磨机安定合格，非陈放一定时间后水泥安定性合格；</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(2)安定性合格的水泥，游离氧化钙的含量不宜超过1.5％；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(3)凝结时间，应选用初凝时间3h以上，终凝时间应大于6h且小于10h；</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(4)快硬水泥、早强水泥及受潮变质水泥不得使用，库存超过3个月，未经批准，不得使用。</w:t>
      </w:r>
    </w:p>
    <w:p>
      <w:pPr>
        <w:spacing w:line="440" w:lineRule="exact"/>
        <w:ind w:firstLine="482" w:firstLineChars="200"/>
        <w:rPr>
          <w:rFonts w:ascii="宋体" w:hAnsi="宋体"/>
          <w:b/>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9</w:t>
      </w:r>
      <w:r>
        <w:rPr>
          <w:rFonts w:ascii="宋体" w:hAnsi="宋体"/>
          <w:b/>
          <w:sz w:val="24"/>
          <w:highlight w:val="none"/>
        </w:rPr>
        <w:t>.</w:t>
      </w:r>
      <w:r>
        <w:rPr>
          <w:rFonts w:hint="eastAsia" w:ascii="宋体" w:hAnsi="宋体"/>
          <w:b/>
          <w:sz w:val="24"/>
          <w:highlight w:val="none"/>
        </w:rPr>
        <w:t>3水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凡饮用水均可以用于基层的施工，遇有可疑水源，应进行试验鉴定，且满足交通运输部《公路路面基层施工技术细则》(JTG∕T F20-2015)表3.5.2的要求。</w:t>
      </w:r>
    </w:p>
    <w:p>
      <w:pPr>
        <w:spacing w:line="440" w:lineRule="exact"/>
        <w:ind w:firstLine="482" w:firstLineChars="200"/>
        <w:rPr>
          <w:rFonts w:ascii="宋体" w:hAnsi="宋体" w:cs="宋体"/>
          <w:b/>
          <w:bCs/>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9</w:t>
      </w:r>
      <w:r>
        <w:rPr>
          <w:rFonts w:ascii="宋体" w:hAnsi="宋体" w:cs="宋体"/>
          <w:b/>
          <w:bCs/>
          <w:sz w:val="24"/>
          <w:highlight w:val="none"/>
        </w:rPr>
        <w:t>.</w:t>
      </w:r>
      <w:r>
        <w:rPr>
          <w:rFonts w:hint="eastAsia" w:ascii="宋体" w:hAnsi="宋体" w:cs="宋体"/>
          <w:b/>
          <w:bCs/>
          <w:sz w:val="24"/>
          <w:highlight w:val="none"/>
        </w:rPr>
        <w:t>4混合料的技术要求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(1)水泥稳定碎石基层混合料采用厂拌法拌和。水泥稳定碎石基层7天无侧限抗压强度代表值应满足下表要求、压实度不小于97%。</w:t>
      </w:r>
    </w:p>
    <w:p>
      <w:pPr>
        <w:spacing w:line="440" w:lineRule="exact"/>
        <w:jc w:val="center"/>
        <w:rPr>
          <w:rFonts w:ascii="宋体" w:hAnsi="宋体"/>
          <w:bCs/>
          <w:sz w:val="24"/>
          <w:highlight w:val="none"/>
        </w:rPr>
      </w:pPr>
      <w:r>
        <w:rPr>
          <w:rFonts w:hint="eastAsia" w:ascii="宋体" w:hAnsi="宋体"/>
          <w:bCs/>
          <w:sz w:val="24"/>
          <w:highlight w:val="none"/>
        </w:rPr>
        <w:t>水泥稳定材料的7d龄期无侧限抗压强度标准R</w:t>
      </w:r>
      <w:r>
        <w:rPr>
          <w:rFonts w:hint="eastAsia" w:ascii="宋体" w:hAnsi="宋体"/>
          <w:bCs/>
          <w:sz w:val="24"/>
          <w:highlight w:val="none"/>
          <w:vertAlign w:val="subscript"/>
        </w:rPr>
        <w:t>d</w:t>
      </w:r>
      <w:r>
        <w:rPr>
          <w:rFonts w:hint="eastAsia" w:ascii="宋体" w:hAnsi="宋体"/>
          <w:bCs/>
          <w:sz w:val="24"/>
          <w:highlight w:val="none"/>
        </w:rPr>
        <w:t>(Mpa)</w:t>
      </w:r>
    </w:p>
    <w:tbl>
      <w:tblPr>
        <w:tblStyle w:val="8"/>
        <w:tblW w:w="808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04"/>
        <w:gridCol w:w="2663"/>
        <w:gridCol w:w="25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2904" w:type="dxa"/>
            <w:tcBorders>
              <w:top w:val="single" w:color="auto" w:sz="12"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结构层</w:t>
            </w:r>
          </w:p>
        </w:tc>
        <w:tc>
          <w:tcPr>
            <w:tcW w:w="2663" w:type="dxa"/>
            <w:tcBorders>
              <w:top w:val="single" w:color="auto" w:sz="12" w:space="0"/>
              <w:bottom w:val="single" w:color="auto" w:sz="6"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公路等级</w:t>
            </w:r>
          </w:p>
        </w:tc>
        <w:tc>
          <w:tcPr>
            <w:tcW w:w="2517" w:type="dxa"/>
            <w:tcBorders>
              <w:top w:val="single" w:color="auto" w:sz="12" w:space="0"/>
              <w:bottom w:val="single" w:color="auto" w:sz="6" w:space="0"/>
            </w:tcBorders>
            <w:vAlign w:val="center"/>
          </w:tcPr>
          <w:p>
            <w:pPr>
              <w:widowControl/>
              <w:jc w:val="center"/>
              <w:rPr>
                <w:rFonts w:ascii="宋体" w:hAnsi="宋体"/>
                <w:sz w:val="24"/>
                <w:highlight w:val="none"/>
              </w:rPr>
            </w:pPr>
            <w:r>
              <w:rPr>
                <w:rFonts w:hint="eastAsia" w:ascii="宋体" w:hAnsi="宋体"/>
                <w:sz w:val="24"/>
                <w:highlight w:val="none"/>
              </w:rPr>
              <w:t>中、轻交通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jc w:val="center"/>
        </w:trPr>
        <w:tc>
          <w:tcPr>
            <w:tcW w:w="2904" w:type="dxa"/>
            <w:tcBorders>
              <w:top w:val="single" w:color="auto" w:sz="6" w:space="0"/>
              <w:bottom w:val="single" w:color="auto" w:sz="12"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基层</w:t>
            </w:r>
          </w:p>
        </w:tc>
        <w:tc>
          <w:tcPr>
            <w:tcW w:w="2663" w:type="dxa"/>
            <w:tcBorders>
              <w:top w:val="single" w:color="auto" w:sz="6" w:space="0"/>
              <w:bottom w:val="single" w:color="auto" w:sz="12" w:space="0"/>
            </w:tcBorders>
            <w:shd w:val="clear" w:color="auto" w:fill="auto"/>
            <w:noWrap/>
            <w:vAlign w:val="center"/>
          </w:tcPr>
          <w:p>
            <w:pPr>
              <w:widowControl/>
              <w:jc w:val="center"/>
              <w:rPr>
                <w:rFonts w:ascii="宋体" w:hAnsi="宋体"/>
                <w:sz w:val="24"/>
                <w:highlight w:val="none"/>
              </w:rPr>
            </w:pPr>
            <w:r>
              <w:rPr>
                <w:rFonts w:hint="eastAsia" w:ascii="宋体" w:hAnsi="宋体"/>
                <w:sz w:val="24"/>
                <w:highlight w:val="none"/>
              </w:rPr>
              <w:t>等外</w:t>
            </w:r>
          </w:p>
        </w:tc>
        <w:tc>
          <w:tcPr>
            <w:tcW w:w="2517" w:type="dxa"/>
            <w:tcBorders>
              <w:top w:val="single" w:color="auto" w:sz="6" w:space="0"/>
              <w:bottom w:val="single" w:color="auto" w:sz="12" w:space="0"/>
            </w:tcBorders>
            <w:vAlign w:val="center"/>
          </w:tcPr>
          <w:p>
            <w:pPr>
              <w:widowControl/>
              <w:jc w:val="center"/>
              <w:rPr>
                <w:rFonts w:ascii="宋体" w:hAnsi="宋体"/>
                <w:sz w:val="24"/>
                <w:highlight w:val="none"/>
              </w:rPr>
            </w:pPr>
            <w:r>
              <w:rPr>
                <w:rFonts w:hint="eastAsia" w:ascii="宋体" w:hAnsi="宋体"/>
                <w:sz w:val="24"/>
                <w:highlight w:val="none"/>
              </w:rPr>
              <w:t>2～4</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(2)混合料的配合比</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根据试验结果，本设计推荐的水泥稳定碎石基层配合比: 水泥：碎石＝5：95。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在施工前，施工单位应根据《公路路面基层施工技术细则》(JTG∕T F20-2015)的有关规定进行配合比设计，以选取满足质量要求的、更加经济合理的配合比。水泥稳定碎石配合比的各项试验，应按《公路工程无机结合料稳定材料试验规程》(JTG E51—2009)进行。</w:t>
      </w:r>
    </w:p>
    <w:p>
      <w:pPr>
        <w:spacing w:line="440" w:lineRule="exact"/>
        <w:ind w:firstLine="482" w:firstLineChars="200"/>
        <w:rPr>
          <w:rFonts w:ascii="宋体" w:hAnsi="宋体" w:cs="宋体"/>
          <w:b/>
          <w:bCs/>
          <w:sz w:val="24"/>
          <w:highlight w:val="none"/>
        </w:rPr>
      </w:pPr>
      <w:r>
        <w:rPr>
          <w:rFonts w:ascii="宋体" w:hAnsi="宋体" w:cs="宋体"/>
          <w:b/>
          <w:bCs/>
          <w:sz w:val="24"/>
          <w:highlight w:val="none"/>
        </w:rPr>
        <w:t>4</w:t>
      </w:r>
      <w:r>
        <w:rPr>
          <w:rFonts w:hint="eastAsia" w:ascii="宋体" w:hAnsi="宋体" w:cs="宋体"/>
          <w:b/>
          <w:bCs/>
          <w:sz w:val="24"/>
          <w:highlight w:val="none"/>
        </w:rPr>
        <w:t>.</w:t>
      </w:r>
      <w:r>
        <w:rPr>
          <w:rFonts w:hint="eastAsia" w:ascii="宋体" w:hAnsi="宋体" w:cs="宋体"/>
          <w:b/>
          <w:bCs/>
          <w:sz w:val="24"/>
          <w:highlight w:val="none"/>
          <w:lang w:val="en-US" w:eastAsia="zh-CN"/>
        </w:rPr>
        <w:t>10</w:t>
      </w:r>
      <w:r>
        <w:rPr>
          <w:rFonts w:hint="eastAsia" w:ascii="宋体" w:hAnsi="宋体" w:cs="宋体"/>
          <w:b/>
          <w:bCs/>
          <w:sz w:val="24"/>
          <w:highlight w:val="none"/>
        </w:rPr>
        <w:t>交通安全及交通标志</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pict>
          <v:shape id="_x0000_s1091" o:spid="_x0000_s1091" o:spt="202" type="#_x0000_t202" style="position:absolute;left:0pt;margin-left:1004.55pt;margin-top:-697.7pt;height:51.5pt;width:66.05pt;z-index:2517094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pPr>
                    <w:rPr>
                      <w:rFonts w:ascii="宋体" w:hAnsi="宋体"/>
                      <w:b/>
                      <w:sz w:val="32"/>
                      <w:szCs w:val="32"/>
                    </w:rPr>
                  </w:pPr>
                  <w:r>
                    <w:rPr>
                      <w:rFonts w:hint="eastAsia" w:ascii="宋体" w:hAnsi="宋体"/>
                      <w:b/>
                      <w:sz w:val="32"/>
                      <w:szCs w:val="32"/>
                    </w:rPr>
                    <w:t>004</w:t>
                  </w:r>
                </w:p>
                <w:p>
                  <w:pPr>
                    <w:rPr>
                      <w:rFonts w:ascii="宋体" w:hAnsi="宋体"/>
                      <w:b/>
                      <w:sz w:val="24"/>
                    </w:rPr>
                  </w:pPr>
                  <w:r>
                    <w:rPr>
                      <w:rFonts w:hint="eastAsia" w:ascii="宋体" w:hAnsi="宋体"/>
                      <w:b/>
                      <w:sz w:val="24"/>
                    </w:rPr>
                    <w:t>S1-2</w:t>
                  </w:r>
                </w:p>
                <w:p>
                  <w:pPr>
                    <w:rPr>
                      <w:rFonts w:ascii="宋体" w:hAnsi="宋体"/>
                      <w:b/>
                      <w:sz w:val="32"/>
                      <w:szCs w:val="32"/>
                    </w:rPr>
                  </w:pPr>
                </w:p>
              </w:txbxContent>
            </v:textbox>
          </v:shape>
        </w:pict>
      </w:r>
      <w:r>
        <w:rPr>
          <w:rFonts w:hint="eastAsia" w:ascii="宋体" w:hAnsi="宋体" w:cs="Times New Roman"/>
          <w:spacing w:val="4"/>
          <w:sz w:val="24"/>
          <w:highlight w:val="none"/>
        </w:rPr>
        <w:t>根据《公路交通安全设施设计细则》JTG/T D81-2017规范中设置原则，应将车辆驶出路外的事故影响降至最低，驶出路外车辆碰撞障碍物与碰撞护栏相比，后果更严重。综合考虑周边路网与公路条件、交通条件、气象和环境条件等因素，制定合理的设置标准，根据各种交通标志的功能和驾驶人员的行为特征进行合理设置。</w:t>
      </w:r>
    </w:p>
    <w:p>
      <w:pPr>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本次设计新建警示标志</w:t>
      </w:r>
      <w:r>
        <w:rPr>
          <w:rFonts w:hint="eastAsia" w:ascii="宋体" w:hAnsi="宋体" w:cs="Times New Roman"/>
          <w:spacing w:val="4"/>
          <w:sz w:val="24"/>
          <w:highlight w:val="none"/>
          <w:lang w:val="en-US" w:eastAsia="zh-CN"/>
        </w:rPr>
        <w:t>3</w:t>
      </w:r>
      <w:r>
        <w:rPr>
          <w:rFonts w:hint="eastAsia" w:ascii="宋体" w:hAnsi="宋体" w:cs="Times New Roman"/>
          <w:spacing w:val="4"/>
          <w:sz w:val="24"/>
          <w:highlight w:val="none"/>
        </w:rPr>
        <w:t>处。</w:t>
      </w:r>
    </w:p>
    <w:p>
      <w:pPr>
        <w:spacing w:line="440" w:lineRule="exact"/>
        <w:ind w:firstLine="482" w:firstLineChars="200"/>
        <w:rPr>
          <w:rFonts w:hint="default" w:ascii="宋体" w:hAnsi="宋体" w:cs="宋体"/>
          <w:b/>
          <w:bCs/>
          <w:sz w:val="24"/>
          <w:highlight w:val="none"/>
          <w:lang w:val="en-US" w:eastAsia="zh-CN"/>
        </w:rPr>
      </w:pPr>
      <w:r>
        <w:rPr>
          <w:rFonts w:hint="eastAsia" w:ascii="宋体" w:hAnsi="宋体" w:cs="宋体"/>
          <w:b/>
          <w:bCs/>
          <w:sz w:val="24"/>
          <w:highlight w:val="none"/>
          <w:lang w:val="en-US" w:eastAsia="zh-CN"/>
        </w:rPr>
        <w:t>4.10.1材料要求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反光材料的选择：交通标志采用Ⅳ类反光膜。</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粘贴标志反光膜时应注意其方向性和易读性。</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1、标志版面及支撑杆件</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1)结构尺寸</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①标志板的外形尺寸允许偏差为±5mm。若外形尺寸大于1.2m时，允许偏差为其外形尺寸的±0.5%。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②反光型标志板面应粘贴符合GB/T 18833要求的反光膜以及耐久性与反光膜相匹配的黑膜为面膜。</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③标志底板采用铝合金板制作，并应满足以下要求：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其厚度不应小于1.5mm，大型标志板的厚度应根据设计要求制定。在规定的宽度内，厚度允许偏差应控制在表5-1规定的范围内。</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p>
    <w:tbl>
      <w:tblPr>
        <w:tblStyle w:val="8"/>
        <w:tblW w:w="8941" w:type="dxa"/>
        <w:jc w:val="center"/>
        <w:tblInd w:w="0" w:type="dxa"/>
        <w:tblLayout w:type="fixed"/>
        <w:tblCellMar>
          <w:top w:w="0" w:type="dxa"/>
          <w:left w:w="108" w:type="dxa"/>
          <w:bottom w:w="0" w:type="dxa"/>
          <w:right w:w="108" w:type="dxa"/>
        </w:tblCellMar>
      </w:tblPr>
      <w:tblGrid>
        <w:gridCol w:w="2278"/>
        <w:gridCol w:w="2268"/>
        <w:gridCol w:w="2268"/>
        <w:gridCol w:w="2127"/>
      </w:tblGrid>
      <w:tr>
        <w:tblPrEx>
          <w:tblLayout w:type="fixed"/>
          <w:tblCellMar>
            <w:top w:w="0" w:type="dxa"/>
            <w:left w:w="108" w:type="dxa"/>
            <w:bottom w:w="0" w:type="dxa"/>
            <w:right w:w="108" w:type="dxa"/>
          </w:tblCellMar>
        </w:tblPrEx>
        <w:trPr>
          <w:trHeight w:val="454" w:hRule="atLeast"/>
          <w:jc w:val="center"/>
        </w:trPr>
        <w:tc>
          <w:tcPr>
            <w:tcW w:w="8941" w:type="dxa"/>
            <w:gridSpan w:val="4"/>
            <w:tcBorders>
              <w:bottom w:val="single" w:color="auto" w:sz="12" w:space="0"/>
            </w:tcBorders>
            <w:noWrap/>
            <w:vAlign w:val="center"/>
          </w:tcPr>
          <w:p>
            <w:pPr>
              <w:widowControl/>
              <w:spacing w:line="360" w:lineRule="auto"/>
              <w:jc w:val="center"/>
              <w:rPr>
                <w:rFonts w:ascii="宋体" w:hAnsi="宋体"/>
                <w:sz w:val="24"/>
                <w:szCs w:val="24"/>
                <w:highlight w:val="none"/>
              </w:rPr>
            </w:pPr>
            <w:r>
              <w:rPr>
                <w:rFonts w:hint="eastAsia" w:ascii="宋体" w:hAnsi="宋体"/>
                <w:sz w:val="24"/>
                <w:szCs w:val="24"/>
                <w:highlight w:val="none"/>
              </w:rPr>
              <w:t>表5-</w:t>
            </w:r>
            <w:r>
              <w:rPr>
                <w:rFonts w:ascii="宋体" w:hAnsi="宋体"/>
                <w:sz w:val="24"/>
                <w:szCs w:val="24"/>
                <w:highlight w:val="none"/>
              </w:rPr>
              <w:t xml:space="preserve">1   </w:t>
            </w:r>
            <w:r>
              <w:rPr>
                <w:rFonts w:hint="eastAsia" w:ascii="宋体" w:hAnsi="宋体"/>
                <w:sz w:val="24"/>
                <w:szCs w:val="24"/>
                <w:highlight w:val="none"/>
              </w:rPr>
              <w:t>铝合金标志底板厚度允许偏差</w:t>
            </w:r>
            <w:r>
              <w:rPr>
                <w:rFonts w:ascii="宋体" w:hAnsi="宋体"/>
                <w:sz w:val="24"/>
                <w:szCs w:val="24"/>
                <w:highlight w:val="none"/>
              </w:rPr>
              <w:t xml:space="preserve">         </w:t>
            </w:r>
            <w:r>
              <w:rPr>
                <w:rFonts w:hint="eastAsia" w:ascii="宋体" w:hAnsi="宋体"/>
                <w:sz w:val="24"/>
                <w:szCs w:val="24"/>
                <w:highlight w:val="none"/>
              </w:rPr>
              <w:t>单位为毫米</w:t>
            </w:r>
          </w:p>
        </w:tc>
      </w:tr>
      <w:tr>
        <w:tblPrEx>
          <w:tblLayout w:type="fixed"/>
          <w:tblCellMar>
            <w:top w:w="0" w:type="dxa"/>
            <w:left w:w="108" w:type="dxa"/>
            <w:bottom w:w="0" w:type="dxa"/>
            <w:right w:w="108" w:type="dxa"/>
          </w:tblCellMar>
        </w:tblPrEx>
        <w:trPr>
          <w:trHeight w:val="385" w:hRule="atLeast"/>
          <w:jc w:val="center"/>
        </w:trPr>
        <w:tc>
          <w:tcPr>
            <w:tcW w:w="2278" w:type="dxa"/>
            <w:vMerge w:val="restart"/>
            <w:tcBorders>
              <w:top w:val="single" w:color="auto" w:sz="12" w:space="0"/>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厚度</w:t>
            </w:r>
            <w:r>
              <w:rPr>
                <w:rFonts w:ascii="宋体" w:hAnsi="宋体"/>
                <w:sz w:val="21"/>
                <w:szCs w:val="21"/>
                <w:highlight w:val="none"/>
              </w:rPr>
              <w:t>H</w:t>
            </w:r>
          </w:p>
        </w:tc>
        <w:tc>
          <w:tcPr>
            <w:tcW w:w="6663" w:type="dxa"/>
            <w:gridSpan w:val="3"/>
            <w:tcBorders>
              <w:top w:val="single" w:color="auto" w:sz="12" w:space="0"/>
              <w:left w:val="single" w:color="auto" w:sz="6" w:space="0"/>
              <w:bottom w:val="single" w:color="auto" w:sz="6" w:space="0"/>
              <w:right w:val="single" w:color="auto" w:sz="12"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规定的宽度</w:t>
            </w:r>
            <w:r>
              <w:rPr>
                <w:rFonts w:ascii="宋体" w:hAnsi="宋体"/>
                <w:sz w:val="21"/>
                <w:szCs w:val="21"/>
                <w:highlight w:val="none"/>
              </w:rPr>
              <w:t>W</w:t>
            </w:r>
          </w:p>
        </w:tc>
      </w:tr>
      <w:tr>
        <w:tblPrEx>
          <w:tblLayout w:type="fixed"/>
          <w:tblCellMar>
            <w:top w:w="0" w:type="dxa"/>
            <w:left w:w="108" w:type="dxa"/>
            <w:bottom w:w="0" w:type="dxa"/>
            <w:right w:w="108" w:type="dxa"/>
          </w:tblCellMar>
        </w:tblPrEx>
        <w:trPr>
          <w:trHeight w:val="372" w:hRule="atLeast"/>
          <w:jc w:val="center"/>
        </w:trPr>
        <w:tc>
          <w:tcPr>
            <w:tcW w:w="2278"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spacing w:line="360" w:lineRule="auto"/>
              <w:jc w:val="center"/>
              <w:rPr>
                <w:rFonts w:ascii="宋体" w:hAnsi="宋体"/>
                <w:sz w:val="21"/>
                <w:szCs w:val="21"/>
                <w:highlight w:val="none"/>
              </w:rPr>
            </w:pP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W</w:t>
            </w:r>
            <w:r>
              <w:rPr>
                <w:rFonts w:hint="eastAsia" w:ascii="宋体" w:hAnsi="宋体"/>
                <w:sz w:val="21"/>
                <w:szCs w:val="21"/>
                <w:highlight w:val="none"/>
              </w:rPr>
              <w:t>≤</w:t>
            </w:r>
            <w:r>
              <w:rPr>
                <w:rFonts w:ascii="宋体" w:hAnsi="宋体"/>
                <w:sz w:val="21"/>
                <w:szCs w:val="21"/>
                <w:highlight w:val="none"/>
              </w:rPr>
              <w:t>1000</w:t>
            </w: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1000</w:t>
            </w:r>
            <w:r>
              <w:rPr>
                <w:rFonts w:hint="eastAsia" w:ascii="宋体" w:hAnsi="宋体"/>
                <w:sz w:val="21"/>
                <w:szCs w:val="21"/>
                <w:highlight w:val="none"/>
              </w:rPr>
              <w:t>＜</w:t>
            </w:r>
            <w:r>
              <w:rPr>
                <w:rFonts w:ascii="宋体" w:hAnsi="宋体"/>
                <w:sz w:val="21"/>
                <w:szCs w:val="21"/>
                <w:highlight w:val="none"/>
              </w:rPr>
              <w:t>W</w:t>
            </w:r>
            <w:r>
              <w:rPr>
                <w:rFonts w:hint="eastAsia" w:ascii="宋体" w:hAnsi="宋体"/>
                <w:sz w:val="21"/>
                <w:szCs w:val="21"/>
                <w:highlight w:val="none"/>
              </w:rPr>
              <w:t>≤</w:t>
            </w:r>
            <w:r>
              <w:rPr>
                <w:rFonts w:ascii="宋体" w:hAnsi="宋体"/>
                <w:sz w:val="21"/>
                <w:szCs w:val="21"/>
                <w:highlight w:val="none"/>
              </w:rPr>
              <w:t>1600</w:t>
            </w:r>
          </w:p>
        </w:tc>
        <w:tc>
          <w:tcPr>
            <w:tcW w:w="2127" w:type="dxa"/>
            <w:tcBorders>
              <w:top w:val="single" w:color="auto" w:sz="6" w:space="0"/>
              <w:left w:val="single" w:color="auto" w:sz="6" w:space="0"/>
              <w:bottom w:val="single" w:color="auto" w:sz="6" w:space="0"/>
              <w:right w:val="single" w:color="auto" w:sz="12"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1600</w:t>
            </w:r>
            <w:r>
              <w:rPr>
                <w:rFonts w:hint="eastAsia" w:ascii="宋体" w:hAnsi="宋体"/>
                <w:sz w:val="21"/>
                <w:szCs w:val="21"/>
                <w:highlight w:val="none"/>
              </w:rPr>
              <w:t>＜</w:t>
            </w:r>
            <w:r>
              <w:rPr>
                <w:rFonts w:ascii="宋体" w:hAnsi="宋体"/>
                <w:sz w:val="21"/>
                <w:szCs w:val="21"/>
                <w:highlight w:val="none"/>
              </w:rPr>
              <w:t>W</w:t>
            </w:r>
            <w:r>
              <w:rPr>
                <w:rFonts w:hint="eastAsia" w:ascii="宋体" w:hAnsi="宋体"/>
                <w:sz w:val="21"/>
                <w:szCs w:val="21"/>
                <w:highlight w:val="none"/>
              </w:rPr>
              <w:t>≤</w:t>
            </w:r>
            <w:r>
              <w:rPr>
                <w:rFonts w:ascii="宋体" w:hAnsi="宋体"/>
                <w:sz w:val="21"/>
                <w:szCs w:val="21"/>
                <w:highlight w:val="none"/>
              </w:rPr>
              <w:t>2500</w:t>
            </w:r>
          </w:p>
        </w:tc>
      </w:tr>
      <w:tr>
        <w:tblPrEx>
          <w:tblLayout w:type="fixed"/>
          <w:tblCellMar>
            <w:top w:w="0" w:type="dxa"/>
            <w:left w:w="108" w:type="dxa"/>
            <w:bottom w:w="0" w:type="dxa"/>
            <w:right w:w="108" w:type="dxa"/>
          </w:tblCellMar>
        </w:tblPrEx>
        <w:trPr>
          <w:trHeight w:val="344" w:hRule="atLeast"/>
          <w:jc w:val="center"/>
        </w:trPr>
        <w:tc>
          <w:tcPr>
            <w:tcW w:w="2278" w:type="dxa"/>
            <w:tcBorders>
              <w:top w:val="single" w:color="auto" w:sz="6" w:space="0"/>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1.2</w:t>
            </w:r>
            <w:r>
              <w:rPr>
                <w:rFonts w:hint="eastAsia" w:ascii="宋体" w:hAnsi="宋体"/>
                <w:sz w:val="21"/>
                <w:szCs w:val="21"/>
                <w:highlight w:val="none"/>
              </w:rPr>
              <w:t>＜</w:t>
            </w:r>
            <w:r>
              <w:rPr>
                <w:rFonts w:ascii="宋体" w:hAnsi="宋体"/>
                <w:sz w:val="21"/>
                <w:szCs w:val="21"/>
                <w:highlight w:val="none"/>
              </w:rPr>
              <w:t>H</w:t>
            </w:r>
            <w:r>
              <w:rPr>
                <w:rFonts w:hint="eastAsia" w:ascii="宋体" w:hAnsi="宋体"/>
                <w:sz w:val="21"/>
                <w:szCs w:val="21"/>
                <w:highlight w:val="none"/>
              </w:rPr>
              <w:t>≤</w:t>
            </w:r>
            <w:r>
              <w:rPr>
                <w:rFonts w:ascii="宋体" w:hAnsi="宋体"/>
                <w:sz w:val="21"/>
                <w:szCs w:val="21"/>
                <w:highlight w:val="none"/>
              </w:rPr>
              <w:t>2.0</w:t>
            </w: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0.10</w:t>
            </w: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0.13</w:t>
            </w:r>
          </w:p>
        </w:tc>
        <w:tc>
          <w:tcPr>
            <w:tcW w:w="2127" w:type="dxa"/>
            <w:tcBorders>
              <w:top w:val="single" w:color="auto" w:sz="6" w:space="0"/>
              <w:left w:val="single" w:color="auto" w:sz="6" w:space="0"/>
              <w:bottom w:val="single" w:color="auto" w:sz="6" w:space="0"/>
              <w:right w:val="single" w:color="auto" w:sz="12"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0.15</w:t>
            </w:r>
          </w:p>
        </w:tc>
      </w:tr>
      <w:tr>
        <w:tblPrEx>
          <w:tblLayout w:type="fixed"/>
          <w:tblCellMar>
            <w:top w:w="0" w:type="dxa"/>
            <w:left w:w="108" w:type="dxa"/>
            <w:bottom w:w="0" w:type="dxa"/>
            <w:right w:w="108" w:type="dxa"/>
          </w:tblCellMar>
        </w:tblPrEx>
        <w:trPr>
          <w:trHeight w:val="397" w:hRule="atLeast"/>
          <w:jc w:val="center"/>
        </w:trPr>
        <w:tc>
          <w:tcPr>
            <w:tcW w:w="2278" w:type="dxa"/>
            <w:tcBorders>
              <w:top w:val="single" w:color="auto" w:sz="6" w:space="0"/>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2.0</w:t>
            </w:r>
            <w:r>
              <w:rPr>
                <w:rFonts w:hint="eastAsia" w:ascii="宋体" w:hAnsi="宋体"/>
                <w:sz w:val="21"/>
                <w:szCs w:val="21"/>
                <w:highlight w:val="none"/>
              </w:rPr>
              <w:t>＜</w:t>
            </w:r>
            <w:r>
              <w:rPr>
                <w:rFonts w:ascii="宋体" w:hAnsi="宋体"/>
                <w:sz w:val="21"/>
                <w:szCs w:val="21"/>
                <w:highlight w:val="none"/>
              </w:rPr>
              <w:t>H</w:t>
            </w:r>
            <w:r>
              <w:rPr>
                <w:rFonts w:hint="eastAsia" w:ascii="宋体" w:hAnsi="宋体"/>
                <w:sz w:val="21"/>
                <w:szCs w:val="21"/>
                <w:highlight w:val="none"/>
              </w:rPr>
              <w:t>≤</w:t>
            </w:r>
            <w:r>
              <w:rPr>
                <w:rFonts w:ascii="宋体" w:hAnsi="宋体"/>
                <w:sz w:val="21"/>
                <w:szCs w:val="21"/>
                <w:highlight w:val="none"/>
              </w:rPr>
              <w:t>2.5</w:t>
            </w: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0.13</w:t>
            </w:r>
          </w:p>
        </w:tc>
        <w:tc>
          <w:tcPr>
            <w:tcW w:w="2268"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0.15</w:t>
            </w:r>
          </w:p>
        </w:tc>
        <w:tc>
          <w:tcPr>
            <w:tcW w:w="2127" w:type="dxa"/>
            <w:tcBorders>
              <w:top w:val="single" w:color="auto" w:sz="6" w:space="0"/>
              <w:left w:val="single" w:color="auto" w:sz="6" w:space="0"/>
              <w:bottom w:val="single" w:color="auto" w:sz="6" w:space="0"/>
              <w:right w:val="single" w:color="auto" w:sz="12"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0.16</w:t>
            </w:r>
          </w:p>
        </w:tc>
      </w:tr>
      <w:tr>
        <w:tblPrEx>
          <w:tblLayout w:type="fixed"/>
          <w:tblCellMar>
            <w:top w:w="0" w:type="dxa"/>
            <w:left w:w="108" w:type="dxa"/>
            <w:bottom w:w="0" w:type="dxa"/>
            <w:right w:w="108" w:type="dxa"/>
          </w:tblCellMar>
        </w:tblPrEx>
        <w:trPr>
          <w:trHeight w:val="397" w:hRule="atLeast"/>
          <w:jc w:val="center"/>
        </w:trPr>
        <w:tc>
          <w:tcPr>
            <w:tcW w:w="2278" w:type="dxa"/>
            <w:tcBorders>
              <w:top w:val="single" w:color="auto" w:sz="6" w:space="0"/>
              <w:left w:val="single" w:color="auto" w:sz="12" w:space="0"/>
              <w:bottom w:val="single" w:color="auto" w:sz="12" w:space="0"/>
              <w:right w:val="single" w:color="auto" w:sz="6" w:space="0"/>
            </w:tcBorders>
            <w:noWrap/>
            <w:vAlign w:val="center"/>
          </w:tcPr>
          <w:p>
            <w:pPr>
              <w:widowControl/>
              <w:spacing w:line="360" w:lineRule="auto"/>
              <w:jc w:val="center"/>
              <w:rPr>
                <w:rFonts w:ascii="宋体" w:hAnsi="宋体"/>
                <w:sz w:val="21"/>
                <w:szCs w:val="21"/>
                <w:highlight w:val="none"/>
              </w:rPr>
            </w:pPr>
            <w:r>
              <w:rPr>
                <w:rFonts w:ascii="宋体" w:hAnsi="宋体"/>
                <w:sz w:val="21"/>
                <w:szCs w:val="21"/>
                <w:highlight w:val="none"/>
              </w:rPr>
              <w:t>2.5</w:t>
            </w:r>
            <w:r>
              <w:rPr>
                <w:rFonts w:hint="eastAsia" w:ascii="宋体" w:hAnsi="宋体"/>
                <w:sz w:val="21"/>
                <w:szCs w:val="21"/>
                <w:highlight w:val="none"/>
              </w:rPr>
              <w:t>＜</w:t>
            </w:r>
            <w:r>
              <w:rPr>
                <w:rFonts w:ascii="宋体" w:hAnsi="宋体"/>
                <w:sz w:val="21"/>
                <w:szCs w:val="21"/>
                <w:highlight w:val="none"/>
              </w:rPr>
              <w:t>H</w:t>
            </w:r>
            <w:r>
              <w:rPr>
                <w:rFonts w:hint="eastAsia" w:ascii="宋体" w:hAnsi="宋体"/>
                <w:sz w:val="21"/>
                <w:szCs w:val="21"/>
                <w:highlight w:val="none"/>
              </w:rPr>
              <w:t>≤</w:t>
            </w:r>
            <w:r>
              <w:rPr>
                <w:rFonts w:ascii="宋体" w:hAnsi="宋体"/>
                <w:sz w:val="21"/>
                <w:szCs w:val="21"/>
                <w:highlight w:val="none"/>
              </w:rPr>
              <w:t>3.0</w:t>
            </w:r>
          </w:p>
        </w:tc>
        <w:tc>
          <w:tcPr>
            <w:tcW w:w="2268" w:type="dxa"/>
            <w:tcBorders>
              <w:top w:val="single" w:color="auto" w:sz="6" w:space="0"/>
              <w:left w:val="single" w:color="auto" w:sz="6" w:space="0"/>
              <w:bottom w:val="single" w:color="auto" w:sz="12"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0.15</w:t>
            </w:r>
          </w:p>
        </w:tc>
        <w:tc>
          <w:tcPr>
            <w:tcW w:w="2268" w:type="dxa"/>
            <w:tcBorders>
              <w:top w:val="single" w:color="auto" w:sz="6" w:space="0"/>
              <w:left w:val="single" w:color="auto" w:sz="6" w:space="0"/>
              <w:bottom w:val="single" w:color="auto" w:sz="12" w:space="0"/>
              <w:right w:val="single" w:color="auto" w:sz="6"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0.17</w:t>
            </w:r>
          </w:p>
        </w:tc>
        <w:tc>
          <w:tcPr>
            <w:tcW w:w="2127" w:type="dxa"/>
            <w:tcBorders>
              <w:top w:val="single" w:color="auto" w:sz="6" w:space="0"/>
              <w:left w:val="single" w:color="auto" w:sz="6" w:space="0"/>
              <w:bottom w:val="single" w:color="auto" w:sz="12" w:space="0"/>
              <w:right w:val="single" w:color="auto" w:sz="12" w:space="0"/>
            </w:tcBorders>
            <w:noWrap/>
            <w:vAlign w:val="center"/>
          </w:tcPr>
          <w:p>
            <w:pPr>
              <w:widowControl/>
              <w:spacing w:line="360" w:lineRule="auto"/>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0.18</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标志底板尽可能使用最大尺寸制作，减少接缝。标志底板边缘应进行卷边加固，卷边型式可按照图5-1。</w:t>
      </w:r>
    </w:p>
    <w:p>
      <w:pPr>
        <w:jc w:val="center"/>
        <w:rPr>
          <w:rFonts w:ascii="宋体" w:hAnsi="宋体"/>
          <w:sz w:val="24"/>
          <w:szCs w:val="24"/>
          <w:highlight w:val="none"/>
        </w:rPr>
      </w:pPr>
      <w:r>
        <w:rPr>
          <w:rFonts w:hint="eastAsia" w:ascii="宋体" w:hAnsi="宋体"/>
          <w:sz w:val="24"/>
          <w:szCs w:val="24"/>
          <w:highlight w:val="none"/>
        </w:rPr>
        <w:drawing>
          <wp:inline distT="0" distB="0" distL="114300" distR="114300">
            <wp:extent cx="5934075" cy="1833880"/>
            <wp:effectExtent l="0" t="0" r="9525" b="13970"/>
            <wp:docPr id="1"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
                    <pic:cNvPicPr>
                      <a:picLocks noChangeAspect="1"/>
                    </pic:cNvPicPr>
                  </pic:nvPicPr>
                  <pic:blipFill>
                    <a:blip r:embed="rId6"/>
                    <a:stretch>
                      <a:fillRect/>
                    </a:stretch>
                  </pic:blipFill>
                  <pic:spPr>
                    <a:xfrm>
                      <a:off x="0" y="0"/>
                      <a:ext cx="5934075" cy="1833880"/>
                    </a:xfrm>
                    <a:prstGeom prst="rect">
                      <a:avLst/>
                    </a:prstGeom>
                    <a:noFill/>
                    <a:ln>
                      <a:noFill/>
                    </a:ln>
                  </pic:spPr>
                </pic:pic>
              </a:graphicData>
            </a:graphic>
          </wp:inline>
        </w:drawing>
      </w:r>
    </w:p>
    <w:p>
      <w:pPr>
        <w:ind w:firstLine="480" w:firstLineChars="200"/>
        <w:jc w:val="center"/>
        <w:rPr>
          <w:rFonts w:ascii="宋体" w:hAnsi="宋体"/>
          <w:sz w:val="24"/>
          <w:szCs w:val="24"/>
          <w:highlight w:val="none"/>
        </w:rPr>
      </w:pPr>
      <w:r>
        <w:rPr>
          <w:rFonts w:hint="eastAsia" w:ascii="宋体" w:hAnsi="宋体"/>
          <w:sz w:val="24"/>
          <w:szCs w:val="24"/>
          <w:highlight w:val="none"/>
        </w:rPr>
        <w:t>图5-1标志板卷边型式图</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对标志底板的边缘和尖角应适当倒棱，使之呈圆滑状。</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④可选用型铝、型钢等滑槽对标志底板进行加固，加固方式和滑槽尺寸应符合设计要求。标志底板与滑槽的加固连接可采用铆接、焊接或其他工艺方法，且满足下列要求：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a)使用铝合金板制作标志底板时，应使用沉头铆钉连接。铆接间距应均匀一致，一般应为150mm±50mm，且滑槽端部应加强铆接以分散应力。铆钉形状应符合GB/T 869的要求，直径不应小于4mm，并与标志底板及滑槽相匹配。</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标志底板与滑槽的焊接工艺质量应稳定可靠，无漏焊、虚焊等现象，焊接强度应均匀，焊接强度值不低于同类材料采用铆钉连接时的强度要求；其他工艺连接方法应经证实安全可行，并提供相应的检测报告方可使用。</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⑤标志立柱一般为钢管。标志立柱的形状和尺寸应符合设计要求。无缝钢管的外径、厚度、弯曲度应符合GB/T 8162的要求。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⑥标志立柱为钢构件时，顶部应加盖柱帽。柱帽结构尺寸应符合设计要求。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⑦标志板与立柱的连接可采用抱箍夹紧式，其结构尺寸应符合材料和设计要求。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2)外观质量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①标志板的字符、图形等应符合GB 5768.2的规定。在同一块标志板上，标志底板和标志板面所采用的各种材料应具有相容性，不应因电化学作用、不同的热膨胀系数或其他化学反应等造成标志板的锈蚀或其他损坏。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②标志板面不应存在以下缺陷：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 裂纹、起皱、边缘剥离。</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b)明显的气泡、划痕以及各种损伤。</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c)颜色不均匀。</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d)逆反射性能不均匀。</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③标志板应平整，表面无明显凹痕或变形，板面不平度不应大于7mm/m。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④反光型标志板的面膜拼接应符合以下要求: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a)面膜应尽可能减少拼接，当标志板的长度或宽度、直径小于面膜产品最大宽度时，不应有拼接缝。</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当粘贴面膜无法避免接缝时，应使用面膜产品的最大宽度进行拼接。接缝以搭接为主,且应为上搭下，重叠部分不应小于5mm。当需要丝网印刷时，可采用平接，其间隙不应超过1mm。距标志板边缘5cm之内，不得有贯通的拼接缝。</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⑤支撑件应表面光洁，颜色均匀一致，不应有破损、变形、锈蚀、漏镀及各种焊缝缺陷。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3)钢构件防腐层质量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采用钢构件制作的支撑件，其防腐层质量应符合GB/T 18226的要求，其中采用单一热浸镀锌处理时，热浸镀锌量应满足以下规定: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a)标志底板、滑槽、立柱、横梁、法兰盘等大型构件，其镀锌量不低于600g/</w:t>
      </w:r>
      <w:r>
        <w:rPr>
          <w:rFonts w:hint="eastAsia" w:ascii="宋体" w:hAnsi="宋体" w:cs="Times New Roman"/>
          <w:spacing w:val="4"/>
          <w:sz w:val="24"/>
          <w:highlight w:val="none"/>
          <w:lang w:val="en-US" w:eastAsia="zh-CN"/>
        </w:rPr>
        <w:t>㎡</w:t>
      </w:r>
      <w:r>
        <w:rPr>
          <w:rFonts w:hint="eastAsia" w:ascii="宋体" w:hAnsi="宋体" w:cs="Times New Roman"/>
          <w:spacing w:val="4"/>
          <w:sz w:val="24"/>
          <w:highlight w:val="none"/>
        </w:rPr>
        <w:t>。</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b)抱箍、紧固件等小型构件，其镀锌量不低于350g/</w:t>
      </w:r>
      <w:r>
        <w:rPr>
          <w:rFonts w:hint="eastAsia" w:ascii="宋体" w:hAnsi="宋体" w:cs="Times New Roman"/>
          <w:spacing w:val="4"/>
          <w:sz w:val="24"/>
          <w:highlight w:val="none"/>
          <w:lang w:val="en-US" w:eastAsia="zh-CN"/>
        </w:rPr>
        <w:t>㎡</w:t>
      </w:r>
      <w:r>
        <w:rPr>
          <w:rFonts w:hint="eastAsia" w:ascii="宋体" w:hAnsi="宋体" w:cs="Times New Roman"/>
          <w:spacing w:val="4"/>
          <w:sz w:val="24"/>
          <w:highlight w:val="none"/>
        </w:rPr>
        <w:t>。</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4)材料的力学性能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①标志底板</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制作标志底板的材料，其力学性能应符合以下要求: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a)用于标志底板的铝合金板材，其力学性能应满足GB/T 3880.2的规定。用于技术等级较高的道路时，标志底板应采用牌号为3003的铝合金板材；大型标志板应采用牌号为3004或3104的铝合金板材。</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b)制作标志底板及滑槽的挤压成型铝合金型材，应满足GB/T 6892的规定，同时应具有轻质、高强、耐蚀、耐磨、刚度大等特点，经拼装后能满足大型标志板的性能要求。应采用综合性能等于或优于牌号2024的铝合金型材。</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②支撑件</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立柱、横梁、法兰盘、抱箍、紧固件等支撑件的力学性能，应符合GB/T 8162、GB/T 13793、GB/T 700及有关设计要求。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5)标志板面色度性能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反光型标志版面的逆反射材料色（包括丝网印刷后），应符合GB/T 18833中表面色或逆反射色的要求。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6)反光型标志板面光度性能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标志板面为反光膜时，其板面逆反射系数值不应低于GB/T 18833中的相应规定。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7)标志板抗冲击性能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抗冲击试验后，标志板在冲击点以外，不应出现裂缝、层间脱落或其他损坏。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8)标志板耐盐雾腐蚀性能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耐盐雾腐蚀试验后，标志板及支撑构件不应有变色或被侵蚀等破坏痕迹。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9)标志板耐高低温性能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耐高低温试验后，标志板不应出现裂缝、软化、剥落、皱纹、起泡、翘曲或外观不均匀等痕迹。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10)标志板耐候性能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连续自然暴露或人工加速老化试验后：</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a）标志板应无裂缝、刻痕、凹陷、气泡、侵蚀、剥离、粉化、变形等破坏，从任何一边不应出现超过0.8mm的收缩，也不应出现反光膜从标志底板边缘翘曲或脱离的现象。</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b）标志板各种颜色的色品坐标及亮度因数应保持在表2规定的范围内或满足GB/T 18833的规定。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c）标志板面为反光膜时，在观测角为0.2°、入射角为-4°的条件下，其逆反射系数值应符合GB/T 18833的要求。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11)标志板面与标志底板的附着性能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反光膜及黑膜在5min后的剥离长度不应大于20mm。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涂料对标志底板的附着性能应达到GB/T 1720中三级以上的要求。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12)标志板面油墨与反光膜的附着性能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标志板面上油墨与反光膜的附着牢度应大于或等于95%。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2、标志反光膜</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1）一般要求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a）反光膜通常应以成卷的形式供货。反光膜应均匀、平整、紧密地缠绕在一起刚性的圆芯上，不应有变形、缺损、边缘不齐或夹杂无关材料等缺陷。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b）每卷反光膜长度一般不小于45.72m。整卷反光膜宽度方向不能拼接，长度方向的接头不应超过3处，并在成卷膜的边缘可看到拼接处。每拼接一处应留出0.5m反光膜的富余量。每段反光膜的连续长度不应小于10m。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c)反光膜应具有颜色的可印刷性能，常温环境下采用与反光膜相匹配的油墨及印刷方式，可对反光膜进行各种颜色的印刷。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d)除白色以外的其他各种颜色的反光膜，也可通过将彩色透明面膜（称“电刻膜”）贴覆在白色反光膜上的方式形成。</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2)外观质量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反光膜应有平滑、洁净的外表面，不应有明显的划痕、条纹、气泡、颜色及逆反射不均匀等缺陷，其防粘纸不应有气泡、皱折、污点或杂物等缺陷。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3)光度性能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a)反光膜的光度性能以逆反射系数表述，各类反光膜（包括丝网印刷和贴覆电刻膜后的反光膜，以下同），其逆反射系数RA值不应低于表5-2给出的相应类别的规定。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b)反光膜如不具备旋转均匀性，即在不同旋转角条件下的光度性能存在差异时，制造商应沿其逆反射系数值较大方向做出基准标记。</w:t>
      </w:r>
    </w:p>
    <w:p>
      <w:pPr>
        <w:jc w:val="center"/>
        <w:rPr>
          <w:rFonts w:hint="eastAsia" w:ascii="宋体" w:hAnsi="宋体"/>
          <w:sz w:val="24"/>
          <w:szCs w:val="24"/>
          <w:highlight w:val="none"/>
        </w:rPr>
      </w:pPr>
      <w:r>
        <w:rPr>
          <w:rFonts w:hint="eastAsia" w:ascii="宋体" w:hAnsi="宋体"/>
          <w:sz w:val="24"/>
          <w:szCs w:val="24"/>
          <w:highlight w:val="none"/>
        </w:rPr>
        <w:t>表5-2   Ⅳ类反光膜</w:t>
      </w:r>
    </w:p>
    <w:tbl>
      <w:tblPr>
        <w:tblStyle w:val="8"/>
        <w:tblW w:w="1410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42"/>
        <w:gridCol w:w="1176"/>
        <w:gridCol w:w="1087"/>
        <w:gridCol w:w="1090"/>
        <w:gridCol w:w="1087"/>
        <w:gridCol w:w="1090"/>
        <w:gridCol w:w="1087"/>
        <w:gridCol w:w="1089"/>
        <w:gridCol w:w="1090"/>
        <w:gridCol w:w="1609"/>
        <w:gridCol w:w="1275"/>
        <w:gridCol w:w="12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观测角</w:t>
            </w:r>
          </w:p>
        </w:tc>
        <w:tc>
          <w:tcPr>
            <w:tcW w:w="1176"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入射角</w:t>
            </w:r>
          </w:p>
        </w:tc>
        <w:tc>
          <w:tcPr>
            <w:tcW w:w="11790" w:type="dxa"/>
            <w:gridSpan w:val="10"/>
            <w:noWrap w:val="0"/>
            <w:vAlign w:val="center"/>
          </w:tcPr>
          <w:p>
            <w:pPr>
              <w:jc w:val="center"/>
              <w:rPr>
                <w:rFonts w:hint="eastAsia" w:ascii="宋体" w:hAnsi="宋体"/>
                <w:sz w:val="20"/>
                <w:highlight w:val="none"/>
              </w:rPr>
            </w:pPr>
            <w:r>
              <w:rPr>
                <w:rFonts w:hint="eastAsia" w:ascii="宋体" w:hAnsi="宋体"/>
                <w:sz w:val="20"/>
                <w:highlight w:val="none"/>
              </w:rPr>
              <w:t>最小逆反射系数 R</w:t>
            </w:r>
            <w:r>
              <w:rPr>
                <w:rFonts w:hint="eastAsia" w:ascii="宋体" w:hAnsi="宋体"/>
                <w:sz w:val="20"/>
                <w:highlight w:val="none"/>
                <w:vertAlign w:val="subscript"/>
              </w:rPr>
              <w:t>A</w:t>
            </w:r>
            <w:r>
              <w:rPr>
                <w:rFonts w:hint="eastAsia" w:ascii="宋体" w:hAnsi="宋体"/>
                <w:sz w:val="20"/>
                <w:highlight w:val="none"/>
              </w:rPr>
              <w:t>/(cd·lx</w:t>
            </w:r>
            <w:r>
              <w:rPr>
                <w:rFonts w:hint="eastAsia" w:ascii="宋体" w:hAnsi="宋体"/>
                <w:sz w:val="20"/>
                <w:highlight w:val="none"/>
                <w:vertAlign w:val="superscript"/>
              </w:rPr>
              <w:t>-1</w:t>
            </w:r>
            <w:r>
              <w:rPr>
                <w:rFonts w:hint="eastAsia" w:ascii="宋体" w:hAnsi="宋体"/>
                <w:sz w:val="20"/>
                <w:highlight w:val="none"/>
              </w:rPr>
              <w:t>·m</w:t>
            </w:r>
            <w:r>
              <w:rPr>
                <w:rFonts w:hint="eastAsia" w:ascii="宋体" w:hAnsi="宋体"/>
                <w:sz w:val="20"/>
                <w:highlight w:val="none"/>
                <w:vertAlign w:val="superscript"/>
              </w:rPr>
              <w:t>-2</w:t>
            </w:r>
            <w:r>
              <w:rPr>
                <w:rFonts w:hint="eastAsia" w:ascii="宋体" w:hAnsi="宋体"/>
                <w:sz w:val="20"/>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3" w:hRule="atLeast"/>
        </w:trPr>
        <w:tc>
          <w:tcPr>
            <w:tcW w:w="1142" w:type="dxa"/>
            <w:vMerge w:val="continue"/>
            <w:noWrap w:val="0"/>
            <w:vAlign w:val="center"/>
          </w:tcPr>
          <w:p>
            <w:pPr>
              <w:jc w:val="center"/>
              <w:rPr>
                <w:rFonts w:hint="eastAsia" w:ascii="宋体" w:hAnsi="宋体"/>
                <w:sz w:val="20"/>
                <w:highlight w:val="none"/>
              </w:rPr>
            </w:pPr>
          </w:p>
        </w:tc>
        <w:tc>
          <w:tcPr>
            <w:tcW w:w="1176" w:type="dxa"/>
            <w:vMerge w:val="continue"/>
            <w:noWrap w:val="0"/>
            <w:vAlign w:val="center"/>
          </w:tcPr>
          <w:p>
            <w:pPr>
              <w:jc w:val="center"/>
              <w:rPr>
                <w:rFonts w:hint="eastAsia" w:ascii="宋体" w:hAnsi="宋体"/>
                <w:sz w:val="20"/>
                <w:highlight w:val="none"/>
              </w:rPr>
            </w:pP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白色</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黄色</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橙色</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红色</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绿色</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蓝色</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棕色</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荧光黄绿</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荧光黄</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荧光橙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0.2°</w:t>
            </w:r>
          </w:p>
        </w:tc>
        <w:tc>
          <w:tcPr>
            <w:tcW w:w="1176" w:type="dxa"/>
            <w:noWrap w:val="0"/>
            <w:vAlign w:val="center"/>
          </w:tcPr>
          <w:p>
            <w:pPr>
              <w:jc w:val="right"/>
              <w:rPr>
                <w:rFonts w:ascii="宋体" w:hAnsi="宋体"/>
                <w:sz w:val="20"/>
                <w:highlight w:val="none"/>
              </w:rPr>
            </w:pPr>
            <w:r>
              <w:rPr>
                <w:rFonts w:hint="eastAsia" w:ascii="宋体" w:hAnsi="宋体"/>
                <w:sz w:val="20"/>
                <w:highlight w:val="none"/>
              </w:rPr>
              <w:t>—4°</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360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270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145</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65</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50</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30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18</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290</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220</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105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jc w:val="cente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ascii="宋体" w:hAnsi="宋体"/>
                <w:sz w:val="20"/>
                <w:highlight w:val="none"/>
              </w:rPr>
              <w:t>15</w:t>
            </w:r>
            <w:r>
              <w:rPr>
                <w:rFonts w:hint="eastAsia" w:ascii="宋体" w:hAnsi="宋体"/>
                <w:sz w:val="20"/>
                <w:highlight w:val="none"/>
              </w:rPr>
              <w:t>°</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265</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202</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106</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48</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38</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22</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13</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212</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160</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78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jc w:val="cente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30°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170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135</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68</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30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25</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14</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8.5</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135</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100</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0.5°</w:t>
            </w: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—4°</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150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110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60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27</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21</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13</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7.5</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120</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90</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jc w:val="cente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15°</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111</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82</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44</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16</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9.5</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5.5</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88</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65</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34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jc w:val="cente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30°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72</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54</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28</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13</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10</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6.0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3.5</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55</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40</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1°</w:t>
            </w: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—4°</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35</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26</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12</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5.2</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4.0</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2.0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1.0</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28</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22</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15°</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28</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20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9.4</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4.1</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3.0</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1.5</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0.8</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22</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17</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trPr>
        <w:tc>
          <w:tcPr>
            <w:tcW w:w="1142" w:type="dxa"/>
            <w:vMerge w:val="continue"/>
            <w:noWrap w:val="0"/>
            <w:vAlign w:val="center"/>
          </w:tcPr>
          <w:p>
            <w:pPr>
              <w:rPr>
                <w:rFonts w:hint="eastAsia" w:ascii="宋体" w:hAnsi="宋体"/>
                <w:sz w:val="20"/>
                <w:highlight w:val="none"/>
              </w:rPr>
            </w:pPr>
          </w:p>
        </w:tc>
        <w:tc>
          <w:tcPr>
            <w:tcW w:w="1176" w:type="dxa"/>
            <w:noWrap w:val="0"/>
            <w:vAlign w:val="center"/>
          </w:tcPr>
          <w:p>
            <w:pPr>
              <w:jc w:val="right"/>
              <w:rPr>
                <w:rFonts w:hint="eastAsia" w:ascii="宋体" w:hAnsi="宋体"/>
                <w:sz w:val="20"/>
                <w:highlight w:val="none"/>
              </w:rPr>
            </w:pPr>
            <w:r>
              <w:rPr>
                <w:rFonts w:hint="eastAsia" w:ascii="宋体" w:hAnsi="宋体"/>
                <w:sz w:val="20"/>
                <w:highlight w:val="none"/>
              </w:rPr>
              <w:t>30°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15</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6.8</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3.0</w:t>
            </w:r>
          </w:p>
        </w:tc>
        <w:tc>
          <w:tcPr>
            <w:tcW w:w="1087" w:type="dxa"/>
            <w:noWrap w:val="0"/>
            <w:vAlign w:val="center"/>
          </w:tcPr>
          <w:p>
            <w:pPr>
              <w:jc w:val="center"/>
              <w:rPr>
                <w:rFonts w:hint="eastAsia" w:ascii="宋体" w:hAnsi="宋体"/>
                <w:sz w:val="20"/>
                <w:highlight w:val="none"/>
              </w:rPr>
            </w:pPr>
            <w:r>
              <w:rPr>
                <w:rFonts w:hint="eastAsia" w:ascii="宋体" w:hAnsi="宋体"/>
                <w:sz w:val="20"/>
                <w:highlight w:val="none"/>
              </w:rPr>
              <w:t>2.0</w:t>
            </w:r>
          </w:p>
        </w:tc>
        <w:tc>
          <w:tcPr>
            <w:tcW w:w="1089" w:type="dxa"/>
            <w:noWrap w:val="0"/>
            <w:vAlign w:val="center"/>
          </w:tcPr>
          <w:p>
            <w:pPr>
              <w:jc w:val="center"/>
              <w:rPr>
                <w:rFonts w:hint="eastAsia" w:ascii="宋体" w:hAnsi="宋体"/>
                <w:sz w:val="20"/>
                <w:highlight w:val="none"/>
              </w:rPr>
            </w:pPr>
            <w:r>
              <w:rPr>
                <w:rFonts w:hint="eastAsia" w:ascii="宋体" w:hAnsi="宋体"/>
                <w:sz w:val="20"/>
                <w:highlight w:val="none"/>
              </w:rPr>
              <w:t>1.0</w:t>
            </w:r>
          </w:p>
        </w:tc>
        <w:tc>
          <w:tcPr>
            <w:tcW w:w="1090" w:type="dxa"/>
            <w:noWrap w:val="0"/>
            <w:vAlign w:val="center"/>
          </w:tcPr>
          <w:p>
            <w:pPr>
              <w:jc w:val="center"/>
              <w:rPr>
                <w:rFonts w:hint="eastAsia" w:ascii="宋体" w:hAnsi="宋体"/>
                <w:sz w:val="20"/>
                <w:highlight w:val="none"/>
              </w:rPr>
            </w:pPr>
            <w:r>
              <w:rPr>
                <w:rFonts w:hint="eastAsia" w:ascii="宋体" w:hAnsi="宋体"/>
                <w:sz w:val="20"/>
                <w:highlight w:val="none"/>
              </w:rPr>
              <w:t>0.6</w:t>
            </w:r>
          </w:p>
        </w:tc>
        <w:tc>
          <w:tcPr>
            <w:tcW w:w="1609" w:type="dxa"/>
            <w:noWrap w:val="0"/>
            <w:vAlign w:val="center"/>
          </w:tcPr>
          <w:p>
            <w:pPr>
              <w:jc w:val="center"/>
              <w:rPr>
                <w:rFonts w:hint="eastAsia" w:ascii="宋体" w:hAnsi="宋体"/>
                <w:sz w:val="20"/>
                <w:highlight w:val="none"/>
              </w:rPr>
            </w:pPr>
            <w:r>
              <w:rPr>
                <w:rFonts w:hint="eastAsia" w:ascii="宋体" w:hAnsi="宋体"/>
                <w:sz w:val="20"/>
                <w:highlight w:val="none"/>
              </w:rPr>
              <w:t>16</w:t>
            </w:r>
          </w:p>
        </w:tc>
        <w:tc>
          <w:tcPr>
            <w:tcW w:w="1275" w:type="dxa"/>
            <w:noWrap w:val="0"/>
            <w:vAlign w:val="center"/>
          </w:tcPr>
          <w:p>
            <w:pPr>
              <w:jc w:val="center"/>
              <w:rPr>
                <w:rFonts w:hint="eastAsia" w:ascii="宋体" w:hAnsi="宋体"/>
                <w:sz w:val="20"/>
                <w:highlight w:val="none"/>
              </w:rPr>
            </w:pPr>
            <w:r>
              <w:rPr>
                <w:rFonts w:hint="eastAsia" w:ascii="宋体" w:hAnsi="宋体"/>
                <w:sz w:val="20"/>
                <w:highlight w:val="none"/>
              </w:rPr>
              <w:t>12</w:t>
            </w:r>
          </w:p>
        </w:tc>
        <w:tc>
          <w:tcPr>
            <w:tcW w:w="1286" w:type="dxa"/>
            <w:noWrap w:val="0"/>
            <w:vAlign w:val="center"/>
          </w:tcPr>
          <w:p>
            <w:pPr>
              <w:jc w:val="center"/>
              <w:rPr>
                <w:rFonts w:hint="eastAsia" w:ascii="宋体" w:hAnsi="宋体"/>
                <w:sz w:val="20"/>
                <w:highlight w:val="none"/>
              </w:rPr>
            </w:pPr>
            <w:r>
              <w:rPr>
                <w:rFonts w:hint="eastAsia" w:ascii="宋体" w:hAnsi="宋体"/>
                <w:sz w:val="20"/>
                <w:highlight w:val="none"/>
              </w:rPr>
              <w:t>6.0</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4)色度性能：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a)反光膜在白天表现的各种颜色，即昼间色或表面色，其色品坐标和亮度因数应在表5-3规定的范围内，色品图见图5-2。</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b)反光膜在夜间表现的各种颜色，即夜间色或逆反射色，其色品坐标应在表5-4规定范围内，色品图见图5-3.</w:t>
      </w:r>
    </w:p>
    <w:p>
      <w:pPr>
        <w:jc w:val="both"/>
        <w:rPr>
          <w:rFonts w:hint="eastAsia" w:ascii="宋体" w:hAnsi="宋体"/>
          <w:sz w:val="24"/>
          <w:szCs w:val="24"/>
          <w:highlight w:val="none"/>
        </w:rPr>
      </w:pPr>
      <w:r>
        <w:rPr>
          <w:rFonts w:hint="eastAsia"/>
          <w:highlight w:val="none"/>
          <w:lang w:val="en-US" w:eastAsia="zh-CN"/>
        </w:rPr>
        <w:t xml:space="preserve">                          </w:t>
      </w:r>
      <w:r>
        <w:rPr>
          <w:highlight w:val="none"/>
        </w:rPr>
        <w:drawing>
          <wp:inline distT="0" distB="0" distL="114300" distR="114300">
            <wp:extent cx="4620895" cy="4456430"/>
            <wp:effectExtent l="0" t="0" r="8255" b="1270"/>
            <wp:docPr id="24" name="图片 3" descr="页面提取自－GB／T 18833-2012 道路交通反光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页面提取自－GB／T 18833-2012 道路交通反光膜"/>
                    <pic:cNvPicPr>
                      <a:picLocks noChangeAspect="1"/>
                    </pic:cNvPicPr>
                  </pic:nvPicPr>
                  <pic:blipFill>
                    <a:blip r:embed="rId7"/>
                    <a:stretch>
                      <a:fillRect/>
                    </a:stretch>
                  </pic:blipFill>
                  <pic:spPr>
                    <a:xfrm>
                      <a:off x="0" y="0"/>
                      <a:ext cx="4620895" cy="4456430"/>
                    </a:xfrm>
                    <a:prstGeom prst="rect">
                      <a:avLst/>
                    </a:prstGeom>
                    <a:noFill/>
                    <a:ln>
                      <a:noFill/>
                    </a:ln>
                  </pic:spPr>
                </pic:pic>
              </a:graphicData>
            </a:graphic>
          </wp:inline>
        </w:drawing>
      </w:r>
    </w:p>
    <w:p>
      <w:pPr>
        <w:jc w:val="center"/>
        <w:rPr>
          <w:rFonts w:hint="eastAsia" w:ascii="宋体" w:hAnsi="宋体"/>
          <w:sz w:val="24"/>
          <w:szCs w:val="24"/>
          <w:highlight w:val="none"/>
        </w:rPr>
      </w:pPr>
      <w:r>
        <w:rPr>
          <w:rFonts w:hint="eastAsia" w:ascii="宋体" w:hAnsi="宋体"/>
          <w:sz w:val="24"/>
          <w:szCs w:val="24"/>
          <w:highlight w:val="none"/>
        </w:rPr>
        <w:t>图5-2 反光膜各种颜色色品图（昼间色）</w:t>
      </w:r>
    </w:p>
    <w:p>
      <w:pPr>
        <w:spacing w:line="360" w:lineRule="auto"/>
        <w:jc w:val="center"/>
        <w:rPr>
          <w:rFonts w:hint="eastAsia" w:ascii="宋体" w:hAnsi="宋体"/>
          <w:sz w:val="24"/>
          <w:szCs w:val="24"/>
          <w:highlight w:val="none"/>
        </w:rPr>
      </w:pPr>
      <w:r>
        <w:rPr>
          <w:rFonts w:hint="eastAsia" w:ascii="宋体" w:hAnsi="宋体"/>
          <w:sz w:val="24"/>
          <w:szCs w:val="24"/>
          <w:highlight w:val="none"/>
        </w:rPr>
        <w:t>表5-3  反光膜颜色（昼间色）</w:t>
      </w:r>
    </w:p>
    <w:tbl>
      <w:tblPr>
        <w:tblStyle w:val="8"/>
        <w:tblW w:w="1410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100"/>
        <w:gridCol w:w="1099"/>
        <w:gridCol w:w="1099"/>
        <w:gridCol w:w="1101"/>
        <w:gridCol w:w="1101"/>
        <w:gridCol w:w="1101"/>
        <w:gridCol w:w="1102"/>
        <w:gridCol w:w="1103"/>
        <w:gridCol w:w="1804"/>
        <w:gridCol w:w="173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颜色</w:t>
            </w:r>
          </w:p>
        </w:tc>
        <w:tc>
          <w:tcPr>
            <w:tcW w:w="8806" w:type="dxa"/>
            <w:gridSpan w:val="8"/>
            <w:noWrap w:val="0"/>
            <w:vAlign w:val="center"/>
          </w:tcPr>
          <w:p>
            <w:pPr>
              <w:jc w:val="center"/>
              <w:rPr>
                <w:rFonts w:hint="eastAsia" w:ascii="宋体" w:hAnsi="宋体"/>
                <w:sz w:val="20"/>
                <w:highlight w:val="none"/>
              </w:rPr>
            </w:pPr>
            <w:r>
              <w:rPr>
                <w:rFonts w:hint="eastAsia" w:ascii="宋体" w:hAnsi="宋体"/>
                <w:sz w:val="20"/>
                <w:highlight w:val="none"/>
              </w:rPr>
              <w:t>（标准照明体D</w:t>
            </w:r>
            <w:r>
              <w:rPr>
                <w:rFonts w:hint="eastAsia" w:ascii="宋体" w:hAnsi="宋体"/>
                <w:sz w:val="24"/>
                <w:szCs w:val="24"/>
                <w:highlight w:val="none"/>
                <w:vertAlign w:val="subscript"/>
              </w:rPr>
              <w:t>65</w:t>
            </w:r>
            <w:r>
              <w:rPr>
                <w:rFonts w:hint="eastAsia" w:ascii="宋体" w:hAnsi="宋体"/>
                <w:sz w:val="20"/>
                <w:highlight w:val="none"/>
              </w:rPr>
              <w:t>，几何条件45°a：0°，2°视场角）</w:t>
            </w:r>
          </w:p>
        </w:tc>
        <w:tc>
          <w:tcPr>
            <w:tcW w:w="3537" w:type="dxa"/>
            <w:gridSpan w:val="2"/>
            <w:noWrap w:val="0"/>
            <w:vAlign w:val="center"/>
          </w:tcPr>
          <w:p>
            <w:pPr>
              <w:jc w:val="center"/>
              <w:rPr>
                <w:rFonts w:hint="eastAsia" w:ascii="宋体" w:hAnsi="宋体"/>
                <w:sz w:val="20"/>
                <w:highlight w:val="none"/>
              </w:rPr>
            </w:pPr>
            <w:r>
              <w:rPr>
                <w:rFonts w:hint="eastAsia" w:ascii="宋体" w:hAnsi="宋体"/>
                <w:sz w:val="20"/>
                <w:highlight w:val="none"/>
              </w:rPr>
              <w:t>亮度因数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55" w:hRule="exact"/>
          <w:jc w:val="center"/>
        </w:trPr>
        <w:tc>
          <w:tcPr>
            <w:tcW w:w="1765" w:type="dxa"/>
            <w:vMerge w:val="continue"/>
            <w:noWrap w:val="0"/>
            <w:vAlign w:val="center"/>
          </w:tcPr>
          <w:p>
            <w:pPr>
              <w:jc w:val="center"/>
              <w:rPr>
                <w:rFonts w:hint="eastAsia" w:ascii="宋体" w:hAnsi="宋体"/>
                <w:sz w:val="20"/>
                <w:highlight w:val="none"/>
              </w:rPr>
            </w:pPr>
          </w:p>
        </w:tc>
        <w:tc>
          <w:tcPr>
            <w:tcW w:w="2199" w:type="dxa"/>
            <w:gridSpan w:val="2"/>
            <w:noWrap w:val="0"/>
            <w:vAlign w:val="center"/>
          </w:tcPr>
          <w:p>
            <w:pPr>
              <w:jc w:val="center"/>
              <w:rPr>
                <w:rFonts w:hint="eastAsia" w:ascii="宋体" w:hAnsi="宋体"/>
                <w:sz w:val="20"/>
                <w:highlight w:val="none"/>
              </w:rPr>
            </w:pPr>
            <w:r>
              <w:rPr>
                <w:rFonts w:hint="eastAsia" w:ascii="宋体" w:hAnsi="宋体"/>
                <w:sz w:val="20"/>
                <w:highlight w:val="none"/>
              </w:rPr>
              <w:t>1</w:t>
            </w:r>
          </w:p>
        </w:tc>
        <w:tc>
          <w:tcPr>
            <w:tcW w:w="2200" w:type="dxa"/>
            <w:gridSpan w:val="2"/>
            <w:noWrap w:val="0"/>
            <w:vAlign w:val="center"/>
          </w:tcPr>
          <w:p>
            <w:pPr>
              <w:jc w:val="center"/>
              <w:rPr>
                <w:rFonts w:hint="eastAsia" w:ascii="宋体" w:hAnsi="宋体"/>
                <w:sz w:val="20"/>
                <w:highlight w:val="none"/>
              </w:rPr>
            </w:pPr>
            <w:r>
              <w:rPr>
                <w:rFonts w:hint="eastAsia" w:ascii="宋体" w:hAnsi="宋体"/>
                <w:sz w:val="20"/>
                <w:highlight w:val="none"/>
              </w:rPr>
              <w:t>2</w:t>
            </w:r>
          </w:p>
        </w:tc>
        <w:tc>
          <w:tcPr>
            <w:tcW w:w="2202" w:type="dxa"/>
            <w:gridSpan w:val="2"/>
            <w:noWrap w:val="0"/>
            <w:vAlign w:val="center"/>
          </w:tcPr>
          <w:p>
            <w:pPr>
              <w:jc w:val="center"/>
              <w:rPr>
                <w:rFonts w:hint="eastAsia" w:ascii="宋体" w:hAnsi="宋体"/>
                <w:sz w:val="20"/>
                <w:highlight w:val="none"/>
              </w:rPr>
            </w:pPr>
            <w:r>
              <w:rPr>
                <w:rFonts w:hint="eastAsia" w:ascii="宋体" w:hAnsi="宋体"/>
                <w:sz w:val="20"/>
                <w:highlight w:val="none"/>
              </w:rPr>
              <w:t>3</w:t>
            </w:r>
          </w:p>
        </w:tc>
        <w:tc>
          <w:tcPr>
            <w:tcW w:w="2205" w:type="dxa"/>
            <w:gridSpan w:val="2"/>
            <w:noWrap w:val="0"/>
            <w:vAlign w:val="center"/>
          </w:tcPr>
          <w:p>
            <w:pPr>
              <w:jc w:val="center"/>
              <w:rPr>
                <w:rFonts w:hint="eastAsia" w:ascii="宋体" w:hAnsi="宋体"/>
                <w:sz w:val="20"/>
                <w:highlight w:val="none"/>
              </w:rPr>
            </w:pPr>
            <w:r>
              <w:rPr>
                <w:rFonts w:hint="eastAsia" w:ascii="宋体" w:hAnsi="宋体"/>
                <w:sz w:val="20"/>
                <w:highlight w:val="none"/>
              </w:rPr>
              <w:t>4</w:t>
            </w:r>
          </w:p>
        </w:tc>
        <w:tc>
          <w:tcPr>
            <w:tcW w:w="1804"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无金属镀层</w:t>
            </w:r>
          </w:p>
        </w:tc>
        <w:tc>
          <w:tcPr>
            <w:tcW w:w="1733"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有金属镀层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6" w:hRule="exact"/>
          <w:jc w:val="center"/>
        </w:trPr>
        <w:tc>
          <w:tcPr>
            <w:tcW w:w="1765" w:type="dxa"/>
            <w:vMerge w:val="continue"/>
            <w:noWrap w:val="0"/>
            <w:vAlign w:val="center"/>
          </w:tcPr>
          <w:p>
            <w:pPr>
              <w:jc w:val="center"/>
              <w:rPr>
                <w:rFonts w:hint="eastAsia" w:ascii="宋体" w:hAnsi="宋体"/>
                <w:sz w:val="20"/>
                <w:highlight w:val="none"/>
              </w:rPr>
            </w:pPr>
          </w:p>
        </w:tc>
        <w:tc>
          <w:tcPr>
            <w:tcW w:w="1100" w:type="dxa"/>
            <w:noWrap w:val="0"/>
            <w:vAlign w:val="center"/>
          </w:tcPr>
          <w:p>
            <w:pPr>
              <w:jc w:val="center"/>
              <w:rPr>
                <w:rFonts w:hint="eastAsia" w:ascii="宋体" w:hAnsi="宋体"/>
                <w:sz w:val="20"/>
                <w:highlight w:val="none"/>
              </w:rPr>
            </w:pPr>
            <w:r>
              <w:rPr>
                <w:rFonts w:ascii="宋体" w:hAnsi="宋体"/>
                <w:sz w:val="20"/>
                <w:highlight w:val="none"/>
              </w:rPr>
              <w:t>x</w:t>
            </w:r>
          </w:p>
        </w:tc>
        <w:tc>
          <w:tcPr>
            <w:tcW w:w="1099" w:type="dxa"/>
            <w:noWrap w:val="0"/>
            <w:vAlign w:val="center"/>
          </w:tcPr>
          <w:p>
            <w:pPr>
              <w:jc w:val="center"/>
              <w:rPr>
                <w:rFonts w:ascii="宋体" w:hAnsi="宋体"/>
                <w:sz w:val="20"/>
                <w:highlight w:val="none"/>
              </w:rPr>
            </w:pPr>
            <w:r>
              <w:rPr>
                <w:rFonts w:ascii="宋体" w:hAnsi="宋体"/>
                <w:sz w:val="20"/>
                <w:highlight w:val="none"/>
              </w:rPr>
              <w:t>y</w:t>
            </w:r>
          </w:p>
        </w:tc>
        <w:tc>
          <w:tcPr>
            <w:tcW w:w="1099" w:type="dxa"/>
            <w:noWrap w:val="0"/>
            <w:vAlign w:val="center"/>
          </w:tcPr>
          <w:p>
            <w:pPr>
              <w:jc w:val="center"/>
              <w:rPr>
                <w:rFonts w:ascii="宋体" w:hAnsi="宋体"/>
                <w:sz w:val="20"/>
                <w:highlight w:val="none"/>
              </w:rPr>
            </w:pPr>
            <w:r>
              <w:rPr>
                <w:rFonts w:ascii="宋体" w:hAnsi="宋体"/>
                <w:sz w:val="20"/>
                <w:highlight w:val="none"/>
              </w:rPr>
              <w:t>x</w:t>
            </w:r>
          </w:p>
        </w:tc>
        <w:tc>
          <w:tcPr>
            <w:tcW w:w="1101" w:type="dxa"/>
            <w:noWrap w:val="0"/>
            <w:vAlign w:val="center"/>
          </w:tcPr>
          <w:p>
            <w:pPr>
              <w:jc w:val="center"/>
              <w:rPr>
                <w:rFonts w:ascii="宋体" w:hAnsi="宋体"/>
                <w:sz w:val="20"/>
                <w:highlight w:val="none"/>
              </w:rPr>
            </w:pPr>
            <w:r>
              <w:rPr>
                <w:rFonts w:ascii="宋体" w:hAnsi="宋体"/>
                <w:sz w:val="20"/>
                <w:highlight w:val="none"/>
              </w:rPr>
              <w:t>y</w:t>
            </w:r>
          </w:p>
        </w:tc>
        <w:tc>
          <w:tcPr>
            <w:tcW w:w="1101" w:type="dxa"/>
            <w:noWrap w:val="0"/>
            <w:vAlign w:val="center"/>
          </w:tcPr>
          <w:p>
            <w:pPr>
              <w:jc w:val="center"/>
              <w:rPr>
                <w:rFonts w:ascii="宋体" w:hAnsi="宋体"/>
                <w:sz w:val="20"/>
                <w:highlight w:val="none"/>
              </w:rPr>
            </w:pPr>
            <w:r>
              <w:rPr>
                <w:rFonts w:ascii="宋体" w:hAnsi="宋体"/>
                <w:sz w:val="20"/>
                <w:highlight w:val="none"/>
              </w:rPr>
              <w:t>x</w:t>
            </w:r>
          </w:p>
        </w:tc>
        <w:tc>
          <w:tcPr>
            <w:tcW w:w="1101" w:type="dxa"/>
            <w:noWrap w:val="0"/>
            <w:vAlign w:val="center"/>
          </w:tcPr>
          <w:p>
            <w:pPr>
              <w:jc w:val="center"/>
              <w:rPr>
                <w:rFonts w:ascii="宋体" w:hAnsi="宋体"/>
                <w:sz w:val="20"/>
                <w:highlight w:val="none"/>
              </w:rPr>
            </w:pPr>
            <w:r>
              <w:rPr>
                <w:rFonts w:ascii="宋体" w:hAnsi="宋体"/>
                <w:sz w:val="20"/>
                <w:highlight w:val="none"/>
              </w:rPr>
              <w:t>y</w:t>
            </w:r>
          </w:p>
        </w:tc>
        <w:tc>
          <w:tcPr>
            <w:tcW w:w="1102" w:type="dxa"/>
            <w:noWrap w:val="0"/>
            <w:vAlign w:val="center"/>
          </w:tcPr>
          <w:p>
            <w:pPr>
              <w:jc w:val="center"/>
              <w:rPr>
                <w:rFonts w:ascii="宋体" w:hAnsi="宋体"/>
                <w:sz w:val="20"/>
                <w:highlight w:val="none"/>
              </w:rPr>
            </w:pPr>
            <w:r>
              <w:rPr>
                <w:rFonts w:ascii="宋体" w:hAnsi="宋体"/>
                <w:sz w:val="20"/>
                <w:highlight w:val="none"/>
              </w:rPr>
              <w:t>x</w:t>
            </w:r>
          </w:p>
        </w:tc>
        <w:tc>
          <w:tcPr>
            <w:tcW w:w="1103" w:type="dxa"/>
            <w:noWrap w:val="0"/>
            <w:vAlign w:val="center"/>
          </w:tcPr>
          <w:p>
            <w:pPr>
              <w:jc w:val="center"/>
              <w:rPr>
                <w:rFonts w:ascii="宋体" w:hAnsi="宋体"/>
                <w:sz w:val="20"/>
                <w:highlight w:val="none"/>
              </w:rPr>
            </w:pPr>
            <w:r>
              <w:rPr>
                <w:rFonts w:ascii="宋体" w:hAnsi="宋体"/>
                <w:sz w:val="20"/>
                <w:highlight w:val="none"/>
              </w:rPr>
              <w:t>y</w:t>
            </w:r>
          </w:p>
        </w:tc>
        <w:tc>
          <w:tcPr>
            <w:tcW w:w="1804" w:type="dxa"/>
            <w:vMerge w:val="continue"/>
            <w:noWrap w:val="0"/>
            <w:vAlign w:val="center"/>
          </w:tcPr>
          <w:p>
            <w:pPr>
              <w:jc w:val="center"/>
              <w:rPr>
                <w:rFonts w:ascii="宋体" w:hAnsi="宋体"/>
                <w:sz w:val="20"/>
                <w:highlight w:val="none"/>
              </w:rPr>
            </w:pPr>
          </w:p>
        </w:tc>
        <w:tc>
          <w:tcPr>
            <w:tcW w:w="1733" w:type="dxa"/>
            <w:vMerge w:val="continue"/>
            <w:noWrap w:val="0"/>
            <w:vAlign w:val="center"/>
          </w:tcPr>
          <w:p>
            <w:pPr>
              <w:jc w:val="center"/>
              <w:rPr>
                <w:rFonts w:ascii="宋体" w:hAnsi="宋体"/>
                <w:sz w:val="2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白</w:t>
            </w:r>
          </w:p>
        </w:tc>
        <w:tc>
          <w:tcPr>
            <w:tcW w:w="1100" w:type="dxa"/>
            <w:noWrap w:val="0"/>
            <w:vAlign w:val="center"/>
          </w:tcPr>
          <w:p>
            <w:pPr>
              <w:jc w:val="center"/>
              <w:rPr>
                <w:rFonts w:ascii="宋体" w:hAnsi="宋体"/>
                <w:sz w:val="20"/>
                <w:highlight w:val="none"/>
              </w:rPr>
            </w:pPr>
            <w:r>
              <w:rPr>
                <w:rFonts w:ascii="宋体" w:hAnsi="宋体"/>
                <w:sz w:val="20"/>
                <w:highlight w:val="none"/>
              </w:rPr>
              <w:t>0.350</w:t>
            </w:r>
          </w:p>
        </w:tc>
        <w:tc>
          <w:tcPr>
            <w:tcW w:w="1099" w:type="dxa"/>
            <w:noWrap w:val="0"/>
            <w:vAlign w:val="center"/>
          </w:tcPr>
          <w:p>
            <w:pPr>
              <w:jc w:val="center"/>
              <w:rPr>
                <w:rFonts w:ascii="宋体" w:hAnsi="宋体"/>
                <w:sz w:val="20"/>
                <w:highlight w:val="none"/>
              </w:rPr>
            </w:pPr>
            <w:r>
              <w:rPr>
                <w:rFonts w:ascii="宋体" w:hAnsi="宋体"/>
                <w:sz w:val="20"/>
                <w:highlight w:val="none"/>
              </w:rPr>
              <w:t>0.360</w:t>
            </w:r>
          </w:p>
        </w:tc>
        <w:tc>
          <w:tcPr>
            <w:tcW w:w="1099" w:type="dxa"/>
            <w:noWrap w:val="0"/>
            <w:vAlign w:val="center"/>
          </w:tcPr>
          <w:p>
            <w:pPr>
              <w:jc w:val="center"/>
              <w:rPr>
                <w:rFonts w:ascii="宋体" w:hAnsi="宋体"/>
                <w:sz w:val="20"/>
                <w:highlight w:val="none"/>
              </w:rPr>
            </w:pPr>
            <w:r>
              <w:rPr>
                <w:rFonts w:ascii="宋体" w:hAnsi="宋体"/>
                <w:sz w:val="20"/>
                <w:highlight w:val="none"/>
              </w:rPr>
              <w:t>0.305</w:t>
            </w:r>
          </w:p>
        </w:tc>
        <w:tc>
          <w:tcPr>
            <w:tcW w:w="1101" w:type="dxa"/>
            <w:noWrap w:val="0"/>
            <w:vAlign w:val="center"/>
          </w:tcPr>
          <w:p>
            <w:pPr>
              <w:jc w:val="center"/>
              <w:rPr>
                <w:rFonts w:ascii="宋体" w:hAnsi="宋体"/>
                <w:sz w:val="20"/>
                <w:highlight w:val="none"/>
              </w:rPr>
            </w:pPr>
            <w:r>
              <w:rPr>
                <w:rFonts w:ascii="宋体" w:hAnsi="宋体"/>
                <w:sz w:val="20"/>
                <w:highlight w:val="none"/>
              </w:rPr>
              <w:t>0.315</w:t>
            </w:r>
          </w:p>
        </w:tc>
        <w:tc>
          <w:tcPr>
            <w:tcW w:w="1101" w:type="dxa"/>
            <w:noWrap w:val="0"/>
            <w:vAlign w:val="center"/>
          </w:tcPr>
          <w:p>
            <w:pPr>
              <w:jc w:val="center"/>
              <w:rPr>
                <w:rFonts w:ascii="宋体" w:hAnsi="宋体"/>
                <w:sz w:val="20"/>
                <w:highlight w:val="none"/>
              </w:rPr>
            </w:pPr>
            <w:r>
              <w:rPr>
                <w:rFonts w:ascii="宋体" w:hAnsi="宋体"/>
                <w:sz w:val="20"/>
                <w:highlight w:val="none"/>
              </w:rPr>
              <w:t>0.295</w:t>
            </w:r>
          </w:p>
        </w:tc>
        <w:tc>
          <w:tcPr>
            <w:tcW w:w="1101" w:type="dxa"/>
            <w:noWrap w:val="0"/>
            <w:vAlign w:val="center"/>
          </w:tcPr>
          <w:p>
            <w:pPr>
              <w:jc w:val="center"/>
              <w:rPr>
                <w:rFonts w:ascii="宋体" w:hAnsi="宋体"/>
                <w:sz w:val="20"/>
                <w:highlight w:val="none"/>
              </w:rPr>
            </w:pPr>
            <w:r>
              <w:rPr>
                <w:rFonts w:ascii="宋体" w:hAnsi="宋体"/>
                <w:sz w:val="20"/>
                <w:highlight w:val="none"/>
              </w:rPr>
              <w:t>0.325</w:t>
            </w:r>
          </w:p>
        </w:tc>
        <w:tc>
          <w:tcPr>
            <w:tcW w:w="1102" w:type="dxa"/>
            <w:noWrap w:val="0"/>
            <w:vAlign w:val="center"/>
          </w:tcPr>
          <w:p>
            <w:pPr>
              <w:jc w:val="center"/>
              <w:rPr>
                <w:rFonts w:ascii="宋体" w:hAnsi="宋体"/>
                <w:sz w:val="20"/>
                <w:highlight w:val="none"/>
              </w:rPr>
            </w:pPr>
            <w:r>
              <w:rPr>
                <w:rFonts w:ascii="宋体" w:hAnsi="宋体"/>
                <w:sz w:val="20"/>
                <w:highlight w:val="none"/>
              </w:rPr>
              <w:t>0.340</w:t>
            </w:r>
          </w:p>
        </w:tc>
        <w:tc>
          <w:tcPr>
            <w:tcW w:w="1103" w:type="dxa"/>
            <w:noWrap w:val="0"/>
            <w:vAlign w:val="center"/>
          </w:tcPr>
          <w:p>
            <w:pPr>
              <w:jc w:val="center"/>
              <w:rPr>
                <w:rFonts w:ascii="宋体" w:hAnsi="宋体"/>
                <w:sz w:val="20"/>
                <w:highlight w:val="none"/>
              </w:rPr>
            </w:pPr>
            <w:r>
              <w:rPr>
                <w:rFonts w:ascii="宋体" w:hAnsi="宋体"/>
                <w:sz w:val="20"/>
                <w:highlight w:val="none"/>
              </w:rPr>
              <w:t>0.370</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≥0.27</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黄</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0.545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0.454</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0.494</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0.426</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0.444</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0.476</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0.481</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0.518</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0.15～0.45</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0.12～0.30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橙</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0.558</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0.352</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0.636</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0.364</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0.570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0.429</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0.506</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0.404</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0.10～0.30</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0.07～0.25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红</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0.735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0.265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0.681</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0.239</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0.579</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0.341</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0.655</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0.345</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0.02～0.15</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0.02～0.11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绿</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0.201</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0.776</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0.285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0.441</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0.170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0.364</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0.026</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0.399</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0.03～0.12</w:t>
            </w:r>
          </w:p>
        </w:tc>
        <w:tc>
          <w:tcPr>
            <w:tcW w:w="1733" w:type="dxa"/>
            <w:noWrap w:val="0"/>
            <w:vAlign w:val="center"/>
          </w:tcPr>
          <w:p>
            <w:pPr>
              <w:rPr>
                <w:rFonts w:ascii="宋体" w:hAnsi="宋体"/>
                <w:b/>
                <w:sz w:val="32"/>
                <w:szCs w:val="32"/>
                <w:highlight w:val="none"/>
              </w:rPr>
            </w:pPr>
            <w:r>
              <w:rPr>
                <w:rFonts w:hint="eastAsia" w:ascii="宋体" w:hAnsi="宋体"/>
                <w:sz w:val="20"/>
                <w:highlight w:val="none"/>
              </w:rPr>
              <w:t>0.02～0.11</w:t>
            </w:r>
          </w:p>
          <w:p>
            <w:pPr>
              <w:jc w:val="center"/>
              <w:rPr>
                <w:rFonts w:hint="eastAsia" w:ascii="宋体" w:hAnsi="宋体"/>
                <w:sz w:val="2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蓝</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0.049</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0.125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0.172</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0.198</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0.210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0.160</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0.137</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0.038</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0.01～0.10</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0.01～0.10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棕</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0.430</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0.340</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0.610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0.390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0.550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0.450</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0.430</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0.390</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0.01～0.09</w:t>
            </w:r>
          </w:p>
        </w:tc>
        <w:tc>
          <w:tcPr>
            <w:tcW w:w="1733" w:type="dxa"/>
            <w:noWrap w:val="0"/>
            <w:vAlign w:val="center"/>
          </w:tcPr>
          <w:p>
            <w:pPr>
              <w:jc w:val="center"/>
              <w:rPr>
                <w:rFonts w:hint="eastAsia" w:ascii="宋体" w:hAnsi="宋体"/>
                <w:sz w:val="20"/>
                <w:highlight w:val="none"/>
              </w:rPr>
            </w:pPr>
            <w:r>
              <w:rPr>
                <w:rFonts w:hint="eastAsia" w:ascii="宋体" w:hAnsi="宋体"/>
                <w:sz w:val="20"/>
                <w:highlight w:val="none"/>
              </w:rPr>
              <w:t>0.01～0.09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灰</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0.305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0.315</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0.335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0.345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0.325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0.355</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0.295</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0.325</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0.12～0.18</w:t>
            </w:r>
          </w:p>
        </w:tc>
        <w:tc>
          <w:tcPr>
            <w:tcW w:w="1733" w:type="dxa"/>
            <w:noWrap w:val="0"/>
            <w:vAlign w:val="center"/>
          </w:tcPr>
          <w:p>
            <w:pPr>
              <w:ind w:firstLine="200" w:firstLineChars="100"/>
              <w:jc w:val="center"/>
              <w:rPr>
                <w:rFonts w:hint="eastAsia" w:ascii="宋体" w:hAnsi="宋体"/>
                <w:sz w:val="20"/>
                <w:highlight w:val="none"/>
              </w:rPr>
            </w:pPr>
            <w:r>
              <w:rPr>
                <w:rFonts w:hint="eastAsia" w:ascii="宋体" w:hAnsi="宋体"/>
                <w:sz w:val="20"/>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荧光黄绿</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0.387</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0.610</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0.369</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0.546</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0.428</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0.496</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0.460</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0.540</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≥0.60</w:t>
            </w:r>
          </w:p>
        </w:tc>
        <w:tc>
          <w:tcPr>
            <w:tcW w:w="1733" w:type="dxa"/>
            <w:noWrap w:val="0"/>
            <w:vAlign w:val="center"/>
          </w:tcPr>
          <w:p>
            <w:pPr>
              <w:ind w:firstLine="200" w:firstLineChars="100"/>
              <w:jc w:val="center"/>
              <w:rPr>
                <w:rFonts w:hint="eastAsia" w:ascii="宋体" w:hAnsi="宋体"/>
                <w:sz w:val="20"/>
                <w:highlight w:val="none"/>
              </w:rPr>
            </w:pPr>
            <w:r>
              <w:rPr>
                <w:rFonts w:hint="eastAsia" w:ascii="宋体" w:hAnsi="宋体"/>
                <w:sz w:val="20"/>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荧光黄</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0.479</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0.520</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0.446</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0.483</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0.512</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0.421</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0.557</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0.442</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≥0.40</w:t>
            </w:r>
          </w:p>
        </w:tc>
        <w:tc>
          <w:tcPr>
            <w:tcW w:w="1733" w:type="dxa"/>
            <w:noWrap w:val="0"/>
            <w:vAlign w:val="center"/>
          </w:tcPr>
          <w:p>
            <w:pPr>
              <w:ind w:firstLine="200" w:firstLineChars="100"/>
              <w:jc w:val="center"/>
              <w:rPr>
                <w:rFonts w:hint="eastAsia" w:ascii="宋体" w:hAnsi="宋体"/>
                <w:sz w:val="20"/>
                <w:highlight w:val="none"/>
              </w:rPr>
            </w:pPr>
            <w:r>
              <w:rPr>
                <w:rFonts w:hint="eastAsia" w:ascii="宋体" w:hAnsi="宋体"/>
                <w:sz w:val="20"/>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jc w:val="center"/>
        </w:trPr>
        <w:tc>
          <w:tcPr>
            <w:tcW w:w="1765" w:type="dxa"/>
            <w:noWrap w:val="0"/>
            <w:vAlign w:val="center"/>
          </w:tcPr>
          <w:p>
            <w:pPr>
              <w:jc w:val="center"/>
              <w:rPr>
                <w:rFonts w:hint="eastAsia" w:ascii="宋体" w:hAnsi="宋体"/>
                <w:sz w:val="20"/>
                <w:highlight w:val="none"/>
              </w:rPr>
            </w:pPr>
            <w:r>
              <w:rPr>
                <w:rFonts w:hint="eastAsia" w:ascii="宋体" w:hAnsi="宋体"/>
                <w:sz w:val="20"/>
                <w:highlight w:val="none"/>
              </w:rPr>
              <w:t>荧光橙</w:t>
            </w:r>
          </w:p>
        </w:tc>
        <w:tc>
          <w:tcPr>
            <w:tcW w:w="1100" w:type="dxa"/>
            <w:noWrap w:val="0"/>
            <w:vAlign w:val="center"/>
          </w:tcPr>
          <w:p>
            <w:pPr>
              <w:jc w:val="center"/>
              <w:rPr>
                <w:rFonts w:hint="eastAsia" w:ascii="宋体" w:hAnsi="宋体"/>
                <w:sz w:val="20"/>
                <w:highlight w:val="none"/>
              </w:rPr>
            </w:pPr>
            <w:r>
              <w:rPr>
                <w:rFonts w:hint="eastAsia" w:ascii="宋体" w:hAnsi="宋体"/>
                <w:sz w:val="20"/>
                <w:highlight w:val="none"/>
              </w:rPr>
              <w:t>0.583</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0.416</w:t>
            </w:r>
          </w:p>
        </w:tc>
        <w:tc>
          <w:tcPr>
            <w:tcW w:w="1099" w:type="dxa"/>
            <w:noWrap w:val="0"/>
            <w:vAlign w:val="center"/>
          </w:tcPr>
          <w:p>
            <w:pPr>
              <w:jc w:val="center"/>
              <w:rPr>
                <w:rFonts w:hint="eastAsia" w:ascii="宋体" w:hAnsi="宋体"/>
                <w:sz w:val="20"/>
                <w:highlight w:val="none"/>
              </w:rPr>
            </w:pPr>
            <w:r>
              <w:rPr>
                <w:rFonts w:hint="eastAsia" w:ascii="宋体" w:hAnsi="宋体"/>
                <w:sz w:val="20"/>
                <w:highlight w:val="none"/>
              </w:rPr>
              <w:t>0.535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0.400</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0.595</w:t>
            </w:r>
          </w:p>
        </w:tc>
        <w:tc>
          <w:tcPr>
            <w:tcW w:w="1101" w:type="dxa"/>
            <w:noWrap w:val="0"/>
            <w:vAlign w:val="center"/>
          </w:tcPr>
          <w:p>
            <w:pPr>
              <w:jc w:val="center"/>
              <w:rPr>
                <w:rFonts w:hint="eastAsia" w:ascii="宋体" w:hAnsi="宋体"/>
                <w:sz w:val="20"/>
                <w:highlight w:val="none"/>
              </w:rPr>
            </w:pPr>
            <w:r>
              <w:rPr>
                <w:rFonts w:hint="eastAsia" w:ascii="宋体" w:hAnsi="宋体"/>
                <w:sz w:val="20"/>
                <w:highlight w:val="none"/>
              </w:rPr>
              <w:t>0.351</w:t>
            </w:r>
          </w:p>
        </w:tc>
        <w:tc>
          <w:tcPr>
            <w:tcW w:w="1102" w:type="dxa"/>
            <w:noWrap w:val="0"/>
            <w:vAlign w:val="center"/>
          </w:tcPr>
          <w:p>
            <w:pPr>
              <w:jc w:val="center"/>
              <w:rPr>
                <w:rFonts w:hint="eastAsia" w:ascii="宋体" w:hAnsi="宋体"/>
                <w:sz w:val="20"/>
                <w:highlight w:val="none"/>
              </w:rPr>
            </w:pPr>
            <w:r>
              <w:rPr>
                <w:rFonts w:hint="eastAsia" w:ascii="宋体" w:hAnsi="宋体"/>
                <w:sz w:val="20"/>
                <w:highlight w:val="none"/>
              </w:rPr>
              <w:t>0.645</w:t>
            </w:r>
          </w:p>
        </w:tc>
        <w:tc>
          <w:tcPr>
            <w:tcW w:w="1103" w:type="dxa"/>
            <w:noWrap w:val="0"/>
            <w:vAlign w:val="center"/>
          </w:tcPr>
          <w:p>
            <w:pPr>
              <w:jc w:val="center"/>
              <w:rPr>
                <w:rFonts w:hint="eastAsia" w:ascii="宋体" w:hAnsi="宋体"/>
                <w:sz w:val="20"/>
                <w:highlight w:val="none"/>
              </w:rPr>
            </w:pPr>
            <w:r>
              <w:rPr>
                <w:rFonts w:hint="eastAsia" w:ascii="宋体" w:hAnsi="宋体"/>
                <w:sz w:val="20"/>
                <w:highlight w:val="none"/>
              </w:rPr>
              <w:t>0.355</w:t>
            </w:r>
          </w:p>
        </w:tc>
        <w:tc>
          <w:tcPr>
            <w:tcW w:w="1804" w:type="dxa"/>
            <w:noWrap w:val="0"/>
            <w:vAlign w:val="center"/>
          </w:tcPr>
          <w:p>
            <w:pPr>
              <w:jc w:val="center"/>
              <w:rPr>
                <w:rFonts w:hint="eastAsia" w:ascii="宋体" w:hAnsi="宋体"/>
                <w:sz w:val="20"/>
                <w:highlight w:val="none"/>
              </w:rPr>
            </w:pPr>
            <w:r>
              <w:rPr>
                <w:rFonts w:hint="eastAsia" w:ascii="宋体" w:hAnsi="宋体"/>
                <w:sz w:val="20"/>
                <w:highlight w:val="none"/>
              </w:rPr>
              <w:t>≥0.20</w:t>
            </w:r>
          </w:p>
        </w:tc>
        <w:tc>
          <w:tcPr>
            <w:tcW w:w="1733" w:type="dxa"/>
            <w:noWrap w:val="0"/>
            <w:vAlign w:val="center"/>
          </w:tcPr>
          <w:p>
            <w:pPr>
              <w:ind w:firstLine="200" w:firstLineChars="100"/>
              <w:jc w:val="center"/>
              <w:rPr>
                <w:rFonts w:hint="eastAsia" w:ascii="宋体" w:hAnsi="宋体"/>
                <w:sz w:val="20"/>
                <w:highlight w:val="none"/>
              </w:rPr>
            </w:pPr>
            <w:r>
              <w:rPr>
                <w:rFonts w:hint="eastAsia" w:ascii="宋体" w:hAnsi="宋体"/>
                <w:sz w:val="20"/>
                <w:highlight w:val="none"/>
              </w:rPr>
              <w:t>—</w:t>
            </w:r>
          </w:p>
        </w:tc>
      </w:tr>
    </w:tbl>
    <w:p>
      <w:pPr>
        <w:spacing w:line="360" w:lineRule="auto"/>
        <w:jc w:val="center"/>
        <w:rPr>
          <w:rFonts w:hint="eastAsia" w:ascii="宋体" w:hAnsi="宋体" w:cs="宋体"/>
          <w:sz w:val="24"/>
          <w:szCs w:val="24"/>
          <w:highlight w:val="none"/>
        </w:rPr>
      </w:pPr>
      <w:r>
        <w:rPr>
          <w:rFonts w:hint="eastAsia" w:ascii="宋体" w:hAnsi="宋体" w:cs="Times New Roman"/>
          <w:sz w:val="24"/>
          <w:szCs w:val="24"/>
          <w:highlight w:val="none"/>
        </w:rPr>
        <w:t>表5-4  反光膜颜色（夜间色）</w:t>
      </w:r>
    </w:p>
    <w:tbl>
      <w:tblPr>
        <w:tblStyle w:val="8"/>
        <w:tblW w:w="14108"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25"/>
        <w:gridCol w:w="1498"/>
        <w:gridCol w:w="1498"/>
        <w:gridCol w:w="1498"/>
        <w:gridCol w:w="1497"/>
        <w:gridCol w:w="1497"/>
        <w:gridCol w:w="1499"/>
        <w:gridCol w:w="1498"/>
        <w:gridCol w:w="14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vMerge w:val="restart"/>
            <w:noWrap w:val="0"/>
            <w:vAlign w:val="center"/>
          </w:tcPr>
          <w:p>
            <w:pPr>
              <w:jc w:val="center"/>
              <w:rPr>
                <w:rFonts w:hint="eastAsia" w:ascii="宋体" w:hAnsi="宋体"/>
                <w:sz w:val="20"/>
                <w:highlight w:val="none"/>
              </w:rPr>
            </w:pPr>
            <w:r>
              <w:rPr>
                <w:rFonts w:hint="eastAsia" w:ascii="宋体" w:hAnsi="宋体"/>
                <w:sz w:val="20"/>
                <w:highlight w:val="none"/>
              </w:rPr>
              <w:t>颜色</w:t>
            </w:r>
          </w:p>
        </w:tc>
        <w:tc>
          <w:tcPr>
            <w:tcW w:w="11983" w:type="dxa"/>
            <w:gridSpan w:val="8"/>
            <w:noWrap w:val="0"/>
            <w:vAlign w:val="center"/>
          </w:tcPr>
          <w:p>
            <w:pPr>
              <w:jc w:val="center"/>
              <w:rPr>
                <w:rFonts w:hint="eastAsia" w:ascii="宋体" w:hAnsi="宋体"/>
                <w:sz w:val="20"/>
                <w:highlight w:val="none"/>
              </w:rPr>
            </w:pPr>
            <w:r>
              <w:rPr>
                <w:rFonts w:hint="eastAsia" w:ascii="宋体" w:hAnsi="宋体"/>
                <w:sz w:val="20"/>
                <w:highlight w:val="none"/>
              </w:rPr>
              <w:t>色品坐标</w:t>
            </w:r>
          </w:p>
          <w:p>
            <w:pPr>
              <w:jc w:val="center"/>
              <w:rPr>
                <w:rFonts w:hint="eastAsia" w:ascii="宋体" w:hAnsi="宋体"/>
                <w:sz w:val="20"/>
                <w:highlight w:val="none"/>
              </w:rPr>
            </w:pPr>
            <w:r>
              <w:rPr>
                <w:rFonts w:hint="eastAsia" w:ascii="宋体" w:hAnsi="宋体"/>
                <w:sz w:val="20"/>
                <w:highlight w:val="none"/>
              </w:rPr>
              <w:t>（标准照明体A，2°视场角）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2125" w:type="dxa"/>
            <w:vMerge w:val="continue"/>
            <w:noWrap w:val="0"/>
            <w:vAlign w:val="center"/>
          </w:tcPr>
          <w:p>
            <w:pPr>
              <w:jc w:val="center"/>
              <w:rPr>
                <w:rFonts w:hint="eastAsia" w:ascii="宋体" w:hAnsi="宋体"/>
                <w:sz w:val="20"/>
                <w:highlight w:val="none"/>
              </w:rPr>
            </w:pPr>
          </w:p>
        </w:tc>
        <w:tc>
          <w:tcPr>
            <w:tcW w:w="2996" w:type="dxa"/>
            <w:gridSpan w:val="2"/>
            <w:noWrap w:val="0"/>
            <w:vAlign w:val="center"/>
          </w:tcPr>
          <w:p>
            <w:pPr>
              <w:jc w:val="center"/>
              <w:rPr>
                <w:rFonts w:hint="eastAsia" w:ascii="宋体" w:hAnsi="宋体"/>
                <w:sz w:val="20"/>
                <w:highlight w:val="none"/>
              </w:rPr>
            </w:pPr>
            <w:r>
              <w:rPr>
                <w:rFonts w:hint="eastAsia" w:ascii="宋体" w:hAnsi="宋体"/>
                <w:sz w:val="20"/>
                <w:highlight w:val="none"/>
              </w:rPr>
              <w:t>1</w:t>
            </w:r>
          </w:p>
        </w:tc>
        <w:tc>
          <w:tcPr>
            <w:tcW w:w="2995" w:type="dxa"/>
            <w:gridSpan w:val="2"/>
            <w:noWrap w:val="0"/>
            <w:vAlign w:val="center"/>
          </w:tcPr>
          <w:p>
            <w:pPr>
              <w:jc w:val="center"/>
              <w:rPr>
                <w:rFonts w:hint="eastAsia" w:ascii="宋体" w:hAnsi="宋体"/>
                <w:sz w:val="20"/>
                <w:highlight w:val="none"/>
              </w:rPr>
            </w:pPr>
            <w:r>
              <w:rPr>
                <w:rFonts w:hint="eastAsia" w:ascii="宋体" w:hAnsi="宋体"/>
                <w:sz w:val="20"/>
                <w:highlight w:val="none"/>
              </w:rPr>
              <w:t>2</w:t>
            </w:r>
          </w:p>
        </w:tc>
        <w:tc>
          <w:tcPr>
            <w:tcW w:w="2996" w:type="dxa"/>
            <w:gridSpan w:val="2"/>
            <w:noWrap w:val="0"/>
            <w:vAlign w:val="center"/>
          </w:tcPr>
          <w:p>
            <w:pPr>
              <w:jc w:val="center"/>
              <w:rPr>
                <w:rFonts w:hint="eastAsia" w:ascii="宋体" w:hAnsi="宋体"/>
                <w:sz w:val="20"/>
                <w:highlight w:val="none"/>
              </w:rPr>
            </w:pPr>
            <w:r>
              <w:rPr>
                <w:rFonts w:hint="eastAsia" w:ascii="宋体" w:hAnsi="宋体"/>
                <w:sz w:val="20"/>
                <w:highlight w:val="none"/>
              </w:rPr>
              <w:t>3</w:t>
            </w:r>
          </w:p>
        </w:tc>
        <w:tc>
          <w:tcPr>
            <w:tcW w:w="2996" w:type="dxa"/>
            <w:gridSpan w:val="2"/>
            <w:noWrap w:val="0"/>
            <w:vAlign w:val="center"/>
          </w:tcPr>
          <w:p>
            <w:pPr>
              <w:jc w:val="center"/>
              <w:rPr>
                <w:rFonts w:hint="eastAsia" w:ascii="宋体" w:hAnsi="宋体"/>
                <w:sz w:val="20"/>
                <w:highlight w:val="none"/>
              </w:rPr>
            </w:pPr>
            <w:r>
              <w:rPr>
                <w:rFonts w:hint="eastAsia" w:ascii="宋体" w:hAnsi="宋体"/>
                <w:sz w:val="20"/>
                <w:highlight w:val="none"/>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vMerge w:val="continue"/>
            <w:noWrap w:val="0"/>
            <w:vAlign w:val="center"/>
          </w:tcPr>
          <w:p>
            <w:pPr>
              <w:jc w:val="center"/>
              <w:rPr>
                <w:rFonts w:hint="eastAsia" w:ascii="宋体" w:hAnsi="宋体"/>
                <w:sz w:val="20"/>
                <w:highlight w:val="none"/>
              </w:rPr>
            </w:pPr>
          </w:p>
        </w:tc>
        <w:tc>
          <w:tcPr>
            <w:tcW w:w="1498" w:type="dxa"/>
            <w:noWrap w:val="0"/>
            <w:vAlign w:val="center"/>
          </w:tcPr>
          <w:p>
            <w:pPr>
              <w:jc w:val="center"/>
              <w:rPr>
                <w:rFonts w:hint="eastAsia" w:ascii="宋体" w:hAnsi="宋体"/>
                <w:sz w:val="20"/>
                <w:highlight w:val="none"/>
              </w:rPr>
            </w:pPr>
            <w:r>
              <w:rPr>
                <w:rFonts w:ascii="宋体" w:hAnsi="宋体"/>
                <w:sz w:val="20"/>
                <w:highlight w:val="none"/>
              </w:rPr>
              <w:t>x</w:t>
            </w:r>
          </w:p>
        </w:tc>
        <w:tc>
          <w:tcPr>
            <w:tcW w:w="1498" w:type="dxa"/>
            <w:noWrap w:val="0"/>
            <w:vAlign w:val="center"/>
          </w:tcPr>
          <w:p>
            <w:pPr>
              <w:jc w:val="center"/>
              <w:rPr>
                <w:rFonts w:ascii="宋体" w:hAnsi="宋体"/>
                <w:sz w:val="20"/>
                <w:highlight w:val="none"/>
              </w:rPr>
            </w:pPr>
            <w:r>
              <w:rPr>
                <w:rFonts w:ascii="宋体" w:hAnsi="宋体"/>
                <w:sz w:val="20"/>
                <w:highlight w:val="none"/>
              </w:rPr>
              <w:t>y</w:t>
            </w:r>
          </w:p>
        </w:tc>
        <w:tc>
          <w:tcPr>
            <w:tcW w:w="1498" w:type="dxa"/>
            <w:noWrap w:val="0"/>
            <w:vAlign w:val="center"/>
          </w:tcPr>
          <w:p>
            <w:pPr>
              <w:jc w:val="center"/>
              <w:rPr>
                <w:rFonts w:ascii="宋体" w:hAnsi="宋体"/>
                <w:sz w:val="20"/>
                <w:highlight w:val="none"/>
              </w:rPr>
            </w:pPr>
            <w:r>
              <w:rPr>
                <w:rFonts w:ascii="宋体" w:hAnsi="宋体"/>
                <w:sz w:val="20"/>
                <w:highlight w:val="none"/>
              </w:rPr>
              <w:t>x</w:t>
            </w:r>
          </w:p>
        </w:tc>
        <w:tc>
          <w:tcPr>
            <w:tcW w:w="1497" w:type="dxa"/>
            <w:noWrap w:val="0"/>
            <w:vAlign w:val="center"/>
          </w:tcPr>
          <w:p>
            <w:pPr>
              <w:jc w:val="center"/>
              <w:rPr>
                <w:rFonts w:ascii="宋体" w:hAnsi="宋体"/>
                <w:sz w:val="20"/>
                <w:highlight w:val="none"/>
              </w:rPr>
            </w:pPr>
            <w:r>
              <w:rPr>
                <w:rFonts w:ascii="宋体" w:hAnsi="宋体"/>
                <w:sz w:val="20"/>
                <w:highlight w:val="none"/>
              </w:rPr>
              <w:t>y</w:t>
            </w:r>
          </w:p>
        </w:tc>
        <w:tc>
          <w:tcPr>
            <w:tcW w:w="1497" w:type="dxa"/>
            <w:noWrap w:val="0"/>
            <w:vAlign w:val="center"/>
          </w:tcPr>
          <w:p>
            <w:pPr>
              <w:jc w:val="center"/>
              <w:rPr>
                <w:rFonts w:ascii="宋体" w:hAnsi="宋体"/>
                <w:sz w:val="20"/>
                <w:highlight w:val="none"/>
              </w:rPr>
            </w:pPr>
            <w:r>
              <w:rPr>
                <w:rFonts w:ascii="宋体" w:hAnsi="宋体"/>
                <w:sz w:val="20"/>
                <w:highlight w:val="none"/>
              </w:rPr>
              <w:t>x</w:t>
            </w:r>
          </w:p>
        </w:tc>
        <w:tc>
          <w:tcPr>
            <w:tcW w:w="1499" w:type="dxa"/>
            <w:noWrap w:val="0"/>
            <w:vAlign w:val="center"/>
          </w:tcPr>
          <w:p>
            <w:pPr>
              <w:jc w:val="center"/>
              <w:rPr>
                <w:rFonts w:ascii="宋体" w:hAnsi="宋体"/>
                <w:sz w:val="20"/>
                <w:highlight w:val="none"/>
              </w:rPr>
            </w:pPr>
            <w:r>
              <w:rPr>
                <w:rFonts w:ascii="宋体" w:hAnsi="宋体"/>
                <w:sz w:val="20"/>
                <w:highlight w:val="none"/>
              </w:rPr>
              <w:t>y</w:t>
            </w:r>
          </w:p>
        </w:tc>
        <w:tc>
          <w:tcPr>
            <w:tcW w:w="1498" w:type="dxa"/>
            <w:noWrap w:val="0"/>
            <w:vAlign w:val="center"/>
          </w:tcPr>
          <w:p>
            <w:pPr>
              <w:jc w:val="center"/>
              <w:rPr>
                <w:rFonts w:ascii="宋体" w:hAnsi="宋体"/>
                <w:sz w:val="20"/>
                <w:highlight w:val="none"/>
              </w:rPr>
            </w:pPr>
            <w:r>
              <w:rPr>
                <w:rFonts w:ascii="宋体" w:hAnsi="宋体"/>
                <w:sz w:val="20"/>
                <w:highlight w:val="none"/>
              </w:rPr>
              <w:t>x</w:t>
            </w:r>
          </w:p>
        </w:tc>
        <w:tc>
          <w:tcPr>
            <w:tcW w:w="1498" w:type="dxa"/>
            <w:noWrap w:val="0"/>
            <w:vAlign w:val="center"/>
          </w:tcPr>
          <w:p>
            <w:pPr>
              <w:jc w:val="center"/>
              <w:rPr>
                <w:rFonts w:ascii="宋体" w:hAnsi="宋体"/>
                <w:sz w:val="20"/>
                <w:highlight w:val="none"/>
              </w:rPr>
            </w:pPr>
            <w:r>
              <w:rPr>
                <w:rFonts w:ascii="宋体" w:hAnsi="宋体"/>
                <w:sz w:val="20"/>
                <w:highlight w:val="none"/>
              </w:rPr>
              <w:t>y</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黄</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0.513</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0.487</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0.500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0.545</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0.545</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0.425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0.572</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橙</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0.595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0.405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0.565</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0.613</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0.613</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0.355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0.643</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红</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0.650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0.348</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0.620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0.712</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0.712</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0.255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0.735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0.265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绿</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0.007</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0.570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0.200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0.322</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0.322</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0.590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0.193</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0.782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蓝</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0.033</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0.370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0.180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0.230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0.230</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0.240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0.091</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0.133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棕</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0.595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0.405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0.540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0.570</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0.570</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0.365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0.643</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荧光黄绿</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0.480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0.520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0.473</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0.523</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0.523</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0.440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0.550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荧光黄</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0.554</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0.445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0.526</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0.569</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0.569</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0.394</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0.610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2125" w:type="dxa"/>
            <w:noWrap w:val="0"/>
            <w:vAlign w:val="center"/>
          </w:tcPr>
          <w:p>
            <w:pPr>
              <w:jc w:val="center"/>
              <w:rPr>
                <w:rFonts w:hint="eastAsia" w:ascii="宋体" w:hAnsi="宋体"/>
                <w:sz w:val="20"/>
                <w:highlight w:val="none"/>
              </w:rPr>
            </w:pPr>
            <w:r>
              <w:rPr>
                <w:rFonts w:hint="eastAsia" w:ascii="宋体" w:hAnsi="宋体"/>
                <w:sz w:val="20"/>
                <w:highlight w:val="none"/>
              </w:rPr>
              <w:t>荧光橙</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0.625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0.375</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0.589</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0.636</w:t>
            </w:r>
          </w:p>
        </w:tc>
        <w:tc>
          <w:tcPr>
            <w:tcW w:w="1497" w:type="dxa"/>
            <w:noWrap w:val="0"/>
            <w:vAlign w:val="center"/>
          </w:tcPr>
          <w:p>
            <w:pPr>
              <w:jc w:val="center"/>
              <w:rPr>
                <w:rFonts w:hint="eastAsia" w:ascii="宋体" w:hAnsi="宋体"/>
                <w:sz w:val="20"/>
                <w:highlight w:val="none"/>
              </w:rPr>
            </w:pPr>
            <w:r>
              <w:rPr>
                <w:rFonts w:hint="eastAsia" w:ascii="宋体" w:hAnsi="宋体"/>
                <w:sz w:val="20"/>
                <w:highlight w:val="none"/>
              </w:rPr>
              <w:t>0.636</w:t>
            </w:r>
          </w:p>
        </w:tc>
        <w:tc>
          <w:tcPr>
            <w:tcW w:w="1499" w:type="dxa"/>
            <w:noWrap w:val="0"/>
            <w:vAlign w:val="center"/>
          </w:tcPr>
          <w:p>
            <w:pPr>
              <w:jc w:val="center"/>
              <w:rPr>
                <w:rFonts w:hint="eastAsia" w:ascii="宋体" w:hAnsi="宋体"/>
                <w:sz w:val="20"/>
                <w:highlight w:val="none"/>
              </w:rPr>
            </w:pPr>
            <w:r>
              <w:rPr>
                <w:rFonts w:hint="eastAsia" w:ascii="宋体" w:hAnsi="宋体"/>
                <w:sz w:val="20"/>
                <w:highlight w:val="none"/>
              </w:rPr>
              <w:t>0.330</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0.669</w:t>
            </w:r>
          </w:p>
        </w:tc>
        <w:tc>
          <w:tcPr>
            <w:tcW w:w="1498" w:type="dxa"/>
            <w:noWrap w:val="0"/>
            <w:vAlign w:val="center"/>
          </w:tcPr>
          <w:p>
            <w:pPr>
              <w:jc w:val="center"/>
              <w:rPr>
                <w:rFonts w:hint="eastAsia" w:ascii="宋体" w:hAnsi="宋体"/>
                <w:sz w:val="20"/>
                <w:highlight w:val="none"/>
              </w:rPr>
            </w:pPr>
            <w:r>
              <w:rPr>
                <w:rFonts w:hint="eastAsia" w:ascii="宋体" w:hAnsi="宋体"/>
                <w:sz w:val="20"/>
                <w:highlight w:val="none"/>
              </w:rPr>
              <w:t>0.331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14108" w:type="dxa"/>
            <w:gridSpan w:val="9"/>
            <w:noWrap w:val="0"/>
            <w:vAlign w:val="center"/>
          </w:tcPr>
          <w:p>
            <w:pPr>
              <w:jc w:val="left"/>
              <w:rPr>
                <w:rFonts w:hint="eastAsia" w:ascii="宋体" w:hAnsi="宋体"/>
                <w:sz w:val="20"/>
                <w:highlight w:val="none"/>
              </w:rPr>
            </w:pPr>
            <w:r>
              <w:rPr>
                <w:rFonts w:hint="eastAsia" w:ascii="宋体" w:hAnsi="宋体"/>
                <w:sz w:val="20"/>
                <w:highlight w:val="none"/>
              </w:rPr>
              <w:t>注：对白色和灰色的夜间色不作要求。</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试验方法：裁取150mm×150mm的单色反光膜试样，采用GB/T 3978规定的CIE标准照明体D65光源，测量的几何条件取45°a：0°，分别按照GB/T 3979和JT/T 693规定的方法，测得各种反光膜昼间色的色品坐标和亮度因数。</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裁取150mm×150mm的单色反光膜试样，采用GB/T 3978规定的CIE标准照明体A光源，入射角0°、观测角度0.2°的照明观测条件，按JT/T 692规定的方法，测得各种反光膜夜间色的色品坐标。</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5）抗冲击性能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反光膜应具备抗冲击性能，按如下方法试验后，在受到冲击的表面以外，不应出现裂缝、层间脱离或其他损坏。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试验方法：裁取150mm×150mm的反光膜试样，将反光面朝上，水平放置在符合JT/T 686要求的仪器钢板上，在试样上方250mm处，用一个质量为450.0g±4.5g的实心钢球自由落下，冲击试样中心部位，然后检查被冲击表面的变化。</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6）耐弯曲性能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反光膜应能承受适度弯曲，按如下方法试验后，表面不应出现裂缝、剥落或层间分离等损坏。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试验方法：裁取230mm×70mm的反光膜试样，使用符合JT/T 762要求的测试仪器，在1s内，将试样防粘纸朝里，沿长度方向绕直径3.20mm±0.05mm的圆棒进行对折弯曲。如需要，可在试样粘结剂表面撒上适量的滑石粉进行测试。然后开放试样，检测其表面的变化。</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7）附着性能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反光膜背胶应有足够的附着力，且各结构层间结合牢固，按如下方法试验后，在5min后剥离长度不应大于20mm。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截取25mm×200mm的反光膜试样，从一端去除100mm长的防粘纸露出背胶，按生产厂商的使用说明，将其粘贴在50mm×200mm、1.0mm～2.0mm厚并经适当打磨清洗过的铝合金板上，其余100mm余留，制成附着性能试样，尺寸如图5-</w:t>
      </w:r>
      <w:r>
        <w:rPr>
          <w:rFonts w:hint="eastAsia" w:ascii="宋体" w:hAnsi="宋体" w:cs="Times New Roman"/>
          <w:spacing w:val="4"/>
          <w:sz w:val="24"/>
          <w:highlight w:val="none"/>
          <w:lang w:val="en-US" w:eastAsia="zh-CN"/>
        </w:rPr>
        <w:t>5</w:t>
      </w:r>
      <w:r>
        <w:rPr>
          <w:rFonts w:hint="eastAsia" w:ascii="宋体" w:hAnsi="宋体" w:cs="Times New Roman"/>
          <w:spacing w:val="4"/>
          <w:sz w:val="24"/>
          <w:highlight w:val="none"/>
        </w:rPr>
        <w:t>所示：</w:t>
      </w:r>
    </w:p>
    <w:p>
      <w:pPr>
        <w:spacing w:line="360" w:lineRule="auto"/>
        <w:ind w:firstLine="480" w:firstLineChars="200"/>
        <w:jc w:val="center"/>
        <w:rPr>
          <w:rFonts w:hint="eastAsia" w:ascii="宋体" w:hAnsi="宋体"/>
          <w:sz w:val="24"/>
          <w:szCs w:val="24"/>
          <w:highlight w:val="none"/>
        </w:rPr>
      </w:pPr>
      <w:r>
        <w:rPr>
          <w:rFonts w:ascii="宋体" w:hAnsi="宋体"/>
          <w:sz w:val="24"/>
          <w:szCs w:val="24"/>
          <w:highlight w:val="none"/>
        </w:rPr>
        <w:drawing>
          <wp:inline distT="0" distB="0" distL="114300" distR="114300">
            <wp:extent cx="4331335" cy="1965325"/>
            <wp:effectExtent l="0" t="0" r="12065" b="15875"/>
            <wp:docPr id="16" name="图片 5" descr="QQ图片2013091709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QQ图片20130917092523"/>
                    <pic:cNvPicPr>
                      <a:picLocks noChangeAspect="1"/>
                    </pic:cNvPicPr>
                  </pic:nvPicPr>
                  <pic:blipFill>
                    <a:blip r:embed="rId8"/>
                    <a:stretch>
                      <a:fillRect/>
                    </a:stretch>
                  </pic:blipFill>
                  <pic:spPr>
                    <a:xfrm>
                      <a:off x="0" y="0"/>
                      <a:ext cx="4331335" cy="1965325"/>
                    </a:xfrm>
                    <a:prstGeom prst="rect">
                      <a:avLst/>
                    </a:prstGeom>
                    <a:noFill/>
                    <a:ln>
                      <a:noFill/>
                    </a:ln>
                  </pic:spPr>
                </pic:pic>
              </a:graphicData>
            </a:graphic>
          </wp:inline>
        </w:drawing>
      </w:r>
    </w:p>
    <w:p>
      <w:pPr>
        <w:spacing w:line="360" w:lineRule="auto"/>
        <w:ind w:firstLine="480" w:firstLineChars="200"/>
        <w:jc w:val="center"/>
        <w:rPr>
          <w:rFonts w:hint="eastAsia" w:ascii="宋体" w:hAnsi="宋体"/>
          <w:sz w:val="24"/>
          <w:szCs w:val="24"/>
          <w:highlight w:val="none"/>
        </w:rPr>
      </w:pPr>
      <w:r>
        <w:rPr>
          <w:rFonts w:hint="eastAsia" w:ascii="宋体" w:hAnsi="宋体"/>
          <w:sz w:val="24"/>
          <w:szCs w:val="24"/>
          <w:highlight w:val="none"/>
        </w:rPr>
        <w:t>图5-</w:t>
      </w:r>
      <w:r>
        <w:rPr>
          <w:rFonts w:hint="eastAsia" w:ascii="宋体" w:hAnsi="宋体"/>
          <w:sz w:val="24"/>
          <w:szCs w:val="24"/>
          <w:highlight w:val="none"/>
          <w:lang w:val="en-US" w:eastAsia="zh-CN"/>
        </w:rPr>
        <w:t>5</w:t>
      </w:r>
      <w:r>
        <w:rPr>
          <w:rFonts w:hint="eastAsia" w:ascii="宋体" w:hAnsi="宋体"/>
          <w:sz w:val="24"/>
          <w:szCs w:val="24"/>
          <w:highlight w:val="none"/>
        </w:rPr>
        <w:t xml:space="preserve">  附着性能试样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将试样反光膜朝下，水平放在符合JT/T 685要求的仪器上，如图5-</w:t>
      </w:r>
      <w:r>
        <w:rPr>
          <w:rFonts w:hint="eastAsia" w:ascii="宋体" w:hAnsi="宋体" w:cs="Times New Roman"/>
          <w:spacing w:val="4"/>
          <w:sz w:val="24"/>
          <w:highlight w:val="none"/>
          <w:lang w:val="en-US" w:eastAsia="zh-CN"/>
        </w:rPr>
        <w:t>6</w:t>
      </w:r>
      <w:r>
        <w:rPr>
          <w:rFonts w:hint="eastAsia" w:ascii="宋体" w:hAnsi="宋体" w:cs="Times New Roman"/>
          <w:spacing w:val="4"/>
          <w:sz w:val="24"/>
          <w:highlight w:val="none"/>
        </w:rPr>
        <w:t>所示。反光膜的余留端上悬挂800g±4g的重锤，与试样板面成90°角下垂。5min后，测出反光膜被剥离的长度L。</w:t>
      </w:r>
    </w:p>
    <w:p>
      <w:pPr>
        <w:spacing w:line="360" w:lineRule="auto"/>
        <w:jc w:val="center"/>
        <w:rPr>
          <w:rFonts w:hint="eastAsia" w:ascii="宋体" w:hAnsi="宋体"/>
          <w:sz w:val="24"/>
          <w:szCs w:val="24"/>
          <w:highlight w:val="none"/>
        </w:rPr>
      </w:pPr>
      <w:r>
        <w:rPr>
          <w:rFonts w:ascii="宋体" w:hAnsi="宋体"/>
          <w:sz w:val="24"/>
          <w:szCs w:val="24"/>
          <w:highlight w:val="none"/>
        </w:rPr>
        <w:drawing>
          <wp:inline distT="0" distB="0" distL="114300" distR="114300">
            <wp:extent cx="4589145" cy="2042795"/>
            <wp:effectExtent l="0" t="0" r="1905" b="14605"/>
            <wp:docPr id="18" name="图片 6" descr="QQ图片2013091709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QQ图片20130917093200"/>
                    <pic:cNvPicPr>
                      <a:picLocks noChangeAspect="1"/>
                    </pic:cNvPicPr>
                  </pic:nvPicPr>
                  <pic:blipFill>
                    <a:blip r:embed="rId9"/>
                    <a:stretch>
                      <a:fillRect/>
                    </a:stretch>
                  </pic:blipFill>
                  <pic:spPr>
                    <a:xfrm>
                      <a:off x="0" y="0"/>
                      <a:ext cx="4589145" cy="2042795"/>
                    </a:xfrm>
                    <a:prstGeom prst="rect">
                      <a:avLst/>
                    </a:prstGeom>
                    <a:noFill/>
                    <a:ln>
                      <a:noFill/>
                    </a:ln>
                  </pic:spPr>
                </pic:pic>
              </a:graphicData>
            </a:graphic>
          </wp:inline>
        </w:drawing>
      </w:r>
    </w:p>
    <w:p>
      <w:pPr>
        <w:spacing w:line="360" w:lineRule="auto"/>
        <w:jc w:val="center"/>
        <w:rPr>
          <w:rFonts w:hint="eastAsia" w:ascii="宋体" w:hAnsi="宋体"/>
          <w:sz w:val="24"/>
          <w:szCs w:val="24"/>
          <w:highlight w:val="none"/>
        </w:rPr>
      </w:pPr>
      <w:r>
        <w:rPr>
          <w:rFonts w:hint="eastAsia" w:ascii="宋体" w:hAnsi="宋体"/>
          <w:sz w:val="24"/>
          <w:szCs w:val="24"/>
          <w:highlight w:val="none"/>
        </w:rPr>
        <w:t>图5-</w:t>
      </w:r>
      <w:r>
        <w:rPr>
          <w:rFonts w:hint="eastAsia" w:ascii="宋体" w:hAnsi="宋体"/>
          <w:sz w:val="24"/>
          <w:szCs w:val="24"/>
          <w:highlight w:val="none"/>
          <w:lang w:val="en-US" w:eastAsia="zh-CN"/>
        </w:rPr>
        <w:t>6</w:t>
      </w:r>
      <w:r>
        <w:rPr>
          <w:rFonts w:hint="eastAsia" w:ascii="宋体" w:hAnsi="宋体"/>
          <w:sz w:val="24"/>
          <w:szCs w:val="24"/>
          <w:highlight w:val="none"/>
        </w:rPr>
        <w:t xml:space="preserve">  附着性能试验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8）收缩性能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按如下方法试验后，反光膜不应出现明显收缩，任何一边的尺寸在10min内，其收缩不应超过0.8mm；在24h内，其收缩不应超过3.2mm。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试验方法：裁取230mm×230mm的反光膜试样，去除防粘纸，将试样粘结面朝上，水平放置在一平台表面。在防粘纸去除后10min和24h时，分别测出反光膜试样的尺寸变化。</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9）防粘纸可剥离性能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按如下方法试验后，反光膜无需用水或其他溶剂浸湿，防粘纸即可方便地手工剥下，且无破损、撕裂或从反光膜上带下粘合剂等损坏出现。</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试验方法：裁取25mm×150mm的反光膜试样，在其上放置符合JT/T 687要求的6600g±33g重物，使反光膜受到17.2kPa的压力，然后置于70℃±2℃的空间里放置4h。取出反光膜，在标准测试条件下使之冷却到室温。用手剥去防粘纸，并进行检查。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10）抗拉荷载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按如下方法试验后，Ⅰ类和Ⅱ类反光膜的抗拉荷载值不应小于24N。</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25mm×150mm的反光膜试样，撕去中间100mm的防粘纸，装入精度为0.5级的万能材料试验机夹紧装置中，在试样宽度上负荷应均匀分布。开启试验机，以300mm/min的速度拉伸，分别记录断裂时的抗拉荷载值。</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11） 耐溶剂性能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按如下方法经汽油和乙醇浸泡后，反光膜表面不应出现软化、皱纹、渗漏、起泡、开裂或被溶解等损坏。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试验方法：裁取25mm×150mm的反光膜试样，按生产厂商的使用说明，粘贴在1.0mm～2.0mm厚的铝合金板上，制成耐溶剂性能试样。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将试样分别浸没在标准车用汽油和乙醇溶剂中，到规定的时间（汽油浸渍10min，乙醇浸渍1min）后取出，室温下在通风橱内干燥，检查其表面变化。</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12）耐盐雾腐蚀性能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按如下方法进行盐雾试验后，反光膜表面不应有变色、渗漏、起泡或被侵蚀等损坏。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试验方法：按GB/T 10125，把化学纯的氯化钠溶于蒸馏水，配制成5.0%±0.1%（质量比）的盐溶液（PH值在6.5～7.2之间），使该盐溶液在盐雾试验箱内连续雾化，箱内温度保持35℃±2℃。</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裁取150mm×150mm的反光膜试样，按生产厂商的使用说明，粘贴在1.0mm～2.0mm厚的铝合金板上，制成盐雾腐蚀试样。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将试样放入试验箱内，其受试面与垂直方向成30°角，相邻两样板保持一定的间隙，行间距不少于75mm，试样在盐雾空间连续暴露120h。试验结束后，用清水洗掉试样表面的盐沉积物，然后置于标准环境条件下恢复2h，进行全面检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13) 耐高低温性能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按如下方法进行高低温试验后，反光膜表面不应出现裂缝、软化、剥落、皱纹、起泡、翘曲或外观不均匀等损坏。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试验方法：裁取150mm×150mm的反光膜试样，按生产厂商的使用说明，粘贴在1.0mm～2.0mm厚的铝合金板上，制成高低温试样。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将试样放入试验箱内，开动冷源，将箱内温度逐渐降至-40℃±3℃，使试样在该温度下保持72h，关闭电源，使试验箱自然升至室温后，再将试验箱升温至70℃±3℃，并在该温度下保持24h，最后关闭电源，使试验箱自然冷却至室温，取出试样，在标准测试条件下放置2h后，检查其表面的变化。</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14)耐候性能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按如下方法进行自然暴露或人工加速老化试验后：</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a)反光膜应无明显的裂缝、刻痕、凹陷、气泡、侵蚀、剥离、粉化或变形等损坏。</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b)从任何一边均不应出现超过0.8mm的收缩，也不应出现反光膜从底板边缘翘曲或脱离的痕迹。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c)在观测角为0.2°、入射角为—4°、15°和30°时，各类反光膜的逆反射系数值RA值不应低于表5-2的80%。</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d)反光膜各种颜色的色品坐标及亮度因数应保持在表5-3和表5-4规定的范围内。</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试验方法：</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a）试验时间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反光膜各类别的自然暴露试验和人工加速老化试验时间见表5-</w:t>
      </w:r>
      <w:r>
        <w:rPr>
          <w:rFonts w:hint="eastAsia" w:ascii="宋体" w:hAnsi="宋体" w:cs="Times New Roman"/>
          <w:spacing w:val="4"/>
          <w:sz w:val="24"/>
          <w:highlight w:val="none"/>
          <w:lang w:val="en-US" w:eastAsia="zh-CN"/>
        </w:rPr>
        <w:t>7</w:t>
      </w:r>
      <w:r>
        <w:rPr>
          <w:rFonts w:hint="eastAsia" w:ascii="宋体" w:hAnsi="宋体" w:cs="Times New Roman"/>
          <w:spacing w:val="4"/>
          <w:sz w:val="24"/>
          <w:highlight w:val="none"/>
        </w:rPr>
        <w:t>。</w:t>
      </w:r>
    </w:p>
    <w:p>
      <w:pPr>
        <w:spacing w:line="360" w:lineRule="auto"/>
        <w:ind w:left="765"/>
        <w:jc w:val="center"/>
        <w:rPr>
          <w:rFonts w:hint="eastAsia" w:ascii="宋体" w:hAnsi="宋体"/>
          <w:sz w:val="24"/>
          <w:szCs w:val="24"/>
          <w:highlight w:val="none"/>
        </w:rPr>
      </w:pPr>
      <w:r>
        <w:rPr>
          <w:rFonts w:hint="eastAsia" w:ascii="宋体" w:hAnsi="宋体"/>
          <w:sz w:val="24"/>
          <w:szCs w:val="24"/>
          <w:highlight w:val="none"/>
        </w:rPr>
        <w:t>表5-</w:t>
      </w:r>
      <w:r>
        <w:rPr>
          <w:rFonts w:hint="eastAsia" w:ascii="宋体" w:hAnsi="宋体"/>
          <w:sz w:val="24"/>
          <w:szCs w:val="24"/>
          <w:highlight w:val="none"/>
          <w:lang w:val="en-US" w:eastAsia="zh-CN"/>
        </w:rPr>
        <w:t>7</w:t>
      </w:r>
      <w:r>
        <w:rPr>
          <w:rFonts w:hint="eastAsia" w:ascii="宋体" w:hAnsi="宋体"/>
          <w:sz w:val="24"/>
          <w:szCs w:val="24"/>
          <w:highlight w:val="none"/>
        </w:rPr>
        <w:t xml:space="preserve"> 耐候性能试验时间</w:t>
      </w:r>
    </w:p>
    <w:tbl>
      <w:tblPr>
        <w:tblStyle w:val="8"/>
        <w:tblW w:w="1410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00"/>
        <w:gridCol w:w="4703"/>
        <w:gridCol w:w="47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反光膜级别</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自然暴露试验</w:t>
            </w:r>
          </w:p>
          <w:p>
            <w:pPr>
              <w:spacing w:line="360" w:lineRule="auto"/>
              <w:jc w:val="center"/>
              <w:rPr>
                <w:rFonts w:hint="eastAsia" w:ascii="宋体" w:hAnsi="宋体"/>
                <w:sz w:val="21"/>
                <w:szCs w:val="21"/>
                <w:highlight w:val="none"/>
              </w:rPr>
            </w:pPr>
            <w:r>
              <w:rPr>
                <w:rFonts w:hint="eastAsia" w:ascii="宋体" w:hAnsi="宋体"/>
                <w:sz w:val="21"/>
                <w:szCs w:val="21"/>
                <w:highlight w:val="none"/>
              </w:rPr>
              <w:t>月</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人工加速老化试验</w:t>
            </w:r>
          </w:p>
          <w:p>
            <w:pPr>
              <w:spacing w:line="360" w:lineRule="auto"/>
              <w:jc w:val="center"/>
              <w:rPr>
                <w:rFonts w:hint="eastAsia" w:ascii="宋体" w:hAnsi="宋体"/>
                <w:sz w:val="21"/>
                <w:szCs w:val="21"/>
                <w:highlight w:val="none"/>
              </w:rPr>
            </w:pPr>
            <w:r>
              <w:rPr>
                <w:rFonts w:hint="eastAsia" w:ascii="宋体" w:hAnsi="宋体"/>
                <w:sz w:val="21"/>
                <w:szCs w:val="21"/>
                <w:highlight w:val="none"/>
              </w:rPr>
              <w:t>h</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Ⅰ类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24</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1200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Ⅱ类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36</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Ⅲ类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36</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Ⅳ类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36</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Ⅴ类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36</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Ⅵ类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12</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600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4700"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Ⅶ类</w:t>
            </w:r>
          </w:p>
        </w:tc>
        <w:tc>
          <w:tcPr>
            <w:tcW w:w="4703"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12</w:t>
            </w:r>
          </w:p>
        </w:tc>
        <w:tc>
          <w:tcPr>
            <w:tcW w:w="4705"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600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27" w:hRule="atLeast"/>
        </w:trPr>
        <w:tc>
          <w:tcPr>
            <w:tcW w:w="14108" w:type="dxa"/>
            <w:gridSpan w:val="3"/>
            <w:noWrap w:val="0"/>
            <w:vAlign w:val="center"/>
          </w:tcPr>
          <w:p>
            <w:pPr>
              <w:spacing w:line="360" w:lineRule="auto"/>
              <w:ind w:left="420" w:hanging="420" w:hangingChars="200"/>
              <w:jc w:val="center"/>
              <w:rPr>
                <w:rFonts w:hint="eastAsia" w:ascii="宋体" w:hAnsi="宋体"/>
                <w:sz w:val="21"/>
                <w:szCs w:val="21"/>
                <w:highlight w:val="none"/>
              </w:rPr>
            </w:pPr>
            <w:r>
              <w:rPr>
                <w:rFonts w:hint="eastAsia" w:ascii="宋体" w:hAnsi="宋体"/>
                <w:sz w:val="21"/>
                <w:szCs w:val="21"/>
                <w:highlight w:val="none"/>
              </w:rPr>
              <w:t>注：各类反光膜仅用于临时性交通标志和作业设施时，自然暴露试验时间一般为12个月，人工加速老化</w:t>
            </w:r>
          </w:p>
          <w:p>
            <w:pPr>
              <w:spacing w:line="360" w:lineRule="auto"/>
              <w:ind w:left="420" w:leftChars="150" w:hanging="105" w:hangingChars="50"/>
              <w:jc w:val="left"/>
              <w:rPr>
                <w:rFonts w:hint="eastAsia" w:ascii="宋体" w:hAnsi="宋体"/>
                <w:sz w:val="21"/>
                <w:szCs w:val="21"/>
                <w:highlight w:val="none"/>
              </w:rPr>
            </w:pPr>
            <w:r>
              <w:rPr>
                <w:rFonts w:hint="eastAsia" w:ascii="宋体" w:hAnsi="宋体"/>
                <w:sz w:val="21"/>
                <w:szCs w:val="21"/>
                <w:highlight w:val="none"/>
              </w:rPr>
              <w:t>试验时间一般为600h。</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b）自然暴露试验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按GB/T 3681，将尺寸不小于150mm×250mm的试样安装在至少高于地面0.8m的暴晒架面上，试样面朝正南方，与水平面呈当地的纬度角或45°±1°。试样表面不应被其他物体遮挡阳光，不得积水。暴漏地点的选择尽可能近似实际使用环境或代表某一气候类型最严酷的地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试样开始暴晒后，每1个月做次表面检查，半年后，每3个月检查1次，直至达到规定的暴晒期限，进行最终检查，并进行有关性能测试。</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以自然暴露试验为仲裁试验。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c）人工加速老化试验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按GB/T 16422.2，老化试验箱采用疝弧灯作为光源，箱内黑板温度选择65℃±3℃，相对湿度选择50%±5%。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试样的尺寸根据试验箱的要求来选定，一般为65mm×142mm。</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老化试验箱在光谱波长290nm～800nm之间的辐照度为550W/㎡，在光谱波长290nm～2450nm之间的总辐照度不超过1000W/㎡±100W/㎡，试样表面任意两点之间的辐照度差别不应大于10%。</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试验过程采用连续光照，周期性喷水，喷水周期为120min，其中18min喷水，102min不喷水。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经过规定时间老化试验后的试样，用清水彻底清洗，用软布擦干后进行各种检查及有关性能测试。</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15)版面颜色规定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①警告标志：黑框、黄底，图案及文字均采用黑色。</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②禁令标志：红框、白底、红杠，图案及文字均采用黑色，图案压杠。</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标志反光膜的相关检测方法具体见国家标准《道路交通反光膜》(GB/T 18833-2012)。</w:t>
      </w:r>
    </w:p>
    <w:p>
      <w:pPr>
        <w:pStyle w:val="3"/>
        <w:spacing w:line="440" w:lineRule="exact"/>
        <w:outlineLvl w:val="0"/>
        <w:rPr>
          <w:rFonts w:hint="eastAsia" w:hAnsi="宋体" w:cs="Courier New"/>
          <w:b/>
          <w:spacing w:val="4"/>
          <w:sz w:val="24"/>
          <w:szCs w:val="24"/>
          <w:highlight w:val="none"/>
        </w:rPr>
      </w:pPr>
      <w:r>
        <w:rPr>
          <w:rFonts w:hint="eastAsia" w:hAnsi="宋体" w:cs="Courier New"/>
          <w:b/>
          <w:spacing w:val="4"/>
          <w:sz w:val="24"/>
          <w:szCs w:val="24"/>
          <w:highlight w:val="none"/>
        </w:rPr>
        <w:t>五、路面的施工要求及注意事项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沥青混凝土路面面层、基层的质量管理和控制，参照《公路路面基层施工技术细则》(JTG∕T F20-2015)《公路水泥混凝土路面施工技术细则》(JTG/TF30-2014)《公路工程质量检验评定标准》(TJG F80/1-2004)的技术规定执行并应严格按照设计图纸的要求，同时注意以下几个问题。</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1、一般事项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(1)料场表中所列的料场均为推荐料场，施工前施工单位及监理应对各种材料进行试验，试验合格后方可进料，不得使用不符合要求的材料。施工期内应根据料场产量提前进行备料。</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(2)各种材料都必须在施工前以“批”(10t)为单位进行检查，不符合《公路沥青路面设计规范》(JTGD50-2017)及《公路沥青路面施工技术规范》(JTG F40-2017)相关技术要求的材料不得进场，对各种矿料是以同一料源、同一次购入并运至生产现场的相同规格材料为一“批”。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 xml:space="preserve"> (3)面层之间应进行连续施工，避免表面被污染。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(4)基层摊铺完成后需按规范要求进行养生，达到规范养生标准后及时加铺下面层，当下面层满足要求时才可开放交通，在基层未达到规范的养生要求及下面层摊铺前严禁一切车辆在其上行驶(不包括洒水车)。</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施工单位应严格按照施工图文件，不得随意变更设计文件，施工图说明及设计文件中未包括的，均按交通部有关施工技术规范执行。道路施工时，如发现技术问题，应及时与设计单位或驻地监理沟通，及时解决问题。</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必须按设计组织施工，加强管理，保证连续施工。事前做好应对不利气候的施工准备，保证混凝土路面施工能连续、保质地开展工作。施工时，应分段分幅修筑，设置安全保护设施和疏导交通的标志，保证道路畅通，尤其注意夜间道路行车安全，应保证夜间施工路段有人职守、频闪灯等安全保护设施和疏导交通的标志齐全及使用状态良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在开挖路槽内铺筑路面基层前，按规定检查旧路顶面或路基顶面的标高、宽度、路拱横坡、平整度、压实度以等各项指标是否满足要求，满足要求后方能铺筑路面基层或粒料层。在铺筑路面面层前，同样需要对基层顶面进行检查，经监理、有关部门及面层施工检测满足本说明及相关规范要求后，方可进行面层施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3、透层施工注意事项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(1)浇洒透层前，路面清扫干净，以防污染。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(2)透层沥青洒布后应不流淌、渗透入基层一定深度，不得在表面形成油膜。</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(3)如遇大风或即将降雨时，不得浇洒透层沥青。</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(4)气温低于10℃时，不宜浇洒透层沥青。</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(5)应按设计的沥青用量一次浇洒均匀，当有遗漏时，应用人工补洒。</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(6)乳化沥青破乳后撒布石屑，撒布完成后，必须用8t压路机轻压2～3遍，养生结束开放交通后，应设专人扫除表面松散多余的石屑。</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(7)应在透层油乳化沥青洒布24h后、或其渗透深度达5mm后，再撒布石屑，确保透层油充分渗入下层。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lang w:val="en-US" w:eastAsia="zh-CN"/>
        </w:rPr>
        <w:t>4</w:t>
      </w:r>
      <w:r>
        <w:rPr>
          <w:rFonts w:hint="eastAsia" w:ascii="宋体" w:hAnsi="宋体" w:cs="Times New Roman"/>
          <w:spacing w:val="4"/>
          <w:sz w:val="24"/>
          <w:highlight w:val="none"/>
        </w:rPr>
        <w:t>、沥青面层施工要点：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(1)施工准备</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①在面层施工前1～2d内，应清理基层顶面，在半刚性基层满足设计强度要求时，并且其平整度及拱度验收合格后，方可施工面层。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②施工前应对各种材料进行试验，经选择确定的材料在施工过程中应保持稳定，不得随意变更。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③沥青混合料的配合比设计应按目标配合比设计阶段、生产配合比设计阶段、生产配合比验证阶段的步骤进行，经设计确定的标准配合比在施工中不得随意变更。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(2)沥青混合料的拌和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①热拌沥青混合料应采用间歇式拌和机进行拌和，拌和机必须配备有材料配合比和施工温度的自动检测和记录设备。</w:t>
      </w:r>
    </w:p>
    <w:p>
      <w:pPr>
        <w:spacing w:line="240" w:lineRule="atLeast"/>
        <w:ind w:firstLine="200" w:firstLineChars="200"/>
        <w:jc w:val="center"/>
        <w:rPr>
          <w:rFonts w:ascii="宋体" w:hAnsi="宋体"/>
          <w:sz w:val="10"/>
          <w:szCs w:val="10"/>
          <w:highlight w:val="none"/>
        </w:rPr>
      </w:pPr>
    </w:p>
    <w:tbl>
      <w:tblPr>
        <w:tblStyle w:val="8"/>
        <w:tblW w:w="7402" w:type="dxa"/>
        <w:jc w:val="center"/>
        <w:tblInd w:w="0" w:type="dxa"/>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
      <w:tblGrid>
        <w:gridCol w:w="2979"/>
        <w:gridCol w:w="1843"/>
        <w:gridCol w:w="2580"/>
      </w:tblGrid>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7402" w:type="dxa"/>
            <w:gridSpan w:val="3"/>
            <w:tcBorders>
              <w:top w:val="single" w:color="auto" w:sz="12" w:space="0"/>
              <w:left w:val="single" w:color="auto" w:sz="12" w:space="0"/>
              <w:bottom w:val="single" w:color="auto" w:sz="6" w:space="0"/>
              <w:right w:val="single" w:color="auto" w:sz="12" w:space="0"/>
            </w:tcBorders>
            <w:shd w:val="clear" w:color="000000" w:fill="FFFFFF"/>
            <w:noWrap/>
            <w:vAlign w:val="center"/>
          </w:tcPr>
          <w:p>
            <w:pPr>
              <w:widowControl/>
              <w:jc w:val="center"/>
              <w:rPr>
                <w:rFonts w:ascii="宋体" w:hAnsi="宋体"/>
                <w:sz w:val="24"/>
                <w:highlight w:val="none"/>
              </w:rPr>
            </w:pPr>
            <w:r>
              <w:rPr>
                <w:rFonts w:hint="eastAsia" w:ascii="宋体" w:hAnsi="宋体"/>
                <w:sz w:val="24"/>
                <w:highlight w:val="none"/>
              </w:rPr>
              <w:t>沥青混合料的施工温度(℃)</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sz w:val="24"/>
                <w:highlight w:val="none"/>
              </w:rPr>
            </w:pPr>
            <w:r>
              <w:rPr>
                <w:rFonts w:hint="eastAsia" w:ascii="宋体" w:hAnsi="宋体"/>
                <w:sz w:val="24"/>
                <w:highlight w:val="none"/>
              </w:rPr>
              <w:t>指标名称</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沥青品种</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center"/>
              <w:rPr>
                <w:rFonts w:ascii="宋体" w:hAnsi="宋体"/>
                <w:sz w:val="24"/>
                <w:highlight w:val="none"/>
              </w:rPr>
            </w:pP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90号石油沥青</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沥青加热温度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150～160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沥青存放温度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130～140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sz w:val="24"/>
                <w:highlight w:val="none"/>
              </w:rPr>
            </w:pPr>
            <w:r>
              <w:rPr>
                <w:rFonts w:hint="eastAsia" w:ascii="宋体" w:hAnsi="宋体"/>
                <w:sz w:val="24"/>
                <w:highlight w:val="none"/>
              </w:rPr>
              <w:t>改性沥青现场制作温度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pPr>
              <w:widowControl/>
              <w:jc w:val="center"/>
              <w:rPr>
                <w:rFonts w:ascii="宋体" w:hAnsi="宋体"/>
                <w:sz w:val="24"/>
                <w:highlight w:val="none"/>
              </w:rPr>
            </w:pPr>
            <w:r>
              <w:rPr>
                <w:rFonts w:hint="eastAsia" w:ascii="宋体" w:hAnsi="宋体"/>
                <w:sz w:val="24"/>
                <w:highlight w:val="none"/>
              </w:rPr>
              <w:t>成品改性沥青加热温度,不大于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(间歇式拌和机)集料加热温度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比加热温度高10～30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混合料出料温度</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140～160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混合料贮料仓贮存温度降低不超过</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混合料废弃温度,高于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190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运输到现场温度,不低于</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140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混合料摊铺温度,不低于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正常施工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130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rFonts w:ascii="宋体" w:hAnsi="宋体"/>
                <w:sz w:val="24"/>
                <w:highlight w:val="none"/>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低温施工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140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开始碾压混合料内部温度不低于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正常施工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125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rFonts w:ascii="宋体" w:hAnsi="宋体"/>
                <w:sz w:val="24"/>
                <w:highlight w:val="none"/>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低温施工</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135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碾压终了的表面温度,</w:t>
            </w:r>
          </w:p>
          <w:p>
            <w:pPr>
              <w:widowControl/>
              <w:jc w:val="center"/>
              <w:rPr>
                <w:rFonts w:ascii="宋体" w:hAnsi="宋体"/>
                <w:sz w:val="24"/>
                <w:highlight w:val="none"/>
              </w:rPr>
            </w:pPr>
            <w:r>
              <w:rPr>
                <w:rFonts w:hint="eastAsia" w:ascii="宋体" w:hAnsi="宋体"/>
                <w:sz w:val="24"/>
                <w:highlight w:val="none"/>
              </w:rPr>
              <w:t>不低于</w:t>
            </w: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钢轮压路机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65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rFonts w:ascii="宋体" w:hAnsi="宋体"/>
                <w:sz w:val="24"/>
                <w:highlight w:val="none"/>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轮胎压路机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75</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2979" w:type="dxa"/>
            <w:vMerge w:val="continue"/>
            <w:tcBorders>
              <w:top w:val="single" w:color="auto" w:sz="6" w:space="0"/>
              <w:left w:val="single" w:color="auto" w:sz="12" w:space="0"/>
              <w:bottom w:val="single" w:color="auto" w:sz="6" w:space="0"/>
              <w:right w:val="single" w:color="auto" w:sz="6" w:space="0"/>
            </w:tcBorders>
            <w:vAlign w:val="center"/>
          </w:tcPr>
          <w:p>
            <w:pPr>
              <w:widowControl/>
              <w:jc w:val="center"/>
              <w:rPr>
                <w:rFonts w:ascii="宋体" w:hAnsi="宋体"/>
                <w:sz w:val="24"/>
                <w:highlight w:val="none"/>
              </w:rPr>
            </w:pPr>
          </w:p>
        </w:tc>
        <w:tc>
          <w:tcPr>
            <w:tcW w:w="1843" w:type="dxa"/>
            <w:tcBorders>
              <w:top w:val="single" w:color="auto" w:sz="6" w:space="0"/>
              <w:left w:val="single" w:color="auto" w:sz="6" w:space="0"/>
              <w:bottom w:val="single" w:color="auto" w:sz="6"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振动压路机</w:t>
            </w:r>
          </w:p>
        </w:tc>
        <w:tc>
          <w:tcPr>
            <w:tcW w:w="2580" w:type="dxa"/>
            <w:tcBorders>
              <w:top w:val="single" w:color="auto" w:sz="6" w:space="0"/>
              <w:left w:val="single" w:color="auto" w:sz="6" w:space="0"/>
              <w:bottom w:val="single" w:color="auto" w:sz="6"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60</w:t>
            </w:r>
          </w:p>
        </w:tc>
      </w:tr>
      <w:tr>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fixed"/>
          <w:tblCellMar>
            <w:top w:w="0" w:type="dxa"/>
            <w:left w:w="108" w:type="dxa"/>
            <w:bottom w:w="0" w:type="dxa"/>
            <w:right w:w="108" w:type="dxa"/>
          </w:tblCellMar>
        </w:tblPrEx>
        <w:trPr>
          <w:trHeight w:val="454" w:hRule="exact"/>
          <w:jc w:val="center"/>
        </w:trPr>
        <w:tc>
          <w:tcPr>
            <w:tcW w:w="4822" w:type="dxa"/>
            <w:gridSpan w:val="2"/>
            <w:tcBorders>
              <w:top w:val="single" w:color="auto" w:sz="6" w:space="0"/>
              <w:left w:val="single" w:color="auto" w:sz="12" w:space="0"/>
              <w:bottom w:val="single" w:color="auto" w:sz="12" w:space="0"/>
              <w:right w:val="single" w:color="auto" w:sz="6"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开放交通的路表温度,不高于</w:t>
            </w:r>
          </w:p>
        </w:tc>
        <w:tc>
          <w:tcPr>
            <w:tcW w:w="2580" w:type="dxa"/>
            <w:tcBorders>
              <w:top w:val="single" w:color="auto" w:sz="6" w:space="0"/>
              <w:left w:val="single" w:color="auto" w:sz="6" w:space="0"/>
              <w:bottom w:val="single" w:color="auto" w:sz="12" w:space="0"/>
              <w:right w:val="single" w:color="auto" w:sz="12" w:space="0"/>
            </w:tcBorders>
            <w:shd w:val="clear" w:color="000000" w:fill="FFFFFF"/>
            <w:vAlign w:val="center"/>
          </w:tcPr>
          <w:p>
            <w:pPr>
              <w:widowControl/>
              <w:jc w:val="center"/>
              <w:rPr>
                <w:rFonts w:ascii="宋体" w:hAnsi="宋体"/>
                <w:sz w:val="24"/>
                <w:highlight w:val="none"/>
              </w:rPr>
            </w:pPr>
            <w:r>
              <w:rPr>
                <w:rFonts w:hint="eastAsia" w:ascii="宋体" w:hAnsi="宋体"/>
                <w:sz w:val="24"/>
                <w:highlight w:val="none"/>
              </w:rPr>
              <w:t>50</w:t>
            </w:r>
          </w:p>
        </w:tc>
      </w:tr>
    </w:tbl>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②面层沥青混合料拌和时间应以混合料拌和均匀、所有矿料颗粒全部裹覆沥青结合料为度，并根据设备情况经试拌确定。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(3)沥青混合料的运输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①沥青混合料运输车的运量应较拌和能力或摊铺速度有所富余。运料车在开始运输前，应在车厢及底板上涂刷一层隔离剂，使沥青混合料不与车厢粘结。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②运料车应前后至少移动三次装料，防止混合料离析。</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③混合料运输过程中必须加以覆盖，以防止混合料降温超标和结壳。</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④运料车在运输途中，不得随意停歇，施工便道要保证畅通，平整，以保证混合料到场温度并尽量减少因颠簸造成的混合料离析。</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⑤运料车卸料必须倒净，否则必须及时清除。</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⑥运料车到达现场后，应检查沥青混合料温度，必须满足摊铺温度要求。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(4)混合料的摊铺</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①铺筑沥青混合料前应检查确认下面层的质量，当下层质量不符合要求时，不得铺筑沥青面层。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②热拌沥青混合料应采用机械摊铺。摊铺机应符合下列要求：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a具有自动方式摊铺厚度及找平的装置：</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b有足够容量的受料斗，在运料车换车时能连续摊铺，并有足够的功率推动运料车前进；</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c有可加热的振动熨平板或振动夯实等初步压实装置；</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d摊铺机宽度可调整。</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③施工气温低于10℃时，不得摊铺热拌沥青混合料。</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④沥青混合料必须缓慢、均匀连续不间断地摊铺。摊铺过程中不得随意变换速度或中途停顿，摊铺速度应根据拌和机产量、施工机械配套情况以及摊铺层厚度、宽度确定，一般控制在1.5～4m/min为宜。</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⑤现场摊铺温度普通沥青混合料应不低于130℃。</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(5)热拌沥青混合料的压实及成型</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①压实后的各层沥青混合料应符合压实度及平整度的要求。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施工单位应配备12吨以上重型振动压路机及25t的轮胎压路机，应选择合理的压路机组合方式及碾压步骤，下面层复压必须采用重型的轮胎压路机进行搓揉碾压，以增加密水性。为达到最佳结果，沥青混合料压实宜采用组合的方式，压路机数量根据生产率决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③沥青混合料初压温度不得低于120℃，终压温度不得低于80℃。</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④碾压过程中，要严格控制混合料的碾压温度。要严格控制压路机的洒水量，并使用热水，以减少洒水导致的混合料温度降低，保证混合料的碾压温度。洒水量以保证混合料不粘轮为原则，要求洒水必须为清雾状，严禁洒水形成水流。胶轮压路机工作前应对轮胎进行预热，涂抹完植物油上路碾压。</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⑤混合料未压实前，严禁压路机停留或转急弯调头等。压路机开振动时，振动的振幅应与速度相配合，以免出现波浪，且必须在压路机已经启动的时候才能开启振动，以免在同一位置振动过多产生凹陷和突起。</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⑥振动压路机应遵循“紧跟、慢压、高频、低幅”的原则，紧跟在摊铺机后面，采用高频率、低振幅的方式慢速碾压。</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(6)在施工缝及构造物两端的连接处必须仔细操作，保证紧密、平顺。</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(7)热拌沥青混合料应待摊铺层自然冷却，混合料表面温度低于50℃后，方可开放交通。</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(8)沥青路面的施工要求上面层与下面层应连续施工，施工上面层时，下面层应洁净、无污染。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lang w:val="en-US" w:eastAsia="zh-CN"/>
        </w:rPr>
        <w:t>5</w:t>
      </w:r>
      <w:r>
        <w:rPr>
          <w:rFonts w:hint="eastAsia" w:ascii="宋体" w:hAnsi="宋体" w:cs="Times New Roman"/>
          <w:spacing w:val="4"/>
          <w:sz w:val="24"/>
          <w:highlight w:val="none"/>
        </w:rPr>
        <w:t>、半刚性基层施工要点</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(1)半刚性基层采用厂拌。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(2)拌和时配料必须准确，拌和应均匀，颗粒级配应符合设计要求。</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(3)应采用摊铺功率不低于120KW的沥青混凝土摊铺机或稳定料摊铺机摊铺混合料。</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25cm基层宜采用重型压路机单层施工，水稳料从拌和到第二层碾压完毕的时间要小于水泥的初凝时间，二层碾压一次养生，确保基层不分层、成为一体。分层施工时，下承层清理后应封闭交通，在上层施工前1～2h，宜撒布水泥或洒铺水泥净浆。</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半刚性基层施工时，应严格掌握基层厚度，本工程采用基准钢丝法调平，因此必须设置支撑杆，敷设基准钢丝，并用专用工具，使其张紧力不小于100kN，钢丝挠度不超过规定值；应控制基层顶面的横坡度在正常误差范围内，不得小于1.5%。</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(5)半刚性基层施工期的日最低气温应在5℃以上。</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(6)半刚性基层摊铺时，应设专人消除粗细集料离析现象，特别应铲除局部粗集料“窝”，并用新拌混合料填补。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(7)应使用12吨以上的重型振动压路机碾压。压路机不得停在未压实的基层上，并不准在其上急刹车、急转弯和调头；振动压路机前进、后退换档时，应先停振再换档；若需停机时，应先停振再停机；终压前检测一次标高，若发现高程超过规定时，应用平地机刮至规定值，再整平碾压；碾压完成后应采用洒水车洒水并用土工布等材料覆盖进行养生时间应在7d以上，整个养生其问必须始终保持基层或底基层表面潮湿，并应封闭交通。一般采用撒水养生法，每天撒水视气候条件而定，应始终保持湿润，做好养生期的记录。任何由于外界因素引起的局部损坏，必须采取措施及时修补。气温较低时应适当延长养生期。养生期满后，基层应及时施工沥青封闭层。封闭后的基层上，只允许通行本路段面层施工作业车辆。</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(8)施工时应严格控制基层厚度和高程，路拱坡度应与路面一致，基层表面应平整无轮迹，严禁用薄层贴补法进行找平。</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(9)横缝每天铺完至第二天开始，间隔约有12h左右，连接面应作适当处理，方法为摊铺前在碾压完成的基层末端标高和平整度不合要求的沿横贯摊铺层全宽将末端凿除，直凿到下承层表面及路中心线垂直，连接面切成垂直面。摊铺前最好在凿除断面上刷水泥浆，保证新旧混合料良好的粘接。禁止采用斜接缝。</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(10)基层在养生过程中出现裂缝、经过弯沉检测，结构层的承载能力满足设计要求时，可继续铺筑上面的沥青面层，也可采取在裂缝位置灌缝、在裂缝位置铺设玻璃纤维格栅、洒铺热改性沥青等措施。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(11)基层在养生7～10d应进行弯沉检测，满足要求方可继续施工上层。</w:t>
      </w:r>
    </w:p>
    <w:p>
      <w:pPr>
        <w:tabs>
          <w:tab w:val="left" w:pos="10440"/>
        </w:tabs>
        <w:adjustRightInd w:val="0"/>
        <w:spacing w:line="440" w:lineRule="exact"/>
        <w:ind w:firstLine="496" w:firstLineChars="200"/>
        <w:jc w:val="left"/>
        <w:rPr>
          <w:rFonts w:hint="eastAsia" w:ascii="宋体" w:hAnsi="宋体"/>
          <w:sz w:val="24"/>
          <w:highlight w:val="none"/>
        </w:rPr>
      </w:pPr>
      <w:r>
        <w:rPr>
          <w:rFonts w:hint="eastAsia" w:ascii="宋体" w:hAnsi="宋体" w:cs="Times New Roman"/>
          <w:spacing w:val="4"/>
          <w:sz w:val="24"/>
          <w:highlight w:val="none"/>
        </w:rPr>
        <w:t>(12)半刚性基层养生7d后，施工需要通行重型货车时，应有专人指挥，按规定的车道行驶，且车速应不大于30km/h。</w:t>
      </w:r>
    </w:p>
    <w:p>
      <w:pPr>
        <w:pStyle w:val="3"/>
        <w:spacing w:line="440" w:lineRule="exact"/>
        <w:outlineLvl w:val="0"/>
        <w:rPr>
          <w:rFonts w:hint="eastAsia" w:hAnsi="宋体" w:cs="Courier New"/>
          <w:b/>
          <w:spacing w:val="4"/>
          <w:sz w:val="24"/>
          <w:szCs w:val="24"/>
          <w:highlight w:val="none"/>
          <w:lang w:val="en-US" w:eastAsia="zh-CN"/>
        </w:rPr>
      </w:pPr>
      <w:r>
        <w:rPr>
          <w:rFonts w:hint="eastAsia" w:hAnsi="宋体" w:cs="Courier New"/>
          <w:b/>
          <w:spacing w:val="4"/>
          <w:sz w:val="24"/>
          <w:szCs w:val="24"/>
          <w:highlight w:val="none"/>
          <w:lang w:val="en-US" w:eastAsia="zh-CN"/>
        </w:rPr>
        <w:t>六、筑路材料</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1.水泥：汽车运距</w:t>
      </w:r>
      <w:r>
        <w:rPr>
          <w:rFonts w:hint="eastAsia" w:ascii="宋体" w:hAnsi="宋体" w:cs="Times New Roman"/>
          <w:spacing w:val="4"/>
          <w:sz w:val="24"/>
          <w:highlight w:val="none"/>
          <w:lang w:val="en-US" w:eastAsia="zh-CN"/>
        </w:rPr>
        <w:t>22</w:t>
      </w:r>
      <w:r>
        <w:rPr>
          <w:rFonts w:hint="eastAsia" w:ascii="宋体" w:hAnsi="宋体" w:cs="Times New Roman"/>
          <w:spacing w:val="4"/>
          <w:sz w:val="24"/>
          <w:highlight w:val="none"/>
        </w:rPr>
        <w:t>公里；</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2.沥青：火车运距</w:t>
      </w:r>
      <w:r>
        <w:rPr>
          <w:rFonts w:hint="eastAsia" w:ascii="宋体" w:hAnsi="宋体" w:cs="Times New Roman"/>
          <w:spacing w:val="4"/>
          <w:sz w:val="24"/>
          <w:highlight w:val="none"/>
          <w:lang w:val="en-US" w:eastAsia="zh-CN"/>
        </w:rPr>
        <w:t>620</w:t>
      </w:r>
      <w:r>
        <w:rPr>
          <w:rFonts w:hint="eastAsia" w:ascii="宋体" w:hAnsi="宋体" w:cs="Times New Roman"/>
          <w:spacing w:val="4"/>
          <w:sz w:val="24"/>
          <w:highlight w:val="none"/>
        </w:rPr>
        <w:t>公里，汽车运距</w:t>
      </w:r>
      <w:r>
        <w:rPr>
          <w:rFonts w:hint="eastAsia" w:ascii="宋体" w:hAnsi="宋体" w:cs="Times New Roman"/>
          <w:spacing w:val="4"/>
          <w:sz w:val="24"/>
          <w:highlight w:val="none"/>
          <w:lang w:val="en-US" w:eastAsia="zh-CN"/>
        </w:rPr>
        <w:t>8</w:t>
      </w:r>
      <w:r>
        <w:rPr>
          <w:rFonts w:hint="eastAsia" w:ascii="宋体" w:hAnsi="宋体" w:cs="Times New Roman"/>
          <w:spacing w:val="4"/>
          <w:sz w:val="24"/>
          <w:highlight w:val="none"/>
        </w:rPr>
        <w:t>公里；</w:t>
      </w:r>
    </w:p>
    <w:p>
      <w:pPr>
        <w:tabs>
          <w:tab w:val="left" w:pos="10440"/>
        </w:tabs>
        <w:adjustRightInd w:val="0"/>
        <w:spacing w:line="440" w:lineRule="exact"/>
        <w:ind w:firstLine="496" w:firstLineChars="200"/>
        <w:jc w:val="left"/>
        <w:rPr>
          <w:rFonts w:hint="eastAsia" w:ascii="宋体" w:hAnsi="宋体" w:eastAsia="宋体" w:cs="Times New Roman"/>
          <w:spacing w:val="4"/>
          <w:sz w:val="24"/>
          <w:highlight w:val="none"/>
          <w:lang w:eastAsia="zh-CN"/>
        </w:rPr>
      </w:pPr>
      <w:r>
        <w:rPr>
          <w:rFonts w:hint="eastAsia" w:ascii="宋体" w:hAnsi="宋体" w:cs="Times New Roman"/>
          <w:spacing w:val="4"/>
          <w:sz w:val="24"/>
          <w:highlight w:val="none"/>
        </w:rPr>
        <w:t>3</w:t>
      </w:r>
      <w:r>
        <w:rPr>
          <w:rFonts w:hint="eastAsia" w:ascii="宋体" w:hAnsi="宋体" w:cs="Times New Roman"/>
          <w:spacing w:val="4"/>
          <w:sz w:val="24"/>
          <w:highlight w:val="none"/>
          <w:lang w:val="en-US" w:eastAsia="zh-CN"/>
        </w:rPr>
        <w:t>.</w:t>
      </w:r>
      <w:r>
        <w:rPr>
          <w:rFonts w:hint="eastAsia" w:ascii="宋体" w:hAnsi="宋体" w:cs="Times New Roman"/>
          <w:spacing w:val="4"/>
          <w:sz w:val="24"/>
          <w:highlight w:val="none"/>
        </w:rPr>
        <w:t>砂石：汽车运距</w:t>
      </w:r>
      <w:r>
        <w:rPr>
          <w:rFonts w:hint="eastAsia" w:ascii="宋体" w:hAnsi="宋体" w:cs="Times New Roman"/>
          <w:spacing w:val="4"/>
          <w:sz w:val="24"/>
          <w:highlight w:val="none"/>
          <w:lang w:val="en-US" w:eastAsia="zh-CN"/>
        </w:rPr>
        <w:t>15</w:t>
      </w:r>
      <w:r>
        <w:rPr>
          <w:rFonts w:hint="eastAsia" w:ascii="宋体" w:hAnsi="宋体" w:cs="Times New Roman"/>
          <w:spacing w:val="4"/>
          <w:sz w:val="24"/>
          <w:highlight w:val="none"/>
        </w:rPr>
        <w:t>公里</w:t>
      </w:r>
      <w:r>
        <w:rPr>
          <w:rFonts w:hint="eastAsia" w:ascii="宋体" w:hAnsi="宋体" w:cs="Times New Roman"/>
          <w:spacing w:val="4"/>
          <w:sz w:val="24"/>
          <w:highlight w:val="none"/>
          <w:lang w:eastAsia="zh-CN"/>
        </w:rPr>
        <w:t>。</w:t>
      </w:r>
    </w:p>
    <w:p>
      <w:pPr>
        <w:spacing w:line="440" w:lineRule="exact"/>
        <w:rPr>
          <w:rFonts w:ascii="宋体" w:hAnsi="宋体" w:cs="宋体"/>
          <w:b/>
          <w:sz w:val="24"/>
          <w:highlight w:val="none"/>
        </w:rPr>
      </w:pPr>
      <w:r>
        <w:rPr>
          <w:rFonts w:hint="eastAsia" w:ascii="宋体" w:hAnsi="宋体" w:cs="宋体"/>
          <w:b/>
          <w:sz w:val="24"/>
          <w:highlight w:val="none"/>
          <w:lang w:val="en-US" w:eastAsia="zh-CN"/>
        </w:rPr>
        <w:t>七</w:t>
      </w:r>
      <w:r>
        <w:rPr>
          <w:rFonts w:hint="eastAsia" w:ascii="宋体" w:hAnsi="宋体" w:cs="宋体"/>
          <w:b/>
          <w:sz w:val="24"/>
          <w:highlight w:val="none"/>
        </w:rPr>
        <w:t>、环境保护</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1、环境噪声影响及措施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施工期的噪声主要来源于各种施工机械产生震动和噪声，如推土机、压路机、装载机、挖掘机、搅拌机、运输机械等。这些机械工作时在距离声源5米处的噪声可高达90～98dB，施工期噪声源将对施工人员和周围敏感点产生较为严重的影响，对于施工期环境噪声的影响在工程设计中拟采取以下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①设有大型机械的施工场地尽量设置在远离居民区的位置。</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②在工期安排上对产生大的噪声的施工工序，尽量不安排夜间施工。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2、环境空气影响及措施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施工中筑路材料的运输、装卸、拌和过程中有大量的粉尘散落到周围大气中，筑路材料堆放期间由于风吹会引起扬尘污染，尤其是在风速较大或汽车行驶速度较快的情况下，粉尘的污染更为严重。</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沥青混合料在拌和及铺筑过程中会产生烟雾，对周围的大气环境产生污染。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针对上述问题在设计中采取了以下措施：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①路面拌合场地设置在远离居民区处，采用封闭式拌合设备，并采取有效的消烟除尘措施，减少有害气体的排放。</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②易于扬尘的建筑材料在运输和堆放过程中，采取可靠的遮盖措施。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3、水环境的影响及措施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施工期水环境影响主要有施工营地生活污水、生活垃圾可能对周围水体产生一定的污染；堆放的建筑材料被雨水冲刷对周围水体的污染。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针对以上情况设计上拟采取的措施：</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①在施工场地位置的确定中充分考虑对周围水环境的影响，尽可能远离饮用水源，以免造成对水环境的影响。</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②加强对机械设备的管理及建筑材料的遮挡，避免跑、冒、滴、漏及雨淋，防止对水环境的污染。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上述未尽事宜严格按国家、交通部现行的标准、规范、办法和吉林省交通厅的有关规定实施。</w:t>
      </w:r>
    </w:p>
    <w:p>
      <w:pPr>
        <w:spacing w:line="440" w:lineRule="exact"/>
        <w:rPr>
          <w:rFonts w:ascii="宋体" w:hAnsi="宋体" w:cs="宋体"/>
          <w:b/>
          <w:sz w:val="24"/>
          <w:highlight w:val="none"/>
        </w:rPr>
      </w:pPr>
      <w:r>
        <w:rPr>
          <w:rFonts w:hint="eastAsia" w:ascii="宋体" w:hAnsi="宋体" w:cs="宋体"/>
          <w:b/>
          <w:sz w:val="24"/>
          <w:highlight w:val="none"/>
          <w:lang w:val="en-US" w:eastAsia="zh-CN"/>
        </w:rPr>
        <w:t>八</w:t>
      </w:r>
      <w:r>
        <w:rPr>
          <w:rFonts w:hint="eastAsia" w:ascii="宋体" w:hAnsi="宋体" w:cs="宋体"/>
          <w:b/>
          <w:sz w:val="24"/>
          <w:highlight w:val="none"/>
        </w:rPr>
        <w:t>、其它说明</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pict>
          <v:shape id="_x0000_s1075" o:spid="_x0000_s1075" o:spt="202" type="#_x0000_t202" style="position:absolute;left:0pt;margin-left:1000.35pt;margin-top:-42.8pt;height:54.85pt;width:81pt;z-index:25166848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pPr>
                    <w:rPr>
                      <w:rFonts w:ascii="宋体" w:hAnsi="宋体"/>
                      <w:b/>
                      <w:sz w:val="32"/>
                      <w:szCs w:val="32"/>
                    </w:rPr>
                  </w:pPr>
                  <w:r>
                    <w:rPr>
                      <w:rFonts w:hint="eastAsia" w:ascii="宋体" w:hAnsi="宋体"/>
                      <w:b/>
                      <w:sz w:val="32"/>
                      <w:szCs w:val="32"/>
                    </w:rPr>
                    <w:t>009</w:t>
                  </w:r>
                </w:p>
              </w:txbxContent>
            </v:textbox>
          </v:shape>
        </w:pict>
      </w:r>
      <w:r>
        <w:rPr>
          <w:rFonts w:hint="eastAsia" w:ascii="宋体" w:hAnsi="宋体" w:cs="Times New Roman"/>
          <w:spacing w:val="4"/>
          <w:sz w:val="24"/>
          <w:highlight w:val="none"/>
        </w:rPr>
        <w:pict>
          <v:shape id="文本框 76" o:spid="_x0000_s1073" o:spt="202" type="#_x0000_t202" style="position:absolute;left:0pt;margin-left:1000.35pt;margin-top:-5pt;height:46.8pt;width:81pt;z-index:251666432;mso-width-relative:page;mso-height-relative:page;" filled="f" stroked="f" coordsize="21600,21600">
            <v:path/>
            <v:fill on="f" focussize="0,0"/>
            <v:stroke on="f" joinstyle="miter"/>
            <v:imagedata o:title=""/>
            <o:lock v:ext="edit"/>
            <v:textbox>
              <w:txbxContent>
                <w:p>
                  <w:pPr>
                    <w:rPr>
                      <w:rFonts w:ascii="宋体" w:hAnsi="宋体"/>
                      <w:b/>
                      <w:sz w:val="24"/>
                    </w:rPr>
                  </w:pPr>
                  <w:r>
                    <w:rPr>
                      <w:rFonts w:hint="eastAsia" w:ascii="宋体" w:hAnsi="宋体"/>
                      <w:b/>
                      <w:sz w:val="24"/>
                    </w:rPr>
                    <w:t>S1-2</w:t>
                  </w:r>
                </w:p>
              </w:txbxContent>
            </v:textbox>
          </v:shape>
        </w:pict>
      </w:r>
      <w:r>
        <w:rPr>
          <w:rFonts w:hint="eastAsia" w:ascii="宋体" w:hAnsi="宋体" w:cs="Times New Roman"/>
          <w:spacing w:val="4"/>
          <w:sz w:val="24"/>
          <w:highlight w:val="none"/>
        </w:rPr>
        <w:t>1、料场表中所列的料场均为推荐料场，施工前施工单位及监理应对各种材料进行试验，试验合格后方可进料，不得使用不符合要求的材料。施工期内应根据料场产量提前进行备料。</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pict>
          <v:shape id="_x0000_s1074" o:spid="_x0000_s1074" o:spt="202" type="#_x0000_t202" style="position:absolute;left:0pt;margin-left:1000.35pt;margin-top:-42.8pt;height:54.85pt;width:81pt;z-index:2516674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pPr>
                    <w:rPr>
                      <w:rFonts w:ascii="宋体" w:hAnsi="宋体"/>
                      <w:sz w:val="44"/>
                      <w:szCs w:val="44"/>
                    </w:rPr>
                  </w:pPr>
                </w:p>
              </w:txbxContent>
            </v:textbox>
          </v:shape>
        </w:pict>
      </w:r>
      <w:r>
        <w:rPr>
          <w:rFonts w:hint="eastAsia" w:ascii="宋体" w:hAnsi="宋体" w:cs="Times New Roman"/>
          <w:spacing w:val="4"/>
          <w:sz w:val="24"/>
          <w:highlight w:val="none"/>
        </w:rPr>
        <w:t>2、面层拌和站中，应具备完善的排水设施。各种规格的集料应分别堆放，不得混杂；堆放集料的场地及运输材料的便道应进行硬化；运输及装载设备要洁净。雨季施工时，应采取措施保护集料，细集料(如砂、石屑等)应有防水顶棚，防止雨淋。桶装沥青应堆放整齐，并加盖苫布，防止雨水滴入。</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3、面层之间应进行连续施工，避免表面被污染。</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4、路面施工时，如发现技术问题，应及时与设计单位或驻地监理沟通，及时解决问题。</w:t>
      </w:r>
    </w:p>
    <w:p>
      <w:pPr>
        <w:tabs>
          <w:tab w:val="left" w:pos="10440"/>
        </w:tabs>
        <w:adjustRightInd w:val="0"/>
        <w:spacing w:line="440" w:lineRule="exact"/>
        <w:ind w:firstLine="496" w:firstLineChars="200"/>
        <w:jc w:val="left"/>
        <w:rPr>
          <w:rFonts w:hint="eastAsia" w:ascii="宋体" w:hAnsi="宋体" w:cs="Times New Roman"/>
          <w:spacing w:val="4"/>
          <w:sz w:val="24"/>
          <w:highlight w:val="none"/>
        </w:rPr>
      </w:pPr>
      <w:r>
        <w:rPr>
          <w:rFonts w:hint="eastAsia" w:ascii="宋体" w:hAnsi="宋体" w:cs="Times New Roman"/>
          <w:spacing w:val="4"/>
          <w:sz w:val="24"/>
          <w:highlight w:val="none"/>
        </w:rPr>
        <w:t>5、其他未尽事宜，按相应规范标准执行。</w:t>
      </w:r>
    </w:p>
    <w:sectPr>
      <w:headerReference r:id="rId3" w:type="default"/>
      <w:footerReference r:id="rId4" w:type="default"/>
      <w:pgSz w:w="16839" w:h="11907" w:orient="landscape"/>
      <w:pgMar w:top="1418" w:right="1418" w:bottom="1418" w:left="1701" w:header="454" w:footer="1077" w:gutter="0"/>
      <w:pgNumType w:start="3" w:chapStyle="1"/>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thinThickSmallGap" w:color="auto" w:sz="24" w:space="0"/>
      </w:pBdr>
      <w:jc w:val="right"/>
      <w:rPr>
        <w:rFonts w:ascii="黑体" w:hAnsi="宋体" w:eastAsia="黑体"/>
        <w:b/>
        <w:i/>
        <w:sz w:val="21"/>
        <w:szCs w:val="21"/>
      </w:rPr>
    </w:pPr>
    <w:r>
      <w:rPr>
        <w:b/>
        <w:sz w:val="24"/>
      </w:rPr>
      <w:tab/>
    </w:r>
    <w:r>
      <w:rPr>
        <w:b/>
        <w:sz w:val="24"/>
      </w:rPr>
      <w:tab/>
    </w:r>
    <w:r>
      <w:rPr>
        <w:rFonts w:hint="eastAsia" w:ascii="黑体" w:hAnsi="宋体" w:eastAsia="黑体"/>
        <w:b/>
        <w:iCs/>
        <w:sz w:val="21"/>
        <w:szCs w:val="21"/>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w:instrText>
    </w:r>
    <w:r>
      <w:rPr>
        <w:rFonts w:hint="eastAsia" w:ascii="宋体" w:hAnsi="宋体"/>
        <w:b/>
        <w:sz w:val="32"/>
        <w:szCs w:val="32"/>
      </w:rPr>
      <w:instrText xml:space="preserve"> </w:instrText>
    </w:r>
    <w:r>
      <w:rPr>
        <w:rFonts w:ascii="宋体" w:hAnsi="宋体"/>
        <w:b/>
        <w:sz w:val="32"/>
        <w:szCs w:val="32"/>
      </w:rPr>
      <w:instrText xml:space="preserve">000</w:instrText>
    </w:r>
    <w:r>
      <w:rPr>
        <w:rFonts w:ascii="宋体" w:hAnsi="宋体"/>
        <w:b/>
        <w:sz w:val="32"/>
        <w:szCs w:val="32"/>
      </w:rPr>
      <w:fldChar w:fldCharType="separate"/>
    </w:r>
    <w:r>
      <w:rPr>
        <w:rFonts w:ascii="宋体" w:hAnsi="宋体"/>
        <w:b/>
        <w:sz w:val="32"/>
        <w:szCs w:val="32"/>
      </w:rPr>
      <w:t>004</w:t>
    </w:r>
    <w:r>
      <w:rPr>
        <w:rFonts w:ascii="宋体" w:hAnsi="宋体"/>
        <w:b/>
        <w:sz w:val="32"/>
        <w:szCs w:val="32"/>
      </w:rPr>
      <w:fldChar w:fldCharType="end"/>
    </w:r>
  </w:p>
  <w:p>
    <w:pPr>
      <w:jc w:val="right"/>
      <w:rPr>
        <w:rFonts w:ascii="宋体" w:hAnsi="宋体"/>
        <w:b/>
        <w:sz w:val="24"/>
      </w:rPr>
    </w:pPr>
    <w:r>
      <w:rPr>
        <w:rFonts w:hint="eastAsia" w:ascii="宋体" w:hAnsi="宋体"/>
        <w:b/>
        <w:sz w:val="24"/>
      </w:rPr>
      <w:t>S1-2</w:t>
    </w:r>
  </w:p>
  <w:p>
    <w:pPr>
      <w:jc w:val="right"/>
      <w:rPr>
        <w:rFonts w:ascii="宋体" w:hAnsi="宋体"/>
        <w:b/>
        <w:sz w:val="2"/>
        <w:szCs w:val="2"/>
      </w:rPr>
    </w:pPr>
  </w:p>
  <w:p>
    <w:pPr>
      <w:pStyle w:val="7"/>
      <w:pBdr>
        <w:bottom w:val="thinThickSmallGap" w:color="auto" w:sz="24" w:space="1"/>
      </w:pBdr>
      <w:jc w:val="right"/>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32D36"/>
    <w:rsid w:val="000425CF"/>
    <w:rsid w:val="000710EF"/>
    <w:rsid w:val="00071588"/>
    <w:rsid w:val="00082F46"/>
    <w:rsid w:val="00083D7F"/>
    <w:rsid w:val="000840F8"/>
    <w:rsid w:val="00084EFA"/>
    <w:rsid w:val="000926B1"/>
    <w:rsid w:val="000A280A"/>
    <w:rsid w:val="000A4D83"/>
    <w:rsid w:val="000B4521"/>
    <w:rsid w:val="000C271A"/>
    <w:rsid w:val="000D4593"/>
    <w:rsid w:val="000E7A5F"/>
    <w:rsid w:val="00100E2D"/>
    <w:rsid w:val="00105B7B"/>
    <w:rsid w:val="0010624A"/>
    <w:rsid w:val="001165D3"/>
    <w:rsid w:val="00121DF7"/>
    <w:rsid w:val="00180022"/>
    <w:rsid w:val="00186710"/>
    <w:rsid w:val="00190632"/>
    <w:rsid w:val="00196048"/>
    <w:rsid w:val="001A120C"/>
    <w:rsid w:val="001A460C"/>
    <w:rsid w:val="001C40DC"/>
    <w:rsid w:val="001D163A"/>
    <w:rsid w:val="001D4660"/>
    <w:rsid w:val="001D59D8"/>
    <w:rsid w:val="001E479B"/>
    <w:rsid w:val="001E58A3"/>
    <w:rsid w:val="00204607"/>
    <w:rsid w:val="00206CE1"/>
    <w:rsid w:val="0022171E"/>
    <w:rsid w:val="002415DF"/>
    <w:rsid w:val="00244B30"/>
    <w:rsid w:val="002A1678"/>
    <w:rsid w:val="002A24E3"/>
    <w:rsid w:val="002B149A"/>
    <w:rsid w:val="002B72D4"/>
    <w:rsid w:val="002C2DB4"/>
    <w:rsid w:val="002D551F"/>
    <w:rsid w:val="002E3788"/>
    <w:rsid w:val="002E4DEA"/>
    <w:rsid w:val="002F4207"/>
    <w:rsid w:val="002F6718"/>
    <w:rsid w:val="00306084"/>
    <w:rsid w:val="0031372F"/>
    <w:rsid w:val="0032502F"/>
    <w:rsid w:val="00332D36"/>
    <w:rsid w:val="0033452B"/>
    <w:rsid w:val="003417C8"/>
    <w:rsid w:val="00342008"/>
    <w:rsid w:val="00343C6A"/>
    <w:rsid w:val="00355C78"/>
    <w:rsid w:val="00383775"/>
    <w:rsid w:val="003A2BF5"/>
    <w:rsid w:val="003B27D7"/>
    <w:rsid w:val="003C323E"/>
    <w:rsid w:val="003D6D20"/>
    <w:rsid w:val="003E0F6B"/>
    <w:rsid w:val="003F4737"/>
    <w:rsid w:val="003F64F2"/>
    <w:rsid w:val="00407782"/>
    <w:rsid w:val="0042252F"/>
    <w:rsid w:val="004252B8"/>
    <w:rsid w:val="00436648"/>
    <w:rsid w:val="00444026"/>
    <w:rsid w:val="00497A18"/>
    <w:rsid w:val="004A72F9"/>
    <w:rsid w:val="004B3D6D"/>
    <w:rsid w:val="004B5769"/>
    <w:rsid w:val="004B601D"/>
    <w:rsid w:val="004D38FD"/>
    <w:rsid w:val="004D66DF"/>
    <w:rsid w:val="004E17FB"/>
    <w:rsid w:val="004E1CF3"/>
    <w:rsid w:val="004E7948"/>
    <w:rsid w:val="004E7E99"/>
    <w:rsid w:val="004F7F45"/>
    <w:rsid w:val="005028F9"/>
    <w:rsid w:val="005648E4"/>
    <w:rsid w:val="0057148D"/>
    <w:rsid w:val="00573C97"/>
    <w:rsid w:val="00582AC7"/>
    <w:rsid w:val="00584FE6"/>
    <w:rsid w:val="0059074F"/>
    <w:rsid w:val="00597CBA"/>
    <w:rsid w:val="005B26A8"/>
    <w:rsid w:val="005D1B85"/>
    <w:rsid w:val="005E75B2"/>
    <w:rsid w:val="005E7A44"/>
    <w:rsid w:val="005F066A"/>
    <w:rsid w:val="005F1535"/>
    <w:rsid w:val="005F5A17"/>
    <w:rsid w:val="006123C1"/>
    <w:rsid w:val="006517DF"/>
    <w:rsid w:val="0066034E"/>
    <w:rsid w:val="006615DB"/>
    <w:rsid w:val="006B204D"/>
    <w:rsid w:val="006B5B20"/>
    <w:rsid w:val="006C08F4"/>
    <w:rsid w:val="006C3435"/>
    <w:rsid w:val="006D24A2"/>
    <w:rsid w:val="006D559D"/>
    <w:rsid w:val="006E3804"/>
    <w:rsid w:val="00703D92"/>
    <w:rsid w:val="00726806"/>
    <w:rsid w:val="00742B16"/>
    <w:rsid w:val="007754D8"/>
    <w:rsid w:val="0079292F"/>
    <w:rsid w:val="007965EE"/>
    <w:rsid w:val="007B7FAC"/>
    <w:rsid w:val="007D053F"/>
    <w:rsid w:val="007D154A"/>
    <w:rsid w:val="0082318E"/>
    <w:rsid w:val="00827347"/>
    <w:rsid w:val="00831996"/>
    <w:rsid w:val="00856009"/>
    <w:rsid w:val="008712E3"/>
    <w:rsid w:val="008A0266"/>
    <w:rsid w:val="008D0F27"/>
    <w:rsid w:val="008E4859"/>
    <w:rsid w:val="008F7858"/>
    <w:rsid w:val="00911C3A"/>
    <w:rsid w:val="00915057"/>
    <w:rsid w:val="00915C72"/>
    <w:rsid w:val="00920C9D"/>
    <w:rsid w:val="00931F96"/>
    <w:rsid w:val="00932F09"/>
    <w:rsid w:val="00933335"/>
    <w:rsid w:val="00945951"/>
    <w:rsid w:val="00951679"/>
    <w:rsid w:val="009734E5"/>
    <w:rsid w:val="009770B5"/>
    <w:rsid w:val="00986CCF"/>
    <w:rsid w:val="00993082"/>
    <w:rsid w:val="00995F5C"/>
    <w:rsid w:val="009B2BA1"/>
    <w:rsid w:val="009B3E60"/>
    <w:rsid w:val="009C1D6C"/>
    <w:rsid w:val="009C7140"/>
    <w:rsid w:val="009D4841"/>
    <w:rsid w:val="009E5F31"/>
    <w:rsid w:val="009E7091"/>
    <w:rsid w:val="00A07F9C"/>
    <w:rsid w:val="00A21B86"/>
    <w:rsid w:val="00A46D7B"/>
    <w:rsid w:val="00A60489"/>
    <w:rsid w:val="00A873C1"/>
    <w:rsid w:val="00AB4214"/>
    <w:rsid w:val="00AB6C6C"/>
    <w:rsid w:val="00AC3FAB"/>
    <w:rsid w:val="00AD4095"/>
    <w:rsid w:val="00AE2D8B"/>
    <w:rsid w:val="00AE3E14"/>
    <w:rsid w:val="00B007E1"/>
    <w:rsid w:val="00B1083F"/>
    <w:rsid w:val="00B4506F"/>
    <w:rsid w:val="00B64559"/>
    <w:rsid w:val="00B64888"/>
    <w:rsid w:val="00B949A3"/>
    <w:rsid w:val="00BA6F2C"/>
    <w:rsid w:val="00BB0BCD"/>
    <w:rsid w:val="00BB76B6"/>
    <w:rsid w:val="00BD5370"/>
    <w:rsid w:val="00BE193B"/>
    <w:rsid w:val="00BF07D7"/>
    <w:rsid w:val="00C01912"/>
    <w:rsid w:val="00C3019F"/>
    <w:rsid w:val="00C40EBF"/>
    <w:rsid w:val="00C419FB"/>
    <w:rsid w:val="00C4375C"/>
    <w:rsid w:val="00C671C8"/>
    <w:rsid w:val="00C704C6"/>
    <w:rsid w:val="00C87253"/>
    <w:rsid w:val="00CA4340"/>
    <w:rsid w:val="00CB4089"/>
    <w:rsid w:val="00CC5B16"/>
    <w:rsid w:val="00CD5AE5"/>
    <w:rsid w:val="00CE0EA0"/>
    <w:rsid w:val="00CE27C6"/>
    <w:rsid w:val="00CF2F25"/>
    <w:rsid w:val="00D012DB"/>
    <w:rsid w:val="00D2718F"/>
    <w:rsid w:val="00D30A69"/>
    <w:rsid w:val="00D60661"/>
    <w:rsid w:val="00D66FFF"/>
    <w:rsid w:val="00D70EC5"/>
    <w:rsid w:val="00D83C39"/>
    <w:rsid w:val="00D86FDC"/>
    <w:rsid w:val="00D90B19"/>
    <w:rsid w:val="00DA2A53"/>
    <w:rsid w:val="00DA3C97"/>
    <w:rsid w:val="00DB6BBF"/>
    <w:rsid w:val="00DC07BD"/>
    <w:rsid w:val="00DD1E83"/>
    <w:rsid w:val="00DE4A11"/>
    <w:rsid w:val="00DE651F"/>
    <w:rsid w:val="00E206BE"/>
    <w:rsid w:val="00E555F2"/>
    <w:rsid w:val="00E727DA"/>
    <w:rsid w:val="00E7743B"/>
    <w:rsid w:val="00E7747D"/>
    <w:rsid w:val="00E80BD8"/>
    <w:rsid w:val="00E831CB"/>
    <w:rsid w:val="00E91D84"/>
    <w:rsid w:val="00EA3399"/>
    <w:rsid w:val="00EA698D"/>
    <w:rsid w:val="00EA79E5"/>
    <w:rsid w:val="00EC7085"/>
    <w:rsid w:val="00ED7C5E"/>
    <w:rsid w:val="00EE256F"/>
    <w:rsid w:val="00EE62C4"/>
    <w:rsid w:val="00F03AF6"/>
    <w:rsid w:val="00F154C1"/>
    <w:rsid w:val="00F20F5E"/>
    <w:rsid w:val="00F27264"/>
    <w:rsid w:val="00F34C54"/>
    <w:rsid w:val="00F51532"/>
    <w:rsid w:val="00F64875"/>
    <w:rsid w:val="00F64B36"/>
    <w:rsid w:val="00F6653D"/>
    <w:rsid w:val="00F80565"/>
    <w:rsid w:val="00F86DAD"/>
    <w:rsid w:val="00F87413"/>
    <w:rsid w:val="00F918EE"/>
    <w:rsid w:val="00F94343"/>
    <w:rsid w:val="00FB5D54"/>
    <w:rsid w:val="00FC449F"/>
    <w:rsid w:val="00FD4FFB"/>
    <w:rsid w:val="00FD548F"/>
    <w:rsid w:val="00FE1F1C"/>
    <w:rsid w:val="00FF3AE8"/>
    <w:rsid w:val="04A433C1"/>
    <w:rsid w:val="0B991D7C"/>
    <w:rsid w:val="0DD4171E"/>
    <w:rsid w:val="144E1B4D"/>
    <w:rsid w:val="14A36098"/>
    <w:rsid w:val="14EF6266"/>
    <w:rsid w:val="17764296"/>
    <w:rsid w:val="1DAC39EE"/>
    <w:rsid w:val="1FD12583"/>
    <w:rsid w:val="21804975"/>
    <w:rsid w:val="27F609EE"/>
    <w:rsid w:val="2DC2544D"/>
    <w:rsid w:val="2FF7318A"/>
    <w:rsid w:val="33913D92"/>
    <w:rsid w:val="33AB2E0D"/>
    <w:rsid w:val="36777862"/>
    <w:rsid w:val="393D1EA3"/>
    <w:rsid w:val="3A466805"/>
    <w:rsid w:val="3C441EF7"/>
    <w:rsid w:val="3DA12E5F"/>
    <w:rsid w:val="3EF40CF7"/>
    <w:rsid w:val="44441C79"/>
    <w:rsid w:val="4F8C1939"/>
    <w:rsid w:val="58FD1E37"/>
    <w:rsid w:val="5D5E02C9"/>
    <w:rsid w:val="5ECD59FD"/>
    <w:rsid w:val="5FE84711"/>
    <w:rsid w:val="601A3FF7"/>
    <w:rsid w:val="60BF0D8A"/>
    <w:rsid w:val="61515BBC"/>
    <w:rsid w:val="626A2690"/>
    <w:rsid w:val="62A84AE2"/>
    <w:rsid w:val="62FE1321"/>
    <w:rsid w:val="64A971B5"/>
    <w:rsid w:val="6738051D"/>
    <w:rsid w:val="67617030"/>
    <w:rsid w:val="67FC4FE7"/>
    <w:rsid w:val="68AE30E9"/>
    <w:rsid w:val="6AC978DC"/>
    <w:rsid w:val="6E2B6222"/>
    <w:rsid w:val="6E6B4237"/>
    <w:rsid w:val="6FB02022"/>
    <w:rsid w:val="6FED7F55"/>
    <w:rsid w:val="727E2502"/>
    <w:rsid w:val="729D4C5F"/>
    <w:rsid w:val="75D145B2"/>
    <w:rsid w:val="7D6B0F06"/>
    <w:rsid w:val="7E5B55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2"/>
    <w:unhideWhenUsed/>
    <w:qFormat/>
    <w:uiPriority w:val="0"/>
    <w:rPr>
      <w:rFonts w:ascii="宋体" w:hAnsi="Courier New" w:cs="Courier New"/>
      <w:szCs w:val="21"/>
    </w:rPr>
  </w:style>
  <w:style w:type="paragraph" w:styleId="4">
    <w:name w:val="Body Text Indent 2"/>
    <w:basedOn w:val="1"/>
    <w:link w:val="17"/>
    <w:qFormat/>
    <w:uiPriority w:val="0"/>
    <w:pPr>
      <w:spacing w:after="120" w:line="480" w:lineRule="auto"/>
      <w:ind w:left="420" w:leftChars="200"/>
    </w:pPr>
    <w:rPr>
      <w:sz w:val="28"/>
      <w:szCs w:val="20"/>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纯文本 Char"/>
    <w:basedOn w:val="10"/>
    <w:semiHidden/>
    <w:qFormat/>
    <w:uiPriority w:val="99"/>
    <w:rPr>
      <w:rFonts w:ascii="宋体" w:hAnsi="Courier New" w:eastAsia="宋体" w:cs="Courier New"/>
      <w:szCs w:val="21"/>
    </w:rPr>
  </w:style>
  <w:style w:type="character" w:customStyle="1" w:styleId="12">
    <w:name w:val="纯文本 字符"/>
    <w:basedOn w:val="10"/>
    <w:link w:val="3"/>
    <w:qFormat/>
    <w:uiPriority w:val="0"/>
    <w:rPr>
      <w:rFonts w:ascii="宋体" w:hAnsi="Courier New" w:eastAsia="宋体" w:cs="Courier New"/>
      <w:szCs w:val="21"/>
    </w:rPr>
  </w:style>
  <w:style w:type="character" w:customStyle="1" w:styleId="13">
    <w:name w:val="页眉 字符"/>
    <w:basedOn w:val="10"/>
    <w:link w:val="7"/>
    <w:qFormat/>
    <w:uiPriority w:val="99"/>
    <w:rPr>
      <w:rFonts w:ascii="Times New Roman" w:hAnsi="Times New Roman" w:eastAsia="宋体" w:cs="Times New Roman"/>
      <w:sz w:val="18"/>
      <w:szCs w:val="18"/>
    </w:rPr>
  </w:style>
  <w:style w:type="character" w:customStyle="1" w:styleId="14">
    <w:name w:val="页脚 字符"/>
    <w:basedOn w:val="10"/>
    <w:link w:val="6"/>
    <w:qFormat/>
    <w:uiPriority w:val="99"/>
    <w:rPr>
      <w:rFonts w:ascii="Times New Roman" w:hAnsi="Times New Roman" w:eastAsia="宋体" w:cs="Times New Roman"/>
      <w:sz w:val="18"/>
      <w:szCs w:val="18"/>
    </w:rPr>
  </w:style>
  <w:style w:type="character" w:customStyle="1" w:styleId="15">
    <w:name w:val="标题 3 字符"/>
    <w:basedOn w:val="10"/>
    <w:link w:val="2"/>
    <w:qFormat/>
    <w:uiPriority w:val="0"/>
    <w:rPr>
      <w:rFonts w:ascii="宋体" w:hAnsi="Times New Roman" w:eastAsia="宋体" w:cs="Times New Roman"/>
      <w:b/>
      <w:bCs/>
      <w:sz w:val="28"/>
      <w:szCs w:val="28"/>
    </w:rPr>
  </w:style>
  <w:style w:type="paragraph" w:styleId="16">
    <w:name w:val="List Paragraph"/>
    <w:basedOn w:val="1"/>
    <w:qFormat/>
    <w:uiPriority w:val="34"/>
    <w:pPr>
      <w:ind w:firstLine="420" w:firstLineChars="200"/>
    </w:pPr>
  </w:style>
  <w:style w:type="character" w:customStyle="1" w:styleId="17">
    <w:name w:val="正文文本缩进 2 字符"/>
    <w:basedOn w:val="10"/>
    <w:link w:val="4"/>
    <w:qFormat/>
    <w:uiPriority w:val="0"/>
    <w:rPr>
      <w:rFonts w:ascii="Times New Roman" w:hAnsi="Times New Roman" w:eastAsia="宋体" w:cs="Times New Roman"/>
      <w:sz w:val="28"/>
      <w:szCs w:val="20"/>
    </w:rPr>
  </w:style>
  <w:style w:type="character" w:customStyle="1" w:styleId="18">
    <w:name w:val="批注框文本 字符"/>
    <w:basedOn w:val="10"/>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95"/>
    <customShpInfo spid="_x0000_s1094"/>
    <customShpInfo spid="_x0000_s1091"/>
    <customShpInfo spid="_x0000_s1075"/>
    <customShpInfo spid="_x0000_s1073"/>
    <customShpInfo spid="_x0000_s107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1949-C7FB-4E86-84D6-5AF620A59D4E}">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2534</Words>
  <Characters>14450</Characters>
  <Lines>120</Lines>
  <Paragraphs>33</Paragraphs>
  <TotalTime>30</TotalTime>
  <ScaleCrop>false</ScaleCrop>
  <LinksUpToDate>false</LinksUpToDate>
  <CharactersWithSpaces>16951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神明不爱我</cp:lastModifiedBy>
  <cp:lastPrinted>2025-04-26T02:39:03Z</cp:lastPrinted>
  <dcterms:modified xsi:type="dcterms:W3CDTF">2025-04-26T02:39:55Z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