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13ECF">
      <w:pPr>
        <w:keepNext w:val="0"/>
        <w:keepLines w:val="0"/>
        <w:pageBreakBefore w:val="0"/>
        <w:widowControl w:val="0"/>
        <w:kinsoku/>
        <w:wordWrap/>
        <w:overflowPunct/>
        <w:topLinePunct w:val="0"/>
        <w:autoSpaceDE w:val="0"/>
        <w:autoSpaceDN w:val="0"/>
        <w:bidi w:val="0"/>
        <w:spacing w:before="114" w:line="225" w:lineRule="auto"/>
        <w:jc w:val="both"/>
        <w:outlineLvl w:val="0"/>
        <w:rPr>
          <w:rFonts w:hint="eastAsia" w:ascii="宋体" w:hAnsi="宋体" w:eastAsia="宋体" w:cs="宋体"/>
          <w:color w:val="auto"/>
          <w:spacing w:val="8"/>
          <w:sz w:val="35"/>
          <w:szCs w:val="35"/>
          <w:highlight w:val="none"/>
          <w:lang w:val="en-US" w:eastAsia="zh-CN"/>
        </w:rPr>
      </w:pPr>
      <w:bookmarkStart w:id="0" w:name="_Toc9900"/>
    </w:p>
    <w:p w14:paraId="7A9F3D9B">
      <w:pPr>
        <w:keepNext w:val="0"/>
        <w:keepLines w:val="0"/>
        <w:pageBreakBefore w:val="0"/>
        <w:widowControl w:val="0"/>
        <w:tabs>
          <w:tab w:val="left" w:pos="7989"/>
        </w:tabs>
        <w:kinsoku/>
        <w:wordWrap/>
        <w:overflowPunct/>
        <w:topLinePunct w:val="0"/>
        <w:autoSpaceDE w:val="0"/>
        <w:autoSpaceDN w:val="0"/>
        <w:bidi w:val="0"/>
        <w:spacing w:before="276" w:line="222" w:lineRule="auto"/>
        <w:jc w:val="center"/>
        <w:outlineLvl w:val="0"/>
        <w:rPr>
          <w:rFonts w:hint="eastAsia" w:ascii="宋体" w:hAnsi="宋体" w:eastAsia="宋体" w:cs="宋体"/>
          <w:b/>
          <w:bCs/>
          <w:color w:val="auto"/>
          <w:spacing w:val="6"/>
          <w:sz w:val="44"/>
          <w:szCs w:val="44"/>
          <w:highlight w:val="none"/>
          <w:lang w:val="en-US" w:eastAsia="zh-CN"/>
        </w:rPr>
      </w:pPr>
      <w:r>
        <w:rPr>
          <w:rFonts w:hint="eastAsia" w:ascii="宋体" w:hAnsi="宋体" w:eastAsia="宋体" w:cs="宋体"/>
          <w:b/>
          <w:bCs/>
          <w:color w:val="auto"/>
          <w:spacing w:val="6"/>
          <w:sz w:val="44"/>
          <w:szCs w:val="44"/>
          <w:highlight w:val="none"/>
          <w:lang w:val="en-US" w:eastAsia="zh-CN"/>
        </w:rPr>
        <w:t>临江市六道沟镇错草顶子村</w:t>
      </w:r>
    </w:p>
    <w:p w14:paraId="4C3A1C0A">
      <w:pPr>
        <w:keepNext w:val="0"/>
        <w:keepLines w:val="0"/>
        <w:pageBreakBefore w:val="0"/>
        <w:widowControl w:val="0"/>
        <w:tabs>
          <w:tab w:val="left" w:pos="7989"/>
        </w:tabs>
        <w:kinsoku/>
        <w:wordWrap/>
        <w:overflowPunct/>
        <w:topLinePunct w:val="0"/>
        <w:autoSpaceDE w:val="0"/>
        <w:autoSpaceDN w:val="0"/>
        <w:bidi w:val="0"/>
        <w:spacing w:before="276" w:line="222" w:lineRule="auto"/>
        <w:jc w:val="center"/>
        <w:outlineLvl w:val="0"/>
        <w:rPr>
          <w:rFonts w:hint="eastAsia" w:ascii="宋体" w:hAnsi="宋体" w:eastAsia="宋体" w:cs="宋体"/>
          <w:b/>
          <w:bCs/>
          <w:color w:val="auto"/>
          <w:spacing w:val="6"/>
          <w:sz w:val="96"/>
          <w:szCs w:val="96"/>
          <w:highlight w:val="none"/>
          <w:lang w:eastAsia="zh-CN"/>
        </w:rPr>
      </w:pPr>
      <w:r>
        <w:rPr>
          <w:rFonts w:hint="eastAsia" w:ascii="宋体" w:hAnsi="宋体" w:eastAsia="宋体" w:cs="宋体"/>
          <w:b/>
          <w:bCs/>
          <w:color w:val="auto"/>
          <w:spacing w:val="6"/>
          <w:sz w:val="44"/>
          <w:szCs w:val="44"/>
          <w:highlight w:val="none"/>
          <w:lang w:val="en-US" w:eastAsia="zh-CN"/>
        </w:rPr>
        <w:t>水毁道路改造工程</w:t>
      </w:r>
    </w:p>
    <w:p w14:paraId="3CA5E419">
      <w:pPr>
        <w:keepNext w:val="0"/>
        <w:keepLines w:val="0"/>
        <w:pageBreakBefore w:val="0"/>
        <w:widowControl w:val="0"/>
        <w:kinsoku/>
        <w:wordWrap/>
        <w:overflowPunct/>
        <w:topLinePunct w:val="0"/>
        <w:autoSpaceDE w:val="0"/>
        <w:autoSpaceDN w:val="0"/>
        <w:bidi w:val="0"/>
        <w:spacing w:before="276" w:line="222" w:lineRule="auto"/>
        <w:jc w:val="center"/>
        <w:outlineLvl w:val="0"/>
        <w:rPr>
          <w:rFonts w:ascii="宋体" w:hAnsi="宋体" w:eastAsia="宋体" w:cs="宋体"/>
          <w:b/>
          <w:bCs/>
          <w:color w:val="auto"/>
          <w:spacing w:val="6"/>
          <w:sz w:val="52"/>
          <w:szCs w:val="52"/>
          <w:highlight w:val="none"/>
        </w:rPr>
      </w:pPr>
    </w:p>
    <w:p w14:paraId="30FF5452">
      <w:pPr>
        <w:pStyle w:val="4"/>
        <w:rPr>
          <w:rFonts w:ascii="宋体" w:hAnsi="宋体" w:eastAsia="宋体" w:cs="宋体"/>
          <w:b/>
          <w:bCs/>
          <w:color w:val="auto"/>
          <w:spacing w:val="6"/>
          <w:sz w:val="52"/>
          <w:szCs w:val="52"/>
          <w:highlight w:val="none"/>
        </w:rPr>
      </w:pPr>
    </w:p>
    <w:p w14:paraId="023CC4DD"/>
    <w:p w14:paraId="5B3764B7">
      <w:pPr>
        <w:keepNext w:val="0"/>
        <w:keepLines w:val="0"/>
        <w:pageBreakBefore w:val="0"/>
        <w:widowControl w:val="0"/>
        <w:kinsoku/>
        <w:wordWrap/>
        <w:overflowPunct/>
        <w:topLinePunct w:val="0"/>
        <w:autoSpaceDE w:val="0"/>
        <w:autoSpaceDN w:val="0"/>
        <w:bidi w:val="0"/>
        <w:spacing w:before="276" w:line="222" w:lineRule="auto"/>
        <w:jc w:val="center"/>
        <w:outlineLvl w:val="0"/>
        <w:rPr>
          <w:sz w:val="72"/>
          <w:szCs w:val="72"/>
        </w:rPr>
      </w:pPr>
      <w:r>
        <w:rPr>
          <w:rFonts w:hint="eastAsia" w:ascii="宋体" w:hAnsi="宋体" w:eastAsia="宋体" w:cs="宋体"/>
          <w:b/>
          <w:bCs/>
          <w:color w:val="auto"/>
          <w:spacing w:val="6"/>
          <w:sz w:val="72"/>
          <w:szCs w:val="72"/>
          <w:highlight w:val="none"/>
          <w:lang w:val="en-US" w:eastAsia="zh-CN"/>
        </w:rPr>
        <w:t>竞争性磋商文件</w:t>
      </w:r>
      <w:bookmarkEnd w:id="0"/>
    </w:p>
    <w:p w14:paraId="6D63AD5E">
      <w:pPr>
        <w:keepNext w:val="0"/>
        <w:keepLines w:val="0"/>
        <w:pageBreakBefore w:val="0"/>
        <w:widowControl w:val="0"/>
        <w:kinsoku/>
        <w:wordWrap/>
        <w:overflowPunct/>
        <w:topLinePunct w:val="0"/>
        <w:autoSpaceDE w:val="0"/>
        <w:autoSpaceDN w:val="0"/>
        <w:bidi w:val="0"/>
        <w:spacing w:before="114" w:line="224" w:lineRule="auto"/>
        <w:ind w:left="2452" w:firstLine="735" w:firstLineChars="200"/>
        <w:jc w:val="center"/>
        <w:rPr>
          <w:rFonts w:ascii="宋体" w:hAnsi="宋体" w:eastAsia="宋体" w:cs="宋体"/>
          <w:b/>
          <w:bCs/>
          <w:color w:val="auto"/>
          <w:spacing w:val="8"/>
          <w:sz w:val="35"/>
          <w:szCs w:val="35"/>
          <w:highlight w:val="none"/>
        </w:rPr>
      </w:pPr>
    </w:p>
    <w:p w14:paraId="2FBAF300">
      <w:pPr>
        <w:keepNext w:val="0"/>
        <w:keepLines w:val="0"/>
        <w:pageBreakBefore w:val="0"/>
        <w:widowControl w:val="0"/>
        <w:kinsoku/>
        <w:wordWrap/>
        <w:overflowPunct/>
        <w:topLinePunct w:val="0"/>
        <w:autoSpaceDE w:val="0"/>
        <w:autoSpaceDN w:val="0"/>
        <w:bidi w:val="0"/>
        <w:jc w:val="center"/>
        <w:outlineLvl w:val="0"/>
        <w:rPr>
          <w:rFonts w:hint="default" w:ascii="宋体" w:hAnsi="宋体" w:eastAsia="宋体" w:cs="宋体"/>
          <w:b/>
          <w:bCs/>
          <w:color w:val="auto"/>
          <w:sz w:val="32"/>
          <w:szCs w:val="32"/>
          <w:highlight w:val="none"/>
          <w:lang w:val="en-US" w:eastAsia="zh-CN"/>
        </w:rPr>
      </w:pPr>
      <w:r>
        <w:rPr>
          <w:rFonts w:ascii="宋体" w:hAnsi="宋体" w:eastAsia="宋体" w:cs="宋体"/>
          <w:b/>
          <w:bCs/>
          <w:color w:val="auto"/>
          <w:spacing w:val="8"/>
          <w:sz w:val="32"/>
          <w:szCs w:val="32"/>
          <w:highlight w:val="none"/>
        </w:rPr>
        <w:t>招标编号：</w:t>
      </w:r>
      <w:r>
        <w:rPr>
          <w:rFonts w:hint="eastAsia" w:ascii="宋体" w:hAnsi="宋体" w:cs="宋体"/>
          <w:b/>
          <w:bCs/>
          <w:color w:val="auto"/>
          <w:sz w:val="32"/>
          <w:szCs w:val="32"/>
          <w:highlight w:val="none"/>
          <w:lang w:val="en-US" w:eastAsia="zh-CN"/>
        </w:rPr>
        <w:t>MCXMGL-20250616</w:t>
      </w:r>
    </w:p>
    <w:p w14:paraId="2BAE135F">
      <w:pPr>
        <w:keepNext w:val="0"/>
        <w:keepLines w:val="0"/>
        <w:pageBreakBefore w:val="0"/>
        <w:widowControl w:val="0"/>
        <w:kinsoku/>
        <w:wordWrap/>
        <w:overflowPunct/>
        <w:topLinePunct w:val="0"/>
        <w:autoSpaceDE w:val="0"/>
        <w:autoSpaceDN w:val="0"/>
        <w:bidi w:val="0"/>
        <w:spacing w:before="114" w:line="225" w:lineRule="auto"/>
        <w:jc w:val="both"/>
        <w:rPr>
          <w:rFonts w:ascii="宋体" w:hAnsi="宋体" w:eastAsia="宋体" w:cs="宋体"/>
          <w:b/>
          <w:bCs/>
          <w:color w:val="auto"/>
          <w:spacing w:val="10"/>
          <w:sz w:val="35"/>
          <w:szCs w:val="35"/>
          <w:highlight w:val="none"/>
        </w:rPr>
      </w:pPr>
    </w:p>
    <w:p w14:paraId="7F95C6C8">
      <w:pPr>
        <w:keepNext w:val="0"/>
        <w:keepLines w:val="0"/>
        <w:pageBreakBefore w:val="0"/>
        <w:widowControl w:val="0"/>
        <w:kinsoku/>
        <w:wordWrap/>
        <w:overflowPunct/>
        <w:topLinePunct w:val="0"/>
        <w:autoSpaceDE w:val="0"/>
        <w:autoSpaceDN w:val="0"/>
        <w:bidi w:val="0"/>
        <w:spacing w:before="114" w:line="225" w:lineRule="auto"/>
        <w:ind w:left="1641" w:firstLine="743" w:firstLineChars="200"/>
        <w:jc w:val="both"/>
        <w:rPr>
          <w:rFonts w:ascii="宋体" w:hAnsi="宋体" w:eastAsia="宋体" w:cs="宋体"/>
          <w:b/>
          <w:bCs/>
          <w:color w:val="auto"/>
          <w:spacing w:val="10"/>
          <w:sz w:val="35"/>
          <w:szCs w:val="35"/>
          <w:highlight w:val="none"/>
        </w:rPr>
      </w:pPr>
    </w:p>
    <w:p w14:paraId="48CF2D05">
      <w:pPr>
        <w:pStyle w:val="4"/>
        <w:rPr>
          <w:rFonts w:ascii="宋体" w:hAnsi="宋体" w:eastAsia="宋体" w:cs="宋体"/>
          <w:b/>
          <w:bCs/>
          <w:color w:val="auto"/>
          <w:spacing w:val="10"/>
          <w:sz w:val="35"/>
          <w:szCs w:val="35"/>
          <w:highlight w:val="none"/>
        </w:rPr>
      </w:pPr>
    </w:p>
    <w:p w14:paraId="6D83D05A">
      <w:pPr>
        <w:pStyle w:val="4"/>
        <w:rPr>
          <w:rFonts w:ascii="宋体" w:hAnsi="宋体" w:eastAsia="宋体" w:cs="宋体"/>
          <w:b/>
          <w:bCs/>
          <w:color w:val="auto"/>
          <w:spacing w:val="10"/>
          <w:sz w:val="35"/>
          <w:szCs w:val="35"/>
          <w:highlight w:val="none"/>
        </w:rPr>
      </w:pPr>
    </w:p>
    <w:p w14:paraId="6A8117ED"/>
    <w:p w14:paraId="761E1970"/>
    <w:p w14:paraId="1F2013FA">
      <w:pPr>
        <w:keepNext w:val="0"/>
        <w:keepLines w:val="0"/>
        <w:pageBreakBefore w:val="0"/>
        <w:widowControl w:val="0"/>
        <w:kinsoku/>
        <w:wordWrap/>
        <w:overflowPunct/>
        <w:topLinePunct w:val="0"/>
        <w:autoSpaceDE w:val="0"/>
        <w:autoSpaceDN w:val="0"/>
        <w:bidi w:val="0"/>
        <w:spacing w:before="114" w:line="225" w:lineRule="auto"/>
        <w:ind w:firstLine="683" w:firstLineChars="200"/>
        <w:jc w:val="both"/>
        <w:rPr>
          <w:rFonts w:hint="eastAsia" w:ascii="宋体" w:hAnsi="宋体" w:eastAsia="宋体" w:cs="宋体"/>
          <w:b/>
          <w:bCs/>
          <w:color w:val="auto"/>
          <w:spacing w:val="10"/>
          <w:sz w:val="32"/>
          <w:szCs w:val="32"/>
          <w:highlight w:val="none"/>
          <w:lang w:val="en-US" w:eastAsia="zh-CN"/>
        </w:rPr>
      </w:pPr>
      <w:r>
        <w:rPr>
          <w:rFonts w:ascii="宋体" w:hAnsi="宋体" w:eastAsia="宋体" w:cs="宋体"/>
          <w:b/>
          <w:bCs/>
          <w:color w:val="auto"/>
          <w:spacing w:val="10"/>
          <w:sz w:val="32"/>
          <w:szCs w:val="32"/>
          <w:highlight w:val="none"/>
        </w:rPr>
        <w:t>采</w:t>
      </w:r>
      <w:r>
        <w:rPr>
          <w:rFonts w:hint="eastAsia" w:ascii="宋体" w:hAnsi="宋体" w:eastAsia="宋体" w:cs="宋体"/>
          <w:b/>
          <w:bCs/>
          <w:color w:val="auto"/>
          <w:spacing w:val="10"/>
          <w:sz w:val="32"/>
          <w:szCs w:val="32"/>
          <w:highlight w:val="none"/>
          <w:lang w:val="en-US" w:eastAsia="zh-CN"/>
        </w:rPr>
        <w:t xml:space="preserve">   </w:t>
      </w:r>
      <w:r>
        <w:rPr>
          <w:rFonts w:ascii="宋体" w:hAnsi="宋体" w:eastAsia="宋体" w:cs="宋体"/>
          <w:b/>
          <w:bCs/>
          <w:color w:val="auto"/>
          <w:spacing w:val="10"/>
          <w:sz w:val="32"/>
          <w:szCs w:val="32"/>
          <w:highlight w:val="none"/>
        </w:rPr>
        <w:t>购</w:t>
      </w:r>
      <w:r>
        <w:rPr>
          <w:rFonts w:hint="eastAsia" w:ascii="宋体" w:hAnsi="宋体" w:eastAsia="宋体" w:cs="宋体"/>
          <w:b/>
          <w:bCs/>
          <w:color w:val="auto"/>
          <w:spacing w:val="10"/>
          <w:sz w:val="32"/>
          <w:szCs w:val="32"/>
          <w:highlight w:val="none"/>
          <w:lang w:val="en-US" w:eastAsia="zh-CN"/>
        </w:rPr>
        <w:t xml:space="preserve">   </w:t>
      </w:r>
      <w:r>
        <w:rPr>
          <w:rFonts w:ascii="宋体" w:hAnsi="宋体" w:eastAsia="宋体" w:cs="宋体"/>
          <w:b/>
          <w:bCs/>
          <w:color w:val="auto"/>
          <w:spacing w:val="10"/>
          <w:sz w:val="32"/>
          <w:szCs w:val="32"/>
          <w:highlight w:val="none"/>
        </w:rPr>
        <w:t>人：</w:t>
      </w:r>
      <w:r>
        <w:rPr>
          <w:rFonts w:hint="eastAsia" w:ascii="宋体" w:hAnsi="宋体" w:eastAsia="宋体" w:cs="宋体"/>
          <w:b/>
          <w:bCs/>
          <w:color w:val="auto"/>
          <w:spacing w:val="10"/>
          <w:sz w:val="32"/>
          <w:szCs w:val="32"/>
          <w:highlight w:val="none"/>
          <w:lang w:val="en-US" w:eastAsia="zh-CN"/>
        </w:rPr>
        <w:t>临江市六道沟镇人民政府</w:t>
      </w:r>
    </w:p>
    <w:p w14:paraId="7E2518B1">
      <w:pPr>
        <w:keepNext w:val="0"/>
        <w:keepLines w:val="0"/>
        <w:pageBreakBefore w:val="0"/>
        <w:widowControl w:val="0"/>
        <w:kinsoku/>
        <w:wordWrap/>
        <w:overflowPunct/>
        <w:topLinePunct w:val="0"/>
        <w:autoSpaceDE w:val="0"/>
        <w:autoSpaceDN w:val="0"/>
        <w:bidi w:val="0"/>
        <w:spacing w:before="114" w:line="701" w:lineRule="exact"/>
        <w:ind w:firstLine="683" w:firstLineChars="200"/>
        <w:jc w:val="both"/>
      </w:pPr>
      <w:r>
        <w:rPr>
          <w:rFonts w:ascii="宋体" w:hAnsi="宋体" w:eastAsia="宋体" w:cs="宋体"/>
          <w:b/>
          <w:bCs/>
          <w:color w:val="auto"/>
          <w:spacing w:val="10"/>
          <w:position w:val="25"/>
          <w:sz w:val="32"/>
          <w:szCs w:val="32"/>
          <w:highlight w:val="none"/>
        </w:rPr>
        <w:t>采购代理机构：</w:t>
      </w:r>
      <w:r>
        <w:rPr>
          <w:rFonts w:hint="eastAsia" w:ascii="宋体" w:hAnsi="宋体" w:eastAsia="宋体" w:cs="宋体"/>
          <w:b/>
          <w:bCs/>
          <w:color w:val="auto"/>
          <w:spacing w:val="10"/>
          <w:position w:val="25"/>
          <w:sz w:val="32"/>
          <w:szCs w:val="32"/>
          <w:highlight w:val="none"/>
          <w:lang w:val="en-US" w:eastAsia="zh-CN"/>
        </w:rPr>
        <w:t>吉林省明创工程管理有限公司</w:t>
      </w:r>
    </w:p>
    <w:p w14:paraId="7D4EFDE3">
      <w:pPr>
        <w:keepNext w:val="0"/>
        <w:keepLines w:val="0"/>
        <w:pageBreakBefore w:val="0"/>
        <w:widowControl w:val="0"/>
        <w:kinsoku/>
        <w:wordWrap/>
        <w:overflowPunct/>
        <w:topLinePunct w:val="0"/>
        <w:autoSpaceDE w:val="0"/>
        <w:autoSpaceDN w:val="0"/>
        <w:bidi w:val="0"/>
        <w:spacing w:before="1" w:line="225" w:lineRule="auto"/>
        <w:ind w:firstLine="2939" w:firstLineChars="800"/>
        <w:jc w:val="both"/>
        <w:rPr>
          <w:rFonts w:ascii="宋体" w:hAnsi="宋体" w:eastAsia="宋体" w:cs="宋体"/>
          <w:b/>
          <w:bCs/>
          <w:color w:val="auto"/>
          <w:spacing w:val="8"/>
          <w:sz w:val="35"/>
          <w:szCs w:val="35"/>
          <w:highlight w:val="none"/>
        </w:rPr>
      </w:pPr>
      <w:r>
        <w:rPr>
          <w:rFonts w:hint="eastAsia" w:ascii="宋体" w:hAnsi="宋体" w:eastAsia="宋体" w:cs="宋体"/>
          <w:b/>
          <w:bCs/>
          <w:color w:val="auto"/>
          <w:spacing w:val="8"/>
          <w:sz w:val="35"/>
          <w:szCs w:val="35"/>
          <w:highlight w:val="none"/>
          <w:lang w:eastAsia="zh-CN"/>
        </w:rPr>
        <w:t>二〇</w:t>
      </w:r>
      <w:r>
        <w:rPr>
          <w:rFonts w:ascii="宋体" w:hAnsi="宋体" w:eastAsia="宋体" w:cs="宋体"/>
          <w:b/>
          <w:bCs/>
          <w:color w:val="auto"/>
          <w:spacing w:val="8"/>
          <w:sz w:val="35"/>
          <w:szCs w:val="35"/>
          <w:highlight w:val="none"/>
        </w:rPr>
        <w:t>二</w:t>
      </w:r>
      <w:r>
        <w:rPr>
          <w:rFonts w:hint="eastAsia" w:ascii="宋体" w:hAnsi="宋体" w:eastAsia="宋体" w:cs="宋体"/>
          <w:b/>
          <w:bCs/>
          <w:color w:val="auto"/>
          <w:spacing w:val="8"/>
          <w:sz w:val="35"/>
          <w:szCs w:val="35"/>
          <w:highlight w:val="none"/>
          <w:lang w:val="en-US" w:eastAsia="zh-CN"/>
        </w:rPr>
        <w:t>五</w:t>
      </w:r>
      <w:r>
        <w:rPr>
          <w:rFonts w:ascii="宋体" w:hAnsi="宋体" w:eastAsia="宋体" w:cs="宋体"/>
          <w:b/>
          <w:bCs/>
          <w:color w:val="auto"/>
          <w:spacing w:val="8"/>
          <w:sz w:val="35"/>
          <w:szCs w:val="35"/>
          <w:highlight w:val="none"/>
        </w:rPr>
        <w:t>年</w:t>
      </w:r>
      <w:r>
        <w:rPr>
          <w:rFonts w:hint="eastAsia" w:ascii="宋体" w:hAnsi="宋体" w:eastAsia="宋体" w:cs="宋体"/>
          <w:b/>
          <w:bCs/>
          <w:color w:val="auto"/>
          <w:spacing w:val="8"/>
          <w:sz w:val="35"/>
          <w:szCs w:val="35"/>
          <w:highlight w:val="none"/>
          <w:lang w:val="en-US" w:eastAsia="zh-CN"/>
        </w:rPr>
        <w:t>六</w:t>
      </w:r>
      <w:r>
        <w:rPr>
          <w:rFonts w:ascii="宋体" w:hAnsi="宋体" w:eastAsia="宋体" w:cs="宋体"/>
          <w:b/>
          <w:bCs/>
          <w:color w:val="auto"/>
          <w:spacing w:val="8"/>
          <w:sz w:val="35"/>
          <w:szCs w:val="35"/>
          <w:highlight w:val="none"/>
        </w:rPr>
        <w:t>月</w:t>
      </w:r>
    </w:p>
    <w:p w14:paraId="7D916B4B"/>
    <w:p w14:paraId="4EE773FF">
      <w:pPr>
        <w:keepNext w:val="0"/>
        <w:keepLines w:val="0"/>
        <w:pageBreakBefore w:val="0"/>
        <w:widowControl w:val="0"/>
        <w:kinsoku/>
        <w:wordWrap/>
        <w:overflowPunct/>
        <w:topLinePunct w:val="0"/>
        <w:autoSpaceDE w:val="0"/>
        <w:autoSpaceDN w:val="0"/>
        <w:bidi w:val="0"/>
        <w:spacing w:line="225" w:lineRule="auto"/>
        <w:jc w:val="center"/>
        <w:rPr>
          <w:rFonts w:ascii="宋体" w:hAnsi="宋体" w:eastAsia="宋体" w:cs="宋体"/>
          <w:b/>
          <w:bCs/>
          <w:color w:val="auto"/>
          <w:sz w:val="35"/>
          <w:szCs w:val="35"/>
          <w:highlight w:val="none"/>
        </w:rPr>
        <w:sectPr>
          <w:headerReference r:id="rId5" w:type="default"/>
          <w:pgSz w:w="11905" w:h="16838"/>
          <w:pgMar w:top="1440" w:right="1800" w:bottom="1440" w:left="1800" w:header="0" w:footer="981" w:gutter="0"/>
          <w:pgBorders>
            <w:top w:val="none" w:sz="0" w:space="0"/>
            <w:left w:val="none" w:sz="0" w:space="0"/>
            <w:bottom w:val="none" w:sz="0" w:space="0"/>
            <w:right w:val="none" w:sz="0" w:space="0"/>
          </w:pgBorders>
          <w:pgNumType w:fmt="decimal"/>
          <w:cols w:space="0" w:num="1"/>
          <w:rtlGutter w:val="0"/>
          <w:docGrid w:linePitch="0" w:charSpace="0"/>
        </w:sectPr>
      </w:pPr>
    </w:p>
    <w:sdt>
      <w:sdtPr>
        <w:rPr>
          <w:rFonts w:ascii="宋体" w:hAnsi="宋体" w:eastAsia="宋体" w:cs="Arial"/>
          <w:snapToGrid w:val="0"/>
          <w:color w:val="auto"/>
          <w:kern w:val="0"/>
          <w:sz w:val="36"/>
          <w:szCs w:val="36"/>
          <w:highlight w:val="none"/>
          <w:lang w:val="en-US" w:eastAsia="en-US" w:bidi="ar-SA"/>
        </w:rPr>
        <w:id w:val="147479947"/>
        <w15:color w:val="DBDBDB"/>
        <w:docPartObj>
          <w:docPartGallery w:val="Table of Contents"/>
          <w:docPartUnique/>
        </w:docPartObj>
      </w:sdtPr>
      <w:sdtEndPr>
        <w:rPr>
          <w:rFonts w:ascii="宋体" w:hAnsi="宋体" w:eastAsia="宋体" w:cs="宋体"/>
          <w:snapToGrid w:val="0"/>
          <w:color w:val="auto"/>
          <w:kern w:val="0"/>
          <w:sz w:val="32"/>
          <w:szCs w:val="32"/>
          <w:highlight w:val="none"/>
          <w:lang w:val="en-US" w:eastAsia="en-US" w:bidi="ar-SA"/>
        </w:rPr>
      </w:sdtEndPr>
      <w:sdtContent>
        <w:p w14:paraId="465D1A59">
          <w:pPr>
            <w:keepNext w:val="0"/>
            <w:keepLines w:val="0"/>
            <w:pageBreakBefore w:val="0"/>
            <w:widowControl w:val="0"/>
            <w:kinsoku/>
            <w:wordWrap/>
            <w:overflowPunct/>
            <w:topLinePunct w:val="0"/>
            <w:autoSpaceDE w:val="0"/>
            <w:autoSpaceDN w:val="0"/>
            <w:bidi w:val="0"/>
            <w:spacing w:before="0" w:beforeLines="0" w:after="0" w:afterLines="0" w:line="240" w:lineRule="auto"/>
            <w:ind w:left="0" w:leftChars="0" w:right="0" w:rightChars="0" w:firstLine="720" w:firstLineChars="200"/>
            <w:jc w:val="center"/>
            <w:rPr>
              <w:b/>
              <w:bCs/>
              <w:color w:val="auto"/>
              <w:sz w:val="36"/>
              <w:szCs w:val="36"/>
              <w:highlight w:val="none"/>
            </w:rPr>
          </w:pPr>
          <w:r>
            <w:rPr>
              <w:rFonts w:ascii="宋体" w:hAnsi="宋体" w:eastAsia="宋体"/>
              <w:b/>
              <w:bCs/>
              <w:color w:val="auto"/>
              <w:sz w:val="36"/>
              <w:szCs w:val="36"/>
              <w:highlight w:val="none"/>
            </w:rPr>
            <w:t>目录</w:t>
          </w:r>
        </w:p>
        <w:p w14:paraId="777BB95B">
          <w:pPr>
            <w:pStyle w:val="21"/>
            <w:keepNext w:val="0"/>
            <w:keepLines w:val="0"/>
            <w:pageBreakBefore w:val="0"/>
            <w:widowControl w:val="0"/>
            <w:tabs>
              <w:tab w:val="right" w:leader="dot" w:pos="9630"/>
            </w:tabs>
            <w:kinsoku/>
            <w:wordWrap/>
            <w:overflowPunct/>
            <w:topLinePunct w:val="0"/>
            <w:autoSpaceDE w:val="0"/>
            <w:autoSpaceDN w:val="0"/>
            <w:bidi w:val="0"/>
            <w:ind w:firstLine="640" w:firstLineChars="200"/>
            <w:rPr>
              <w:color w:val="auto"/>
              <w:sz w:val="32"/>
              <w:szCs w:val="32"/>
              <w:highlight w:val="none"/>
            </w:rPr>
          </w:pPr>
          <w:r>
            <w:rPr>
              <w:rFonts w:ascii="宋体" w:hAnsi="宋体" w:eastAsia="宋体" w:cs="宋体"/>
              <w:color w:val="auto"/>
              <w:sz w:val="32"/>
              <w:szCs w:val="32"/>
              <w:highlight w:val="none"/>
            </w:rPr>
            <w:fldChar w:fldCharType="begin"/>
          </w:r>
          <w:r>
            <w:rPr>
              <w:rFonts w:ascii="宋体" w:hAnsi="宋体" w:eastAsia="宋体" w:cs="宋体"/>
              <w:color w:val="auto"/>
              <w:sz w:val="32"/>
              <w:szCs w:val="32"/>
              <w:highlight w:val="none"/>
            </w:rPr>
            <w:instrText xml:space="preserve">TOC\o"1-1"\h\u</w:instrText>
          </w:r>
          <w:r>
            <w:rPr>
              <w:rFonts w:ascii="宋体" w:hAnsi="宋体" w:eastAsia="宋体" w:cs="宋体"/>
              <w:color w:val="auto"/>
              <w:sz w:val="32"/>
              <w:szCs w:val="32"/>
              <w:highlight w:val="none"/>
            </w:rPr>
            <w:fldChar w:fldCharType="separate"/>
          </w:r>
        </w:p>
        <w:p w14:paraId="3C29FEB1">
          <w:pPr>
            <w:pStyle w:val="21"/>
            <w:keepNext w:val="0"/>
            <w:keepLines w:val="0"/>
            <w:pageBreakBefore w:val="0"/>
            <w:widowControl w:val="0"/>
            <w:tabs>
              <w:tab w:val="right" w:leader="dot" w:pos="9630"/>
            </w:tabs>
            <w:kinsoku/>
            <w:wordWrap/>
            <w:overflowPunct/>
            <w:topLinePunct w:val="0"/>
            <w:autoSpaceDE w:val="0"/>
            <w:autoSpaceDN w:val="0"/>
            <w:bidi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HYPERLINK\l_Toc28468</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8"/>
              <w:sz w:val="32"/>
              <w:szCs w:val="32"/>
              <w:highlight w:val="none"/>
            </w:rPr>
            <w:t>第一章</w:t>
          </w:r>
          <w:r>
            <w:rPr>
              <w:rFonts w:hint="eastAsia" w:ascii="宋体" w:hAnsi="宋体" w:eastAsia="宋体" w:cs="宋体"/>
              <w:color w:val="auto"/>
              <w:spacing w:val="8"/>
              <w:sz w:val="32"/>
              <w:szCs w:val="32"/>
              <w:highlight w:val="none"/>
              <w:lang w:val="en-US" w:eastAsia="zh-CN"/>
            </w:rPr>
            <w:t>竞争性磋商公告........................</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14:paraId="50FA1BE4">
          <w:pPr>
            <w:pStyle w:val="21"/>
            <w:keepNext w:val="0"/>
            <w:keepLines w:val="0"/>
            <w:pageBreakBefore w:val="0"/>
            <w:widowControl w:val="0"/>
            <w:tabs>
              <w:tab w:val="right" w:leader="dot" w:pos="9630"/>
            </w:tabs>
            <w:kinsoku/>
            <w:wordWrap/>
            <w:overflowPunct/>
            <w:topLinePunct w:val="0"/>
            <w:autoSpaceDE w:val="0"/>
            <w:autoSpaceDN w:val="0"/>
            <w:bidi w:val="0"/>
            <w:ind w:firstLine="640" w:firstLineChars="200"/>
            <w:rPr>
              <w:rFonts w:hint="eastAsia" w:ascii="宋体" w:hAnsi="宋体" w:eastAsia="宋体" w:cs="宋体"/>
              <w:color w:val="auto"/>
              <w:sz w:val="32"/>
              <w:szCs w:val="32"/>
              <w:highlight w:val="none"/>
            </w:rPr>
          </w:pPr>
        </w:p>
        <w:p w14:paraId="00AD1DC0">
          <w:pPr>
            <w:pStyle w:val="21"/>
            <w:keepNext w:val="0"/>
            <w:keepLines w:val="0"/>
            <w:pageBreakBefore w:val="0"/>
            <w:widowControl w:val="0"/>
            <w:tabs>
              <w:tab w:val="right" w:leader="dot" w:pos="9630"/>
            </w:tabs>
            <w:kinsoku/>
            <w:wordWrap/>
            <w:overflowPunct/>
            <w:topLinePunct w:val="0"/>
            <w:autoSpaceDE w:val="0"/>
            <w:autoSpaceDN w:val="0"/>
            <w:bidi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HYPERLINK\l_Toc20625</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8"/>
              <w:sz w:val="32"/>
              <w:szCs w:val="32"/>
              <w:highlight w:val="none"/>
              <w:lang w:val="en-US" w:eastAsia="zh-CN"/>
            </w:rPr>
            <w:t>第二章磋商须知..............................7</w:t>
          </w:r>
          <w:r>
            <w:rPr>
              <w:rFonts w:hint="eastAsia" w:ascii="宋体" w:hAnsi="宋体" w:eastAsia="宋体" w:cs="宋体"/>
              <w:color w:val="auto"/>
              <w:sz w:val="32"/>
              <w:szCs w:val="32"/>
              <w:highlight w:val="none"/>
            </w:rPr>
            <w:fldChar w:fldCharType="end"/>
          </w:r>
        </w:p>
        <w:p w14:paraId="7532935F">
          <w:pPr>
            <w:pStyle w:val="21"/>
            <w:keepNext w:val="0"/>
            <w:keepLines w:val="0"/>
            <w:pageBreakBefore w:val="0"/>
            <w:widowControl w:val="0"/>
            <w:tabs>
              <w:tab w:val="right" w:leader="dot" w:pos="9630"/>
            </w:tabs>
            <w:kinsoku/>
            <w:wordWrap/>
            <w:overflowPunct/>
            <w:topLinePunct w:val="0"/>
            <w:autoSpaceDE w:val="0"/>
            <w:autoSpaceDN w:val="0"/>
            <w:bidi w:val="0"/>
            <w:ind w:firstLine="640" w:firstLineChars="200"/>
            <w:rPr>
              <w:rFonts w:hint="eastAsia" w:ascii="宋体" w:hAnsi="宋体" w:eastAsia="宋体" w:cs="宋体"/>
              <w:color w:val="auto"/>
              <w:sz w:val="32"/>
              <w:szCs w:val="32"/>
              <w:highlight w:val="none"/>
            </w:rPr>
          </w:pPr>
        </w:p>
        <w:p w14:paraId="5603D8ED">
          <w:pPr>
            <w:pStyle w:val="21"/>
            <w:keepNext w:val="0"/>
            <w:keepLines w:val="0"/>
            <w:pageBreakBefore w:val="0"/>
            <w:widowControl w:val="0"/>
            <w:tabs>
              <w:tab w:val="right" w:leader="dot" w:pos="9630"/>
            </w:tabs>
            <w:kinsoku/>
            <w:wordWrap/>
            <w:overflowPunct/>
            <w:topLinePunct w:val="0"/>
            <w:autoSpaceDE w:val="0"/>
            <w:autoSpaceDN w:val="0"/>
            <w:bidi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HYPERLINK\l_Toc2459</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val="0"/>
              <w:snapToGrid w:val="0"/>
              <w:color w:val="auto"/>
              <w:spacing w:val="8"/>
              <w:kern w:val="0"/>
              <w:sz w:val="32"/>
              <w:szCs w:val="32"/>
              <w:highlight w:val="none"/>
              <w:lang w:val="en-US" w:eastAsia="zh-CN" w:bidi="ar-SA"/>
            </w:rPr>
            <w:t>第三章竞争性磋商办法.......................</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27</w:t>
          </w:r>
        </w:p>
        <w:p w14:paraId="41E16DE8">
          <w:pPr>
            <w:pStyle w:val="21"/>
            <w:keepNext w:val="0"/>
            <w:keepLines w:val="0"/>
            <w:pageBreakBefore w:val="0"/>
            <w:widowControl w:val="0"/>
            <w:tabs>
              <w:tab w:val="right" w:leader="dot" w:pos="9630"/>
            </w:tabs>
            <w:kinsoku/>
            <w:wordWrap/>
            <w:overflowPunct/>
            <w:topLinePunct w:val="0"/>
            <w:autoSpaceDE w:val="0"/>
            <w:autoSpaceDN w:val="0"/>
            <w:bidi w:val="0"/>
            <w:ind w:firstLine="640" w:firstLineChars="200"/>
            <w:rPr>
              <w:rFonts w:hint="eastAsia" w:ascii="宋体" w:hAnsi="宋体" w:eastAsia="宋体" w:cs="宋体"/>
              <w:color w:val="auto"/>
              <w:sz w:val="32"/>
              <w:szCs w:val="32"/>
              <w:highlight w:val="none"/>
              <w:lang w:val="en-US" w:eastAsia="zh-CN"/>
            </w:rPr>
          </w:pPr>
        </w:p>
        <w:p w14:paraId="1110B765">
          <w:pPr>
            <w:pStyle w:val="21"/>
            <w:keepNext w:val="0"/>
            <w:keepLines w:val="0"/>
            <w:pageBreakBefore w:val="0"/>
            <w:widowControl w:val="0"/>
            <w:tabs>
              <w:tab w:val="right" w:leader="dot" w:pos="9630"/>
            </w:tabs>
            <w:kinsoku/>
            <w:wordWrap/>
            <w:overflowPunct/>
            <w:topLinePunct w:val="0"/>
            <w:autoSpaceDE w:val="0"/>
            <w:autoSpaceDN w:val="0"/>
            <w:bidi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HYPERLINK\l_Toc23179</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8"/>
              <w:sz w:val="32"/>
              <w:szCs w:val="32"/>
              <w:highlight w:val="none"/>
              <w:lang w:val="en-US" w:eastAsia="zh-CN"/>
            </w:rPr>
            <w:t>第四章合同条款及格式.......................</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37</w:t>
          </w:r>
        </w:p>
        <w:p w14:paraId="419E3B45">
          <w:pPr>
            <w:pStyle w:val="21"/>
            <w:keepNext w:val="0"/>
            <w:keepLines w:val="0"/>
            <w:pageBreakBefore w:val="0"/>
            <w:widowControl w:val="0"/>
            <w:tabs>
              <w:tab w:val="right" w:leader="dot" w:pos="9630"/>
            </w:tabs>
            <w:kinsoku/>
            <w:wordWrap/>
            <w:overflowPunct/>
            <w:topLinePunct w:val="0"/>
            <w:autoSpaceDE w:val="0"/>
            <w:autoSpaceDN w:val="0"/>
            <w:bidi w:val="0"/>
            <w:ind w:firstLine="640" w:firstLineChars="200"/>
            <w:rPr>
              <w:rFonts w:hint="eastAsia" w:ascii="宋体" w:hAnsi="宋体" w:eastAsia="宋体" w:cs="宋体"/>
              <w:color w:val="auto"/>
              <w:sz w:val="32"/>
              <w:szCs w:val="32"/>
              <w:highlight w:val="none"/>
              <w:lang w:val="en-US" w:eastAsia="zh-CN"/>
            </w:rPr>
          </w:pPr>
        </w:p>
        <w:p w14:paraId="2D08348E">
          <w:pPr>
            <w:pStyle w:val="21"/>
            <w:keepNext w:val="0"/>
            <w:keepLines w:val="0"/>
            <w:pageBreakBefore w:val="0"/>
            <w:widowControl w:val="0"/>
            <w:tabs>
              <w:tab w:val="right" w:leader="dot" w:pos="9630"/>
            </w:tabs>
            <w:kinsoku/>
            <w:wordWrap/>
            <w:overflowPunct/>
            <w:topLinePunct w:val="0"/>
            <w:autoSpaceDE w:val="0"/>
            <w:autoSpaceDN w:val="0"/>
            <w:bidi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HYPERLINK\l_Toc16177</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8"/>
              <w:sz w:val="32"/>
              <w:szCs w:val="32"/>
              <w:highlight w:val="none"/>
              <w:lang w:val="en-US" w:eastAsia="zh-CN"/>
            </w:rPr>
            <w:t>第五章工程量清单(另册）....................</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38</w:t>
          </w:r>
        </w:p>
        <w:p w14:paraId="42363EBA">
          <w:pPr>
            <w:pStyle w:val="21"/>
            <w:keepNext w:val="0"/>
            <w:keepLines w:val="0"/>
            <w:pageBreakBefore w:val="0"/>
            <w:widowControl w:val="0"/>
            <w:tabs>
              <w:tab w:val="right" w:leader="dot" w:pos="9630"/>
            </w:tabs>
            <w:kinsoku/>
            <w:wordWrap/>
            <w:overflowPunct/>
            <w:topLinePunct w:val="0"/>
            <w:autoSpaceDE w:val="0"/>
            <w:autoSpaceDN w:val="0"/>
            <w:bidi w:val="0"/>
            <w:rPr>
              <w:rFonts w:hint="eastAsia" w:ascii="宋体" w:hAnsi="宋体" w:eastAsia="宋体" w:cs="宋体"/>
              <w:color w:val="auto"/>
              <w:sz w:val="32"/>
              <w:szCs w:val="32"/>
              <w:highlight w:val="none"/>
              <w:lang w:val="en-US" w:eastAsia="zh-CN"/>
            </w:rPr>
          </w:pPr>
        </w:p>
        <w:p w14:paraId="74630B1B">
          <w:pPr>
            <w:pStyle w:val="21"/>
            <w:keepNext w:val="0"/>
            <w:keepLines w:val="0"/>
            <w:pageBreakBefore w:val="0"/>
            <w:widowControl w:val="0"/>
            <w:tabs>
              <w:tab w:val="right" w:leader="dot" w:pos="9630"/>
            </w:tabs>
            <w:kinsoku/>
            <w:wordWrap/>
            <w:overflowPunct/>
            <w:topLinePunct w:val="0"/>
            <w:autoSpaceDE w:val="0"/>
            <w:autoSpaceDN w:val="0"/>
            <w:bidi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第六章图纸</w:t>
          </w:r>
          <w:r>
            <w:rPr>
              <w:rFonts w:hint="eastAsia" w:ascii="宋体" w:hAnsi="宋体" w:eastAsia="宋体" w:cs="宋体"/>
              <w:color w:val="auto"/>
              <w:spacing w:val="8"/>
              <w:sz w:val="32"/>
              <w:szCs w:val="32"/>
              <w:highlight w:val="none"/>
              <w:lang w:val="en-US" w:eastAsia="zh-CN"/>
            </w:rPr>
            <w:t>(另册）..........................39</w:t>
          </w:r>
          <w:bookmarkStart w:id="170" w:name="_GoBack"/>
          <w:bookmarkEnd w:id="170"/>
        </w:p>
        <w:p w14:paraId="22D9D1D9">
          <w:pPr>
            <w:pStyle w:val="21"/>
            <w:keepNext w:val="0"/>
            <w:keepLines w:val="0"/>
            <w:pageBreakBefore w:val="0"/>
            <w:widowControl w:val="0"/>
            <w:tabs>
              <w:tab w:val="right" w:leader="dot" w:pos="9630"/>
            </w:tabs>
            <w:kinsoku/>
            <w:wordWrap/>
            <w:overflowPunct/>
            <w:topLinePunct w:val="0"/>
            <w:autoSpaceDE w:val="0"/>
            <w:autoSpaceDN w:val="0"/>
            <w:bidi w:val="0"/>
            <w:rPr>
              <w:rFonts w:hint="eastAsia" w:ascii="宋体" w:hAnsi="宋体" w:eastAsia="宋体" w:cs="宋体"/>
              <w:color w:val="auto"/>
              <w:sz w:val="32"/>
              <w:szCs w:val="32"/>
              <w:highlight w:val="none"/>
              <w:lang w:val="en-US" w:eastAsia="zh-CN"/>
            </w:rPr>
          </w:pPr>
        </w:p>
        <w:p w14:paraId="48A08A5E">
          <w:pPr>
            <w:pStyle w:val="21"/>
            <w:keepNext w:val="0"/>
            <w:keepLines w:val="0"/>
            <w:pageBreakBefore w:val="0"/>
            <w:widowControl w:val="0"/>
            <w:tabs>
              <w:tab w:val="right" w:leader="dot" w:pos="9630"/>
            </w:tabs>
            <w:kinsoku/>
            <w:wordWrap/>
            <w:overflowPunct/>
            <w:topLinePunct w:val="0"/>
            <w:autoSpaceDE w:val="0"/>
            <w:autoSpaceDN w:val="0"/>
            <w:bidi w:val="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HYPERLINK\l_Toc8908</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8"/>
              <w:sz w:val="32"/>
              <w:szCs w:val="32"/>
              <w:highlight w:val="none"/>
              <w:lang w:val="en-US" w:eastAsia="zh-CN"/>
            </w:rPr>
            <w:t>第七章技术标准和要求.......................</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0</w:t>
          </w:r>
        </w:p>
        <w:p w14:paraId="5D9D1773">
          <w:pPr>
            <w:pStyle w:val="21"/>
            <w:keepNext w:val="0"/>
            <w:keepLines w:val="0"/>
            <w:pageBreakBefore w:val="0"/>
            <w:widowControl w:val="0"/>
            <w:tabs>
              <w:tab w:val="right" w:leader="dot" w:pos="9630"/>
            </w:tabs>
            <w:kinsoku/>
            <w:wordWrap/>
            <w:overflowPunct/>
            <w:topLinePunct w:val="0"/>
            <w:autoSpaceDE w:val="0"/>
            <w:autoSpaceDN w:val="0"/>
            <w:bidi w:val="0"/>
            <w:ind w:firstLine="640" w:firstLineChars="200"/>
            <w:rPr>
              <w:rFonts w:hint="eastAsia" w:ascii="宋体" w:hAnsi="宋体" w:eastAsia="宋体" w:cs="宋体"/>
              <w:color w:val="auto"/>
              <w:sz w:val="32"/>
              <w:szCs w:val="32"/>
              <w:highlight w:val="none"/>
              <w:lang w:val="en-US" w:eastAsia="zh-CN"/>
            </w:rPr>
          </w:pPr>
        </w:p>
        <w:p w14:paraId="26A54D85">
          <w:pPr>
            <w:pStyle w:val="21"/>
            <w:keepNext w:val="0"/>
            <w:keepLines w:val="0"/>
            <w:pageBreakBefore w:val="0"/>
            <w:widowControl w:val="0"/>
            <w:tabs>
              <w:tab w:val="right" w:leader="dot" w:pos="9630"/>
            </w:tabs>
            <w:kinsoku/>
            <w:wordWrap/>
            <w:overflowPunct/>
            <w:topLinePunct w:val="0"/>
            <w:autoSpaceDE w:val="0"/>
            <w:autoSpaceDN w:val="0"/>
            <w:bidi w:val="0"/>
            <w:rPr>
              <w:rFonts w:hint="default" w:eastAsia="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HYPERLINK\l_Toc7415</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pacing w:val="8"/>
              <w:sz w:val="32"/>
              <w:szCs w:val="32"/>
              <w:highlight w:val="none"/>
              <w:lang w:val="en-US" w:eastAsia="zh-CN"/>
            </w:rPr>
            <w:t>第八章</w:t>
          </w:r>
          <w:r>
            <w:rPr>
              <w:rFonts w:hint="eastAsia" w:ascii="宋体" w:hAnsi="宋体" w:eastAsia="宋体" w:cs="宋体"/>
              <w:color w:val="auto"/>
              <w:spacing w:val="8"/>
              <w:sz w:val="32"/>
              <w:szCs w:val="32"/>
              <w:highlight w:val="none"/>
              <w:lang w:val="en-US" w:eastAsia="en-US"/>
            </w:rPr>
            <w:t>竞争性磋商响应文件格式</w:t>
          </w:r>
          <w:r>
            <w:rPr>
              <w:rFonts w:hint="eastAsia" w:ascii="宋体" w:hAnsi="宋体" w:eastAsia="宋体" w:cs="宋体"/>
              <w:color w:val="auto"/>
              <w:spacing w:val="8"/>
              <w:sz w:val="32"/>
              <w:szCs w:val="32"/>
              <w:highlight w:val="none"/>
              <w:lang w:val="en-US" w:eastAsia="zh-CN"/>
            </w:rPr>
            <w:t>...............4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1</w:t>
          </w:r>
        </w:p>
        <w:p w14:paraId="319196F2">
          <w:pPr>
            <w:keepNext w:val="0"/>
            <w:keepLines w:val="0"/>
            <w:pageBreakBefore w:val="0"/>
            <w:widowControl w:val="0"/>
            <w:kinsoku/>
            <w:wordWrap/>
            <w:overflowPunct/>
            <w:topLinePunct w:val="0"/>
            <w:autoSpaceDE w:val="0"/>
            <w:autoSpaceDN w:val="0"/>
            <w:bidi w:val="0"/>
            <w:spacing w:line="220" w:lineRule="auto"/>
            <w:ind w:firstLine="640" w:firstLineChars="200"/>
            <w:rPr>
              <w:rFonts w:ascii="宋体" w:hAnsi="宋体" w:eastAsia="宋体" w:cs="宋体"/>
              <w:color w:val="auto"/>
              <w:sz w:val="32"/>
              <w:szCs w:val="32"/>
              <w:highlight w:val="none"/>
            </w:rPr>
          </w:pPr>
          <w:r>
            <w:rPr>
              <w:rFonts w:ascii="宋体" w:hAnsi="宋体" w:eastAsia="宋体" w:cs="宋体"/>
              <w:color w:val="auto"/>
              <w:sz w:val="32"/>
              <w:szCs w:val="32"/>
              <w:highlight w:val="none"/>
            </w:rPr>
            <w:fldChar w:fldCharType="end"/>
          </w:r>
        </w:p>
      </w:sdtContent>
    </w:sdt>
    <w:p w14:paraId="3933A038">
      <w:pPr>
        <w:pStyle w:val="4"/>
        <w:keepNext w:val="0"/>
        <w:keepLines w:val="0"/>
        <w:pageBreakBefore w:val="0"/>
        <w:widowControl w:val="0"/>
        <w:kinsoku/>
        <w:wordWrap/>
        <w:overflowPunct/>
        <w:topLinePunct w:val="0"/>
        <w:autoSpaceDE w:val="0"/>
        <w:autoSpaceDN w:val="0"/>
        <w:bidi w:val="0"/>
        <w:outlineLvl w:val="9"/>
        <w:rPr>
          <w:color w:val="auto"/>
          <w:sz w:val="32"/>
          <w:szCs w:val="32"/>
          <w:highlight w:val="none"/>
        </w:rPr>
        <w:sectPr>
          <w:headerReference r:id="rId6" w:type="default"/>
          <w:footerReference r:id="rId7" w:type="default"/>
          <w:pgSz w:w="11905" w:h="16838"/>
          <w:pgMar w:top="1440" w:right="1800" w:bottom="1440" w:left="1800" w:header="57" w:footer="981" w:gutter="0"/>
          <w:pgBorders>
            <w:top w:val="none" w:sz="0" w:space="0"/>
            <w:left w:val="none" w:sz="0" w:space="0"/>
            <w:bottom w:val="none" w:sz="0" w:space="0"/>
            <w:right w:val="none" w:sz="0" w:space="0"/>
          </w:pgBorders>
          <w:pgNumType w:fmt="decimal" w:start="1"/>
          <w:cols w:space="0" w:num="1"/>
          <w:rtlGutter w:val="0"/>
          <w:docGrid w:linePitch="0" w:charSpace="0"/>
        </w:sectPr>
      </w:pPr>
    </w:p>
    <w:p w14:paraId="1CE363A2">
      <w:pPr>
        <w:keepNext w:val="0"/>
        <w:keepLines w:val="0"/>
        <w:pageBreakBefore w:val="0"/>
        <w:widowControl w:val="0"/>
        <w:numPr>
          <w:ilvl w:val="0"/>
          <w:numId w:val="1"/>
        </w:numPr>
        <w:kinsoku/>
        <w:wordWrap/>
        <w:overflowPunct/>
        <w:topLinePunct w:val="0"/>
        <w:autoSpaceDE w:val="0"/>
        <w:autoSpaceDN w:val="0"/>
        <w:bidi w:val="0"/>
        <w:spacing w:before="114" w:line="225" w:lineRule="auto"/>
        <w:jc w:val="center"/>
        <w:outlineLvl w:val="0"/>
        <w:rPr>
          <w:rFonts w:hint="eastAsia" w:asciiTheme="minorEastAsia" w:hAnsiTheme="minorEastAsia" w:eastAsiaTheme="minorEastAsia" w:cstheme="minorEastAsia"/>
          <w:b/>
          <w:bCs/>
          <w:color w:val="auto"/>
          <w:spacing w:val="8"/>
          <w:sz w:val="32"/>
          <w:szCs w:val="32"/>
          <w:highlight w:val="none"/>
        </w:rPr>
      </w:pPr>
      <w:r>
        <w:rPr>
          <w:rFonts w:hint="eastAsia" w:asciiTheme="minorEastAsia" w:hAnsiTheme="minorEastAsia" w:eastAsiaTheme="minorEastAsia" w:cstheme="minorEastAsia"/>
          <w:b/>
          <w:bCs/>
          <w:color w:val="auto"/>
          <w:spacing w:val="8"/>
          <w:sz w:val="32"/>
          <w:szCs w:val="32"/>
          <w:highlight w:val="none"/>
        </w:rPr>
        <w:t>竞争性磋商公告</w:t>
      </w:r>
    </w:p>
    <w:p w14:paraId="50902B4E">
      <w:pPr>
        <w:pStyle w:val="4"/>
        <w:keepNext w:val="0"/>
        <w:keepLines w:val="0"/>
        <w:pageBreakBefore w:val="0"/>
        <w:widowControl w:val="0"/>
        <w:kinsoku/>
        <w:wordWrap/>
        <w:overflowPunct/>
        <w:topLinePunct w:val="0"/>
        <w:autoSpaceDE w:val="0"/>
        <w:autoSpaceDN w:val="0"/>
        <w:bidi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sz w:val="32"/>
          <w:szCs w:val="32"/>
        </w:rPr>
        <w:t>临江市六道沟镇错草顶子村水毁道路改造工程</w:t>
      </w:r>
    </w:p>
    <w:p w14:paraId="31DA499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项目概况</w:t>
      </w:r>
    </w:p>
    <w:p w14:paraId="7FC211F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sz w:val="24"/>
          <w:szCs w:val="24"/>
          <w:u w:val="single"/>
          <w:lang w:eastAsia="zh-CN"/>
        </w:rPr>
        <w:t>临江市六道沟镇错草顶子村水毁道路改造工程</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rPr>
        <w:t>政府采购云平台（</w:t>
      </w:r>
      <w:r>
        <w:rPr>
          <w:rFonts w:hint="eastAsia" w:ascii="宋体" w:hAnsi="宋体" w:eastAsia="宋体" w:cs="宋体"/>
          <w:sz w:val="24"/>
          <w:szCs w:val="24"/>
          <w:highlight w:val="none"/>
          <w:u w:val="single"/>
        </w:rPr>
        <w:fldChar w:fldCharType="begin"/>
      </w:r>
      <w:r>
        <w:rPr>
          <w:rFonts w:hint="eastAsia" w:ascii="宋体" w:hAnsi="宋体" w:eastAsia="宋体" w:cs="宋体"/>
          <w:sz w:val="24"/>
          <w:szCs w:val="24"/>
          <w:highlight w:val="none"/>
          <w:u w:val="single"/>
        </w:rPr>
        <w:instrText xml:space="preserve"> HYPERLINK "http://www.zcygov.cn）获取采购文件，并于2024年" </w:instrText>
      </w:r>
      <w:r>
        <w:rPr>
          <w:rFonts w:hint="eastAsia" w:ascii="宋体" w:hAnsi="宋体" w:eastAsia="宋体" w:cs="宋体"/>
          <w:sz w:val="24"/>
          <w:szCs w:val="24"/>
          <w:highlight w:val="none"/>
          <w:u w:val="single"/>
        </w:rPr>
        <w:fldChar w:fldCharType="separate"/>
      </w:r>
      <w:r>
        <w:rPr>
          <w:rFonts w:hint="eastAsia" w:ascii="宋体" w:hAnsi="宋体" w:eastAsia="宋体" w:cs="宋体"/>
          <w:sz w:val="24"/>
          <w:szCs w:val="24"/>
          <w:highlight w:val="none"/>
          <w:u w:val="single"/>
        </w:rPr>
        <w:t>http://www.zcygov.cn）</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获取采购文件，并于</w:t>
      </w:r>
      <w:r>
        <w:rPr>
          <w:rFonts w:hint="eastAsia" w:ascii="宋体" w:hAnsi="宋体" w:eastAsia="宋体" w:cs="宋体"/>
          <w:color w:val="auto"/>
          <w:sz w:val="24"/>
          <w:szCs w:val="24"/>
          <w:highlight w:val="none"/>
          <w:u w:val="single"/>
        </w:rPr>
        <w:t xml:space="preserve"> </w:t>
      </w:r>
      <w:r>
        <w:rPr>
          <w:rFonts w:hint="eastAsia" w:ascii="宋体" w:hAnsi="宋体" w:cs="宋体"/>
          <w:sz w:val="24"/>
          <w:szCs w:val="24"/>
          <w:highlight w:val="none"/>
          <w:u w:val="single"/>
          <w:lang w:val="en-US" w:eastAsia="zh-CN"/>
        </w:rPr>
        <w:t>2025年</w:t>
      </w:r>
      <w:r>
        <w:rPr>
          <w:rFonts w:hint="eastAsia" w:ascii="宋体" w:hAnsi="宋体" w:cs="宋体"/>
          <w:color w:val="0000FF"/>
          <w:sz w:val="24"/>
          <w:szCs w:val="24"/>
          <w:highlight w:val="none"/>
          <w:u w:val="single"/>
          <w:lang w:val="en-US" w:eastAsia="zh-CN"/>
        </w:rPr>
        <w:t>7月9日13:30时</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bookmarkStart w:id="1" w:name="_Toc35393798"/>
      <w:bookmarkStart w:id="2" w:name="_Toc28359012"/>
      <w:bookmarkStart w:id="3" w:name="_Toc35393629"/>
      <w:bookmarkStart w:id="4" w:name="_Toc28359089"/>
    </w:p>
    <w:p w14:paraId="6FCD4397">
      <w:pPr>
        <w:keepNext w:val="0"/>
        <w:keepLines w:val="0"/>
        <w:pageBreakBefore w:val="0"/>
        <w:widowControl w:val="0"/>
        <w:kinsoku/>
        <w:wordWrap/>
        <w:overflowPunct/>
        <w:topLinePunct w:val="0"/>
        <w:autoSpaceDE w:val="0"/>
        <w:autoSpaceDN w:val="0"/>
        <w:bidi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15FA4AC2">
      <w:pPr>
        <w:keepNext w:val="0"/>
        <w:keepLines w:val="0"/>
        <w:pageBreakBefore w:val="0"/>
        <w:widowControl w:val="0"/>
        <w:kinsoku/>
        <w:wordWrap/>
        <w:overflowPunct/>
        <w:topLinePunct w:val="0"/>
        <w:autoSpaceDE w:val="0"/>
        <w:autoSpaceDN w:val="0"/>
        <w:bidi w:val="0"/>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一、项目基本情况</w:t>
      </w:r>
      <w:bookmarkEnd w:id="1"/>
      <w:bookmarkEnd w:id="2"/>
      <w:bookmarkEnd w:id="3"/>
      <w:bookmarkEnd w:id="4"/>
    </w:p>
    <w:p w14:paraId="6F3D4895">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MCXMGL-20250616</w:t>
      </w:r>
    </w:p>
    <w:p w14:paraId="561E2D9C">
      <w:pPr>
        <w:keepNext w:val="0"/>
        <w:keepLines w:val="0"/>
        <w:pageBreakBefore w:val="0"/>
        <w:widowControl w:val="0"/>
        <w:kinsoku/>
        <w:wordWrap/>
        <w:overflowPunct/>
        <w:topLinePunct w:val="0"/>
        <w:autoSpaceDE w:val="0"/>
        <w:autoSpaceDN w:val="0"/>
        <w:bidi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2.采购编号：采购计划-</w:t>
      </w:r>
      <w:r>
        <w:rPr>
          <w:rFonts w:hint="eastAsia" w:ascii="宋体" w:hAnsi="宋体" w:eastAsia="宋体" w:cs="宋体"/>
          <w:color w:val="auto"/>
          <w:sz w:val="24"/>
          <w:szCs w:val="24"/>
          <w:highlight w:val="none"/>
          <w:lang w:val="en-US" w:eastAsia="zh-CN"/>
        </w:rPr>
        <w:t>[2025]-00070</w:t>
      </w:r>
    </w:p>
    <w:p w14:paraId="5264E3E8">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lang w:eastAsia="zh-CN"/>
        </w:rPr>
        <w:t>临江市六道沟镇错草顶子村水毁道路改造工程</w:t>
      </w:r>
    </w:p>
    <w:p w14:paraId="4502F002">
      <w:pPr>
        <w:keepNext w:val="0"/>
        <w:keepLines w:val="0"/>
        <w:pageBreakBefore w:val="0"/>
        <w:widowControl w:val="0"/>
        <w:kinsoku/>
        <w:wordWrap/>
        <w:overflowPunct/>
        <w:topLinePunct w:val="0"/>
        <w:autoSpaceDE w:val="0"/>
        <w:autoSpaceDN w:val="0"/>
        <w:bidi w:val="0"/>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采购方式：竞争性磋商</w:t>
      </w:r>
    </w:p>
    <w:p w14:paraId="3D7FFF7E">
      <w:pPr>
        <w:keepNext w:val="0"/>
        <w:keepLines w:val="0"/>
        <w:pageBreakBefore w:val="0"/>
        <w:widowControl w:val="0"/>
        <w:kinsoku/>
        <w:wordWrap/>
        <w:overflowPunct/>
        <w:topLinePunct w:val="0"/>
        <w:autoSpaceDE w:val="0"/>
        <w:autoSpaceDN w:val="0"/>
        <w:bidi w:val="0"/>
        <w:spacing w:before="183" w:line="240" w:lineRule="auto"/>
        <w:ind w:firstLine="480" w:firstLineChars="20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142.8579万元</w:t>
      </w:r>
    </w:p>
    <w:p w14:paraId="2E57459C">
      <w:pPr>
        <w:keepNext w:val="0"/>
        <w:keepLines w:val="0"/>
        <w:pageBreakBefore w:val="0"/>
        <w:widowControl w:val="0"/>
        <w:kinsoku/>
        <w:wordWrap/>
        <w:overflowPunct/>
        <w:topLinePunct w:val="0"/>
        <w:autoSpaceDE w:val="0"/>
        <w:autoSpaceDN w:val="0"/>
        <w:bidi w:val="0"/>
        <w:spacing w:before="183"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val="en-US" w:eastAsia="zh-CN"/>
        </w:rPr>
        <w:t>142.8579万元</w:t>
      </w:r>
    </w:p>
    <w:p w14:paraId="41DA88BB">
      <w:pPr>
        <w:keepNext w:val="0"/>
        <w:keepLines w:val="0"/>
        <w:pageBreakBefore w:val="0"/>
        <w:widowControl w:val="0"/>
        <w:kinsoku/>
        <w:wordWrap/>
        <w:overflowPunct/>
        <w:topLinePunct w:val="0"/>
        <w:autoSpaceDE w:val="0"/>
        <w:autoSpaceDN w:val="0"/>
        <w:bidi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采购需求：</w:t>
      </w:r>
      <w:r>
        <w:rPr>
          <w:rFonts w:hint="eastAsia" w:asciiTheme="minorEastAsia" w:hAnsiTheme="minorEastAsia" w:eastAsiaTheme="minorEastAsia" w:cstheme="minorEastAsia"/>
          <w:color w:val="auto"/>
          <w:sz w:val="24"/>
          <w:szCs w:val="24"/>
          <w:highlight w:val="none"/>
          <w:lang w:val="en-US" w:eastAsia="zh-CN"/>
        </w:rPr>
        <w:t>新建沥青路2.814千米，路面宽度为2.5-5.0米，混凝土挡墙142米，钢筋混凝土边沟43米，沥青硬化1774平方米。</w:t>
      </w:r>
    </w:p>
    <w:p w14:paraId="697E52D2">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lang w:eastAsia="zh-CN"/>
        </w:rPr>
        <w:t>计划工期</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b w:val="0"/>
          <w:bCs/>
          <w:color w:val="000000" w:themeColor="text1"/>
          <w:sz w:val="24"/>
          <w:szCs w:val="24"/>
          <w:highlight w:val="none"/>
          <w:u w:val="none"/>
          <w:lang w:val="en-US" w:eastAsia="zh-CN"/>
          <w14:textFill>
            <w14:solidFill>
              <w14:schemeClr w14:val="tx1"/>
            </w14:solidFill>
          </w14:textFill>
        </w:rPr>
        <w:t>自合同签订之日起2个月</w:t>
      </w:r>
    </w:p>
    <w:p w14:paraId="78C7439C">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9.是否</w:t>
      </w:r>
      <w:r>
        <w:rPr>
          <w:rFonts w:hint="eastAsia" w:ascii="宋体" w:hAnsi="宋体" w:cs="宋体"/>
          <w:sz w:val="24"/>
          <w:szCs w:val="24"/>
          <w:highlight w:val="none"/>
        </w:rPr>
        <w:t>接受联合体投标：否</w:t>
      </w:r>
    </w:p>
    <w:p w14:paraId="624D1FB1">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szCs w:val="24"/>
          <w:highlight w:val="none"/>
          <w:lang w:val="en-US" w:eastAsia="zh-CN"/>
        </w:rPr>
        <w:t>10.是否专门面向中小企业采购：是</w:t>
      </w:r>
    </w:p>
    <w:p w14:paraId="5BF6F7B3">
      <w:pPr>
        <w:pStyle w:val="4"/>
        <w:keepNext w:val="0"/>
        <w:keepLines w:val="0"/>
        <w:pageBreakBefore w:val="0"/>
        <w:widowControl w:val="0"/>
        <w:kinsoku/>
        <w:wordWrap/>
        <w:overflowPunct/>
        <w:topLinePunct w:val="0"/>
        <w:autoSpaceDE w:val="0"/>
        <w:autoSpaceDN w:val="0"/>
        <w:bidi w:val="0"/>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bookmarkStart w:id="5" w:name="_Toc35393630"/>
      <w:bookmarkStart w:id="6" w:name="_Toc28359013"/>
      <w:bookmarkStart w:id="7" w:name="_Toc28359090"/>
      <w:bookmarkStart w:id="8" w:name="_Toc35393799"/>
      <w:r>
        <w:rPr>
          <w:rFonts w:hint="eastAsia" w:asciiTheme="minorEastAsia" w:hAnsiTheme="minorEastAsia" w:eastAsiaTheme="minorEastAsia" w:cstheme="minorEastAsia"/>
          <w:b/>
          <w:bCs w:val="0"/>
          <w:color w:val="auto"/>
          <w:sz w:val="24"/>
          <w:szCs w:val="24"/>
          <w:highlight w:val="none"/>
        </w:rPr>
        <w:t>二、申请人的资格要求：</w:t>
      </w:r>
      <w:bookmarkEnd w:id="5"/>
      <w:bookmarkEnd w:id="6"/>
      <w:bookmarkEnd w:id="7"/>
      <w:bookmarkEnd w:id="8"/>
    </w:p>
    <w:p w14:paraId="74211F9D">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1.参加投标企业必须为中小企业；</w:t>
      </w:r>
    </w:p>
    <w:p w14:paraId="6EB3A62F">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.满足《中华人民共和国政府采购法》第二十二条规定；</w:t>
      </w:r>
    </w:p>
    <w:p w14:paraId="5D8C7BCB">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3E291E56">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0B321092">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0D9F42B7">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3D3C3270">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（5）参加政府采购活动前三年内，在经营活动中没有重大违法记录（重大违法记录是指供应商因违法经营受到刑事处罚或者责令停产停业、吊销许可证或者执照、较大数额罚款等行政处罚）；</w:t>
      </w:r>
    </w:p>
    <w:p w14:paraId="0F825A0C">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（6）法律、行政法规规定的其他条件</w:t>
      </w:r>
      <w:r>
        <w:rPr>
          <w:rFonts w:hint="eastAsia" w:asciiTheme="minorEastAsia" w:hAnsiTheme="minorEastAsia" w:eastAsiaTheme="minorEastAsia" w:cstheme="minorEastAsia"/>
          <w:b w:val="0"/>
          <w:bCs/>
          <w:i w:val="0"/>
          <w:iCs w:val="0"/>
          <w:caps w:val="0"/>
          <w:color w:val="auto"/>
          <w:spacing w:val="0"/>
          <w:kern w:val="0"/>
          <w:sz w:val="24"/>
          <w:szCs w:val="24"/>
          <w:highlight w:val="none"/>
          <w:shd w:val="clear" w:color="auto" w:fill="FFFFFF"/>
          <w:lang w:val="en-US" w:eastAsia="zh-CN" w:bidi="ar"/>
        </w:rPr>
        <w:t>。</w:t>
      </w:r>
    </w:p>
    <w:p w14:paraId="7E3B65B9">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color w:val="auto"/>
          <w:sz w:val="24"/>
          <w:szCs w:val="24"/>
          <w:highlight w:val="none"/>
        </w:rPr>
      </w:pPr>
      <w:bookmarkStart w:id="9" w:name="_Toc28359014"/>
      <w:bookmarkStart w:id="10" w:name="_Toc28359091"/>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落实政府采购政策需满足的资格要求：《关于进一步加大政府采购支持中小企业力度的通知》(财库〔2022〕19号）、《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CFFB165">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中小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以上政策不重复享受。</w:t>
      </w:r>
    </w:p>
    <w:p w14:paraId="3FA8044B">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.本项目的特定资格要求：</w:t>
      </w:r>
    </w:p>
    <w:p w14:paraId="7C6ED147">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供应商须是中华人民共和国境内合法注册的独立法人，具备建设行政主管部门核发的公路工程施工总承包贰级及以上资质且具备有效的安全生产许可证；并在人员、设备、资金等方面具有相应的能力；</w:t>
      </w:r>
    </w:p>
    <w:p w14:paraId="6DABE535">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（2）供应商拟派出的项目经理须具备公路工程专业贰级及以上注册建造师资格，具备有效的安全生产考核合格证书（B类），且无在建工程，整个采购过程不得随意更换项目经理；</w:t>
      </w:r>
    </w:p>
    <w:p w14:paraId="59CD5011">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bidi="ar-SA"/>
        </w:rPr>
        <w:t>财务要求：近三年（</w:t>
      </w:r>
      <w: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t>2022年-2024</w:t>
      </w:r>
      <w:r>
        <w:rPr>
          <w:rFonts w:hint="eastAsia" w:asciiTheme="minorEastAsia" w:hAnsiTheme="minorEastAsia" w:eastAsiaTheme="minorEastAsia" w:cstheme="minorEastAsia"/>
          <w:snapToGrid w:val="0"/>
          <w:color w:val="auto"/>
          <w:kern w:val="0"/>
          <w:sz w:val="24"/>
          <w:szCs w:val="24"/>
          <w:highlight w:val="none"/>
          <w:lang w:val="en-US" w:eastAsia="zh-CN" w:bidi="ar-SA"/>
        </w:rPr>
        <w:t>年）经会计师事务所或审计机构审计的财务审计报告，财务状况良好。（当供应商成立日期在2022年-2024年之间的，提供从成立日期起至2024年之间的经会计师事务所或审计机构审计的财务审计报告，2025年以后新成立的公司无财务审计报告的，需提供一份基本开户银行出具的资信证明；各供应商另须提供2025年01月01日至响应文件报名截止时间的财务状况良好承诺书）。</w:t>
      </w:r>
    </w:p>
    <w:p w14:paraId="220AB927">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近三年内无行贿犯罪档案记录证明，提供供应商在中国裁判文书网上查询的无犯罪记录查询结果网页截图（包含磋商企业、企业的法定代表人、</w:t>
      </w:r>
      <w:r>
        <w:rPr>
          <w:rFonts w:hint="eastAsia" w:asciiTheme="minorEastAsia" w:hAnsiTheme="minorEastAsia" w:eastAsiaTheme="minorEastAsia" w:cstheme="minorEastAsia"/>
          <w:color w:val="auto"/>
          <w:sz w:val="24"/>
          <w:szCs w:val="24"/>
          <w:highlight w:val="none"/>
          <w:lang w:val="zh-CN" w:eastAsia="zh-CN"/>
        </w:rPr>
        <w:t>拟委任的项目经理</w:t>
      </w:r>
      <w:r>
        <w:rPr>
          <w:rFonts w:hint="eastAsia" w:asciiTheme="minorEastAsia" w:hAnsiTheme="minorEastAsia" w:eastAsiaTheme="minorEastAsia" w:cstheme="minorEastAsia"/>
          <w:color w:val="auto"/>
          <w:sz w:val="24"/>
          <w:szCs w:val="24"/>
          <w:highlight w:val="none"/>
        </w:rPr>
        <w:t>，同时查询时用空格分开再点搜索键）。</w:t>
      </w:r>
    </w:p>
    <w:p w14:paraId="7E714C71">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外阜磋商企业需按照吉建管〔2015〕50号、吉建管〔2018〕12号、吉建管〔2019〕11号、吉建管〔2019〕28号、吉建管〔2019〕82号文件办理相关信息登记后方可参加磋商。</w:t>
      </w:r>
    </w:p>
    <w:p w14:paraId="330622B6">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与采购人存在利益关系可能影响磋商公正性的法人、其他组织或者个人，不得参加磋商。单位负责人为同一人或者存在控股、管理关系的不同单位，不得参加同一标段磋商或者未划分标段的同一采购项目磋商。</w:t>
      </w:r>
    </w:p>
    <w:p w14:paraId="185F97D8">
      <w:pPr>
        <w:keepNext w:val="0"/>
        <w:keepLines w:val="0"/>
        <w:pageBreakBefore w:val="0"/>
        <w:widowControl w:val="0"/>
        <w:kinsoku/>
        <w:wordWrap/>
        <w:overflowPunct/>
        <w:topLinePunct w:val="0"/>
        <w:autoSpaceDE w:val="0"/>
        <w:autoSpaceDN w:val="0"/>
        <w:bidi w:val="0"/>
        <w:spacing w:line="360" w:lineRule="auto"/>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本项目磋商截止期前被“信用中国”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HYPERLINK"http://www.creditchina.gov.cn）中列入失信被执行人和/"</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网站中列入失信被执行人</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、重大税收违法失信主体名单和政府采购不良行为记录名单的供应商、被中国政府采购网列入政府采购严重违法失信行为记录名单中被财政部门禁止参加政府采购活动的供应商（处罚决定规定时间（指：202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月1日</w:t>
      </w:r>
      <w:r>
        <w:rPr>
          <w:rFonts w:hint="eastAsia" w:asciiTheme="minorEastAsia" w:hAnsiTheme="minorEastAsia" w:eastAsiaTheme="minorEastAsia" w:cstheme="minorEastAsia"/>
          <w:color w:val="auto"/>
          <w:sz w:val="24"/>
          <w:szCs w:val="24"/>
          <w:highlight w:val="none"/>
          <w:lang w:val="en-US" w:eastAsia="zh-CN"/>
        </w:rPr>
        <w:t>至今</w:t>
      </w:r>
      <w:r>
        <w:rPr>
          <w:rFonts w:hint="eastAsia" w:asciiTheme="minorEastAsia" w:hAnsiTheme="minorEastAsia" w:eastAsiaTheme="minorEastAsia" w:cstheme="minorEastAsia"/>
          <w:color w:val="auto"/>
          <w:sz w:val="24"/>
          <w:szCs w:val="24"/>
          <w:highlight w:val="none"/>
        </w:rPr>
        <w:t>）和地域范围内），无资格参加本项目的采购活动。</w:t>
      </w:r>
    </w:p>
    <w:p w14:paraId="347CEDB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拒绝列入政府取消投标资格期间的企业或个人磋商。</w:t>
      </w:r>
    </w:p>
    <w:p w14:paraId="55D7A4CF">
      <w:pPr>
        <w:pStyle w:val="4"/>
        <w:keepNext w:val="0"/>
        <w:keepLines w:val="0"/>
        <w:pageBreakBefore w:val="0"/>
        <w:widowControl w:val="0"/>
        <w:kinsoku/>
        <w:wordWrap/>
        <w:overflowPunct/>
        <w:topLinePunct w:val="0"/>
        <w:autoSpaceDE w:val="0"/>
        <w:autoSpaceDN w:val="0"/>
        <w:bidi w:val="0"/>
        <w:spacing w:line="360" w:lineRule="auto"/>
        <w:ind w:firstLine="482" w:firstLineChars="200"/>
        <w:rPr>
          <w:rFonts w:hint="eastAsia" w:asciiTheme="minorEastAsia" w:hAnsiTheme="minorEastAsia" w:eastAsiaTheme="minorEastAsia" w:cstheme="minorEastAsia"/>
          <w:b w:val="0"/>
          <w:color w:val="auto"/>
          <w:sz w:val="24"/>
          <w:szCs w:val="24"/>
          <w:highlight w:val="none"/>
        </w:rPr>
      </w:pPr>
      <w:bookmarkStart w:id="11" w:name="_Toc35393800"/>
      <w:bookmarkStart w:id="12" w:name="_Toc35393631"/>
      <w:r>
        <w:rPr>
          <w:rFonts w:hint="eastAsia" w:asciiTheme="minorEastAsia" w:hAnsiTheme="minorEastAsia" w:eastAsiaTheme="minorEastAsia" w:cstheme="minorEastAsia"/>
          <w:b/>
          <w:bCs w:val="0"/>
          <w:color w:val="auto"/>
          <w:sz w:val="24"/>
          <w:szCs w:val="24"/>
          <w:highlight w:val="none"/>
        </w:rPr>
        <w:t>三、获取采购文件</w:t>
      </w:r>
      <w:bookmarkEnd w:id="9"/>
      <w:bookmarkEnd w:id="10"/>
      <w:bookmarkEnd w:id="11"/>
      <w:bookmarkEnd w:id="12"/>
    </w:p>
    <w:p w14:paraId="0499BC0B">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FF"/>
          <w:sz w:val="24"/>
          <w:szCs w:val="24"/>
          <w:highlight w:val="none"/>
        </w:rPr>
      </w:pPr>
      <w:bookmarkStart w:id="13" w:name="_Toc28359015"/>
      <w:bookmarkStart w:id="14" w:name="_Toc28359092"/>
      <w:bookmarkStart w:id="15" w:name="_Toc35393632"/>
      <w:bookmarkStart w:id="16" w:name="_Toc35393801"/>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时间：</w:t>
      </w:r>
      <w:r>
        <w:rPr>
          <w:rFonts w:hint="eastAsia" w:ascii="宋体" w:hAnsi="宋体" w:eastAsia="宋体" w:cs="宋体"/>
          <w:color w:val="0000FF"/>
          <w:sz w:val="24"/>
          <w:szCs w:val="24"/>
          <w:highlight w:val="none"/>
          <w:lang w:eastAsia="zh-CN"/>
        </w:rPr>
        <w:t>2025年</w:t>
      </w:r>
      <w:r>
        <w:rPr>
          <w:rFonts w:hint="eastAsia" w:ascii="宋体" w:hAnsi="宋体" w:cs="宋体"/>
          <w:color w:val="0000FF"/>
          <w:sz w:val="24"/>
          <w:szCs w:val="24"/>
          <w:highlight w:val="none"/>
          <w:lang w:val="en-US" w:eastAsia="zh-CN"/>
        </w:rPr>
        <w:t>6</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27</w:t>
      </w:r>
      <w:r>
        <w:rPr>
          <w:rFonts w:hint="eastAsia" w:ascii="宋体" w:hAnsi="宋体" w:eastAsia="宋体" w:cs="宋体"/>
          <w:color w:val="0000FF"/>
          <w:sz w:val="24"/>
          <w:szCs w:val="24"/>
          <w:highlight w:val="none"/>
        </w:rPr>
        <w:t>日至</w:t>
      </w:r>
      <w:r>
        <w:rPr>
          <w:rFonts w:hint="eastAsia" w:ascii="宋体" w:hAnsi="宋体" w:eastAsia="宋体" w:cs="宋体"/>
          <w:color w:val="0000FF"/>
          <w:sz w:val="24"/>
          <w:szCs w:val="24"/>
          <w:highlight w:val="none"/>
          <w:lang w:eastAsia="zh-CN"/>
        </w:rPr>
        <w:t>2025年</w:t>
      </w:r>
      <w:r>
        <w:rPr>
          <w:rFonts w:hint="eastAsia" w:ascii="宋体" w:hAnsi="宋体" w:eastAsia="宋体" w:cs="宋体"/>
          <w:color w:val="0000FF"/>
          <w:sz w:val="24"/>
          <w:szCs w:val="24"/>
          <w:highlight w:val="none"/>
          <w:lang w:val="en-US" w:eastAsia="zh-CN"/>
        </w:rPr>
        <w:t>7</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4</w:t>
      </w:r>
      <w:r>
        <w:rPr>
          <w:rFonts w:hint="eastAsia" w:ascii="宋体" w:hAnsi="宋体" w:eastAsia="宋体" w:cs="宋体"/>
          <w:color w:val="0000FF"/>
          <w:sz w:val="24"/>
          <w:szCs w:val="24"/>
          <w:highlight w:val="none"/>
        </w:rPr>
        <w:t>日</w:t>
      </w:r>
    </w:p>
    <w:p w14:paraId="34FA7F05">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地点：政府采购云平台（http：//www.zcygov.cn）</w:t>
      </w:r>
    </w:p>
    <w:p w14:paraId="0D98A374">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方式：网上免费获取，潜在供应商自行登录政府采购云平台（网址：http://www.zcygov.cn）网上注册并下载磋商文件（操作路径：登录“政采云”平台-项目采购-获取磋商文件-找到本项目-点击“申请获取磋商文件”），其他途径获取的磋商文件开启时一律按无效投标处理。</w:t>
      </w:r>
    </w:p>
    <w:p w14:paraId="6F1161D9">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4.未进行网上注册并办理CA认证的供应商将无法参与本次招标活动。</w:t>
      </w:r>
    </w:p>
    <w:p w14:paraId="5DD399F3">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5.售价：0元</w:t>
      </w:r>
    </w:p>
    <w:p w14:paraId="7D9940AF">
      <w:pPr>
        <w:pStyle w:val="4"/>
        <w:keepNext w:val="0"/>
        <w:keepLines w:val="0"/>
        <w:pageBreakBefore w:val="0"/>
        <w:widowControl w:val="0"/>
        <w:kinsoku/>
        <w:wordWrap/>
        <w:overflowPunct/>
        <w:topLinePunct w:val="0"/>
        <w:autoSpaceDE w:val="0"/>
        <w:autoSpaceDN w:val="0"/>
        <w:bidi w:val="0"/>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四、响应文件提交</w:t>
      </w:r>
      <w:bookmarkEnd w:id="13"/>
      <w:bookmarkEnd w:id="14"/>
      <w:bookmarkEnd w:id="15"/>
      <w:bookmarkEnd w:id="16"/>
    </w:p>
    <w:p w14:paraId="6E865E08">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bookmarkStart w:id="17" w:name="_Toc35393633"/>
      <w:bookmarkStart w:id="18" w:name="_Toc35393802"/>
      <w:bookmarkStart w:id="19" w:name="_Toc28359093"/>
      <w:bookmarkStart w:id="20" w:name="_Toc28359016"/>
      <w:r>
        <w:rPr>
          <w:rFonts w:hint="eastAsia" w:ascii="宋体" w:hAnsi="宋体" w:cs="宋体"/>
          <w:sz w:val="24"/>
          <w:szCs w:val="24"/>
          <w:highlight w:val="none"/>
        </w:rPr>
        <w:t>1.截止时间：</w:t>
      </w:r>
      <w:r>
        <w:rPr>
          <w:rFonts w:hint="eastAsia" w:ascii="宋体" w:hAnsi="宋体" w:cs="宋体"/>
          <w:color w:val="0000FF"/>
          <w:sz w:val="24"/>
          <w:szCs w:val="24"/>
          <w:highlight w:val="none"/>
          <w:lang w:val="en-US" w:eastAsia="zh-CN"/>
        </w:rPr>
        <w:t>2025年7月9日13:30时</w:t>
      </w:r>
      <w:r>
        <w:rPr>
          <w:rFonts w:hint="eastAsia" w:ascii="宋体" w:hAnsi="宋体" w:cs="宋体"/>
          <w:sz w:val="24"/>
          <w:szCs w:val="24"/>
          <w:highlight w:val="none"/>
        </w:rPr>
        <w:t>（北京时间）；</w:t>
      </w:r>
    </w:p>
    <w:p w14:paraId="1DE101D3">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2.地点：白山市浑江区红旗街578号国投大厦3楼开标室2</w:t>
      </w:r>
    </w:p>
    <w:p w14:paraId="0F25638C">
      <w:pPr>
        <w:pStyle w:val="4"/>
        <w:keepNext w:val="0"/>
        <w:keepLines w:val="0"/>
        <w:pageBreakBefore w:val="0"/>
        <w:widowControl w:val="0"/>
        <w:kinsoku/>
        <w:wordWrap/>
        <w:overflowPunct/>
        <w:topLinePunct w:val="0"/>
        <w:autoSpaceDE w:val="0"/>
        <w:autoSpaceDN w:val="0"/>
        <w:bidi w:val="0"/>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五、开启</w:t>
      </w:r>
      <w:bookmarkEnd w:id="17"/>
      <w:bookmarkEnd w:id="18"/>
      <w:bookmarkEnd w:id="19"/>
      <w:bookmarkEnd w:id="20"/>
    </w:p>
    <w:p w14:paraId="6F86B1EB">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bookmarkStart w:id="21" w:name="_Toc35393803"/>
      <w:bookmarkStart w:id="22" w:name="_Toc28359094"/>
      <w:bookmarkStart w:id="23" w:name="_Toc28359017"/>
      <w:bookmarkStart w:id="24" w:name="_Toc35393634"/>
      <w:r>
        <w:rPr>
          <w:rFonts w:hint="eastAsia" w:ascii="宋体" w:hAnsi="宋体" w:eastAsia="宋体" w:cs="宋体"/>
          <w:sz w:val="24"/>
          <w:szCs w:val="24"/>
          <w:highlight w:val="none"/>
        </w:rPr>
        <w:t>时间：</w:t>
      </w:r>
      <w:r>
        <w:rPr>
          <w:rFonts w:hint="eastAsia" w:ascii="宋体" w:hAnsi="宋体" w:cs="宋体"/>
          <w:color w:val="0000FF"/>
          <w:sz w:val="24"/>
          <w:szCs w:val="24"/>
          <w:highlight w:val="none"/>
          <w:lang w:val="en-US" w:eastAsia="zh-CN"/>
        </w:rPr>
        <w:t>2025年7月9日13:30时</w:t>
      </w:r>
      <w:r>
        <w:rPr>
          <w:rFonts w:hint="eastAsia" w:ascii="宋体" w:hAnsi="宋体" w:eastAsia="宋体" w:cs="宋体"/>
          <w:sz w:val="24"/>
          <w:szCs w:val="24"/>
          <w:highlight w:val="none"/>
          <w:lang w:val="zh-CN"/>
        </w:rPr>
        <w:t>（北京时间）</w:t>
      </w:r>
    </w:p>
    <w:p w14:paraId="570B3519">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rPr>
        <w:t>白山市浑江区红旗街578号国投大厦3楼开标室2</w:t>
      </w:r>
    </w:p>
    <w:p w14:paraId="13FD63FB">
      <w:pPr>
        <w:pStyle w:val="4"/>
        <w:keepNext w:val="0"/>
        <w:keepLines w:val="0"/>
        <w:pageBreakBefore w:val="0"/>
        <w:widowControl w:val="0"/>
        <w:numPr>
          <w:ilvl w:val="0"/>
          <w:numId w:val="2"/>
        </w:numPr>
        <w:kinsoku/>
        <w:wordWrap/>
        <w:overflowPunct/>
        <w:topLinePunct w:val="0"/>
        <w:autoSpaceDE w:val="0"/>
        <w:autoSpaceDN w:val="0"/>
        <w:bidi w:val="0"/>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公告期限</w:t>
      </w:r>
      <w:bookmarkEnd w:id="21"/>
      <w:bookmarkEnd w:id="22"/>
      <w:bookmarkEnd w:id="23"/>
      <w:bookmarkEnd w:id="24"/>
    </w:p>
    <w:p w14:paraId="6E12D5F1">
      <w:pPr>
        <w:pStyle w:val="4"/>
        <w:keepNext w:val="0"/>
        <w:keepLines w:val="0"/>
        <w:pageBreakBefore w:val="0"/>
        <w:widowControl w:val="0"/>
        <w:numPr>
          <w:ilvl w:val="0"/>
          <w:numId w:val="0"/>
        </w:numPr>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个工作日。</w:t>
      </w:r>
    </w:p>
    <w:p w14:paraId="7160C817">
      <w:pPr>
        <w:keepNext w:val="0"/>
        <w:keepLines w:val="0"/>
        <w:pageBreakBefore w:val="0"/>
        <w:widowControl w:val="0"/>
        <w:numPr>
          <w:ilvl w:val="0"/>
          <w:numId w:val="0"/>
        </w:numPr>
        <w:kinsoku/>
        <w:wordWrap/>
        <w:overflowPunct/>
        <w:topLinePunct w:val="0"/>
        <w:autoSpaceDE w:val="0"/>
        <w:autoSpaceDN w:val="0"/>
        <w:bidi w:val="0"/>
        <w:spacing w:before="179" w:line="219" w:lineRule="auto"/>
        <w:ind w:leftChars="200"/>
        <w:outlineLvl w:val="1"/>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snapToGrid w:val="0"/>
          <w:color w:val="auto"/>
          <w:kern w:val="2"/>
          <w:sz w:val="24"/>
          <w:szCs w:val="24"/>
          <w:highlight w:val="none"/>
          <w:lang w:val="en-US" w:eastAsia="zh-CN" w:bidi="ar-SA"/>
        </w:rPr>
        <w:t>七、</w:t>
      </w:r>
      <w:r>
        <w:rPr>
          <w:rFonts w:hint="eastAsia" w:ascii="宋体" w:hAnsi="宋体" w:cs="宋体"/>
          <w:b/>
          <w:sz w:val="24"/>
          <w:szCs w:val="24"/>
        </w:rPr>
        <w:t>其他补充事宜</w:t>
      </w:r>
    </w:p>
    <w:p w14:paraId="433BA46C">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bookmarkStart w:id="25" w:name="_Toc35393636"/>
      <w:bookmarkStart w:id="26" w:name="_Toc28359018"/>
      <w:bookmarkStart w:id="27" w:name="_Toc28359095"/>
      <w:bookmarkStart w:id="28" w:name="_Toc35393805"/>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本项目实行网上招标、网上投标，须通过政府采购云平台（网址：http://www.zcygov.cn）递交电子版响应文件。投标操作流程：供应商在政府采购云平台网注册入库成为正式供应商后，在平台上进行投标操作。</w:t>
      </w:r>
    </w:p>
    <w:p w14:paraId="62ADE58F">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CA锁办理：请供应商自行办理CA锁，收到CA锁以后在“政采云”登录界面，点击CA登录-CA驱动下载-下载并安装政采云投标客户端和驱动，账号绑定CA后才能进行响应文件制作。</w:t>
      </w:r>
    </w:p>
    <w:p w14:paraId="73B098EE">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若对项目采购电子交易系统操作有疑问，可登录“政采云”平台（https://www.zcygov.cn/），点击右侧咨询小采，获取采小蜜智能服务管家帮助，或拨打政采云服务热线95763获取热线服务帮助。</w:t>
      </w:r>
    </w:p>
    <w:p w14:paraId="5064FA0B">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本项目为不见面开标，开标期间供应商须使用CA锁进行解密电子响应文件，开标后请各供应商派专人按照政采云平台提示，在规定时间内进行最终报价。</w:t>
      </w:r>
    </w:p>
    <w:p w14:paraId="3B74BC0D">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有效供应商不足三家时，采购人另行组织招标。</w:t>
      </w:r>
    </w:p>
    <w:p w14:paraId="42403482">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当供应商的有效投标报价超出招标控制价（预算金额、拦标价）的，该投标报价视为无效报价。</w:t>
      </w:r>
    </w:p>
    <w:p w14:paraId="1D3803DD">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本公告在政采云”平台（</w:t>
      </w:r>
      <w:r>
        <w:rPr>
          <w:rFonts w:hint="default" w:ascii="宋体" w:hAnsi="宋体" w:eastAsia="宋体" w:cs="宋体"/>
          <w:sz w:val="24"/>
          <w:szCs w:val="24"/>
          <w:lang w:eastAsia="zh-CN"/>
        </w:rPr>
        <w:t>http:// www.zcygov.cn</w:t>
      </w:r>
      <w:r>
        <w:rPr>
          <w:rFonts w:hint="eastAsia" w:ascii="宋体" w:hAnsi="宋体" w:eastAsia="宋体" w:cs="宋体"/>
          <w:sz w:val="24"/>
          <w:szCs w:val="24"/>
          <w:lang w:eastAsia="zh-CN"/>
        </w:rPr>
        <w:t>）（同步推送到《吉林省政府采购网》、《中国政府采购网》）发布。</w:t>
      </w:r>
    </w:p>
    <w:p w14:paraId="5E8EB4E8">
      <w:pPr>
        <w:pStyle w:val="4"/>
        <w:keepNext w:val="0"/>
        <w:keepLines w:val="0"/>
        <w:pageBreakBefore w:val="0"/>
        <w:widowControl w:val="0"/>
        <w:kinsoku/>
        <w:wordWrap/>
        <w:overflowPunct/>
        <w:topLinePunct w:val="0"/>
        <w:autoSpaceDE w:val="0"/>
        <w:autoSpaceDN w:val="0"/>
        <w:bidi w:val="0"/>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八、凡对本次采购提出询问，请按以下方式联系。</w:t>
      </w:r>
      <w:bookmarkEnd w:id="25"/>
      <w:bookmarkEnd w:id="26"/>
      <w:bookmarkEnd w:id="27"/>
      <w:bookmarkEnd w:id="28"/>
    </w:p>
    <w:p w14:paraId="2E644EA4">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1.采购人信息</w:t>
      </w:r>
    </w:p>
    <w:p w14:paraId="1A82055C">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名称：临江市六道沟镇人民政府</w:t>
      </w:r>
    </w:p>
    <w:p w14:paraId="5EB4C6BD">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地址：临江市六道沟镇</w:t>
      </w:r>
    </w:p>
    <w:p w14:paraId="60EE0742">
      <w:pPr>
        <w:keepNext w:val="0"/>
        <w:keepLines w:val="0"/>
        <w:pageBreakBefore w:val="0"/>
        <w:widowControl w:val="0"/>
        <w:kinsoku/>
        <w:wordWrap/>
        <w:overflowPunct/>
        <w:topLinePunct w:val="0"/>
        <w:autoSpaceDE w:val="0"/>
        <w:autoSpaceDN w:val="0"/>
        <w:bidi w:val="0"/>
        <w:spacing w:line="360" w:lineRule="auto"/>
        <w:ind w:firstLine="480" w:firstLineChars="200"/>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联系方式：蒋雨廷</w:t>
      </w:r>
      <w:r>
        <w:rPr>
          <w:rFonts w:hint="eastAsia" w:asciiTheme="minorEastAsia" w:hAnsiTheme="minorEastAsia" w:eastAsiaTheme="minorEastAsia" w:cstheme="minorEastAsia"/>
          <w:color w:val="auto"/>
          <w:kern w:val="0"/>
          <w:sz w:val="24"/>
          <w:szCs w:val="24"/>
          <w:highlight w:val="none"/>
          <w:lang w:val="en-US" w:eastAsia="zh-CN"/>
        </w:rPr>
        <w:tab/>
      </w:r>
    </w:p>
    <w:p w14:paraId="098D14DD">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b w:val="0"/>
          <w:bCs/>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snapToGrid w:val="0"/>
          <w:color w:val="auto"/>
          <w:kern w:val="2"/>
          <w:sz w:val="24"/>
          <w:szCs w:val="24"/>
          <w:highlight w:val="none"/>
          <w:lang w:val="en-US" w:eastAsia="zh-CN" w:bidi="ar-SA"/>
        </w:rPr>
        <w:t>联系电话：18843981185</w:t>
      </w:r>
    </w:p>
    <w:p w14:paraId="51704C28">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2.采购代理机构信息</w:t>
      </w:r>
    </w:p>
    <w:p w14:paraId="17ACFCAB">
      <w:pPr>
        <w:keepNext w:val="0"/>
        <w:keepLines w:val="0"/>
        <w:pageBreakBefore w:val="0"/>
        <w:widowControl w:val="0"/>
        <w:kinsoku/>
        <w:wordWrap/>
        <w:overflowPunct/>
        <w:topLinePunct w:val="0"/>
        <w:autoSpaceDE w:val="0"/>
        <w:autoSpaceDN w:val="0"/>
        <w:bidi w:val="0"/>
        <w:spacing w:line="360" w:lineRule="auto"/>
        <w:ind w:firstLine="482" w:firstLineChars="201"/>
        <w:rPr>
          <w:rFonts w:hint="eastAsia" w:asciiTheme="minorEastAsia" w:hAnsiTheme="minorEastAsia" w:eastAsiaTheme="minorEastAsia" w:cstheme="minorEastAsia"/>
          <w:b w:val="0"/>
          <w:bCs/>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snapToGrid w:val="0"/>
          <w:color w:val="auto"/>
          <w:kern w:val="2"/>
          <w:sz w:val="24"/>
          <w:szCs w:val="24"/>
          <w:highlight w:val="none"/>
          <w:lang w:val="en-US" w:eastAsia="zh-CN" w:bidi="ar-SA"/>
        </w:rPr>
        <w:t>采购</w:t>
      </w:r>
      <w:r>
        <w:rPr>
          <w:rFonts w:hint="eastAsia" w:asciiTheme="minorEastAsia" w:hAnsiTheme="minorEastAsia" w:eastAsiaTheme="minorEastAsia" w:cstheme="minorEastAsia"/>
          <w:b w:val="0"/>
          <w:bCs/>
          <w:snapToGrid w:val="0"/>
          <w:color w:val="auto"/>
          <w:kern w:val="2"/>
          <w:sz w:val="24"/>
          <w:szCs w:val="24"/>
          <w:highlight w:val="none"/>
          <w:lang w:val="en-US" w:eastAsia="en-US" w:bidi="ar-SA"/>
        </w:rPr>
        <w:t>代理机构：</w:t>
      </w:r>
      <w:r>
        <w:rPr>
          <w:rFonts w:hint="eastAsia" w:asciiTheme="minorEastAsia" w:hAnsiTheme="minorEastAsia" w:eastAsiaTheme="minorEastAsia" w:cstheme="minorEastAsia"/>
          <w:b w:val="0"/>
          <w:bCs/>
          <w:snapToGrid w:val="0"/>
          <w:color w:val="auto"/>
          <w:kern w:val="2"/>
          <w:sz w:val="24"/>
          <w:szCs w:val="24"/>
          <w:highlight w:val="none"/>
          <w:lang w:val="en-US" w:eastAsia="zh-CN" w:bidi="ar-SA"/>
        </w:rPr>
        <w:t>吉林省明创工程管理有限公司</w:t>
      </w:r>
    </w:p>
    <w:p w14:paraId="2EC66A4B">
      <w:pPr>
        <w:keepNext w:val="0"/>
        <w:keepLines w:val="0"/>
        <w:pageBreakBefore w:val="0"/>
        <w:widowControl w:val="0"/>
        <w:kinsoku/>
        <w:wordWrap/>
        <w:overflowPunct/>
        <w:topLinePunct w:val="0"/>
        <w:autoSpaceDE w:val="0"/>
        <w:autoSpaceDN w:val="0"/>
        <w:bidi w:val="0"/>
        <w:spacing w:line="360" w:lineRule="auto"/>
        <w:ind w:firstLine="482" w:firstLineChars="201"/>
        <w:rPr>
          <w:rFonts w:hint="eastAsia" w:asciiTheme="minorEastAsia" w:hAnsiTheme="minorEastAsia" w:eastAsiaTheme="minorEastAsia" w:cstheme="minorEastAsia"/>
          <w:b w:val="0"/>
          <w:bCs/>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snapToGrid w:val="0"/>
          <w:color w:val="auto"/>
          <w:kern w:val="2"/>
          <w:sz w:val="24"/>
          <w:szCs w:val="24"/>
          <w:highlight w:val="none"/>
          <w:lang w:val="en-US" w:eastAsia="en-US" w:bidi="ar-SA"/>
        </w:rPr>
        <w:t>地址：</w:t>
      </w:r>
      <w:r>
        <w:rPr>
          <w:rFonts w:hint="eastAsia" w:asciiTheme="minorEastAsia" w:hAnsiTheme="minorEastAsia" w:eastAsiaTheme="minorEastAsia" w:cstheme="minorEastAsia"/>
          <w:b w:val="0"/>
          <w:bCs/>
          <w:snapToGrid w:val="0"/>
          <w:color w:val="auto"/>
          <w:kern w:val="2"/>
          <w:sz w:val="24"/>
          <w:szCs w:val="24"/>
          <w:highlight w:val="none"/>
          <w:lang w:val="en-US" w:eastAsia="zh-CN" w:bidi="ar-SA"/>
        </w:rPr>
        <w:t>长春市南关区新星宇典约·商誉A4-1801室</w:t>
      </w:r>
    </w:p>
    <w:p w14:paraId="55D784A8">
      <w:pPr>
        <w:keepNext w:val="0"/>
        <w:keepLines w:val="0"/>
        <w:pageBreakBefore w:val="0"/>
        <w:widowControl w:val="0"/>
        <w:kinsoku/>
        <w:wordWrap/>
        <w:overflowPunct/>
        <w:topLinePunct w:val="0"/>
        <w:autoSpaceDE w:val="0"/>
        <w:autoSpaceDN w:val="0"/>
        <w:bidi w:val="0"/>
        <w:spacing w:line="360" w:lineRule="auto"/>
        <w:ind w:firstLine="482" w:firstLineChars="201"/>
        <w:rPr>
          <w:rFonts w:hint="eastAsia" w:asciiTheme="minorEastAsia" w:hAnsiTheme="minorEastAsia" w:eastAsiaTheme="minorEastAsia" w:cstheme="minorEastAsia"/>
          <w:b w:val="0"/>
          <w:bCs/>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snapToGrid w:val="0"/>
          <w:color w:val="auto"/>
          <w:kern w:val="2"/>
          <w:sz w:val="24"/>
          <w:szCs w:val="24"/>
          <w:highlight w:val="none"/>
          <w:lang w:val="en-US" w:eastAsia="en-US" w:bidi="ar-SA"/>
        </w:rPr>
        <w:t>联系人：</w:t>
      </w:r>
      <w:r>
        <w:rPr>
          <w:rFonts w:hint="eastAsia" w:asciiTheme="minorEastAsia" w:hAnsiTheme="minorEastAsia" w:eastAsiaTheme="minorEastAsia" w:cstheme="minorEastAsia"/>
          <w:b w:val="0"/>
          <w:bCs/>
          <w:snapToGrid w:val="0"/>
          <w:color w:val="auto"/>
          <w:kern w:val="2"/>
          <w:sz w:val="24"/>
          <w:szCs w:val="24"/>
          <w:highlight w:val="none"/>
          <w:lang w:val="en-US" w:eastAsia="zh-CN" w:bidi="ar-SA"/>
        </w:rPr>
        <w:t>解佳雯</w:t>
      </w:r>
    </w:p>
    <w:p w14:paraId="26AA96FE">
      <w:pPr>
        <w:keepNext w:val="0"/>
        <w:keepLines w:val="0"/>
        <w:pageBreakBefore w:val="0"/>
        <w:widowControl w:val="0"/>
        <w:kinsoku/>
        <w:wordWrap/>
        <w:overflowPunct/>
        <w:topLinePunct w:val="0"/>
        <w:autoSpaceDE w:val="0"/>
        <w:autoSpaceDN w:val="0"/>
        <w:bidi w:val="0"/>
        <w:spacing w:line="360" w:lineRule="auto"/>
        <w:ind w:firstLine="482" w:firstLineChars="201"/>
        <w:rPr>
          <w:rFonts w:hint="default" w:asciiTheme="minorEastAsia" w:hAnsiTheme="minorEastAsia" w:eastAsiaTheme="minorEastAsia" w:cstheme="minorEastAsia"/>
          <w:b w:val="0"/>
          <w:bCs/>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snapToGrid w:val="0"/>
          <w:color w:val="auto"/>
          <w:kern w:val="2"/>
          <w:sz w:val="24"/>
          <w:szCs w:val="24"/>
          <w:highlight w:val="none"/>
          <w:lang w:val="en-US" w:eastAsia="zh-CN" w:bidi="ar-SA"/>
        </w:rPr>
        <w:t>联系电话：18604395006</w:t>
      </w:r>
    </w:p>
    <w:p w14:paraId="5BFEB130">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3.项目联系方式</w:t>
      </w:r>
    </w:p>
    <w:p w14:paraId="4106DC4E">
      <w:pPr>
        <w:keepNext w:val="0"/>
        <w:keepLines w:val="0"/>
        <w:pageBreakBefore w:val="0"/>
        <w:widowControl w:val="0"/>
        <w:kinsoku/>
        <w:wordWrap/>
        <w:overflowPunct/>
        <w:topLinePunct w:val="0"/>
        <w:autoSpaceDE w:val="0"/>
        <w:autoSpaceDN w:val="0"/>
        <w:bidi w:val="0"/>
        <w:spacing w:line="360" w:lineRule="auto"/>
        <w:ind w:firstLine="482" w:firstLineChars="201"/>
        <w:rPr>
          <w:rFonts w:hint="eastAsia" w:asciiTheme="minorEastAsia" w:hAnsiTheme="minorEastAsia" w:eastAsiaTheme="minorEastAsia" w:cstheme="minorEastAsia"/>
          <w:b w:val="0"/>
          <w:bCs/>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snapToGrid w:val="0"/>
          <w:color w:val="auto"/>
          <w:kern w:val="2"/>
          <w:sz w:val="24"/>
          <w:szCs w:val="24"/>
          <w:highlight w:val="none"/>
          <w:lang w:val="en-US" w:eastAsia="en-US" w:bidi="ar-SA"/>
        </w:rPr>
        <w:t>联系人：</w:t>
      </w:r>
      <w:r>
        <w:rPr>
          <w:rFonts w:hint="eastAsia" w:asciiTheme="minorEastAsia" w:hAnsiTheme="minorEastAsia" w:eastAsiaTheme="minorEastAsia" w:cstheme="minorEastAsia"/>
          <w:b w:val="0"/>
          <w:bCs/>
          <w:snapToGrid w:val="0"/>
          <w:color w:val="auto"/>
          <w:kern w:val="2"/>
          <w:sz w:val="24"/>
          <w:szCs w:val="24"/>
          <w:highlight w:val="none"/>
          <w:lang w:val="en-US" w:eastAsia="zh-CN" w:bidi="ar-SA"/>
        </w:rPr>
        <w:t>解佳雯</w:t>
      </w:r>
    </w:p>
    <w:p w14:paraId="66105764">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Theme="minorEastAsia" w:hAnsiTheme="minorEastAsia" w:eastAsiaTheme="minorEastAsia" w:cstheme="minorEastAsia"/>
          <w:b w:val="0"/>
          <w:bCs/>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snapToGrid w:val="0"/>
          <w:color w:val="auto"/>
          <w:kern w:val="2"/>
          <w:sz w:val="24"/>
          <w:szCs w:val="24"/>
          <w:highlight w:val="none"/>
          <w:lang w:val="en-US" w:eastAsia="zh-CN" w:bidi="ar-SA"/>
        </w:rPr>
        <w:t>联系电话：18604395006</w:t>
      </w:r>
    </w:p>
    <w:p w14:paraId="12087646">
      <w:pPr>
        <w:rPr>
          <w:rFonts w:hint="eastAsia" w:ascii="宋体" w:hAnsi="宋体" w:eastAsia="宋体" w:cs="宋体"/>
          <w:b/>
          <w:bCs w:val="0"/>
          <w:color w:val="auto"/>
          <w:sz w:val="32"/>
          <w:szCs w:val="32"/>
          <w:highlight w:val="none"/>
          <w:lang w:val="en-US" w:eastAsia="zh-CN"/>
        </w:rPr>
      </w:pPr>
      <w:r>
        <w:rPr>
          <w:rFonts w:hint="eastAsia" w:asciiTheme="minorEastAsia" w:hAnsiTheme="minorEastAsia" w:eastAsiaTheme="minorEastAsia" w:cstheme="minorEastAsia"/>
          <w:b w:val="0"/>
          <w:bCs/>
          <w:snapToGrid w:val="0"/>
          <w:color w:val="auto"/>
          <w:kern w:val="2"/>
          <w:sz w:val="24"/>
          <w:szCs w:val="24"/>
          <w:highlight w:val="none"/>
          <w:lang w:val="en-US" w:eastAsia="zh-CN" w:bidi="ar-SA"/>
        </w:rPr>
        <w:br w:type="page"/>
      </w:r>
    </w:p>
    <w:p w14:paraId="7EE6225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第二章</w:t>
      </w:r>
      <w:r>
        <w:rPr>
          <w:rFonts w:hint="eastAsia" w:ascii="宋体" w:hAnsi="宋体" w:eastAsia="宋体" w:cs="宋体"/>
          <w:b/>
          <w:bCs w:val="0"/>
          <w:color w:val="auto"/>
          <w:sz w:val="32"/>
          <w:szCs w:val="32"/>
          <w:highlight w:val="none"/>
        </w:rPr>
        <w:t>投标人须知</w:t>
      </w:r>
    </w:p>
    <w:p w14:paraId="1F699FAC">
      <w:pPr>
        <w:keepNext w:val="0"/>
        <w:keepLines w:val="0"/>
        <w:pageBreakBefore w:val="0"/>
        <w:widowControl w:val="0"/>
        <w:kinsoku/>
        <w:wordWrap/>
        <w:overflowPunct/>
        <w:topLinePunct w:val="0"/>
        <w:autoSpaceDE w:val="0"/>
        <w:autoSpaceDN w:val="0"/>
        <w:bidi w:val="0"/>
        <w:spacing w:line="240" w:lineRule="auto"/>
        <w:jc w:val="both"/>
        <w:rPr>
          <w:rFonts w:hint="eastAsia"/>
          <w:color w:val="auto"/>
          <w:highlight w:val="none"/>
        </w:rPr>
      </w:pPr>
      <w:r>
        <w:rPr>
          <w:rFonts w:hint="eastAsia" w:ascii="宋体" w:hAnsi="宋体"/>
          <w:b/>
          <w:bCs w:val="0"/>
          <w:color w:val="auto"/>
          <w:sz w:val="24"/>
          <w:szCs w:val="24"/>
          <w:highlight w:val="none"/>
        </w:rPr>
        <w:t>投标人须知前附表</w:t>
      </w:r>
    </w:p>
    <w:tbl>
      <w:tblPr>
        <w:tblStyle w:val="16"/>
        <w:tblpPr w:leftFromText="180" w:rightFromText="180" w:vertAnchor="text" w:horzAnchor="page" w:tblpX="1575" w:tblpY="416"/>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781"/>
        <w:gridCol w:w="224"/>
        <w:gridCol w:w="6288"/>
      </w:tblGrid>
      <w:tr w14:paraId="41DE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1BE9010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val="0"/>
                <w:color w:val="auto"/>
                <w:kern w:val="2"/>
                <w:sz w:val="24"/>
                <w:szCs w:val="24"/>
                <w:highlight w:val="none"/>
              </w:rPr>
            </w:pPr>
            <w:r>
              <w:rPr>
                <w:rFonts w:hint="eastAsia" w:asciiTheme="minorEastAsia" w:hAnsiTheme="minorEastAsia" w:eastAsiaTheme="minorEastAsia" w:cstheme="minorEastAsia"/>
                <w:b/>
                <w:bCs/>
                <w:color w:val="auto"/>
                <w:kern w:val="2"/>
                <w:sz w:val="22"/>
                <w:szCs w:val="22"/>
                <w:highlight w:val="none"/>
              </w:rPr>
              <w:t>条款号</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3A6122F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rPr>
              <w:t>条款名称</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7B8B58E5">
            <w:pPr>
              <w:pStyle w:val="2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bCs/>
                <w:color w:val="auto"/>
                <w:kern w:val="2"/>
                <w:sz w:val="24"/>
                <w:szCs w:val="24"/>
                <w:highlight w:val="none"/>
                <w:lang w:val="zh-CN" w:eastAsia="zh-CN" w:bidi="ar-SA"/>
              </w:rPr>
            </w:pPr>
            <w:r>
              <w:rPr>
                <w:rFonts w:hint="eastAsia" w:asciiTheme="minorEastAsia" w:hAnsiTheme="minorEastAsia" w:eastAsiaTheme="minorEastAsia" w:cstheme="minorEastAsia"/>
                <w:b/>
                <w:bCs/>
                <w:color w:val="auto"/>
                <w:kern w:val="2"/>
                <w:sz w:val="24"/>
                <w:szCs w:val="24"/>
                <w:highlight w:val="none"/>
                <w:lang w:val="zh-CN" w:eastAsia="zh-CN" w:bidi="ar-SA"/>
              </w:rPr>
              <w:t>编列内容</w:t>
            </w:r>
          </w:p>
        </w:tc>
      </w:tr>
      <w:tr w14:paraId="21FE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4E527CB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1.1.2</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BBEE0E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招标人</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77B86B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val="0"/>
                <w:color w:val="auto"/>
                <w:kern w:val="2"/>
                <w:sz w:val="21"/>
                <w:szCs w:val="21"/>
                <w:highlight w:val="none"/>
                <w:lang w:val="zh-CN"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名称：临江市六道沟镇人民政府</w:t>
            </w:r>
          </w:p>
          <w:p w14:paraId="5F6B02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val="0"/>
                <w:color w:val="auto"/>
                <w:kern w:val="2"/>
                <w:sz w:val="21"/>
                <w:szCs w:val="21"/>
                <w:highlight w:val="none"/>
                <w:lang w:val="zh-CN"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地址：临江市六道沟镇</w:t>
            </w:r>
          </w:p>
          <w:p w14:paraId="4A0EBF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联系人：蒋雨廷</w:t>
            </w:r>
          </w:p>
          <w:p w14:paraId="72732A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联系电话：18843981185</w:t>
            </w:r>
          </w:p>
        </w:tc>
      </w:tr>
      <w:tr w14:paraId="57B1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156BF31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1.1.3</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36E850A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招标代理机构</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241CCA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val="0"/>
                <w:color w:val="auto"/>
                <w:kern w:val="2"/>
                <w:sz w:val="21"/>
                <w:szCs w:val="21"/>
                <w:highlight w:val="none"/>
                <w:lang w:val="zh-CN" w:eastAsia="zh-CN" w:bidi="ar-SA"/>
              </w:rPr>
            </w:pPr>
            <w:r>
              <w:rPr>
                <w:rFonts w:hint="eastAsia" w:asciiTheme="minorEastAsia" w:hAnsiTheme="minorEastAsia" w:eastAsiaTheme="minorEastAsia" w:cstheme="minorEastAsia"/>
                <w:b w:val="0"/>
                <w:color w:val="auto"/>
                <w:kern w:val="2"/>
                <w:sz w:val="21"/>
                <w:szCs w:val="21"/>
                <w:highlight w:val="none"/>
                <w:lang w:val="zh-CN" w:eastAsia="zh-CN" w:bidi="ar-SA"/>
              </w:rPr>
              <w:t>招标代理机构：吉林省明创工程管理有限公司</w:t>
            </w:r>
          </w:p>
          <w:p w14:paraId="285CDF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val="0"/>
                <w:color w:val="auto"/>
                <w:kern w:val="2"/>
                <w:sz w:val="21"/>
                <w:szCs w:val="21"/>
                <w:highlight w:val="none"/>
                <w:lang w:val="zh-CN" w:eastAsia="zh-CN" w:bidi="ar-SA"/>
              </w:rPr>
            </w:pPr>
            <w:r>
              <w:rPr>
                <w:rFonts w:hint="eastAsia" w:asciiTheme="minorEastAsia" w:hAnsiTheme="minorEastAsia" w:eastAsiaTheme="minorEastAsia" w:cstheme="minorEastAsia"/>
                <w:b w:val="0"/>
                <w:color w:val="auto"/>
                <w:kern w:val="2"/>
                <w:sz w:val="21"/>
                <w:szCs w:val="21"/>
                <w:highlight w:val="none"/>
                <w:lang w:val="zh-CN" w:eastAsia="zh-CN" w:bidi="ar-SA"/>
              </w:rPr>
              <w:t>地址：长春市南关区新星宇典约·商誉A4-1801室</w:t>
            </w:r>
          </w:p>
          <w:p w14:paraId="6498AD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zh-CN" w:eastAsia="zh-CN" w:bidi="ar-SA"/>
              </w:rPr>
              <w:t>联系人：</w:t>
            </w:r>
            <w:r>
              <w:rPr>
                <w:rFonts w:hint="eastAsia" w:asciiTheme="minorEastAsia" w:hAnsiTheme="minorEastAsia" w:eastAsiaTheme="minorEastAsia" w:cstheme="minorEastAsia"/>
                <w:b w:val="0"/>
                <w:color w:val="auto"/>
                <w:kern w:val="2"/>
                <w:sz w:val="21"/>
                <w:szCs w:val="21"/>
                <w:highlight w:val="none"/>
                <w:lang w:val="en-US" w:eastAsia="zh-CN" w:bidi="ar-SA"/>
              </w:rPr>
              <w:t>解佳雯</w:t>
            </w:r>
          </w:p>
          <w:p w14:paraId="31A780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zh-CN" w:eastAsia="zh-CN" w:bidi="ar-SA"/>
              </w:rPr>
              <w:t>联系电话：</w:t>
            </w:r>
            <w:r>
              <w:rPr>
                <w:rFonts w:hint="eastAsia" w:asciiTheme="minorEastAsia" w:hAnsiTheme="minorEastAsia" w:eastAsiaTheme="minorEastAsia" w:cstheme="minorEastAsia"/>
                <w:b w:val="0"/>
                <w:color w:val="auto"/>
                <w:kern w:val="2"/>
                <w:sz w:val="21"/>
                <w:szCs w:val="21"/>
                <w:highlight w:val="none"/>
                <w:lang w:val="en-US" w:eastAsia="zh-CN" w:bidi="ar-SA"/>
              </w:rPr>
              <w:t>18604395006</w:t>
            </w:r>
          </w:p>
        </w:tc>
      </w:tr>
      <w:tr w14:paraId="420C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6B9C349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1.1.4</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EA90A73">
            <w:pPr>
              <w:pStyle w:val="2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项目名称</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2DDCBD45">
            <w:pPr>
              <w:keepNext w:val="0"/>
              <w:keepLines w:val="0"/>
              <w:pageBreakBefore w:val="0"/>
              <w:widowControl w:val="0"/>
              <w:kinsoku/>
              <w:wordWrap/>
              <w:overflowPunct/>
              <w:topLinePunct w:val="0"/>
              <w:autoSpaceDE w:val="0"/>
              <w:autoSpaceDN w:val="0"/>
              <w:bidi w:val="0"/>
              <w:spacing w:line="240" w:lineRule="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临江市六道沟镇错草顶子村水毁道路改造工程</w:t>
            </w:r>
          </w:p>
        </w:tc>
      </w:tr>
      <w:tr w14:paraId="6AB3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5FE6BBB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1.1.5</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385046F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建设地点</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17487F58">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临江市六道沟镇错草顶子村</w:t>
            </w:r>
          </w:p>
        </w:tc>
      </w:tr>
      <w:tr w14:paraId="41AF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5BE5ADB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1.2.1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9C20967">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162D21CA">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cs="宋体"/>
                <w:spacing w:val="4"/>
                <w:sz w:val="21"/>
                <w:szCs w:val="21"/>
                <w:lang w:val="en-US" w:eastAsia="zh-CN"/>
              </w:rPr>
              <w:t>2025年中央水库移民扶持基金</w:t>
            </w:r>
          </w:p>
        </w:tc>
      </w:tr>
      <w:tr w14:paraId="2C0E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4DF6C09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lang w:eastAsia="zh-CN"/>
              </w:rPr>
            </w:pPr>
            <w:r>
              <w:rPr>
                <w:rFonts w:hint="eastAsia" w:asciiTheme="minorEastAsia" w:hAnsiTheme="minorEastAsia" w:eastAsiaTheme="minorEastAsia" w:cstheme="minorEastAsia"/>
                <w:b w:val="0"/>
                <w:color w:val="auto"/>
                <w:kern w:val="2"/>
                <w:sz w:val="21"/>
                <w:szCs w:val="21"/>
                <w:highlight w:val="none"/>
              </w:rPr>
              <w:t>1.2.</w:t>
            </w:r>
            <w:r>
              <w:rPr>
                <w:rFonts w:hint="eastAsia" w:asciiTheme="minorEastAsia" w:hAnsiTheme="minorEastAsia" w:eastAsiaTheme="minorEastAsia" w:cstheme="minorEastAsia"/>
                <w:b w:val="0"/>
                <w:color w:val="auto"/>
                <w:kern w:val="2"/>
                <w:sz w:val="21"/>
                <w:szCs w:val="21"/>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ACBE98D">
            <w:pPr>
              <w:pStyle w:val="22"/>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资金落实情况</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4C629426">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已落实</w:t>
            </w:r>
          </w:p>
        </w:tc>
      </w:tr>
      <w:tr w14:paraId="3C2B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1F05F6A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1.3.1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B6B682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采购需求</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12020544">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b w:val="0"/>
                <w:color w:val="auto"/>
                <w:kern w:val="2"/>
                <w:sz w:val="21"/>
                <w:szCs w:val="21"/>
                <w:highlight w:val="none"/>
                <w:lang w:val="zh-CN"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新建沥青路2.814千米，路面宽度为2.5-5.0米，混凝土挡墙142米，钢筋混凝土边沟43米，沥青硬化1774平方米。</w:t>
            </w:r>
          </w:p>
        </w:tc>
      </w:tr>
      <w:tr w14:paraId="5039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6CF1AD2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1.3.2</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4BD7A4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计划工期</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1B1D2680">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自合同签订之日起2个月</w:t>
            </w:r>
          </w:p>
        </w:tc>
      </w:tr>
      <w:tr w14:paraId="2802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75FE036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1.3.3</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B5FC030">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质量要求</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75D7E67A">
            <w:pPr>
              <w:pStyle w:val="12"/>
              <w:keepNext w:val="0"/>
              <w:keepLines w:val="0"/>
              <w:pageBreakBefore w:val="0"/>
              <w:widowControl w:val="0"/>
              <w:pBdr>
                <w:bottom w:val="none" w:color="auto" w:sz="0" w:space="0"/>
              </w:pBdr>
              <w:tabs>
                <w:tab w:val="left" w:pos="420"/>
              </w:tabs>
              <w:kinsoku/>
              <w:wordWrap/>
              <w:overflowPunct/>
              <w:topLinePunct w:val="0"/>
              <w:autoSpaceDE w:val="0"/>
              <w:autoSpaceDN w:val="0"/>
              <w:bidi w:val="0"/>
              <w:adjustRightInd w:val="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
                <w:sz w:val="21"/>
                <w:szCs w:val="21"/>
                <w:highlight w:val="none"/>
                <w:lang w:val="en-US" w:eastAsia="en-US" w:bidi="ar-SA"/>
              </w:rPr>
              <w:t>合格</w:t>
            </w:r>
          </w:p>
        </w:tc>
      </w:tr>
      <w:tr w14:paraId="410B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58D0954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1.4.1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6C66E04">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投标人资质条件、</w:t>
            </w:r>
            <w:r>
              <w:rPr>
                <w:rFonts w:hint="eastAsia" w:asciiTheme="minorEastAsia" w:hAnsiTheme="minorEastAsia" w:eastAsiaTheme="minorEastAsia" w:cstheme="minorEastAsia"/>
                <w:color w:val="auto"/>
                <w:sz w:val="21"/>
                <w:szCs w:val="21"/>
                <w:highlight w:val="none"/>
                <w:lang w:val="en-US" w:eastAsia="zh-CN"/>
              </w:rPr>
              <w:t>能力</w:t>
            </w:r>
            <w:r>
              <w:rPr>
                <w:rFonts w:hint="eastAsia" w:asciiTheme="minorEastAsia" w:hAnsiTheme="minorEastAsia" w:eastAsiaTheme="minorEastAsia" w:cstheme="minorEastAsia"/>
                <w:color w:val="auto"/>
                <w:sz w:val="21"/>
                <w:szCs w:val="21"/>
                <w:highlight w:val="none"/>
              </w:rPr>
              <w:t>和信誉</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10C82F0E">
            <w:pPr>
              <w:keepNext w:val="0"/>
              <w:keepLines w:val="0"/>
              <w:pageBreakBefore w:val="0"/>
              <w:widowControl w:val="0"/>
              <w:kinsoku/>
              <w:wordWrap/>
              <w:overflowPunct/>
              <w:topLinePunct w:val="0"/>
              <w:autoSpaceDE w:val="0"/>
              <w:autoSpaceDN w:val="0"/>
              <w:bidi w:val="0"/>
              <w:spacing w:line="360" w:lineRule="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1.参加投标企业必须为中小企业；</w:t>
            </w:r>
          </w:p>
          <w:p w14:paraId="55D3B941">
            <w:pPr>
              <w:keepNext w:val="0"/>
              <w:keepLines w:val="0"/>
              <w:pageBreakBefore w:val="0"/>
              <w:widowControl w:val="0"/>
              <w:kinsoku/>
              <w:wordWrap/>
              <w:overflowPunct/>
              <w:topLinePunct w:val="0"/>
              <w:autoSpaceDE w:val="0"/>
              <w:autoSpaceDN w:val="0"/>
              <w:bidi w:val="0"/>
              <w:spacing w:line="360" w:lineRule="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2.满足《中华人民共和国政府采购法》第二十二条规定；</w:t>
            </w:r>
          </w:p>
          <w:p w14:paraId="57C743FF">
            <w:pPr>
              <w:keepNext w:val="0"/>
              <w:keepLines w:val="0"/>
              <w:pageBreakBefore w:val="0"/>
              <w:widowControl w:val="0"/>
              <w:kinsoku/>
              <w:wordWrap/>
              <w:overflowPunct/>
              <w:topLinePunct w:val="0"/>
              <w:autoSpaceDE w:val="0"/>
              <w:autoSpaceDN w:val="0"/>
              <w:bidi w:val="0"/>
              <w:spacing w:line="360" w:lineRule="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（1）具有独立承担民事责任的能力；</w:t>
            </w:r>
          </w:p>
          <w:p w14:paraId="3FC8951C">
            <w:pPr>
              <w:keepNext w:val="0"/>
              <w:keepLines w:val="0"/>
              <w:pageBreakBefore w:val="0"/>
              <w:widowControl w:val="0"/>
              <w:kinsoku/>
              <w:wordWrap/>
              <w:overflowPunct/>
              <w:topLinePunct w:val="0"/>
              <w:autoSpaceDE w:val="0"/>
              <w:autoSpaceDN w:val="0"/>
              <w:bidi w:val="0"/>
              <w:spacing w:line="360" w:lineRule="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（2）具有良好的商业信誉和健全的财务会计制度；</w:t>
            </w:r>
          </w:p>
          <w:p w14:paraId="75E31F3C">
            <w:pPr>
              <w:keepNext w:val="0"/>
              <w:keepLines w:val="0"/>
              <w:pageBreakBefore w:val="0"/>
              <w:widowControl w:val="0"/>
              <w:kinsoku/>
              <w:wordWrap/>
              <w:overflowPunct/>
              <w:topLinePunct w:val="0"/>
              <w:autoSpaceDE w:val="0"/>
              <w:autoSpaceDN w:val="0"/>
              <w:bidi w:val="0"/>
              <w:spacing w:line="360" w:lineRule="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（3）具有履行合同所必需的设备和专业技术能力；</w:t>
            </w:r>
          </w:p>
          <w:p w14:paraId="343BE72C">
            <w:pPr>
              <w:keepNext w:val="0"/>
              <w:keepLines w:val="0"/>
              <w:pageBreakBefore w:val="0"/>
              <w:widowControl w:val="0"/>
              <w:kinsoku/>
              <w:wordWrap/>
              <w:overflowPunct/>
              <w:topLinePunct w:val="0"/>
              <w:autoSpaceDE w:val="0"/>
              <w:autoSpaceDN w:val="0"/>
              <w:bidi w:val="0"/>
              <w:spacing w:line="360" w:lineRule="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（4）有依法缴纳税收和社会保障资金的良好记录；</w:t>
            </w:r>
          </w:p>
          <w:p w14:paraId="54954A67">
            <w:pPr>
              <w:keepNext w:val="0"/>
              <w:keepLines w:val="0"/>
              <w:pageBreakBefore w:val="0"/>
              <w:widowControl w:val="0"/>
              <w:kinsoku/>
              <w:wordWrap/>
              <w:overflowPunct/>
              <w:topLinePunct w:val="0"/>
              <w:autoSpaceDE w:val="0"/>
              <w:autoSpaceDN w:val="0"/>
              <w:bidi w:val="0"/>
              <w:spacing w:line="360" w:lineRule="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（5）参加政府采购活动前三年内，在经营活动中没有重大违法记录（重大违法记录是指供应商因违法经营受到刑事处罚或者责令停产停业、吊销许可证或者执照、较大数额罚款等行政处罚）；</w:t>
            </w:r>
          </w:p>
          <w:p w14:paraId="06AA13FC">
            <w:pPr>
              <w:keepNext w:val="0"/>
              <w:keepLines w:val="0"/>
              <w:pageBreakBefore w:val="0"/>
              <w:widowControl w:val="0"/>
              <w:kinsoku/>
              <w:wordWrap/>
              <w:overflowPunct/>
              <w:topLinePunct w:val="0"/>
              <w:autoSpaceDE w:val="0"/>
              <w:autoSpaceDN w:val="0"/>
              <w:bidi w:val="0"/>
              <w:spacing w:line="360" w:lineRule="auto"/>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（6）法律、行政法规规定的其他条件。</w:t>
            </w:r>
          </w:p>
          <w:p w14:paraId="045858AE">
            <w:pPr>
              <w:keepNext w:val="0"/>
              <w:keepLines w:val="0"/>
              <w:pageBreakBefore w:val="0"/>
              <w:widowControl w:val="0"/>
              <w:kinsoku/>
              <w:wordWrap/>
              <w:overflowPunct/>
              <w:topLinePunct w:val="0"/>
              <w:autoSpaceDE w:val="0"/>
              <w:autoSpaceDN w:val="0"/>
              <w:bidi w:val="0"/>
              <w:spacing w:line="360" w:lineRule="auto"/>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3.落实政府采购政策需满足的资格要求：《关于进一步加大政府采购支持中小企业力度的通知》(财库〔2022〕19号）、《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7701156E">
            <w:pPr>
              <w:keepNext w:val="0"/>
              <w:keepLines w:val="0"/>
              <w:pageBreakBefore w:val="0"/>
              <w:widowControl w:val="0"/>
              <w:kinsoku/>
              <w:wordWrap/>
              <w:overflowPunct/>
              <w:topLinePunct w:val="0"/>
              <w:autoSpaceDE w:val="0"/>
              <w:autoSpaceDN w:val="0"/>
              <w:bidi w:val="0"/>
              <w:spacing w:line="360" w:lineRule="auto"/>
              <w:ind w:firstLine="420" w:firstLineChars="200"/>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注：中小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以上政策不重复享受。</w:t>
            </w:r>
          </w:p>
          <w:p w14:paraId="4F6B9A10">
            <w:pPr>
              <w:keepNext w:val="0"/>
              <w:keepLines w:val="0"/>
              <w:pageBreakBefore w:val="0"/>
              <w:widowControl w:val="0"/>
              <w:kinsoku/>
              <w:wordWrap/>
              <w:overflowPunct/>
              <w:topLinePunct w:val="0"/>
              <w:autoSpaceDE w:val="0"/>
              <w:autoSpaceDN w:val="0"/>
              <w:bidi w:val="0"/>
              <w:spacing w:line="360" w:lineRule="auto"/>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4.本项目的特定资格要求：</w:t>
            </w:r>
          </w:p>
          <w:p w14:paraId="50532542">
            <w:pPr>
              <w:keepNext w:val="0"/>
              <w:keepLines w:val="0"/>
              <w:pageBreakBefore w:val="0"/>
              <w:widowControl w:val="0"/>
              <w:kinsoku/>
              <w:wordWrap/>
              <w:overflowPunct/>
              <w:topLinePunct w:val="0"/>
              <w:autoSpaceDE w:val="0"/>
              <w:autoSpaceDN w:val="0"/>
              <w:bidi w:val="0"/>
              <w:spacing w:line="360" w:lineRule="auto"/>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（1）供应商须是中华人民共和国境内合法注册的独立法人，具备建设行政主管部门核发的公路工程施工总承包贰级及以上资质且具备有效的安全生产许可证；并在人员、设备、资金等方面具有相应的能力；</w:t>
            </w:r>
          </w:p>
          <w:p w14:paraId="5D7729B4">
            <w:pPr>
              <w:keepNext w:val="0"/>
              <w:keepLines w:val="0"/>
              <w:pageBreakBefore w:val="0"/>
              <w:widowControl w:val="0"/>
              <w:kinsoku/>
              <w:wordWrap/>
              <w:overflowPunct/>
              <w:topLinePunct w:val="0"/>
              <w:autoSpaceDE w:val="0"/>
              <w:autoSpaceDN w:val="0"/>
              <w:bidi w:val="0"/>
              <w:spacing w:line="360" w:lineRule="auto"/>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（2）供应商拟派出的项目经理须具备公路工程专业贰级及以上注册建造师资格，具备有效的安全生产考核合格证书（B类），且无在建工程，整个采购过程不得随意更换项目经理；</w:t>
            </w:r>
          </w:p>
          <w:p w14:paraId="06CACB8C">
            <w:pPr>
              <w:keepNext w:val="0"/>
              <w:keepLines w:val="0"/>
              <w:pageBreakBefore w:val="0"/>
              <w:widowControl w:val="0"/>
              <w:kinsoku/>
              <w:wordWrap/>
              <w:overflowPunct/>
              <w:topLinePunct w:val="0"/>
              <w:autoSpaceDE w:val="0"/>
              <w:autoSpaceDN w:val="0"/>
              <w:bidi w:val="0"/>
              <w:spacing w:line="360" w:lineRule="auto"/>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3）财务要求：近三年（2022年-2024年）经会计师事务所或审计机构审计的财务审计报告，财务状况良好。（当供应商成立日期在2022年-2024年之间的，提供从成立日期起至2024年之间的经会计师事务所或审计机构审计的财务审计报告，2025年以后新成立的公司无财务审计报告的，需提供一份基本开户银行出具的资信证明；各供应商另须提供2025年01月01日至响应文件报名截止时间的财务状况良好承诺书）。</w:t>
            </w:r>
          </w:p>
          <w:p w14:paraId="5B858F48">
            <w:pPr>
              <w:keepNext w:val="0"/>
              <w:keepLines w:val="0"/>
              <w:pageBreakBefore w:val="0"/>
              <w:widowControl w:val="0"/>
              <w:kinsoku/>
              <w:wordWrap/>
              <w:overflowPunct/>
              <w:topLinePunct w:val="0"/>
              <w:autoSpaceDE w:val="0"/>
              <w:autoSpaceDN w:val="0"/>
              <w:bidi w:val="0"/>
              <w:spacing w:line="360" w:lineRule="auto"/>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（4）近三年内无行贿犯罪档案记录证明，提供供应商在中国裁判文书网上查询的无犯罪记录查询结果网页截图（包含磋商企业、企业的法定代表人、</w:t>
            </w:r>
            <w:r>
              <w:rPr>
                <w:rFonts w:hint="eastAsia" w:asciiTheme="minorEastAsia" w:hAnsiTheme="minorEastAsia" w:eastAsiaTheme="minorEastAsia" w:cstheme="minorEastAsia"/>
                <w:b w:val="0"/>
                <w:snapToGrid w:val="0"/>
                <w:color w:val="auto"/>
                <w:kern w:val="2"/>
                <w:sz w:val="21"/>
                <w:szCs w:val="21"/>
                <w:highlight w:val="none"/>
                <w:lang w:val="zh-CN" w:eastAsia="zh-CN" w:bidi="ar-SA"/>
              </w:rPr>
              <w:t>拟委任的项目经理</w:t>
            </w:r>
            <w:r>
              <w:rPr>
                <w:rFonts w:hint="eastAsia" w:asciiTheme="minorEastAsia" w:hAnsiTheme="minorEastAsia" w:eastAsiaTheme="minorEastAsia" w:cstheme="minorEastAsia"/>
                <w:b w:val="0"/>
                <w:snapToGrid w:val="0"/>
                <w:color w:val="auto"/>
                <w:kern w:val="2"/>
                <w:sz w:val="21"/>
                <w:szCs w:val="21"/>
                <w:highlight w:val="none"/>
                <w:lang w:val="en-US" w:eastAsia="zh-CN" w:bidi="ar-SA"/>
              </w:rPr>
              <w:t>，同时查询时用空格分开再点搜索键）。</w:t>
            </w:r>
          </w:p>
          <w:p w14:paraId="7881B60B">
            <w:pPr>
              <w:keepNext w:val="0"/>
              <w:keepLines w:val="0"/>
              <w:pageBreakBefore w:val="0"/>
              <w:widowControl w:val="0"/>
              <w:kinsoku/>
              <w:wordWrap/>
              <w:overflowPunct/>
              <w:topLinePunct w:val="0"/>
              <w:autoSpaceDE w:val="0"/>
              <w:autoSpaceDN w:val="0"/>
              <w:bidi w:val="0"/>
              <w:spacing w:line="360" w:lineRule="auto"/>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（5）外阜磋商企业需按照吉建管〔2015〕50号、吉建管〔2018〕12号、吉建管〔2019〕11号、吉建管〔2019〕28号、吉建管〔2019〕82号文件办理相关信息登记后方可参加磋商。</w:t>
            </w:r>
          </w:p>
          <w:p w14:paraId="2B8B5AFC">
            <w:pPr>
              <w:keepNext w:val="0"/>
              <w:keepLines w:val="0"/>
              <w:pageBreakBefore w:val="0"/>
              <w:widowControl w:val="0"/>
              <w:kinsoku/>
              <w:wordWrap/>
              <w:overflowPunct/>
              <w:topLinePunct w:val="0"/>
              <w:autoSpaceDE w:val="0"/>
              <w:autoSpaceDN w:val="0"/>
              <w:bidi w:val="0"/>
              <w:spacing w:line="360" w:lineRule="auto"/>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6）与采购人存在利益关系可能影响磋商公正性的法人、其他组织或者个人，不得参加磋商。单位负责人为同一人或者存在控股、管理关系的不同单位，不得参加同一标段磋商或者未划分标段的同一采购项目磋商。</w:t>
            </w:r>
          </w:p>
          <w:p w14:paraId="5FE6ECAC">
            <w:pPr>
              <w:keepNext w:val="0"/>
              <w:keepLines w:val="0"/>
              <w:pageBreakBefore w:val="0"/>
              <w:widowControl w:val="0"/>
              <w:kinsoku/>
              <w:wordWrap/>
              <w:overflowPunct/>
              <w:topLinePunct w:val="0"/>
              <w:autoSpaceDE w:val="0"/>
              <w:autoSpaceDN w:val="0"/>
              <w:bidi w:val="0"/>
              <w:spacing w:line="360" w:lineRule="auto"/>
              <w:outlineLvl w:val="1"/>
              <w:rPr>
                <w:rFonts w:hint="eastAsia" w:asciiTheme="minorEastAsia" w:hAnsiTheme="minorEastAsia" w:eastAsiaTheme="minorEastAsia" w:cstheme="minorEastAsia"/>
                <w:b w:val="0"/>
                <w:snapToGrid w:val="0"/>
                <w:color w:val="auto"/>
                <w:kern w:val="2"/>
                <w:sz w:val="21"/>
                <w:szCs w:val="21"/>
                <w:highlight w:val="none"/>
                <w:lang w:val="en-US" w:eastAsia="zh-CN" w:bidi="ar-SA"/>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（7）本项目磋商截止期前被“信用中国”</w:t>
            </w:r>
            <w:r>
              <w:rPr>
                <w:rFonts w:hint="eastAsia" w:asciiTheme="minorEastAsia" w:hAnsiTheme="minorEastAsia" w:eastAsiaTheme="minorEastAsia" w:cstheme="minorEastAsia"/>
                <w:b w:val="0"/>
                <w:snapToGrid w:val="0"/>
                <w:color w:val="auto"/>
                <w:kern w:val="2"/>
                <w:sz w:val="21"/>
                <w:szCs w:val="21"/>
                <w:highlight w:val="none"/>
                <w:lang w:val="en-US" w:eastAsia="zh-CN" w:bidi="ar-SA"/>
              </w:rPr>
              <w:fldChar w:fldCharType="begin"/>
            </w:r>
            <w:r>
              <w:rPr>
                <w:rFonts w:hint="eastAsia" w:asciiTheme="minorEastAsia" w:hAnsiTheme="minorEastAsia" w:eastAsiaTheme="minorEastAsia" w:cstheme="minorEastAsia"/>
                <w:b w:val="0"/>
                <w:snapToGrid w:val="0"/>
                <w:color w:val="auto"/>
                <w:kern w:val="2"/>
                <w:sz w:val="21"/>
                <w:szCs w:val="21"/>
                <w:highlight w:val="none"/>
                <w:lang w:val="en-US" w:eastAsia="zh-CN" w:bidi="ar-SA"/>
              </w:rPr>
              <w:instrText xml:space="preserve">HYPERLINK"http://www.creditchina.gov.cn）中列入失信被执行人和/"</w:instrText>
            </w:r>
            <w:r>
              <w:rPr>
                <w:rFonts w:hint="eastAsia" w:asciiTheme="minorEastAsia" w:hAnsiTheme="minorEastAsia" w:eastAsiaTheme="minorEastAsia" w:cstheme="minorEastAsia"/>
                <w:b w:val="0"/>
                <w:snapToGrid w:val="0"/>
                <w:color w:val="auto"/>
                <w:kern w:val="2"/>
                <w:sz w:val="21"/>
                <w:szCs w:val="21"/>
                <w:highlight w:val="none"/>
                <w:lang w:val="en-US" w:eastAsia="zh-CN" w:bidi="ar-SA"/>
              </w:rPr>
              <w:fldChar w:fldCharType="separate"/>
            </w:r>
            <w:r>
              <w:rPr>
                <w:rFonts w:hint="eastAsia" w:asciiTheme="minorEastAsia" w:hAnsiTheme="minorEastAsia" w:eastAsiaTheme="minorEastAsia" w:cstheme="minorEastAsia"/>
                <w:b w:val="0"/>
                <w:snapToGrid w:val="0"/>
                <w:color w:val="auto"/>
                <w:kern w:val="2"/>
                <w:sz w:val="21"/>
                <w:szCs w:val="21"/>
                <w:highlight w:val="none"/>
                <w:lang w:val="en-US" w:eastAsia="zh-CN" w:bidi="ar-SA"/>
              </w:rPr>
              <w:t>网站中列入失信被执行人</w:t>
            </w:r>
            <w:r>
              <w:rPr>
                <w:rFonts w:hint="eastAsia" w:asciiTheme="minorEastAsia" w:hAnsiTheme="minorEastAsia" w:eastAsiaTheme="minorEastAsia" w:cstheme="minorEastAsia"/>
                <w:b w:val="0"/>
                <w:snapToGrid w:val="0"/>
                <w:color w:val="auto"/>
                <w:kern w:val="2"/>
                <w:sz w:val="21"/>
                <w:szCs w:val="21"/>
                <w:highlight w:val="none"/>
                <w:lang w:val="en-US" w:eastAsia="zh-CN" w:bidi="ar-SA"/>
              </w:rPr>
              <w:fldChar w:fldCharType="end"/>
            </w:r>
            <w:r>
              <w:rPr>
                <w:rFonts w:hint="eastAsia" w:asciiTheme="minorEastAsia" w:hAnsiTheme="minorEastAsia" w:eastAsiaTheme="minorEastAsia" w:cstheme="minorEastAsia"/>
                <w:b w:val="0"/>
                <w:snapToGrid w:val="0"/>
                <w:color w:val="auto"/>
                <w:kern w:val="2"/>
                <w:sz w:val="21"/>
                <w:szCs w:val="21"/>
                <w:highlight w:val="none"/>
                <w:lang w:val="en-US" w:eastAsia="zh-CN" w:bidi="ar-SA"/>
              </w:rPr>
              <w:t>、重大税收违法失信主体名单和政府采购不良行为记录名单的供应商、被中国政府采购网列入政府采购严重违法失信行为记录名单中被财政部门禁止参加政府采购活动的供应商（处罚决定规定时间（指：2022年1月1日至今）和地域范围内），无资格参加本项目的采购活动。</w:t>
            </w:r>
          </w:p>
          <w:p w14:paraId="3EFF6C9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1"/>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snapToGrid w:val="0"/>
                <w:color w:val="auto"/>
                <w:kern w:val="2"/>
                <w:sz w:val="21"/>
                <w:szCs w:val="21"/>
                <w:highlight w:val="none"/>
                <w:lang w:val="en-US" w:eastAsia="zh-CN" w:bidi="ar-SA"/>
              </w:rPr>
              <w:t>（8）拒绝列入政府取消投标资格期间的企业或个人磋商。</w:t>
            </w:r>
          </w:p>
        </w:tc>
      </w:tr>
      <w:tr w14:paraId="6D6A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076B488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1.4.2</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06E2D8A4">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是否接受联合体投标</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4D2C9687">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不接受</w:t>
            </w:r>
          </w:p>
        </w:tc>
      </w:tr>
      <w:tr w14:paraId="2D2F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65DB2A7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1.9.1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791C9DC8">
            <w:pPr>
              <w:pStyle w:val="2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4196D0B5">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不组织</w:t>
            </w:r>
          </w:p>
        </w:tc>
      </w:tr>
      <w:tr w14:paraId="7381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43811A8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default" w:asciiTheme="minorEastAsia" w:hAnsiTheme="minorEastAsia" w:eastAsiaTheme="minorEastAsia" w:cstheme="minorEastAsia"/>
                <w:b w:val="0"/>
                <w:color w:val="auto"/>
                <w:kern w:val="2"/>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rPr>
              <w:t>1.10</w:t>
            </w:r>
            <w:r>
              <w:rPr>
                <w:rFonts w:hint="eastAsia" w:asciiTheme="minorEastAsia" w:hAnsiTheme="minorEastAsia" w:eastAsiaTheme="minorEastAsia" w:cstheme="minorEastAsia"/>
                <w:b w:val="0"/>
                <w:color w:val="auto"/>
                <w:kern w:val="2"/>
                <w:sz w:val="21"/>
                <w:szCs w:val="21"/>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0A253901">
            <w:pPr>
              <w:pStyle w:val="22"/>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预备会</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196A8866">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不召开</w:t>
            </w:r>
          </w:p>
        </w:tc>
      </w:tr>
      <w:tr w14:paraId="4E13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0E5B96C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default" w:asciiTheme="minorEastAsia" w:hAnsiTheme="minorEastAsia" w:eastAsiaTheme="minorEastAsia" w:cstheme="minorEastAsia"/>
                <w:b w:val="0"/>
                <w:color w:val="auto"/>
                <w:kern w:val="2"/>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lang w:val="en-US" w:eastAsia="zh-CN"/>
              </w:rPr>
              <w:t>1.10.2</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CEAB5D1">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供应商提出问题的截止时间</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7653BE89">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递交磋商响应文件截止时间的三个工作日前</w:t>
            </w:r>
          </w:p>
        </w:tc>
      </w:tr>
      <w:tr w14:paraId="2F8B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4A694A2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val="0"/>
                <w:color w:val="auto"/>
                <w:kern w:val="2"/>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lang w:val="en-US" w:eastAsia="zh-CN"/>
              </w:rPr>
              <w:t>1.10.3</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998B8C3">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招标人书面澄清时间</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62992E43">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递交磋商响应文件截止时间的三个工作日前</w:t>
            </w:r>
          </w:p>
        </w:tc>
      </w:tr>
      <w:tr w14:paraId="4E6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5223CFF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1.1</w:t>
            </w:r>
            <w:r>
              <w:rPr>
                <w:rFonts w:hint="eastAsia" w:asciiTheme="minorEastAsia" w:hAnsiTheme="minorEastAsia" w:eastAsiaTheme="minorEastAsia" w:cstheme="minorEastAsia"/>
                <w:b w:val="0"/>
                <w:color w:val="auto"/>
                <w:kern w:val="2"/>
                <w:sz w:val="21"/>
                <w:szCs w:val="21"/>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611C13F2">
            <w:pPr>
              <w:pStyle w:val="22"/>
              <w:keepNext w:val="0"/>
              <w:keepLines w:val="0"/>
              <w:pageBreakBefore w:val="0"/>
              <w:widowControl w:val="0"/>
              <w:tabs>
                <w:tab w:val="left" w:pos="472"/>
              </w:tabs>
              <w:kinsoku/>
              <w:wordWrap/>
              <w:overflowPunct/>
              <w:topLinePunct w:val="0"/>
              <w:autoSpaceDE w:val="0"/>
              <w:autoSpaceDN w:val="0"/>
              <w:bidi w:val="0"/>
              <w:adjustRightInd/>
              <w:snapToGrid/>
              <w:spacing w:line="400" w:lineRule="exact"/>
              <w:ind w:firstLine="630" w:firstLineChars="3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分包</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135987A3">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tc>
      </w:tr>
      <w:tr w14:paraId="66DA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384B5AF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rPr>
              <w:t>1.1</w:t>
            </w:r>
            <w:r>
              <w:rPr>
                <w:rFonts w:hint="eastAsia" w:asciiTheme="minorEastAsia" w:hAnsiTheme="minorEastAsia" w:eastAsiaTheme="minorEastAsia" w:cstheme="minorEastAsia"/>
                <w:b w:val="0"/>
                <w:color w:val="auto"/>
                <w:kern w:val="2"/>
                <w:sz w:val="21"/>
                <w:szCs w:val="21"/>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A8FD6B4">
            <w:pPr>
              <w:pStyle w:val="22"/>
              <w:keepNext w:val="0"/>
              <w:keepLines w:val="0"/>
              <w:pageBreakBefore w:val="0"/>
              <w:widowControl w:val="0"/>
              <w:kinsoku/>
              <w:wordWrap/>
              <w:overflowPunct/>
              <w:topLinePunct w:val="0"/>
              <w:autoSpaceDE w:val="0"/>
              <w:autoSpaceDN w:val="0"/>
              <w:bidi w:val="0"/>
              <w:adjustRightInd/>
              <w:snapToGrid/>
              <w:spacing w:line="400" w:lineRule="exact"/>
              <w:ind w:firstLine="630" w:firstLineChars="3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69CCBD48">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不允许</w:t>
            </w:r>
          </w:p>
        </w:tc>
      </w:tr>
      <w:tr w14:paraId="02EE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7207152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2.1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D707615">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构成招标文件的其他材料</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3A0593CA">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工程量清单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图纸、</w:t>
            </w:r>
            <w:r>
              <w:rPr>
                <w:rFonts w:hint="eastAsia" w:asciiTheme="minorEastAsia" w:hAnsiTheme="minorEastAsia" w:eastAsiaTheme="minorEastAsia" w:cstheme="minorEastAsia"/>
                <w:color w:val="auto"/>
                <w:sz w:val="21"/>
                <w:szCs w:val="21"/>
                <w:highlight w:val="none"/>
              </w:rPr>
              <w:t>招标文件的答疑、补遗文件等（如有）。</w:t>
            </w:r>
          </w:p>
        </w:tc>
      </w:tr>
      <w:tr w14:paraId="097D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6D65D2B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2.2.2</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8092B71">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文件递交截止时间</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61939D28">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2025年</w:t>
            </w:r>
            <w:r>
              <w:rPr>
                <w:rFonts w:hint="eastAsia" w:asciiTheme="minorEastAsia" w:hAnsiTheme="minorEastAsia" w:eastAsiaTheme="minorEastAsia" w:cstheme="minorEastAsia"/>
                <w:color w:val="0000FF"/>
                <w:sz w:val="21"/>
                <w:szCs w:val="21"/>
                <w:highlight w:val="none"/>
                <w:u w:val="single"/>
                <w:lang w:val="en-US" w:eastAsia="zh-CN"/>
              </w:rPr>
              <w:t>7月9日13:30分</w:t>
            </w:r>
          </w:p>
        </w:tc>
      </w:tr>
      <w:tr w14:paraId="5CB0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68E53C4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2.2.</w:t>
            </w:r>
            <w:r>
              <w:rPr>
                <w:rFonts w:hint="eastAsia" w:asciiTheme="minorEastAsia" w:hAnsiTheme="minorEastAsia" w:eastAsiaTheme="minorEastAsia" w:cstheme="minorEastAsia"/>
                <w:b w:val="0"/>
                <w:color w:val="auto"/>
                <w:kern w:val="2"/>
                <w:sz w:val="21"/>
                <w:szCs w:val="21"/>
                <w:highlight w:val="none"/>
                <w:lang w:val="en-US" w:eastAsia="zh-CN"/>
              </w:rPr>
              <w:t>3</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1B8572C">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投标人要求澄清招标文件的截止时间</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063EFF45">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递交磋商响应文件截止时间的三个工作日前</w:t>
            </w:r>
          </w:p>
        </w:tc>
      </w:tr>
      <w:tr w14:paraId="6500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3F77FEE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lang w:eastAsia="zh-CN"/>
              </w:rPr>
            </w:pPr>
            <w:r>
              <w:rPr>
                <w:rFonts w:hint="eastAsia" w:asciiTheme="minorEastAsia" w:hAnsiTheme="minorEastAsia" w:eastAsiaTheme="minorEastAsia" w:cstheme="minorEastAsia"/>
                <w:b w:val="0"/>
                <w:color w:val="auto"/>
                <w:kern w:val="2"/>
                <w:sz w:val="21"/>
                <w:szCs w:val="21"/>
                <w:highlight w:val="none"/>
              </w:rPr>
              <w:t>2.2.</w:t>
            </w:r>
            <w:r>
              <w:rPr>
                <w:rFonts w:hint="eastAsia" w:asciiTheme="minorEastAsia" w:hAnsiTheme="minorEastAsia" w:eastAsiaTheme="minorEastAsia" w:cstheme="minorEastAsia"/>
                <w:b w:val="0"/>
                <w:color w:val="auto"/>
                <w:kern w:val="2"/>
                <w:sz w:val="21"/>
                <w:szCs w:val="21"/>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66B9DBE7">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投标人确认收到招标文件澄清的时间</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34BBC5C4">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收到澄清文件后24小时以内以书面形式确认</w:t>
            </w:r>
          </w:p>
        </w:tc>
      </w:tr>
      <w:tr w14:paraId="445E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1A4725F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2.3.2</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75F196D0">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投标人确认收到招标文件修改的时间</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30C100B9">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收到修改文件后24小时以内以书面形式确认</w:t>
            </w:r>
          </w:p>
        </w:tc>
      </w:tr>
      <w:tr w14:paraId="0246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0AE7C59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3.3.1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0BC8BDBE">
            <w:pPr>
              <w:pStyle w:val="22"/>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234F8674">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投标截止之日</w:t>
            </w:r>
            <w:r>
              <w:rPr>
                <w:rFonts w:hint="eastAsia" w:asciiTheme="minorEastAsia" w:hAnsiTheme="minorEastAsia" w:eastAsiaTheme="minorEastAsia" w:cstheme="minorEastAsia"/>
                <w:color w:val="auto"/>
                <w:sz w:val="21"/>
                <w:szCs w:val="21"/>
                <w:highlight w:val="none"/>
                <w:lang w:eastAsia="zh-CN"/>
              </w:rPr>
              <w:t>起</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0天（日历天）</w:t>
            </w:r>
          </w:p>
        </w:tc>
      </w:tr>
      <w:tr w14:paraId="43AC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26559E6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3.4.1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DD94854">
            <w:pPr>
              <w:pStyle w:val="22"/>
              <w:keepNext w:val="0"/>
              <w:keepLines w:val="0"/>
              <w:pageBreakBefore w:val="0"/>
              <w:widowControl w:val="0"/>
              <w:kinsoku/>
              <w:wordWrap/>
              <w:overflowPunct/>
              <w:topLinePunct w:val="0"/>
              <w:autoSpaceDE w:val="0"/>
              <w:autoSpaceDN w:val="0"/>
              <w:bidi w:val="0"/>
              <w:adjustRightInd/>
              <w:snapToGrid/>
              <w:spacing w:line="400" w:lineRule="exact"/>
              <w:ind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磋商保证金</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36CD38D2">
            <w:pPr>
              <w:pStyle w:val="9"/>
              <w:keepNext w:val="0"/>
              <w:keepLines w:val="0"/>
              <w:pageBreakBefore w:val="0"/>
              <w:widowControl w:val="0"/>
              <w:kinsoku/>
              <w:wordWrap/>
              <w:overflowPunct/>
              <w:topLinePunct w:val="0"/>
              <w:autoSpaceDE w:val="0"/>
              <w:autoSpaceDN w:val="0"/>
              <w:bidi w:val="0"/>
              <w:spacing w:line="360" w:lineRule="auto"/>
              <w:ind w:left="0" w:leftChars="0" w:firstLine="0" w:firstLineChars="0"/>
              <w:jc w:val="both"/>
              <w:rPr>
                <w:rFonts w:hint="default" w:asciiTheme="minorEastAsia" w:hAnsiTheme="minorEastAsia" w:eastAsiaTheme="minorEastAsia" w:cstheme="minorEastAsia"/>
                <w:b/>
                <w:color w:val="auto"/>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bidi="ar-SA"/>
              </w:rPr>
              <w:t>本项目不要求供应商递交磋商保证金</w:t>
            </w:r>
          </w:p>
        </w:tc>
      </w:tr>
      <w:tr w14:paraId="5441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52D8D98C">
            <w:pPr>
              <w:pStyle w:val="2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bCs/>
                <w:color w:val="auto"/>
                <w:kern w:val="0"/>
                <w:sz w:val="21"/>
                <w:szCs w:val="21"/>
                <w:highlight w:val="none"/>
                <w:lang w:val="en-US" w:eastAsia="zh-CN" w:bidi="ar-SA"/>
              </w:rPr>
              <w:t>3.5.4</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2087216">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近年财务状况的年份要求</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572D9F28">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近三年（2022年-2024年）经会计师事务所或审计机构审计的财务审计报告，财务状况良好。（当供应商成立日期在2022年-2024年之间的提供从成立日期起至2024年之间的经会计师事务所或审计机构审计的财务审计报告，2025年以后新成立的公司无财务审计报告的，需提供一份基本开户银行出具的资信证明；各供应商另须提供2025年01月01日至响应文件递交截止时间的财务状况良好承诺书）</w:t>
            </w:r>
          </w:p>
        </w:tc>
      </w:tr>
      <w:tr w14:paraId="0C46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6075014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val="0"/>
                <w:color w:val="auto"/>
                <w:kern w:val="2"/>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rPr>
              <w:t>3.</w:t>
            </w:r>
            <w:r>
              <w:rPr>
                <w:rFonts w:hint="eastAsia" w:asciiTheme="minorEastAsia" w:hAnsiTheme="minorEastAsia" w:eastAsiaTheme="minorEastAsia" w:cstheme="minorEastAsia"/>
                <w:b w:val="0"/>
                <w:color w:val="auto"/>
                <w:kern w:val="2"/>
                <w:sz w:val="21"/>
                <w:szCs w:val="21"/>
                <w:highlight w:val="none"/>
                <w:lang w:val="en-US" w:eastAsia="zh-CN"/>
              </w:rPr>
              <w:t>.5.5</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3CD4BFB">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近年发生的诉讼及仲裁情况的年份要求</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22746482">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eastAsia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近三年（202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月1日至今），新成立公司按近期提供</w:t>
            </w:r>
          </w:p>
        </w:tc>
      </w:tr>
      <w:tr w14:paraId="2563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2526B0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rPr>
              <w:t>3.</w:t>
            </w:r>
            <w:r>
              <w:rPr>
                <w:rFonts w:hint="eastAsia" w:asciiTheme="minorEastAsia" w:hAnsiTheme="minorEastAsia" w:eastAsiaTheme="minorEastAsia" w:cstheme="minorEastAsia"/>
                <w:b w:val="0"/>
                <w:color w:val="auto"/>
                <w:kern w:val="2"/>
                <w:sz w:val="21"/>
                <w:szCs w:val="21"/>
                <w:highlight w:val="none"/>
                <w:lang w:val="en-US" w:eastAsia="zh-CN"/>
              </w:rPr>
              <w:t>6</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2971F9B">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是否允许递交备选投标方案</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55F7F6DA">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sz w:val="21"/>
                <w:szCs w:val="21"/>
                <w:highlight w:val="none"/>
              </w:rPr>
              <w:t>不允许</w:t>
            </w:r>
          </w:p>
        </w:tc>
      </w:tr>
      <w:tr w14:paraId="6AB1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0364236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rPr>
              <w:t>3.7.</w:t>
            </w:r>
            <w:r>
              <w:rPr>
                <w:rFonts w:hint="eastAsia" w:asciiTheme="minorEastAsia" w:hAnsiTheme="minorEastAsia" w:eastAsiaTheme="minorEastAsia" w:cstheme="minorEastAsia"/>
                <w:b w:val="0"/>
                <w:color w:val="auto"/>
                <w:kern w:val="2"/>
                <w:sz w:val="21"/>
                <w:szCs w:val="21"/>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31D5347C">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sz w:val="21"/>
                <w:szCs w:val="21"/>
                <w:highlight w:val="none"/>
              </w:rPr>
              <w:t>签字或盖章要求</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3962131D">
            <w:pPr>
              <w:pStyle w:val="23"/>
              <w:spacing w:before="107" w:line="280" w:lineRule="auto"/>
              <w:ind w:left="66" w:right="170" w:firstLine="15"/>
              <w:rPr>
                <w:rFonts w:hint="eastAsia" w:asciiTheme="minorEastAsia" w:hAnsiTheme="minorEastAsia" w:eastAsiaTheme="minorEastAsia" w:cstheme="minorEastAsia"/>
                <w:b w:val="0"/>
                <w:snapToGrid w:val="0"/>
                <w:color w:val="auto"/>
                <w:kern w:val="2"/>
                <w:sz w:val="21"/>
                <w:szCs w:val="21"/>
                <w:highlight w:val="none"/>
                <w:lang w:val="en-US" w:eastAsia="en-US" w:bidi="ar-SA"/>
              </w:rPr>
            </w:pPr>
            <w:r>
              <w:rPr>
                <w:rFonts w:hint="eastAsia" w:asciiTheme="minorEastAsia" w:hAnsiTheme="minorEastAsia" w:eastAsiaTheme="minorEastAsia" w:cstheme="minorEastAsia"/>
                <w:b w:val="0"/>
                <w:snapToGrid w:val="0"/>
                <w:color w:val="auto"/>
                <w:kern w:val="2"/>
                <w:sz w:val="21"/>
                <w:szCs w:val="21"/>
                <w:highlight w:val="none"/>
                <w:lang w:val="en-US" w:eastAsia="en-US" w:bidi="ar-SA"/>
              </w:rPr>
              <w:t>1、CA</w:t>
            </w:r>
            <w:r>
              <w:rPr>
                <w:rFonts w:hint="eastAsia" w:asciiTheme="minorEastAsia" w:hAnsiTheme="minorEastAsia" w:eastAsiaTheme="minorEastAsia" w:cstheme="minorEastAsia"/>
                <w:b w:val="0"/>
                <w:snapToGrid w:val="0"/>
                <w:color w:val="auto"/>
                <w:kern w:val="2"/>
                <w:sz w:val="21"/>
                <w:szCs w:val="21"/>
                <w:highlight w:val="none"/>
                <w:lang w:val="en-US" w:eastAsia="zh-CN" w:bidi="ar-SA"/>
              </w:rPr>
              <w:t xml:space="preserve"> </w:t>
            </w:r>
            <w:r>
              <w:rPr>
                <w:rFonts w:hint="eastAsia" w:asciiTheme="minorEastAsia" w:hAnsiTheme="minorEastAsia" w:eastAsiaTheme="minorEastAsia" w:cstheme="minorEastAsia"/>
                <w:b w:val="0"/>
                <w:snapToGrid w:val="0"/>
                <w:color w:val="auto"/>
                <w:kern w:val="2"/>
                <w:sz w:val="21"/>
                <w:szCs w:val="21"/>
                <w:highlight w:val="none"/>
                <w:lang w:val="en-US" w:eastAsia="en-US" w:bidi="ar-SA"/>
              </w:rPr>
              <w:t>电子版：投标文件封面、投标函均应由法定代表人或其委托代理人签字，并加盖投标人公章。其余符合招标文件规定。</w:t>
            </w:r>
          </w:p>
          <w:p w14:paraId="19AB5C98">
            <w:pPr>
              <w:pStyle w:val="23"/>
              <w:spacing w:before="107" w:line="280" w:lineRule="auto"/>
              <w:ind w:left="66" w:right="170" w:firstLine="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snapToGrid w:val="0"/>
                <w:color w:val="auto"/>
                <w:kern w:val="2"/>
                <w:sz w:val="21"/>
                <w:szCs w:val="21"/>
                <w:highlight w:val="none"/>
                <w:lang w:val="en-US" w:eastAsia="en-US" w:bidi="ar-SA"/>
              </w:rPr>
              <w:t>2、本项目为全流程电子标，投标文件中电子印章与鲜章具有同等效力。</w:t>
            </w:r>
          </w:p>
        </w:tc>
      </w:tr>
      <w:tr w14:paraId="6866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2" w:type="dxa"/>
            <w:tcBorders>
              <w:top w:val="single" w:color="auto" w:sz="4" w:space="0"/>
              <w:left w:val="single" w:color="auto" w:sz="4" w:space="0"/>
              <w:right w:val="single" w:color="auto" w:sz="4" w:space="0"/>
            </w:tcBorders>
            <w:noWrap w:val="0"/>
            <w:vAlign w:val="top"/>
          </w:tcPr>
          <w:p w14:paraId="3156901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lang w:eastAsia="zh-CN"/>
              </w:rPr>
            </w:pPr>
            <w:r>
              <w:rPr>
                <w:rFonts w:hint="eastAsia" w:asciiTheme="minorEastAsia" w:hAnsiTheme="minorEastAsia" w:eastAsiaTheme="minorEastAsia" w:cstheme="minorEastAsia"/>
                <w:b w:val="0"/>
                <w:color w:val="auto"/>
                <w:kern w:val="2"/>
                <w:sz w:val="21"/>
                <w:szCs w:val="21"/>
                <w:highlight w:val="none"/>
              </w:rPr>
              <w:t>4.</w:t>
            </w:r>
            <w:r>
              <w:rPr>
                <w:rFonts w:hint="eastAsia" w:asciiTheme="minorEastAsia" w:hAnsiTheme="minorEastAsia" w:eastAsiaTheme="minorEastAsia" w:cstheme="minorEastAsia"/>
                <w:b w:val="0"/>
                <w:color w:val="auto"/>
                <w:kern w:val="2"/>
                <w:sz w:val="21"/>
                <w:szCs w:val="21"/>
                <w:highlight w:val="none"/>
                <w:lang w:val="en-US" w:eastAsia="zh-CN"/>
              </w:rPr>
              <w:t>1</w:t>
            </w:r>
            <w:r>
              <w:rPr>
                <w:rFonts w:hint="eastAsia" w:asciiTheme="minorEastAsia" w:hAnsiTheme="minorEastAsia" w:eastAsiaTheme="minorEastAsia" w:cstheme="minorEastAsia"/>
                <w:b w:val="0"/>
                <w:color w:val="auto"/>
                <w:kern w:val="2"/>
                <w:sz w:val="21"/>
                <w:szCs w:val="21"/>
                <w:highlight w:val="none"/>
              </w:rPr>
              <w:t>.</w:t>
            </w:r>
            <w:r>
              <w:rPr>
                <w:rFonts w:hint="eastAsia" w:asciiTheme="minorEastAsia" w:hAnsiTheme="minorEastAsia" w:eastAsiaTheme="minorEastAsia" w:cstheme="minorEastAsia"/>
                <w:b w:val="0"/>
                <w:color w:val="auto"/>
                <w:kern w:val="2"/>
                <w:sz w:val="21"/>
                <w:szCs w:val="21"/>
                <w:highlight w:val="none"/>
                <w:lang w:val="en-US" w:eastAsia="zh-CN"/>
              </w:rPr>
              <w:t>1</w:t>
            </w:r>
          </w:p>
        </w:tc>
        <w:tc>
          <w:tcPr>
            <w:tcW w:w="1781" w:type="dxa"/>
            <w:tcBorders>
              <w:top w:val="single" w:color="auto" w:sz="4" w:space="0"/>
              <w:left w:val="single" w:color="auto" w:sz="4" w:space="0"/>
              <w:right w:val="single" w:color="auto" w:sz="4" w:space="0"/>
            </w:tcBorders>
            <w:noWrap w:val="0"/>
            <w:vAlign w:val="top"/>
          </w:tcPr>
          <w:p w14:paraId="03EAE43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递交响应文件地点</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56013C55">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cs="宋体"/>
                <w:color w:val="auto"/>
                <w:sz w:val="21"/>
                <w:szCs w:val="21"/>
                <w:highlight w:val="none"/>
                <w:lang w:eastAsia="zh-CN"/>
              </w:rPr>
              <w:t>同磋商公告</w:t>
            </w:r>
            <w:r>
              <w:rPr>
                <w:rFonts w:hint="eastAsia" w:ascii="宋体" w:hAnsi="宋体" w:eastAsia="宋体" w:cs="宋体"/>
                <w:color w:val="auto"/>
                <w:sz w:val="21"/>
                <w:szCs w:val="21"/>
                <w:highlight w:val="none"/>
              </w:rPr>
              <w:t>递交响应文件地点</w:t>
            </w:r>
          </w:p>
        </w:tc>
      </w:tr>
      <w:tr w14:paraId="4759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67B450C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5.1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F3C6B3F">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磋商时间和地点</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4F38394B">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磋商时间：同磋商截止时间</w:t>
            </w:r>
          </w:p>
          <w:p w14:paraId="2024238A">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rPr>
              <w:t>磋商地点：同递交响应文件地点</w:t>
            </w:r>
          </w:p>
        </w:tc>
      </w:tr>
      <w:tr w14:paraId="0385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6125E0E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6.1.1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68204C6">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评标委员会的组建</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468AF74F">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评标委员会构成：由</w:t>
            </w:r>
            <w:r>
              <w:rPr>
                <w:rFonts w:hint="eastAsia" w:ascii="宋体" w:hAnsi="宋体" w:eastAsia="宋体" w:cs="宋体"/>
                <w:bCs/>
                <w:color w:val="auto"/>
                <w:kern w:val="0"/>
                <w:sz w:val="21"/>
                <w:szCs w:val="21"/>
                <w:highlight w:val="none"/>
              </w:rPr>
              <w:t>3名技术专家</w:t>
            </w:r>
            <w:r>
              <w:rPr>
                <w:rFonts w:hint="eastAsia" w:asciiTheme="minorEastAsia" w:hAnsiTheme="minorEastAsia" w:eastAsiaTheme="minorEastAsia" w:cstheme="minorEastAsia"/>
                <w:color w:val="auto"/>
                <w:sz w:val="21"/>
                <w:szCs w:val="21"/>
                <w:highlight w:val="none"/>
                <w:lang w:val="zh-CN"/>
              </w:rPr>
              <w:t>组成。</w:t>
            </w:r>
          </w:p>
          <w:p w14:paraId="6A3C3728">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评标专家确定方式：评标专家由采购人在监督部门的监督下从评标专家库中随机抽取。</w:t>
            </w:r>
          </w:p>
        </w:tc>
      </w:tr>
      <w:tr w14:paraId="62C1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4ECD886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7.1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6E539B5F">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是否授权评标委员会确定中标人</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59456818">
            <w:pPr>
              <w:pStyle w:val="2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否，根据综合评审结果，由评标委员会推荐综合得分由高到低的前三名投标人为中标候选人。</w:t>
            </w:r>
          </w:p>
        </w:tc>
      </w:tr>
      <w:tr w14:paraId="083A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29245E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val="0"/>
                <w:color w:val="auto"/>
                <w:kern w:val="2"/>
                <w:sz w:val="21"/>
                <w:szCs w:val="21"/>
                <w:highlight w:val="none"/>
                <w:shd w:val="clear" w:color="auto" w:fill="auto"/>
              </w:rPr>
            </w:pPr>
            <w:r>
              <w:rPr>
                <w:rFonts w:hint="eastAsia" w:asciiTheme="minorEastAsia" w:hAnsiTheme="minorEastAsia" w:eastAsiaTheme="minorEastAsia" w:cstheme="minorEastAsia"/>
                <w:b w:val="0"/>
                <w:color w:val="auto"/>
                <w:kern w:val="2"/>
                <w:sz w:val="21"/>
                <w:szCs w:val="21"/>
                <w:highlight w:val="none"/>
                <w:shd w:val="clear" w:color="auto" w:fill="auto"/>
              </w:rPr>
              <w:t>7.3.1</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744E05DD">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履约担保</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4E367BF1">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提供履约保函（施工合同签订前）保额：中标价格的5%</w:t>
            </w:r>
          </w:p>
        </w:tc>
      </w:tr>
      <w:tr w14:paraId="4A27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48BC8F7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val="0"/>
                <w:color w:val="auto"/>
                <w:kern w:val="2"/>
                <w:sz w:val="21"/>
                <w:szCs w:val="21"/>
                <w:highlight w:val="none"/>
                <w:shd w:val="clear" w:color="auto" w:fill="auto"/>
                <w:lang w:val="en-US" w:eastAsia="zh-CN"/>
              </w:rPr>
            </w:pPr>
            <w:r>
              <w:rPr>
                <w:rFonts w:hint="eastAsia" w:asciiTheme="minorEastAsia" w:hAnsiTheme="minorEastAsia" w:eastAsiaTheme="minorEastAsia" w:cstheme="minorEastAsia"/>
                <w:b w:val="0"/>
                <w:color w:val="auto"/>
                <w:kern w:val="2"/>
                <w:sz w:val="21"/>
                <w:szCs w:val="21"/>
                <w:highlight w:val="none"/>
                <w:shd w:val="clear" w:color="auto" w:fill="auto"/>
                <w:lang w:val="en-US" w:eastAsia="zh-CN"/>
              </w:rPr>
              <w:t>7.3.2</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531D7EB8">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质保期</w:t>
            </w:r>
          </w:p>
        </w:tc>
        <w:tc>
          <w:tcPr>
            <w:tcW w:w="6512" w:type="dxa"/>
            <w:gridSpan w:val="2"/>
            <w:tcBorders>
              <w:top w:val="single" w:color="auto" w:sz="4" w:space="0"/>
              <w:left w:val="single" w:color="auto" w:sz="4" w:space="0"/>
              <w:bottom w:val="single" w:color="auto" w:sz="4" w:space="0"/>
              <w:right w:val="single" w:color="auto" w:sz="4" w:space="0"/>
            </w:tcBorders>
            <w:noWrap w:val="0"/>
            <w:vAlign w:val="center"/>
          </w:tcPr>
          <w:p w14:paraId="4EE134E6">
            <w:pPr>
              <w:pStyle w:val="2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自验收合格之日起12个月。</w:t>
            </w:r>
          </w:p>
        </w:tc>
      </w:tr>
      <w:tr w14:paraId="2272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7C3ADDD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val="0"/>
                <w:color w:val="auto"/>
                <w:kern w:val="2"/>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lang w:val="en-US" w:eastAsia="zh-CN"/>
              </w:rPr>
              <w:t>10</w:t>
            </w:r>
          </w:p>
        </w:tc>
        <w:tc>
          <w:tcPr>
            <w:tcW w:w="8293" w:type="dxa"/>
            <w:gridSpan w:val="3"/>
            <w:tcBorders>
              <w:top w:val="single" w:color="auto" w:sz="4" w:space="0"/>
              <w:left w:val="single" w:color="auto" w:sz="4" w:space="0"/>
              <w:bottom w:val="single" w:color="auto" w:sz="4" w:space="0"/>
              <w:right w:val="single" w:color="auto" w:sz="4" w:space="0"/>
            </w:tcBorders>
            <w:noWrap w:val="0"/>
            <w:vAlign w:val="center"/>
          </w:tcPr>
          <w:p w14:paraId="52437949">
            <w:pPr>
              <w:pStyle w:val="2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需要</w:t>
            </w:r>
            <w:r>
              <w:rPr>
                <w:rFonts w:hint="eastAsia" w:asciiTheme="minorEastAsia" w:hAnsiTheme="minorEastAsia" w:eastAsiaTheme="minorEastAsia" w:cstheme="minorEastAsia"/>
                <w:b/>
                <w:bCs/>
                <w:color w:val="auto"/>
                <w:sz w:val="21"/>
                <w:szCs w:val="21"/>
                <w:highlight w:val="none"/>
                <w:lang w:eastAsia="zh-CN"/>
              </w:rPr>
              <w:t>补充的其他内容</w:t>
            </w:r>
          </w:p>
        </w:tc>
      </w:tr>
      <w:tr w14:paraId="014A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14:paraId="3799CE5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val="0"/>
                <w:color w:val="auto"/>
                <w:kern w:val="2"/>
                <w:sz w:val="21"/>
                <w:szCs w:val="21"/>
                <w:highlight w:val="none"/>
                <w:lang w:val="zh-CN"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10.1</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14:paraId="01DD091C">
            <w:pPr>
              <w:keepNext w:val="0"/>
              <w:keepLines w:val="0"/>
              <w:pageBreakBefore w:val="0"/>
              <w:widowControl w:val="0"/>
              <w:kinsoku/>
              <w:wordWrap/>
              <w:overflowPunct/>
              <w:topLinePunct w:val="0"/>
              <w:autoSpaceDE w:val="0"/>
              <w:autoSpaceDN w:val="0"/>
              <w:bidi w:val="0"/>
              <w:spacing w:before="183" w:line="360" w:lineRule="auto"/>
              <w:rPr>
                <w:rFonts w:hint="default" w:asciiTheme="minorEastAsia" w:hAnsiTheme="minorEastAsia" w:eastAsiaTheme="minorEastAsia" w:cstheme="minorEastAsia"/>
                <w:color w:val="auto"/>
                <w:sz w:val="21"/>
                <w:szCs w:val="21"/>
                <w:highlight w:val="none"/>
                <w:lang w:val="en-US"/>
              </w:rPr>
            </w:pPr>
            <w:r>
              <w:rPr>
                <w:rFonts w:hint="eastAsia" w:ascii="宋体" w:hAnsi="宋体" w:eastAsia="宋体" w:cs="宋体"/>
                <w:snapToGrid w:val="0"/>
                <w:color w:val="auto"/>
                <w:kern w:val="2"/>
                <w:sz w:val="21"/>
                <w:szCs w:val="21"/>
                <w:highlight w:val="none"/>
                <w:lang w:val="en-US" w:eastAsia="zh-CN" w:bidi="ar-SA"/>
              </w:rPr>
              <w:t>采购代理服务费</w:t>
            </w:r>
          </w:p>
        </w:tc>
        <w:tc>
          <w:tcPr>
            <w:tcW w:w="6288" w:type="dxa"/>
            <w:tcBorders>
              <w:top w:val="single" w:color="auto" w:sz="4" w:space="0"/>
              <w:left w:val="single" w:color="auto" w:sz="4" w:space="0"/>
              <w:bottom w:val="single" w:color="auto" w:sz="4" w:space="0"/>
              <w:right w:val="single" w:color="auto" w:sz="4" w:space="0"/>
            </w:tcBorders>
            <w:noWrap w:val="0"/>
            <w:vAlign w:val="center"/>
          </w:tcPr>
          <w:p w14:paraId="378A579C">
            <w:pPr>
              <w:keepNext w:val="0"/>
              <w:keepLines w:val="0"/>
              <w:pageBreakBefore w:val="0"/>
              <w:widowControl w:val="0"/>
              <w:kinsoku/>
              <w:wordWrap/>
              <w:overflowPunct/>
              <w:topLinePunct w:val="0"/>
              <w:autoSpaceDE w:val="0"/>
              <w:autoSpaceDN w:val="0"/>
              <w:bidi w:val="0"/>
              <w:spacing w:before="183"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采购代理费参照吉省价收﹝2016﹞98号文件、计价格﹝2002﹞1980号文件、国家发改委发改办价格﹝2003﹞875号文件、国家发改委发改办价格﹝2015﹞299号，</w:t>
            </w:r>
            <w:r>
              <w:rPr>
                <w:rFonts w:hint="eastAsia" w:ascii="宋体" w:hAnsi="宋体" w:eastAsia="宋体" w:cs="宋体"/>
                <w:b/>
                <w:color w:val="auto"/>
                <w:sz w:val="21"/>
                <w:szCs w:val="21"/>
                <w:highlight w:val="none"/>
              </w:rPr>
              <w:t>金额</w:t>
            </w:r>
            <w:r>
              <w:rPr>
                <w:rFonts w:hint="eastAsia" w:ascii="宋体" w:hAnsi="宋体" w:eastAsia="宋体" w:cs="宋体"/>
                <w:b/>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人民币</w:t>
            </w:r>
            <w:r>
              <w:rPr>
                <w:rFonts w:hint="eastAsia" w:ascii="宋体" w:hAnsi="宋体" w:cs="宋体"/>
                <w:b w:val="0"/>
                <w:bCs/>
                <w:color w:val="auto"/>
                <w:sz w:val="21"/>
                <w:szCs w:val="21"/>
                <w:highlight w:val="none"/>
                <w:lang w:val="en-US" w:eastAsia="zh-CN"/>
              </w:rPr>
              <w:t>大写：壹万叁仟元整（</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13,000</w:t>
            </w:r>
            <w:r>
              <w:rPr>
                <w:rFonts w:hint="eastAsia" w:ascii="宋体" w:hAnsi="宋体" w:eastAsia="宋体" w:cs="宋体"/>
                <w:b w:val="0"/>
                <w:bCs/>
                <w:color w:val="auto"/>
                <w:sz w:val="21"/>
                <w:szCs w:val="21"/>
                <w:highlight w:val="none"/>
                <w:lang w:val="en-US" w:eastAsia="zh-CN"/>
              </w:rPr>
              <w:t>.00元</w:t>
            </w:r>
            <w:r>
              <w:rPr>
                <w:rFonts w:hint="eastAsia" w:ascii="宋体" w:hAnsi="宋体" w:cs="宋体"/>
                <w:b w:val="0"/>
                <w:bCs/>
                <w:color w:val="auto"/>
                <w:sz w:val="21"/>
                <w:szCs w:val="21"/>
                <w:highlight w:val="none"/>
                <w:lang w:val="en-US"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单位支付。</w:t>
            </w:r>
          </w:p>
        </w:tc>
      </w:tr>
      <w:tr w14:paraId="35D8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235" w:type="dxa"/>
            <w:gridSpan w:val="4"/>
            <w:tcBorders>
              <w:top w:val="single" w:color="auto" w:sz="4" w:space="0"/>
              <w:left w:val="single" w:color="auto" w:sz="4" w:space="0"/>
              <w:bottom w:val="single" w:color="auto" w:sz="4" w:space="0"/>
              <w:right w:val="single" w:color="auto" w:sz="4" w:space="0"/>
            </w:tcBorders>
            <w:noWrap w:val="0"/>
            <w:vAlign w:val="center"/>
          </w:tcPr>
          <w:p w14:paraId="058F6145">
            <w:pPr>
              <w:keepNext w:val="0"/>
              <w:keepLines w:val="0"/>
              <w:pageBreakBefore w:val="0"/>
              <w:widowControl w:val="0"/>
              <w:kinsoku/>
              <w:wordWrap/>
              <w:overflowPunct/>
              <w:topLinePunct w:val="0"/>
              <w:autoSpaceDE w:val="0"/>
              <w:autoSpaceDN w:val="0"/>
              <w:bidi w:val="0"/>
              <w:spacing w:before="183" w:line="360" w:lineRule="auto"/>
              <w:rPr>
                <w:rFonts w:hint="eastAsia" w:ascii="宋体" w:hAnsi="宋体" w:eastAsia="宋体" w:cs="宋体"/>
                <w:snapToGrid w:val="0"/>
                <w:color w:val="auto"/>
                <w:kern w:val="2"/>
                <w:sz w:val="21"/>
                <w:szCs w:val="21"/>
                <w:highlight w:val="none"/>
                <w:lang w:val="en-US" w:eastAsia="en-US" w:bidi="ar-SA"/>
              </w:rPr>
            </w:pPr>
            <w:r>
              <w:rPr>
                <w:rFonts w:hint="eastAsia" w:ascii="Arial" w:hAnsi="Arial" w:eastAsia="Arial" w:cs="Arial"/>
                <w:b/>
                <w:bCs/>
                <w:snapToGrid w:val="0"/>
                <w:color w:val="auto"/>
                <w:kern w:val="2"/>
                <w:sz w:val="21"/>
                <w:szCs w:val="21"/>
                <w:highlight w:val="none"/>
                <w:lang w:val="en-US" w:eastAsia="en-US" w:bidi="ar-SA"/>
              </w:rPr>
              <w:t>注：竞争性磋商公告内容有不一致之处，以最新发布的竞争性磋商公告内容为准。磋商公告与磋商文件内容有不一致之处，以磋商文件内容为准</w:t>
            </w:r>
            <w:r>
              <w:rPr>
                <w:rFonts w:hint="eastAsia" w:ascii="Arial" w:hAnsi="Arial" w:eastAsia="Arial" w:cs="Arial"/>
                <w:b/>
                <w:bCs/>
                <w:snapToGrid w:val="0"/>
                <w:color w:val="auto"/>
                <w:kern w:val="2"/>
                <w:sz w:val="21"/>
                <w:szCs w:val="21"/>
                <w:highlight w:val="none"/>
                <w:lang w:val="en-US" w:eastAsia="zh-CN" w:bidi="ar-SA"/>
              </w:rPr>
              <w:t>。</w:t>
            </w:r>
          </w:p>
        </w:tc>
      </w:tr>
    </w:tbl>
    <w:p w14:paraId="22274ED9">
      <w:pPr>
        <w:keepNext w:val="0"/>
        <w:keepLines w:val="0"/>
        <w:pageBreakBefore w:val="0"/>
        <w:widowControl w:val="0"/>
        <w:kinsoku/>
        <w:wordWrap/>
        <w:overflowPunct/>
        <w:topLinePunct w:val="0"/>
        <w:autoSpaceDE w:val="0"/>
        <w:autoSpaceDN w:val="0"/>
        <w:bidi w:val="0"/>
        <w:spacing w:before="315" w:line="240" w:lineRule="auto"/>
        <w:ind w:left="26" w:firstLine="526" w:firstLineChars="200"/>
        <w:jc w:val="center"/>
        <w:outlineLvl w:val="0"/>
        <w:rPr>
          <w:rFonts w:hint="eastAsia" w:asciiTheme="minorEastAsia" w:hAnsiTheme="minorEastAsia" w:eastAsiaTheme="minorEastAsia" w:cstheme="minorEastAsia"/>
          <w:b/>
          <w:bCs/>
          <w:color w:val="auto"/>
          <w:sz w:val="28"/>
          <w:szCs w:val="28"/>
          <w:highlight w:val="none"/>
        </w:rPr>
      </w:pPr>
      <w:bookmarkStart w:id="29" w:name="_Toc23071"/>
      <w:bookmarkStart w:id="30" w:name="_Toc2459"/>
      <w:r>
        <w:rPr>
          <w:rFonts w:hint="eastAsia" w:asciiTheme="minorEastAsia" w:hAnsiTheme="minorEastAsia" w:eastAsiaTheme="minorEastAsia" w:cstheme="minorEastAsia"/>
          <w:b/>
          <w:bCs/>
          <w:color w:val="auto"/>
          <w:spacing w:val="-9"/>
          <w:sz w:val="28"/>
          <w:szCs w:val="28"/>
          <w:highlight w:val="none"/>
        </w:rPr>
        <w:t>1.总则</w:t>
      </w:r>
    </w:p>
    <w:p w14:paraId="646F79F2">
      <w:pPr>
        <w:keepNext w:val="0"/>
        <w:keepLines w:val="0"/>
        <w:pageBreakBefore w:val="0"/>
        <w:widowControl w:val="0"/>
        <w:kinsoku/>
        <w:wordWrap/>
        <w:overflowPunct/>
        <w:topLinePunct w:val="0"/>
        <w:autoSpaceDE w:val="0"/>
        <w:autoSpaceDN w:val="0"/>
        <w:bidi w:val="0"/>
        <w:spacing w:before="216" w:line="240"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1.1项目概况</w:t>
      </w:r>
    </w:p>
    <w:p w14:paraId="3FEC1C02">
      <w:pPr>
        <w:keepNext w:val="0"/>
        <w:keepLines w:val="0"/>
        <w:pageBreakBefore w:val="0"/>
        <w:widowControl w:val="0"/>
        <w:kinsoku/>
        <w:wordWrap/>
        <w:overflowPunct/>
        <w:topLinePunct w:val="0"/>
        <w:autoSpaceDE w:val="0"/>
        <w:autoSpaceDN w:val="0"/>
        <w:bidi w:val="0"/>
        <w:spacing w:before="177"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1.1.1根据有关法律、法规和规章的规定，</w:t>
      </w:r>
      <w:r>
        <w:rPr>
          <w:rFonts w:hint="eastAsia" w:asciiTheme="minorEastAsia" w:hAnsiTheme="minorEastAsia" w:eastAsiaTheme="minorEastAsia" w:cstheme="minorEastAsia"/>
          <w:color w:val="auto"/>
          <w:spacing w:val="8"/>
          <w:sz w:val="24"/>
          <w:szCs w:val="24"/>
          <w:highlight w:val="none"/>
        </w:rPr>
        <w:t>本采购项目已具备采购条件，现对本标段施工进行采购。</w:t>
      </w:r>
    </w:p>
    <w:p w14:paraId="66CBAFCE">
      <w:pPr>
        <w:keepNext w:val="0"/>
        <w:keepLines w:val="0"/>
        <w:pageBreakBefore w:val="0"/>
        <w:widowControl w:val="0"/>
        <w:kinsoku/>
        <w:wordWrap/>
        <w:overflowPunct/>
        <w:topLinePunct w:val="0"/>
        <w:autoSpaceDE w:val="0"/>
        <w:autoSpaceDN w:val="0"/>
        <w:bidi w:val="0"/>
        <w:spacing w:before="161"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1.1.2本采购项目采购人：见磋商须知前附表</w:t>
      </w:r>
    </w:p>
    <w:p w14:paraId="7AE37FBB">
      <w:pPr>
        <w:keepNext w:val="0"/>
        <w:keepLines w:val="0"/>
        <w:pageBreakBefore w:val="0"/>
        <w:widowControl w:val="0"/>
        <w:kinsoku/>
        <w:wordWrap/>
        <w:overflowPunct/>
        <w:topLinePunct w:val="0"/>
        <w:autoSpaceDE w:val="0"/>
        <w:autoSpaceDN w:val="0"/>
        <w:bidi w:val="0"/>
        <w:spacing w:before="16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1.1.3本标段采购代理机构：见磋商须知前附表</w:t>
      </w:r>
    </w:p>
    <w:p w14:paraId="05201254">
      <w:pPr>
        <w:keepNext w:val="0"/>
        <w:keepLines w:val="0"/>
        <w:pageBreakBefore w:val="0"/>
        <w:widowControl w:val="0"/>
        <w:kinsoku/>
        <w:wordWrap/>
        <w:overflowPunct/>
        <w:topLinePunct w:val="0"/>
        <w:autoSpaceDE w:val="0"/>
        <w:autoSpaceDN w:val="0"/>
        <w:bidi w:val="0"/>
        <w:spacing w:before="161"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1.1.4本采购项目名称：见磋商须知前附表</w:t>
      </w:r>
    </w:p>
    <w:p w14:paraId="4473565F">
      <w:pPr>
        <w:keepNext w:val="0"/>
        <w:keepLines w:val="0"/>
        <w:pageBreakBefore w:val="0"/>
        <w:widowControl w:val="0"/>
        <w:kinsoku/>
        <w:wordWrap/>
        <w:overflowPunct/>
        <w:topLinePunct w:val="0"/>
        <w:autoSpaceDE w:val="0"/>
        <w:autoSpaceDN w:val="0"/>
        <w:bidi w:val="0"/>
        <w:spacing w:before="161"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1.1.5本项目建设地点：见磋商须知前附表</w:t>
      </w:r>
    </w:p>
    <w:p w14:paraId="6BE66C4E">
      <w:pPr>
        <w:keepNext w:val="0"/>
        <w:keepLines w:val="0"/>
        <w:pageBreakBefore w:val="0"/>
        <w:widowControl w:val="0"/>
        <w:kinsoku/>
        <w:wordWrap/>
        <w:overflowPunct/>
        <w:topLinePunct w:val="0"/>
        <w:autoSpaceDE w:val="0"/>
        <w:autoSpaceDN w:val="0"/>
        <w:bidi w:val="0"/>
        <w:spacing w:before="168" w:line="240"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1.2资金来源和落实情况</w:t>
      </w:r>
    </w:p>
    <w:p w14:paraId="5735D82F">
      <w:pPr>
        <w:keepNext w:val="0"/>
        <w:keepLines w:val="0"/>
        <w:pageBreakBefore w:val="0"/>
        <w:widowControl w:val="0"/>
        <w:kinsoku/>
        <w:wordWrap/>
        <w:overflowPunct/>
        <w:topLinePunct w:val="0"/>
        <w:autoSpaceDE w:val="0"/>
        <w:autoSpaceDN w:val="0"/>
        <w:bidi w:val="0"/>
        <w:spacing w:before="174"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1.2.1本采购项目的资金来源：见磋商须知前附表。</w:t>
      </w:r>
    </w:p>
    <w:p w14:paraId="54EE2F66">
      <w:pPr>
        <w:keepNext w:val="0"/>
        <w:keepLines w:val="0"/>
        <w:pageBreakBefore w:val="0"/>
        <w:widowControl w:val="0"/>
        <w:kinsoku/>
        <w:wordWrap/>
        <w:overflowPunct/>
        <w:topLinePunct w:val="0"/>
        <w:autoSpaceDE w:val="0"/>
        <w:autoSpaceDN w:val="0"/>
        <w:bidi w:val="0"/>
        <w:spacing w:before="161"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1.2.2本采购项目的出资比例：见磋商须知前附表。</w:t>
      </w:r>
    </w:p>
    <w:p w14:paraId="6698B4BD">
      <w:pPr>
        <w:keepNext w:val="0"/>
        <w:keepLines w:val="0"/>
        <w:pageBreakBefore w:val="0"/>
        <w:widowControl w:val="0"/>
        <w:kinsoku/>
        <w:wordWrap/>
        <w:overflowPunct/>
        <w:topLinePunct w:val="0"/>
        <w:autoSpaceDE w:val="0"/>
        <w:autoSpaceDN w:val="0"/>
        <w:bidi w:val="0"/>
        <w:spacing w:before="164"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1.2.3本采购项目的资金落实情况：见磋商须知前附表。</w:t>
      </w:r>
    </w:p>
    <w:p w14:paraId="2E98B689">
      <w:pPr>
        <w:keepNext w:val="0"/>
        <w:keepLines w:val="0"/>
        <w:pageBreakBefore w:val="0"/>
        <w:widowControl w:val="0"/>
        <w:kinsoku/>
        <w:wordWrap/>
        <w:overflowPunct/>
        <w:topLinePunct w:val="0"/>
        <w:autoSpaceDE w:val="0"/>
        <w:autoSpaceDN w:val="0"/>
        <w:bidi w:val="0"/>
        <w:spacing w:before="166" w:line="240"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1.3采购范围、标段划分、工期和质量要求</w:t>
      </w:r>
    </w:p>
    <w:p w14:paraId="1B5A0D45">
      <w:pPr>
        <w:keepNext w:val="0"/>
        <w:keepLines w:val="0"/>
        <w:pageBreakBefore w:val="0"/>
        <w:widowControl w:val="0"/>
        <w:kinsoku/>
        <w:wordWrap/>
        <w:overflowPunct/>
        <w:topLinePunct w:val="0"/>
        <w:autoSpaceDE w:val="0"/>
        <w:autoSpaceDN w:val="0"/>
        <w:bidi w:val="0"/>
        <w:spacing w:before="17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1.3.1本次采购范围：见磋商须知前附表。</w:t>
      </w:r>
    </w:p>
    <w:p w14:paraId="7FD42A87">
      <w:pPr>
        <w:keepNext w:val="0"/>
        <w:keepLines w:val="0"/>
        <w:pageBreakBefore w:val="0"/>
        <w:widowControl w:val="0"/>
        <w:kinsoku/>
        <w:wordWrap/>
        <w:overflowPunct/>
        <w:topLinePunct w:val="0"/>
        <w:autoSpaceDE w:val="0"/>
        <w:autoSpaceDN w:val="0"/>
        <w:bidi w:val="0"/>
        <w:spacing w:before="164"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1.3.2本采购项目的工期：见磋商须知前附表。</w:t>
      </w:r>
    </w:p>
    <w:p w14:paraId="591FDEDE">
      <w:pPr>
        <w:keepNext w:val="0"/>
        <w:keepLines w:val="0"/>
        <w:pageBreakBefore w:val="0"/>
        <w:widowControl w:val="0"/>
        <w:kinsoku/>
        <w:wordWrap/>
        <w:overflowPunct/>
        <w:topLinePunct w:val="0"/>
        <w:autoSpaceDE w:val="0"/>
        <w:autoSpaceDN w:val="0"/>
        <w:bidi w:val="0"/>
        <w:spacing w:before="161"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1.3.3本采购项目的质量要求：见磋商须知前附表。</w:t>
      </w:r>
    </w:p>
    <w:p w14:paraId="7CDF1240">
      <w:pPr>
        <w:keepNext w:val="0"/>
        <w:keepLines w:val="0"/>
        <w:pageBreakBefore w:val="0"/>
        <w:widowControl w:val="0"/>
        <w:kinsoku/>
        <w:wordWrap/>
        <w:overflowPunct/>
        <w:topLinePunct w:val="0"/>
        <w:autoSpaceDE w:val="0"/>
        <w:autoSpaceDN w:val="0"/>
        <w:bidi w:val="0"/>
        <w:spacing w:before="166" w:line="240"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1.4供应商资格要求（适用于未进行资</w:t>
      </w:r>
      <w:r>
        <w:rPr>
          <w:rFonts w:hint="eastAsia" w:asciiTheme="minorEastAsia" w:hAnsiTheme="minorEastAsia" w:eastAsiaTheme="minorEastAsia" w:cstheme="minorEastAsia"/>
          <w:color w:val="auto"/>
          <w:spacing w:val="-2"/>
          <w:sz w:val="24"/>
          <w:szCs w:val="24"/>
          <w:highlight w:val="none"/>
        </w:rPr>
        <w:t>格预审的）</w:t>
      </w:r>
    </w:p>
    <w:p w14:paraId="1A8DB1C2">
      <w:pPr>
        <w:keepNext w:val="0"/>
        <w:keepLines w:val="0"/>
        <w:pageBreakBefore w:val="0"/>
        <w:widowControl w:val="0"/>
        <w:kinsoku/>
        <w:wordWrap/>
        <w:overflowPunct/>
        <w:topLinePunct w:val="0"/>
        <w:autoSpaceDE w:val="0"/>
        <w:autoSpaceDN w:val="0"/>
        <w:bidi w:val="0"/>
        <w:spacing w:before="179"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1.4.1供应商应具备承担本标段施工的</w:t>
      </w:r>
      <w:r>
        <w:rPr>
          <w:rFonts w:hint="eastAsia" w:asciiTheme="minorEastAsia" w:hAnsiTheme="minorEastAsia" w:eastAsiaTheme="minorEastAsia" w:cstheme="minorEastAsia"/>
          <w:color w:val="auto"/>
          <w:spacing w:val="7"/>
          <w:position w:val="15"/>
          <w:sz w:val="24"/>
          <w:szCs w:val="24"/>
          <w:highlight w:val="none"/>
        </w:rPr>
        <w:t>资质条件、能力和信誉。</w:t>
      </w:r>
    </w:p>
    <w:p w14:paraId="19F02CA5">
      <w:pPr>
        <w:keepNext w:val="0"/>
        <w:keepLines w:val="0"/>
        <w:pageBreakBefore w:val="0"/>
        <w:widowControl w:val="0"/>
        <w:kinsoku/>
        <w:wordWrap/>
        <w:overflowPunct/>
        <w:topLinePunct w:val="0"/>
        <w:autoSpaceDE w:val="0"/>
        <w:autoSpaceDN w:val="0"/>
        <w:bidi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（1）资质条件：详见磋商须知前附表。</w:t>
      </w:r>
    </w:p>
    <w:p w14:paraId="09386D88">
      <w:pPr>
        <w:keepNext w:val="0"/>
        <w:keepLines w:val="0"/>
        <w:pageBreakBefore w:val="0"/>
        <w:widowControl w:val="0"/>
        <w:kinsoku/>
        <w:wordWrap/>
        <w:overflowPunct/>
        <w:topLinePunct w:val="0"/>
        <w:autoSpaceDE w:val="0"/>
        <w:autoSpaceDN w:val="0"/>
        <w:bidi w:val="0"/>
        <w:spacing w:before="162"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（2）信誉要求：详见磋商须知前附表。</w:t>
      </w:r>
    </w:p>
    <w:p w14:paraId="157F083C">
      <w:pPr>
        <w:keepNext w:val="0"/>
        <w:keepLines w:val="0"/>
        <w:pageBreakBefore w:val="0"/>
        <w:widowControl w:val="0"/>
        <w:kinsoku/>
        <w:wordWrap/>
        <w:overflowPunct/>
        <w:topLinePunct w:val="0"/>
        <w:autoSpaceDE w:val="0"/>
        <w:autoSpaceDN w:val="0"/>
        <w:bidi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（3）其他要求：详见磋商须知前附表。</w:t>
      </w:r>
    </w:p>
    <w:p w14:paraId="0A037983">
      <w:pPr>
        <w:keepNext w:val="0"/>
        <w:keepLines w:val="0"/>
        <w:pageBreakBefore w:val="0"/>
        <w:widowControl w:val="0"/>
        <w:kinsoku/>
        <w:wordWrap/>
        <w:overflowPunct/>
        <w:topLinePunct w:val="0"/>
        <w:autoSpaceDE w:val="0"/>
        <w:autoSpaceDN w:val="0"/>
        <w:bidi w:val="0"/>
        <w:spacing w:line="240" w:lineRule="auto"/>
        <w:rPr>
          <w:rFonts w:hint="eastAsia" w:asciiTheme="minorEastAsia" w:hAnsiTheme="minorEastAsia" w:eastAsiaTheme="minorEastAsia" w:cstheme="minorEastAsia"/>
          <w:color w:val="auto"/>
          <w:spacing w:val="7"/>
          <w:position w:val="15"/>
          <w:sz w:val="24"/>
          <w:szCs w:val="24"/>
          <w:highlight w:val="none"/>
        </w:rPr>
      </w:pPr>
      <w:r>
        <w:rPr>
          <w:rFonts w:hint="eastAsia" w:asciiTheme="minorEastAsia" w:hAnsiTheme="minorEastAsia" w:eastAsiaTheme="minorEastAsia" w:cstheme="minorEastAsia"/>
          <w:color w:val="auto"/>
          <w:spacing w:val="7"/>
          <w:position w:val="15"/>
          <w:sz w:val="24"/>
          <w:szCs w:val="24"/>
          <w:highlight w:val="none"/>
        </w:rPr>
        <w:t>1.4.2磋商须知前附表规定接受联合体投标的，除应符合本章第1.4.1项和磋商须知前附表的要求外，还应遵守以下规定：</w:t>
      </w:r>
    </w:p>
    <w:p w14:paraId="1651152C">
      <w:pPr>
        <w:keepNext w:val="0"/>
        <w:keepLines w:val="0"/>
        <w:pageBreakBefore w:val="0"/>
        <w:widowControl w:val="0"/>
        <w:kinsoku/>
        <w:wordWrap/>
        <w:overflowPunct/>
        <w:topLinePunct w:val="0"/>
        <w:autoSpaceDE w:val="0"/>
        <w:autoSpaceDN w:val="0"/>
        <w:bidi w:val="0"/>
        <w:spacing w:before="175" w:line="240" w:lineRule="auto"/>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（1）联合体各方应按竞争性磋商文件提供的格式签订联合体协议书，明确联合牵头人和各方权利义务；</w:t>
      </w:r>
    </w:p>
    <w:p w14:paraId="38CD913B">
      <w:pPr>
        <w:keepNext w:val="0"/>
        <w:keepLines w:val="0"/>
        <w:pageBreakBefore w:val="0"/>
        <w:widowControl w:val="0"/>
        <w:kinsoku/>
        <w:wordWrap/>
        <w:overflowPunct/>
        <w:topLinePunct w:val="0"/>
        <w:autoSpaceDE w:val="0"/>
        <w:autoSpaceDN w:val="0"/>
        <w:bidi w:val="0"/>
        <w:spacing w:before="175" w:line="240" w:lineRule="auto"/>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（2）由同一专业的单位组成的联合体，按照资历等级较低的单位确定资质等级。</w:t>
      </w:r>
    </w:p>
    <w:p w14:paraId="18BBB908">
      <w:pPr>
        <w:keepNext w:val="0"/>
        <w:keepLines w:val="0"/>
        <w:pageBreakBefore w:val="0"/>
        <w:widowControl w:val="0"/>
        <w:kinsoku/>
        <w:wordWrap/>
        <w:overflowPunct/>
        <w:topLinePunct w:val="0"/>
        <w:autoSpaceDE w:val="0"/>
        <w:autoSpaceDN w:val="0"/>
        <w:bidi w:val="0"/>
        <w:spacing w:before="175" w:line="240" w:lineRule="auto"/>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（3）联合体各方不得再以自已名义单独或参加其他联合体在同一标段中投标。</w:t>
      </w:r>
    </w:p>
    <w:p w14:paraId="5E79D1F0">
      <w:pPr>
        <w:keepNext w:val="0"/>
        <w:keepLines w:val="0"/>
        <w:pageBreakBefore w:val="0"/>
        <w:widowControl w:val="0"/>
        <w:kinsoku/>
        <w:wordWrap/>
        <w:overflowPunct/>
        <w:topLinePunct w:val="0"/>
        <w:autoSpaceDE w:val="0"/>
        <w:autoSpaceDN w:val="0"/>
        <w:bidi w:val="0"/>
        <w:spacing w:before="175" w:line="240" w:lineRule="auto"/>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1.4.3供应商不得存在下列情形之一：</w:t>
      </w:r>
    </w:p>
    <w:p w14:paraId="0C258C9C">
      <w:pPr>
        <w:keepNext w:val="0"/>
        <w:keepLines w:val="0"/>
        <w:pageBreakBefore w:val="0"/>
        <w:widowControl w:val="0"/>
        <w:kinsoku/>
        <w:wordWrap/>
        <w:overflowPunct/>
        <w:topLinePunct w:val="0"/>
        <w:autoSpaceDE w:val="0"/>
        <w:autoSpaceDN w:val="0"/>
        <w:bidi w:val="0"/>
        <w:spacing w:before="163"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（1）不同供应商的响应文件由同一单位或者个人编制；</w:t>
      </w:r>
    </w:p>
    <w:p w14:paraId="1460FFDD">
      <w:pPr>
        <w:keepNext w:val="0"/>
        <w:keepLines w:val="0"/>
        <w:pageBreakBefore w:val="0"/>
        <w:widowControl w:val="0"/>
        <w:kinsoku/>
        <w:wordWrap/>
        <w:overflowPunct/>
        <w:topLinePunct w:val="0"/>
        <w:autoSpaceDE w:val="0"/>
        <w:autoSpaceDN w:val="0"/>
        <w:bidi w:val="0"/>
        <w:spacing w:before="1"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（2）不同供应商委托同一单位或者个人办理磋商事宜；</w:t>
      </w:r>
    </w:p>
    <w:p w14:paraId="56C18CAD">
      <w:pPr>
        <w:keepNext w:val="0"/>
        <w:keepLines w:val="0"/>
        <w:pageBreakBefore w:val="0"/>
        <w:widowControl w:val="0"/>
        <w:kinsoku/>
        <w:wordWrap/>
        <w:overflowPunct/>
        <w:topLinePunct w:val="0"/>
        <w:autoSpaceDE w:val="0"/>
        <w:autoSpaceDN w:val="0"/>
        <w:bidi w:val="0"/>
        <w:spacing w:before="161"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15"/>
          <w:sz w:val="24"/>
          <w:szCs w:val="24"/>
          <w:highlight w:val="none"/>
        </w:rPr>
        <w:t>（3）不同供应商的响应文件载明的项目管理成员或者联系人员</w:t>
      </w:r>
      <w:r>
        <w:rPr>
          <w:rFonts w:hint="eastAsia" w:asciiTheme="minorEastAsia" w:hAnsiTheme="minorEastAsia" w:eastAsiaTheme="minorEastAsia" w:cstheme="minorEastAsia"/>
          <w:color w:val="auto"/>
          <w:spacing w:val="8"/>
          <w:position w:val="15"/>
          <w:sz w:val="24"/>
          <w:szCs w:val="24"/>
          <w:highlight w:val="none"/>
        </w:rPr>
        <w:t>为同一人；</w:t>
      </w:r>
    </w:p>
    <w:p w14:paraId="6EB6924E">
      <w:pPr>
        <w:keepNext w:val="0"/>
        <w:keepLines w:val="0"/>
        <w:pageBreakBefore w:val="0"/>
        <w:widowControl w:val="0"/>
        <w:kinsoku/>
        <w:wordWrap/>
        <w:overflowPunct/>
        <w:topLinePunct w:val="0"/>
        <w:autoSpaceDE w:val="0"/>
        <w:autoSpaceDN w:val="0"/>
        <w:bidi w:val="0"/>
        <w:spacing w:before="2"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（4）不同供应商的响应文件异常一致或者磋商报价呈</w:t>
      </w:r>
      <w:r>
        <w:rPr>
          <w:rFonts w:hint="eastAsia" w:asciiTheme="minorEastAsia" w:hAnsiTheme="minorEastAsia" w:eastAsiaTheme="minorEastAsia" w:cstheme="minorEastAsia"/>
          <w:color w:val="auto"/>
          <w:spacing w:val="8"/>
          <w:sz w:val="24"/>
          <w:szCs w:val="24"/>
          <w:highlight w:val="none"/>
        </w:rPr>
        <w:t>现规律性差异；</w:t>
      </w:r>
    </w:p>
    <w:p w14:paraId="42841CDB">
      <w:pPr>
        <w:keepNext w:val="0"/>
        <w:keepLines w:val="0"/>
        <w:pageBreakBefore w:val="0"/>
        <w:widowControl w:val="0"/>
        <w:kinsoku/>
        <w:wordWrap/>
        <w:overflowPunct/>
        <w:topLinePunct w:val="0"/>
        <w:autoSpaceDE w:val="0"/>
        <w:autoSpaceDN w:val="0"/>
        <w:bidi w:val="0"/>
        <w:spacing w:before="164"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（5）不同供应商的响应文件相互混装；</w:t>
      </w:r>
    </w:p>
    <w:p w14:paraId="33F97C0A">
      <w:pPr>
        <w:keepNext w:val="0"/>
        <w:keepLines w:val="0"/>
        <w:pageBreakBefore w:val="0"/>
        <w:widowControl w:val="0"/>
        <w:kinsoku/>
        <w:wordWrap/>
        <w:overflowPunct/>
        <w:topLinePunct w:val="0"/>
        <w:autoSpaceDE w:val="0"/>
        <w:autoSpaceDN w:val="0"/>
        <w:bidi w:val="0"/>
        <w:spacing w:before="161" w:line="240" w:lineRule="auto"/>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9"/>
          <w:sz w:val="24"/>
          <w:szCs w:val="24"/>
          <w:highlight w:val="none"/>
        </w:rPr>
        <w:t>（6）不同供应商的磋商保证金从同一单位或</w:t>
      </w:r>
      <w:r>
        <w:rPr>
          <w:rFonts w:hint="eastAsia" w:asciiTheme="minorEastAsia" w:hAnsiTheme="minorEastAsia" w:eastAsiaTheme="minorEastAsia" w:cstheme="minorEastAsia"/>
          <w:color w:val="auto"/>
          <w:spacing w:val="8"/>
          <w:sz w:val="24"/>
          <w:szCs w:val="24"/>
          <w:highlight w:val="none"/>
        </w:rPr>
        <w:t>者个人的账户转出；</w:t>
      </w:r>
    </w:p>
    <w:p w14:paraId="17629B18">
      <w:pPr>
        <w:keepNext w:val="0"/>
        <w:keepLines w:val="0"/>
        <w:pageBreakBefore w:val="0"/>
        <w:widowControl w:val="0"/>
        <w:kinsoku/>
        <w:wordWrap/>
        <w:overflowPunct/>
        <w:topLinePunct w:val="0"/>
        <w:autoSpaceDE w:val="0"/>
        <w:autoSpaceDN w:val="0"/>
        <w:bidi w:val="0"/>
        <w:spacing w:before="161"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1.5费用承担</w:t>
      </w:r>
    </w:p>
    <w:p w14:paraId="5AA33325">
      <w:pPr>
        <w:keepNext w:val="0"/>
        <w:keepLines w:val="0"/>
        <w:pageBreakBefore w:val="0"/>
        <w:widowControl w:val="0"/>
        <w:kinsoku/>
        <w:wordWrap/>
        <w:overflowPunct/>
        <w:topLinePunct w:val="0"/>
        <w:autoSpaceDE w:val="0"/>
        <w:autoSpaceDN w:val="0"/>
        <w:bidi w:val="0"/>
        <w:adjustRightInd w:val="0"/>
        <w:snapToGrid w:val="0"/>
        <w:spacing w:before="174" w:line="240" w:lineRule="auto"/>
        <w:ind w:firstLine="516"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供应商准备和参加投标活动发生的费用自理。</w:t>
      </w:r>
    </w:p>
    <w:p w14:paraId="7355C9CE">
      <w:pPr>
        <w:keepNext w:val="0"/>
        <w:keepLines w:val="0"/>
        <w:pageBreakBefore w:val="0"/>
        <w:widowControl w:val="0"/>
        <w:kinsoku/>
        <w:wordWrap/>
        <w:overflowPunct/>
        <w:topLinePunct w:val="0"/>
        <w:autoSpaceDE w:val="0"/>
        <w:autoSpaceDN w:val="0"/>
        <w:bidi w:val="0"/>
        <w:adjustRightInd w:val="0"/>
        <w:snapToGrid w:val="0"/>
        <w:spacing w:before="165" w:line="24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1.6保密</w:t>
      </w:r>
    </w:p>
    <w:p w14:paraId="24533D3A">
      <w:pPr>
        <w:keepNext w:val="0"/>
        <w:keepLines w:val="0"/>
        <w:pageBreakBefore w:val="0"/>
        <w:widowControl w:val="0"/>
        <w:kinsoku/>
        <w:wordWrap/>
        <w:overflowPunct/>
        <w:topLinePunct w:val="0"/>
        <w:autoSpaceDE w:val="0"/>
        <w:autoSpaceDN w:val="0"/>
        <w:bidi w:val="0"/>
        <w:adjustRightInd w:val="0"/>
        <w:snapToGrid w:val="0"/>
        <w:spacing w:before="165" w:line="240" w:lineRule="auto"/>
        <w:ind w:firstLine="528" w:firstLineChars="200"/>
        <w:textAlignment w:val="baseline"/>
        <w:outlineLvl w:val="1"/>
        <w:rPr>
          <w:rFonts w:hint="eastAsia" w:asciiTheme="minorEastAsia" w:hAnsiTheme="minorEastAsia" w:eastAsiaTheme="minorEastAsia" w:cstheme="minorEastAsia"/>
          <w:color w:val="auto"/>
          <w:spacing w:val="12"/>
          <w:position w:val="15"/>
          <w:sz w:val="24"/>
          <w:szCs w:val="24"/>
          <w:highlight w:val="none"/>
          <w:lang w:eastAsia="zh-CN"/>
        </w:rPr>
      </w:pPr>
      <w:r>
        <w:rPr>
          <w:rFonts w:hint="eastAsia" w:asciiTheme="minorEastAsia" w:hAnsiTheme="minorEastAsia" w:eastAsiaTheme="minorEastAsia" w:cstheme="minorEastAsia"/>
          <w:color w:val="auto"/>
          <w:spacing w:val="12"/>
          <w:position w:val="15"/>
          <w:sz w:val="24"/>
          <w:szCs w:val="24"/>
          <w:highlight w:val="none"/>
        </w:rPr>
        <w:t>参与政府采购活动的各方应对竞争性磋商文件和竞争性磋商响应文件中的商业和技术等秘密保密，违者应对由此造成的后果承担法律责任</w:t>
      </w:r>
      <w:r>
        <w:rPr>
          <w:rFonts w:hint="eastAsia" w:asciiTheme="minorEastAsia" w:hAnsiTheme="minorEastAsia" w:eastAsiaTheme="minorEastAsia" w:cstheme="minorEastAsia"/>
          <w:color w:val="auto"/>
          <w:spacing w:val="12"/>
          <w:position w:val="15"/>
          <w:sz w:val="24"/>
          <w:szCs w:val="24"/>
          <w:highlight w:val="none"/>
          <w:lang w:eastAsia="zh-CN"/>
        </w:rPr>
        <w:t>。</w:t>
      </w:r>
    </w:p>
    <w:p w14:paraId="2A841164">
      <w:pPr>
        <w:keepNext w:val="0"/>
        <w:keepLines w:val="0"/>
        <w:pageBreakBefore w:val="0"/>
        <w:widowControl w:val="0"/>
        <w:kinsoku/>
        <w:wordWrap/>
        <w:overflowPunct/>
        <w:topLinePunct w:val="0"/>
        <w:autoSpaceDE w:val="0"/>
        <w:autoSpaceDN w:val="0"/>
        <w:bidi w:val="0"/>
        <w:spacing w:before="165" w:line="240"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1.7语言文字</w:t>
      </w:r>
    </w:p>
    <w:p w14:paraId="1BF75D57">
      <w:pPr>
        <w:keepNext w:val="0"/>
        <w:keepLines w:val="0"/>
        <w:pageBreakBefore w:val="0"/>
        <w:widowControl w:val="0"/>
        <w:kinsoku/>
        <w:wordWrap/>
        <w:overflowPunct/>
        <w:topLinePunct w:val="0"/>
        <w:autoSpaceDE w:val="0"/>
        <w:autoSpaceDN w:val="0"/>
        <w:bidi w:val="0"/>
        <w:spacing w:before="177" w:line="240" w:lineRule="auto"/>
        <w:ind w:firstLine="516"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除专用术语外，与政府采购有关的语言均使用中文。必要时专用术语应附有中文注释。</w:t>
      </w:r>
    </w:p>
    <w:p w14:paraId="7EC72EFD">
      <w:pPr>
        <w:keepNext w:val="0"/>
        <w:keepLines w:val="0"/>
        <w:pageBreakBefore w:val="0"/>
        <w:widowControl w:val="0"/>
        <w:kinsoku/>
        <w:wordWrap/>
        <w:overflowPunct/>
        <w:topLinePunct w:val="0"/>
        <w:autoSpaceDE w:val="0"/>
        <w:autoSpaceDN w:val="0"/>
        <w:bidi w:val="0"/>
        <w:spacing w:before="166" w:line="240"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1.8计量单位</w:t>
      </w:r>
    </w:p>
    <w:p w14:paraId="4B9AA916">
      <w:pPr>
        <w:keepNext w:val="0"/>
        <w:keepLines w:val="0"/>
        <w:pageBreakBefore w:val="0"/>
        <w:widowControl w:val="0"/>
        <w:kinsoku/>
        <w:wordWrap/>
        <w:overflowPunct/>
        <w:topLinePunct w:val="0"/>
        <w:autoSpaceDE w:val="0"/>
        <w:autoSpaceDN w:val="0"/>
        <w:bidi w:val="0"/>
        <w:adjustRightInd w:val="0"/>
        <w:snapToGrid w:val="0"/>
        <w:spacing w:before="173" w:line="360" w:lineRule="auto"/>
        <w:ind w:firstLine="516"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所有计量均采用中华人民共和国法定计量单位。</w:t>
      </w:r>
    </w:p>
    <w:p w14:paraId="2269FC83">
      <w:pPr>
        <w:keepNext w:val="0"/>
        <w:keepLines w:val="0"/>
        <w:pageBreakBefore w:val="0"/>
        <w:widowControl w:val="0"/>
        <w:kinsoku/>
        <w:wordWrap/>
        <w:overflowPunct/>
        <w:topLinePunct w:val="0"/>
        <w:autoSpaceDE w:val="0"/>
        <w:autoSpaceDN w:val="0"/>
        <w:bidi w:val="0"/>
        <w:adjustRightInd w:val="0"/>
        <w:snapToGrid w:val="0"/>
        <w:spacing w:before="169"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1.9踏勘现场</w:t>
      </w:r>
    </w:p>
    <w:p w14:paraId="2E990C5B">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11"/>
          <w:position w:val="15"/>
          <w:sz w:val="24"/>
          <w:szCs w:val="24"/>
          <w:highlight w:val="none"/>
        </w:rPr>
      </w:pPr>
      <w:r>
        <w:rPr>
          <w:rFonts w:hint="eastAsia" w:asciiTheme="minorEastAsia" w:hAnsiTheme="minorEastAsia" w:eastAsiaTheme="minorEastAsia" w:cstheme="minorEastAsia"/>
          <w:color w:val="auto"/>
          <w:spacing w:val="11"/>
          <w:position w:val="15"/>
          <w:sz w:val="24"/>
          <w:szCs w:val="24"/>
          <w:highlight w:val="none"/>
        </w:rPr>
        <w:t>1.9.1磋商须知前附表规定组织踏勘现场的，采购人按磋商须知前附表规定的时间、地点组织供应商踏勘项目现场。</w:t>
      </w:r>
    </w:p>
    <w:p w14:paraId="27095BD3">
      <w:pPr>
        <w:keepNext w:val="0"/>
        <w:keepLines w:val="0"/>
        <w:pageBreakBefore w:val="0"/>
        <w:widowControl w:val="0"/>
        <w:kinsoku/>
        <w:wordWrap/>
        <w:overflowPunct/>
        <w:topLinePunct w:val="0"/>
        <w:autoSpaceDE w:val="0"/>
        <w:autoSpaceDN w:val="0"/>
        <w:bidi w:val="0"/>
        <w:adjustRightInd w:val="0"/>
        <w:snapToGrid w:val="0"/>
        <w:spacing w:before="160"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1.9.2供应商踏勘现场发生的费用自理。</w:t>
      </w:r>
    </w:p>
    <w:p w14:paraId="7CA5B253">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1.9.3除采购人的原因外，供应商自行负责在踏勘现场中所发生的人员伤亡和财产损失。</w:t>
      </w:r>
    </w:p>
    <w:p w14:paraId="442C5BB2">
      <w:pPr>
        <w:keepNext w:val="0"/>
        <w:keepLines w:val="0"/>
        <w:pageBreakBefore w:val="0"/>
        <w:widowControl w:val="0"/>
        <w:kinsoku/>
        <w:wordWrap/>
        <w:overflowPunct/>
        <w:topLinePunct w:val="0"/>
        <w:autoSpaceDE w:val="0"/>
        <w:autoSpaceDN w:val="0"/>
        <w:bidi w:val="0"/>
        <w:adjustRightInd w:val="0"/>
        <w:snapToGrid w:val="0"/>
        <w:spacing w:before="161" w:line="360" w:lineRule="auto"/>
        <w:ind w:left="0" w:firstLine="0" w:firstLineChars="0"/>
        <w:textAlignment w:val="baseline"/>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1.9.4采购人在踏勘现场中介绍的工程场地和相关的周边环境情况，供供应商在编制竞争性磋商文件时参考，采购人不对供应商据此作出的判断和决策负责。</w:t>
      </w:r>
    </w:p>
    <w:p w14:paraId="48CE1D3D">
      <w:pPr>
        <w:keepNext w:val="0"/>
        <w:keepLines w:val="0"/>
        <w:pageBreakBefore w:val="0"/>
        <w:widowControl w:val="0"/>
        <w:kinsoku/>
        <w:wordWrap/>
        <w:overflowPunct/>
        <w:topLinePunct w:val="0"/>
        <w:autoSpaceDE w:val="0"/>
        <w:autoSpaceDN w:val="0"/>
        <w:bidi w:val="0"/>
        <w:adjustRightInd w:val="0"/>
        <w:snapToGrid w:val="0"/>
        <w:spacing w:before="161" w:line="360" w:lineRule="auto"/>
        <w:ind w:left="0" w:firstLine="0"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1.10投标预备会</w:t>
      </w:r>
    </w:p>
    <w:p w14:paraId="32B7438F">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8"/>
          <w:position w:val="15"/>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1.10.1磋商须知前附表规定召开投标预备会的，采购人按磋商须知前附表规定的时间和地点召开投标预备会，澄清供应商提出的问题。</w:t>
      </w:r>
    </w:p>
    <w:p w14:paraId="6EFD1542">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8"/>
          <w:position w:val="15"/>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1.10.2供应商应在磋商须知前附表规定的时间前，以书面形式将提出的问题送达采购人，以便采购人在会议期间澄清。</w:t>
      </w:r>
    </w:p>
    <w:p w14:paraId="53BFF0FD">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8"/>
          <w:position w:val="15"/>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1.10.3投标预备会后，采购人在磋商须知前附表规定的时间内，将对供应商所提问题的澄清，以书面方式通知所有购买竞争性磋商文件的供应商。该澄清内容为竞争性磋商文件的组成部分。</w:t>
      </w:r>
    </w:p>
    <w:p w14:paraId="5FB14691">
      <w:pPr>
        <w:keepNext w:val="0"/>
        <w:keepLines w:val="0"/>
        <w:pageBreakBefore w:val="0"/>
        <w:widowControl w:val="0"/>
        <w:kinsoku/>
        <w:wordWrap/>
        <w:overflowPunct/>
        <w:topLinePunct w:val="0"/>
        <w:autoSpaceDE w:val="0"/>
        <w:autoSpaceDN w:val="0"/>
        <w:bidi w:val="0"/>
        <w:adjustRightInd w:val="0"/>
        <w:snapToGrid w:val="0"/>
        <w:spacing w:before="166"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1.11分包（不允许）</w:t>
      </w:r>
    </w:p>
    <w:p w14:paraId="3638D1ED">
      <w:pPr>
        <w:keepNext w:val="0"/>
        <w:keepLines w:val="0"/>
        <w:pageBreakBefore w:val="0"/>
        <w:widowControl w:val="0"/>
        <w:kinsoku/>
        <w:wordWrap/>
        <w:overflowPunct/>
        <w:topLinePunct w:val="0"/>
        <w:autoSpaceDE w:val="0"/>
        <w:autoSpaceDN w:val="0"/>
        <w:bidi w:val="0"/>
        <w:adjustRightInd w:val="0"/>
        <w:snapToGrid w:val="0"/>
        <w:spacing w:before="166" w:line="360" w:lineRule="auto"/>
        <w:ind w:firstLine="528" w:firstLineChars="200"/>
        <w:textAlignment w:val="baseline"/>
        <w:outlineLvl w:val="1"/>
        <w:rPr>
          <w:rFonts w:hint="eastAsia" w:asciiTheme="minorEastAsia" w:hAnsiTheme="minorEastAsia" w:eastAsiaTheme="minorEastAsia" w:cstheme="minorEastAsia"/>
          <w:color w:val="auto"/>
          <w:spacing w:val="12"/>
          <w:position w:val="15"/>
          <w:sz w:val="24"/>
          <w:szCs w:val="24"/>
          <w:highlight w:val="none"/>
          <w:lang w:val="en-US" w:eastAsia="zh-CN"/>
        </w:rPr>
      </w:pPr>
      <w:r>
        <w:rPr>
          <w:rFonts w:hint="eastAsia" w:asciiTheme="minorEastAsia" w:hAnsiTheme="minorEastAsia" w:eastAsiaTheme="minorEastAsia" w:cstheme="minorEastAsia"/>
          <w:color w:val="auto"/>
          <w:spacing w:val="12"/>
          <w:position w:val="15"/>
          <w:sz w:val="24"/>
          <w:szCs w:val="24"/>
          <w:highlight w:val="none"/>
        </w:rPr>
        <w:t>供应商拟在成交后将成交项目的部分非主体、非关键性工作进行分包的，应符合磋商须知前附表规定的分包内容、分包金额和接受分包的第三人资质要求等限制性条件。</w:t>
      </w:r>
    </w:p>
    <w:p w14:paraId="5E40DA32">
      <w:pPr>
        <w:keepNext w:val="0"/>
        <w:keepLines w:val="0"/>
        <w:pageBreakBefore w:val="0"/>
        <w:widowControl w:val="0"/>
        <w:kinsoku/>
        <w:wordWrap/>
        <w:overflowPunct/>
        <w:topLinePunct w:val="0"/>
        <w:autoSpaceDE w:val="0"/>
        <w:autoSpaceDN w:val="0"/>
        <w:bidi w:val="0"/>
        <w:adjustRightInd w:val="0"/>
        <w:snapToGrid w:val="0"/>
        <w:spacing w:before="166"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1.12偏离</w:t>
      </w:r>
    </w:p>
    <w:p w14:paraId="226B0CE7">
      <w:pPr>
        <w:keepNext w:val="0"/>
        <w:keepLines w:val="0"/>
        <w:pageBreakBefore w:val="0"/>
        <w:widowControl w:val="0"/>
        <w:kinsoku/>
        <w:wordWrap/>
        <w:overflowPunct/>
        <w:topLinePunct w:val="0"/>
        <w:autoSpaceDE w:val="0"/>
        <w:autoSpaceDN w:val="0"/>
        <w:bidi w:val="0"/>
        <w:adjustRightInd w:val="0"/>
        <w:snapToGrid w:val="0"/>
        <w:spacing w:before="1" w:line="360" w:lineRule="auto"/>
        <w:ind w:left="2" w:firstLine="528" w:firstLineChars="200"/>
        <w:textAlignment w:val="baseline"/>
        <w:rPr>
          <w:rFonts w:hint="eastAsia" w:asciiTheme="minorEastAsia" w:hAnsiTheme="minorEastAsia" w:eastAsiaTheme="minorEastAsia" w:cstheme="minorEastAsia"/>
          <w:color w:val="auto"/>
          <w:spacing w:val="12"/>
          <w:position w:val="15"/>
          <w:sz w:val="24"/>
          <w:szCs w:val="24"/>
          <w:highlight w:val="none"/>
        </w:rPr>
      </w:pPr>
      <w:r>
        <w:rPr>
          <w:rFonts w:hint="eastAsia" w:asciiTheme="minorEastAsia" w:hAnsiTheme="minorEastAsia" w:eastAsiaTheme="minorEastAsia" w:cstheme="minorEastAsia"/>
          <w:color w:val="auto"/>
          <w:spacing w:val="12"/>
          <w:position w:val="15"/>
          <w:sz w:val="24"/>
          <w:szCs w:val="24"/>
          <w:highlight w:val="none"/>
        </w:rPr>
        <w:t>磋商须知前附表允许竞争性磋商响应文件偏离竞争性磋商文件某些要求的，偏离应当符合竞争性磋商文件规定的偏离范围和幅度。</w:t>
      </w:r>
    </w:p>
    <w:p w14:paraId="7E9CF3FB">
      <w:pPr>
        <w:keepNext w:val="0"/>
        <w:keepLines w:val="0"/>
        <w:pageBreakBefore w:val="0"/>
        <w:widowControl w:val="0"/>
        <w:kinsoku/>
        <w:wordWrap/>
        <w:overflowPunct/>
        <w:topLinePunct w:val="0"/>
        <w:autoSpaceDE w:val="0"/>
        <w:autoSpaceDN w:val="0"/>
        <w:bidi w:val="0"/>
        <w:adjustRightInd w:val="0"/>
        <w:snapToGrid w:val="0"/>
        <w:spacing w:before="175" w:line="360" w:lineRule="auto"/>
        <w:jc w:val="center"/>
        <w:textAlignment w:val="baseline"/>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pacing w:val="-2"/>
          <w:sz w:val="28"/>
          <w:szCs w:val="28"/>
          <w:highlight w:val="none"/>
        </w:rPr>
        <w:t>2.竞争性磋商文件</w:t>
      </w:r>
    </w:p>
    <w:p w14:paraId="533F2852">
      <w:pPr>
        <w:keepNext w:val="0"/>
        <w:keepLines w:val="0"/>
        <w:pageBreakBefore w:val="0"/>
        <w:widowControl w:val="0"/>
        <w:kinsoku/>
        <w:wordWrap/>
        <w:overflowPunct/>
        <w:topLinePunct w:val="0"/>
        <w:autoSpaceDE w:val="0"/>
        <w:autoSpaceDN w:val="0"/>
        <w:bidi w:val="0"/>
        <w:adjustRightInd w:val="0"/>
        <w:snapToGrid w:val="0"/>
        <w:spacing w:before="218"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2.1竞争性磋商文件的组成</w:t>
      </w:r>
    </w:p>
    <w:p w14:paraId="4EE16C80">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竞争性磋商文件包括：</w:t>
      </w:r>
    </w:p>
    <w:p w14:paraId="55F0F157">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（1）磋商公告；</w:t>
      </w:r>
    </w:p>
    <w:p w14:paraId="09B61E06">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（2）磋商须知；</w:t>
      </w:r>
    </w:p>
    <w:p w14:paraId="0FB90364">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（3）评审办法；</w:t>
      </w:r>
    </w:p>
    <w:p w14:paraId="39EE0B1D">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（4）合同条款及格式；</w:t>
      </w:r>
    </w:p>
    <w:p w14:paraId="21ACBC5D">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（5）工程量清单；</w:t>
      </w:r>
    </w:p>
    <w:p w14:paraId="46BD295D">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eastAsia="zh-CN"/>
        </w:rPr>
        <w:t>（</w:t>
      </w:r>
      <w:r>
        <w:rPr>
          <w:rFonts w:hint="eastAsia" w:asciiTheme="minorEastAsia" w:hAnsiTheme="minorEastAsia" w:eastAsiaTheme="minorEastAsia" w:cstheme="minorEastAsia"/>
          <w:color w:val="auto"/>
          <w:spacing w:val="5"/>
          <w:sz w:val="24"/>
          <w:szCs w:val="24"/>
          <w:highlight w:val="none"/>
          <w:lang w:val="en-US" w:eastAsia="zh-CN"/>
        </w:rPr>
        <w:t>6）图纸</w:t>
      </w:r>
    </w:p>
    <w:p w14:paraId="38866085">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lang w:val="en-US" w:eastAsia="zh-CN"/>
        </w:rPr>
        <w:t>7</w:t>
      </w:r>
      <w:r>
        <w:rPr>
          <w:rFonts w:hint="eastAsia" w:asciiTheme="minorEastAsia" w:hAnsiTheme="minorEastAsia" w:eastAsiaTheme="minorEastAsia" w:cstheme="minorEastAsia"/>
          <w:color w:val="auto"/>
          <w:spacing w:val="5"/>
          <w:sz w:val="24"/>
          <w:szCs w:val="24"/>
          <w:highlight w:val="none"/>
        </w:rPr>
        <w:t>）技术标准和要求；</w:t>
      </w:r>
    </w:p>
    <w:p w14:paraId="4EE89317">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lang w:val="en-US" w:eastAsia="zh-CN"/>
        </w:rPr>
        <w:t>8</w:t>
      </w:r>
      <w:r>
        <w:rPr>
          <w:rFonts w:hint="eastAsia" w:asciiTheme="minorEastAsia" w:hAnsiTheme="minorEastAsia" w:eastAsiaTheme="minorEastAsia" w:cstheme="minorEastAsia"/>
          <w:color w:val="auto"/>
          <w:spacing w:val="5"/>
          <w:sz w:val="24"/>
          <w:szCs w:val="24"/>
          <w:highlight w:val="none"/>
        </w:rPr>
        <w:t>）竞争性磋商响应文件格式；</w:t>
      </w:r>
    </w:p>
    <w:p w14:paraId="3E9DA917">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lang w:val="en-US" w:eastAsia="zh-CN"/>
        </w:rPr>
        <w:t>9</w:t>
      </w:r>
      <w:r>
        <w:rPr>
          <w:rFonts w:hint="eastAsia" w:asciiTheme="minorEastAsia" w:hAnsiTheme="minorEastAsia" w:eastAsiaTheme="minorEastAsia" w:cstheme="minorEastAsia"/>
          <w:color w:val="auto"/>
          <w:spacing w:val="5"/>
          <w:sz w:val="24"/>
          <w:szCs w:val="24"/>
          <w:highlight w:val="none"/>
        </w:rPr>
        <w:t>）磋商须知前附表规定的其他材料。</w:t>
      </w:r>
    </w:p>
    <w:p w14:paraId="21175F31">
      <w:pPr>
        <w:keepNext w:val="0"/>
        <w:keepLines w:val="0"/>
        <w:pageBreakBefore w:val="0"/>
        <w:widowControl w:val="0"/>
        <w:kinsoku/>
        <w:wordWrap/>
        <w:overflowPunct/>
        <w:topLinePunct w:val="0"/>
        <w:autoSpaceDE w:val="0"/>
        <w:autoSpaceDN w:val="0"/>
        <w:bidi w:val="0"/>
        <w:adjustRightInd w:val="0"/>
        <w:snapToGrid w:val="0"/>
        <w:spacing w:before="165" w:line="360" w:lineRule="auto"/>
        <w:ind w:firstLine="508" w:firstLineChars="200"/>
        <w:textAlignment w:val="baseline"/>
        <w:outlineLvl w:val="1"/>
        <w:rPr>
          <w:rFonts w:hint="eastAsia" w:asciiTheme="minorEastAsia" w:hAnsiTheme="minorEastAsia" w:eastAsiaTheme="minorEastAsia" w:cstheme="minorEastAsia"/>
          <w:color w:val="auto"/>
          <w:spacing w:val="7"/>
          <w:position w:val="15"/>
          <w:sz w:val="24"/>
          <w:szCs w:val="24"/>
          <w:highlight w:val="none"/>
        </w:rPr>
      </w:pPr>
      <w:r>
        <w:rPr>
          <w:rFonts w:hint="eastAsia" w:asciiTheme="minorEastAsia" w:hAnsiTheme="minorEastAsia" w:eastAsiaTheme="minorEastAsia" w:cstheme="minorEastAsia"/>
          <w:color w:val="auto"/>
          <w:spacing w:val="7"/>
          <w:position w:val="15"/>
          <w:sz w:val="24"/>
          <w:szCs w:val="24"/>
          <w:highlight w:val="none"/>
        </w:rPr>
        <w:t>根据本章第1.10款、第2.2款和第2.3款对竞争性磋商文件所作的澄清、修改，构成竞争性磋商文件的组成部分。</w:t>
      </w:r>
    </w:p>
    <w:p w14:paraId="5D14FEC7">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2.2竞争性磋商文件的澄清</w:t>
      </w:r>
    </w:p>
    <w:p w14:paraId="6AB676BD">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2.2.1供应商应仔细阅读和检查竞争性磋商文件的全部内容。如发现缺页或附件不全，应及时向采购人提出，以便补齐。如有疑问，应在磋商须知前附表规定的时间前以书面形式（包括信函</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电报、传真等可以有形地表现所载内容的形式，下同），要求采购人对竞争性磋商文件予以澄清。</w:t>
      </w:r>
    </w:p>
    <w:p w14:paraId="31C1DFD7">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2.2.2投标截止时间详见磋商须知前附表规定</w:t>
      </w:r>
    </w:p>
    <w:p w14:paraId="6435013C">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2.2.3竞争性磋商文件的澄清将在磋商须知前附表规定的递交磋商响应文件截止时间的3个工作日前以书面形式发给所有购买竞争性磋商文件的供</w:t>
      </w:r>
      <w:r>
        <w:rPr>
          <w:rFonts w:hint="eastAsia" w:asciiTheme="minorEastAsia" w:hAnsiTheme="minorEastAsia" w:eastAsiaTheme="minorEastAsia" w:cstheme="minorEastAsia"/>
          <w:color w:val="auto"/>
          <w:spacing w:val="7"/>
          <w:sz w:val="24"/>
          <w:szCs w:val="24"/>
          <w:highlight w:val="none"/>
          <w:lang w:val="en-US" w:eastAsia="zh-CN"/>
        </w:rPr>
        <w:t>应</w:t>
      </w:r>
      <w:r>
        <w:rPr>
          <w:rFonts w:hint="eastAsia" w:asciiTheme="minorEastAsia" w:hAnsiTheme="minorEastAsia" w:eastAsiaTheme="minorEastAsia" w:cstheme="minorEastAsia"/>
          <w:color w:val="auto"/>
          <w:spacing w:val="7"/>
          <w:sz w:val="24"/>
          <w:szCs w:val="24"/>
          <w:highlight w:val="none"/>
        </w:rPr>
        <w:t>商，但不指明澄清问题的来源。如果澄清发出的时间距递交磋商响应文件截止时间不足3个工作日，相应延长投标截止时间。</w:t>
      </w:r>
    </w:p>
    <w:p w14:paraId="04EA4CF9">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2.2.4供应商在收到澄清后，应在磋商须知前附表规定的时间内以书面形式通知采购人，确认已收到该澄清。</w:t>
      </w:r>
    </w:p>
    <w:p w14:paraId="1DA2A91E">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2.3竞争性磋商文件的修改</w:t>
      </w:r>
    </w:p>
    <w:p w14:paraId="7630890C">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2.3.1在递交磋商响应文件截止时间的3个工作日前，采购人可以书面形式修改竞争性磋商文件，并通知所有已购买竞争性磋商文件的供应商。如果修改竞争性磋商文件的时间距递交磋商响应文件截止时间不足3个工作日，相应延长磋商截止时间。</w:t>
      </w:r>
    </w:p>
    <w:p w14:paraId="7B3270F5">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2.3.2供应商收到修改内容后，应在磋商须知前附表规定的时间内以书面形式通知采购人，确认已收到该修改。</w:t>
      </w:r>
    </w:p>
    <w:p w14:paraId="535F8290">
      <w:pPr>
        <w:keepNext w:val="0"/>
        <w:keepLines w:val="0"/>
        <w:pageBreakBefore w:val="0"/>
        <w:widowControl w:val="0"/>
        <w:kinsoku/>
        <w:wordWrap/>
        <w:overflowPunct/>
        <w:topLinePunct w:val="0"/>
        <w:autoSpaceDE w:val="0"/>
        <w:autoSpaceDN w:val="0"/>
        <w:bidi w:val="0"/>
        <w:adjustRightInd w:val="0"/>
        <w:snapToGrid w:val="0"/>
        <w:spacing w:before="177" w:line="360" w:lineRule="auto"/>
        <w:jc w:val="center"/>
        <w:textAlignment w:val="baseline"/>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pacing w:val="-2"/>
          <w:sz w:val="28"/>
          <w:szCs w:val="28"/>
          <w:highlight w:val="none"/>
        </w:rPr>
        <w:t>3.竞争性磋商响应文件</w:t>
      </w:r>
    </w:p>
    <w:p w14:paraId="1508DA8B">
      <w:pPr>
        <w:keepNext w:val="0"/>
        <w:keepLines w:val="0"/>
        <w:pageBreakBefore w:val="0"/>
        <w:widowControl w:val="0"/>
        <w:kinsoku/>
        <w:wordWrap/>
        <w:overflowPunct/>
        <w:topLinePunct w:val="0"/>
        <w:autoSpaceDE w:val="0"/>
        <w:autoSpaceDN w:val="0"/>
        <w:bidi w:val="0"/>
        <w:adjustRightInd w:val="0"/>
        <w:snapToGrid w:val="0"/>
        <w:spacing w:before="217"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3.1竞争性磋商响应文件的组成</w:t>
      </w:r>
    </w:p>
    <w:p w14:paraId="2F7935C3">
      <w:pPr>
        <w:keepNext w:val="0"/>
        <w:keepLines w:val="0"/>
        <w:pageBreakBefore w:val="0"/>
        <w:widowControl w:val="0"/>
        <w:kinsoku/>
        <w:wordWrap/>
        <w:overflowPunct/>
        <w:topLinePunct w:val="0"/>
        <w:autoSpaceDE w:val="0"/>
        <w:autoSpaceDN w:val="0"/>
        <w:bidi w:val="0"/>
        <w:adjustRightInd w:val="0"/>
        <w:snapToGrid w:val="0"/>
        <w:spacing w:before="175"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position w:val="15"/>
          <w:sz w:val="24"/>
          <w:szCs w:val="24"/>
          <w:highlight w:val="none"/>
        </w:rPr>
        <w:t>3.1.1竞争性磋商响应文件应包括下列内容：</w:t>
      </w:r>
    </w:p>
    <w:p w14:paraId="1930B39C">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一、磋商函及磋商函附录</w:t>
      </w:r>
    </w:p>
    <w:p w14:paraId="4C61A4B5">
      <w:pPr>
        <w:keepNext w:val="0"/>
        <w:keepLines w:val="0"/>
        <w:pageBreakBefore w:val="0"/>
        <w:widowControl w:val="0"/>
        <w:kinsoku/>
        <w:wordWrap/>
        <w:overflowPunct/>
        <w:topLinePunct w:val="0"/>
        <w:autoSpaceDE w:val="0"/>
        <w:autoSpaceDN w:val="0"/>
        <w:bidi w:val="0"/>
        <w:adjustRightInd w:val="0"/>
        <w:snapToGrid w:val="0"/>
        <w:spacing w:before="162"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15"/>
          <w:sz w:val="24"/>
          <w:szCs w:val="24"/>
          <w:highlight w:val="none"/>
        </w:rPr>
        <w:t>二、法定代表人身份证明</w:t>
      </w:r>
    </w:p>
    <w:p w14:paraId="1C7A807F">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三、授权委托书</w:t>
      </w:r>
    </w:p>
    <w:p w14:paraId="733139C0">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四、开标一览表</w:t>
      </w:r>
    </w:p>
    <w:p w14:paraId="5A65A596">
      <w:pPr>
        <w:keepNext w:val="0"/>
        <w:keepLines w:val="0"/>
        <w:pageBreakBefore w:val="0"/>
        <w:widowControl w:val="0"/>
        <w:kinsoku/>
        <w:wordWrap/>
        <w:overflowPunct/>
        <w:topLinePunct w:val="0"/>
        <w:autoSpaceDE w:val="0"/>
        <w:autoSpaceDN w:val="0"/>
        <w:bidi w:val="0"/>
        <w:adjustRightInd w:val="0"/>
        <w:snapToGrid w:val="0"/>
        <w:spacing w:before="162"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五、已标价工程量清单</w:t>
      </w:r>
    </w:p>
    <w:p w14:paraId="16C62D69">
      <w:pPr>
        <w:keepNext w:val="0"/>
        <w:keepLines w:val="0"/>
        <w:pageBreakBefore w:val="0"/>
        <w:widowControl w:val="0"/>
        <w:kinsoku/>
        <w:wordWrap/>
        <w:overflowPunct/>
        <w:topLinePunct w:val="0"/>
        <w:autoSpaceDE w:val="0"/>
        <w:autoSpaceDN w:val="0"/>
        <w:bidi w:val="0"/>
        <w:adjustRightInd w:val="0"/>
        <w:snapToGrid w:val="0"/>
        <w:spacing w:before="41"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15"/>
          <w:sz w:val="24"/>
          <w:szCs w:val="24"/>
          <w:highlight w:val="none"/>
        </w:rPr>
        <w:t>六、施工组织设计</w:t>
      </w:r>
    </w:p>
    <w:p w14:paraId="4061AF24">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七、项目管理机构</w:t>
      </w:r>
    </w:p>
    <w:p w14:paraId="4D2BDC63">
      <w:pPr>
        <w:keepNext w:val="0"/>
        <w:keepLines w:val="0"/>
        <w:pageBreakBefore w:val="0"/>
        <w:widowControl w:val="0"/>
        <w:kinsoku/>
        <w:wordWrap/>
        <w:overflowPunct/>
        <w:topLinePunct w:val="0"/>
        <w:autoSpaceDE w:val="0"/>
        <w:autoSpaceDN w:val="0"/>
        <w:bidi w:val="0"/>
        <w:adjustRightInd w:val="0"/>
        <w:snapToGrid w:val="0"/>
        <w:spacing w:before="160"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八、资格审查资料</w:t>
      </w:r>
    </w:p>
    <w:p w14:paraId="6FD29EEC">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九、其他材料</w:t>
      </w:r>
    </w:p>
    <w:p w14:paraId="55D95B00">
      <w:pPr>
        <w:keepNext w:val="0"/>
        <w:keepLines w:val="0"/>
        <w:pageBreakBefore w:val="0"/>
        <w:widowControl w:val="0"/>
        <w:kinsoku/>
        <w:wordWrap/>
        <w:overflowPunct/>
        <w:topLinePunct w:val="0"/>
        <w:autoSpaceDE w:val="0"/>
        <w:autoSpaceDN w:val="0"/>
        <w:bidi w:val="0"/>
        <w:adjustRightInd w:val="0"/>
        <w:snapToGrid w:val="0"/>
        <w:spacing w:before="160"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第二次报价（格式）</w:t>
      </w:r>
    </w:p>
    <w:p w14:paraId="051FEF50">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9"/>
          <w:position w:val="15"/>
          <w:sz w:val="24"/>
          <w:szCs w:val="24"/>
          <w:highlight w:val="none"/>
        </w:rPr>
      </w:pPr>
      <w:r>
        <w:rPr>
          <w:rFonts w:hint="eastAsia" w:asciiTheme="minorEastAsia" w:hAnsiTheme="minorEastAsia" w:eastAsiaTheme="minorEastAsia" w:cstheme="minorEastAsia"/>
          <w:color w:val="auto"/>
          <w:spacing w:val="9"/>
          <w:position w:val="15"/>
          <w:sz w:val="24"/>
          <w:szCs w:val="24"/>
          <w:highlight w:val="none"/>
        </w:rPr>
        <w:t>3.1.2竞争须知前附表规定不接受联合体磋商的，或供应商没有组成联合体的,竞争性磋商响应文件不包括本章第3.1.1（三）所指的联合体协议书。</w:t>
      </w:r>
    </w:p>
    <w:p w14:paraId="2A2E494C">
      <w:pPr>
        <w:keepNext w:val="0"/>
        <w:keepLines w:val="0"/>
        <w:pageBreakBefore w:val="0"/>
        <w:widowControl w:val="0"/>
        <w:kinsoku/>
        <w:wordWrap/>
        <w:overflowPunct/>
        <w:topLinePunct w:val="0"/>
        <w:autoSpaceDE w:val="0"/>
        <w:autoSpaceDN w:val="0"/>
        <w:bidi w:val="0"/>
        <w:adjustRightInd w:val="0"/>
        <w:snapToGrid w:val="0"/>
        <w:spacing w:before="167"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3.2磋商报价</w:t>
      </w:r>
    </w:p>
    <w:p w14:paraId="192C89F7">
      <w:pPr>
        <w:keepNext w:val="0"/>
        <w:keepLines w:val="0"/>
        <w:pageBreakBefore w:val="0"/>
        <w:widowControl w:val="0"/>
        <w:kinsoku/>
        <w:wordWrap/>
        <w:overflowPunct/>
        <w:topLinePunct w:val="0"/>
        <w:autoSpaceDE w:val="0"/>
        <w:autoSpaceDN w:val="0"/>
        <w:bidi w:val="0"/>
        <w:adjustRightInd w:val="0"/>
        <w:snapToGrid w:val="0"/>
        <w:spacing w:before="177"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3.2.1供应商应按要求填写相应表格。</w:t>
      </w:r>
    </w:p>
    <w:p w14:paraId="2B5F81E5">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rPr>
        <w:t>3.2.2供应商按金额报价，响应报价有效范围：磋商报价高于采购控制价，</w:t>
      </w:r>
      <w:r>
        <w:rPr>
          <w:rFonts w:hint="eastAsia" w:asciiTheme="minorEastAsia" w:hAnsiTheme="minorEastAsia" w:eastAsiaTheme="minorEastAsia" w:cstheme="minorEastAsia"/>
          <w:color w:val="auto"/>
          <w:spacing w:val="8"/>
          <w:sz w:val="24"/>
          <w:szCs w:val="24"/>
          <w:highlight w:val="none"/>
        </w:rPr>
        <w:t>为无效报价，按废标处理。</w:t>
      </w:r>
    </w:p>
    <w:p w14:paraId="78568DFA">
      <w:pPr>
        <w:keepNext w:val="0"/>
        <w:keepLines w:val="0"/>
        <w:pageBreakBefore w:val="0"/>
        <w:widowControl w:val="0"/>
        <w:kinsoku/>
        <w:wordWrap/>
        <w:overflowPunct/>
        <w:topLinePunct w:val="0"/>
        <w:autoSpaceDE w:val="0"/>
        <w:autoSpaceDN w:val="0"/>
        <w:bidi w:val="0"/>
        <w:adjustRightInd w:val="0"/>
        <w:snapToGrid w:val="0"/>
        <w:spacing w:before="166" w:line="360" w:lineRule="auto"/>
        <w:textAlignment w:val="baseline"/>
        <w:outlineLvl w:val="1"/>
        <w:rPr>
          <w:rFonts w:hint="default"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rPr>
        <w:t>3.2.3如果磋商小组认为最低的磋商报价明显低于供应商其成本价格,有可能影响质量和不能诚信履约的，应当要求该供应商在规定的期限内予以解释说明并提供相关证明材料，供应商不能合理解释或提供相关证明材料的，则评委会认定其以低于成本价投标，其投标将被否决。</w:t>
      </w:r>
    </w:p>
    <w:p w14:paraId="788A6B88">
      <w:pPr>
        <w:keepNext w:val="0"/>
        <w:keepLines w:val="0"/>
        <w:pageBreakBefore w:val="0"/>
        <w:widowControl w:val="0"/>
        <w:kinsoku/>
        <w:wordWrap/>
        <w:overflowPunct/>
        <w:topLinePunct w:val="0"/>
        <w:autoSpaceDE w:val="0"/>
        <w:autoSpaceDN w:val="0"/>
        <w:bidi w:val="0"/>
        <w:adjustRightInd w:val="0"/>
        <w:snapToGrid w:val="0"/>
        <w:spacing w:before="166" w:line="360" w:lineRule="auto"/>
        <w:textAlignment w:val="baseline"/>
        <w:outlineLvl w:val="1"/>
        <w:rPr>
          <w:rFonts w:hint="eastAsia" w:asciiTheme="minorEastAsia" w:hAnsiTheme="minorEastAsia" w:eastAsiaTheme="minorEastAsia" w:cstheme="minorEastAsia"/>
          <w:color w:val="auto"/>
          <w:spacing w:val="13"/>
          <w:sz w:val="24"/>
          <w:szCs w:val="24"/>
          <w:highlight w:val="none"/>
        </w:rPr>
      </w:pPr>
      <w:r>
        <w:rPr>
          <w:rFonts w:hint="eastAsia" w:asciiTheme="minorEastAsia" w:hAnsiTheme="minorEastAsia" w:eastAsiaTheme="minorEastAsia" w:cstheme="minorEastAsia"/>
          <w:color w:val="auto"/>
          <w:spacing w:val="13"/>
          <w:sz w:val="24"/>
          <w:szCs w:val="24"/>
          <w:highlight w:val="none"/>
        </w:rPr>
        <w:t>3.3磋商有效期</w:t>
      </w:r>
    </w:p>
    <w:p w14:paraId="11DD93F9">
      <w:pPr>
        <w:keepNext w:val="0"/>
        <w:keepLines w:val="0"/>
        <w:pageBreakBefore w:val="0"/>
        <w:widowControl w:val="0"/>
        <w:kinsoku/>
        <w:wordWrap/>
        <w:overflowPunct/>
        <w:topLinePunct w:val="0"/>
        <w:autoSpaceDE w:val="0"/>
        <w:autoSpaceDN w:val="0"/>
        <w:bidi w:val="0"/>
        <w:adjustRightInd w:val="0"/>
        <w:snapToGrid w:val="0"/>
        <w:spacing w:before="176"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3.3.1在磋商须知前附表规定的磋商有效期内，供应商不得要求撤销或</w:t>
      </w:r>
      <w:r>
        <w:rPr>
          <w:rFonts w:hint="eastAsia" w:asciiTheme="minorEastAsia" w:hAnsiTheme="minorEastAsia" w:eastAsiaTheme="minorEastAsia" w:cstheme="minorEastAsia"/>
          <w:color w:val="auto"/>
          <w:spacing w:val="8"/>
          <w:sz w:val="24"/>
          <w:szCs w:val="24"/>
          <w:highlight w:val="none"/>
        </w:rPr>
        <w:t>修改其竞争性磋商响应文件。</w:t>
      </w:r>
    </w:p>
    <w:p w14:paraId="0C219B27">
      <w:pPr>
        <w:keepNext w:val="0"/>
        <w:keepLines w:val="0"/>
        <w:pageBreakBefore w:val="0"/>
        <w:widowControl w:val="0"/>
        <w:kinsoku/>
        <w:wordWrap/>
        <w:overflowPunct/>
        <w:topLinePunct w:val="0"/>
        <w:autoSpaceDE w:val="0"/>
        <w:autoSpaceDN w:val="0"/>
        <w:bidi w:val="0"/>
        <w:adjustRightInd w:val="0"/>
        <w:snapToGrid w:val="0"/>
        <w:spacing w:before="161"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3.3.2出现特殊情况需要延长磋商有效期的，采购人以书面形式通知所有供应商延长磋商有效期。</w:t>
      </w:r>
    </w:p>
    <w:p w14:paraId="3BB196EB">
      <w:pPr>
        <w:keepNext w:val="0"/>
        <w:keepLines w:val="0"/>
        <w:pageBreakBefore w:val="0"/>
        <w:widowControl w:val="0"/>
        <w:kinsoku/>
        <w:wordWrap/>
        <w:overflowPunct/>
        <w:topLinePunct w:val="0"/>
        <w:autoSpaceDE w:val="0"/>
        <w:autoSpaceDN w:val="0"/>
        <w:bidi w:val="0"/>
        <w:adjustRightInd w:val="0"/>
        <w:snapToGrid w:val="0"/>
        <w:spacing w:before="166"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3.5资格审查资料（适用于已进行资格预审的）</w:t>
      </w:r>
    </w:p>
    <w:p w14:paraId="4146CF6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28" w:firstLineChars="200"/>
        <w:textAlignment w:val="baseline"/>
        <w:rPr>
          <w:rFonts w:hint="eastAsia" w:asciiTheme="minorEastAsia" w:hAnsiTheme="minorEastAsia" w:eastAsiaTheme="minorEastAsia" w:cstheme="minorEastAsia"/>
          <w:color w:val="auto"/>
          <w:spacing w:val="12"/>
          <w:position w:val="15"/>
          <w:sz w:val="24"/>
          <w:szCs w:val="24"/>
          <w:highlight w:val="none"/>
        </w:rPr>
      </w:pPr>
      <w:r>
        <w:rPr>
          <w:rFonts w:hint="eastAsia" w:asciiTheme="minorEastAsia" w:hAnsiTheme="minorEastAsia" w:eastAsiaTheme="minorEastAsia" w:cstheme="minorEastAsia"/>
          <w:color w:val="auto"/>
          <w:spacing w:val="12"/>
          <w:position w:val="15"/>
          <w:sz w:val="24"/>
          <w:szCs w:val="24"/>
          <w:highlight w:val="none"/>
        </w:rPr>
        <w:t>供应商在编制竞争性磋商响应文件时，应按新情况更新或补充其在申请资格预审时提供的资料，以证实其各项资格条件仍能继续满足资格预审文件的要求，具备承担本标段施工的资质条件、能力和信誉。</w:t>
      </w:r>
    </w:p>
    <w:p w14:paraId="1D91AB7E">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8"/>
          <w:position w:val="15"/>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3.5.1“供应商基本情况表”应附供应商营业执照副本及国家企业信用信息公示系统等证明材料的复印件。</w:t>
      </w:r>
    </w:p>
    <w:p w14:paraId="4017014D">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8"/>
          <w:position w:val="15"/>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3.5.2“近年完成的类似项目情况表”应附合同协议书的复印件，具体年份要求见磋商须知前附表。每张表格只填写一个项目，并标明序号。</w:t>
      </w:r>
    </w:p>
    <w:p w14:paraId="79BC79E5">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pacing w:val="8"/>
          <w:position w:val="15"/>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3.5.3“正在施工和新承接的项目情况表”应附合同协议书复印件。每张表格只填写一个项目，并标明序号。</w:t>
      </w:r>
    </w:p>
    <w:p w14:paraId="35D942B0">
      <w:pPr>
        <w:pStyle w:val="15"/>
        <w:keepNext w:val="0"/>
        <w:keepLines w:val="0"/>
        <w:pageBreakBefore w:val="0"/>
        <w:widowControl w:val="0"/>
        <w:kinsoku/>
        <w:wordWrap/>
        <w:overflowPunct/>
        <w:topLinePunct w:val="0"/>
        <w:autoSpaceDE w:val="0"/>
        <w:autoSpaceDN w:val="0"/>
        <w:bidi w:val="0"/>
        <w:ind w:left="0" w:leftChars="0" w:firstLine="0" w:firstLineChars="0"/>
        <w:rPr>
          <w:rFonts w:hint="eastAsia" w:asciiTheme="minorEastAsia" w:hAnsiTheme="minorEastAsia" w:eastAsiaTheme="minorEastAsia" w:cstheme="minorEastAsia"/>
          <w:color w:val="auto"/>
          <w:spacing w:val="8"/>
          <w:position w:val="15"/>
          <w:sz w:val="24"/>
          <w:szCs w:val="24"/>
          <w:highlight w:val="none"/>
          <w:lang w:val="en-US" w:eastAsia="zh-CN"/>
        </w:rPr>
      </w:pPr>
      <w:r>
        <w:rPr>
          <w:rFonts w:hint="eastAsia" w:asciiTheme="minorEastAsia" w:hAnsiTheme="minorEastAsia" w:eastAsiaTheme="minorEastAsia" w:cstheme="minorEastAsia"/>
          <w:color w:val="auto"/>
          <w:spacing w:val="8"/>
          <w:position w:val="15"/>
          <w:sz w:val="24"/>
          <w:szCs w:val="24"/>
          <w:highlight w:val="none"/>
          <w:lang w:val="en-US" w:eastAsia="zh-CN"/>
        </w:rPr>
        <w:t>3.5.4财务要求：近三年（2022年-2024年）经会计师事务所或审计机构审计的财务审计报告，财务状况良好。（当供应商成立日期在2022年-2024年之间的，提供从成立日期起至2024年之间的经会计师事务所或审计机构审计的财务审计报告，2025年以后新成立的公司无财务审计报告的，需提供一份基本开户银行出具的资信证明；各供应商另须提供2025年01月01日至响应文件报名截止时间的财务状况良好承诺书）。</w:t>
      </w:r>
    </w:p>
    <w:p w14:paraId="3101BA54">
      <w:pPr>
        <w:pStyle w:val="15"/>
        <w:keepNext w:val="0"/>
        <w:keepLines w:val="0"/>
        <w:pageBreakBefore w:val="0"/>
        <w:widowControl w:val="0"/>
        <w:kinsoku/>
        <w:wordWrap/>
        <w:overflowPunct/>
        <w:topLinePunct w:val="0"/>
        <w:autoSpaceDE w:val="0"/>
        <w:autoSpaceDN w:val="0"/>
        <w:bidi w:val="0"/>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3.5.</w:t>
      </w:r>
      <w:r>
        <w:rPr>
          <w:rFonts w:hint="eastAsia" w:asciiTheme="minorEastAsia" w:hAnsiTheme="minorEastAsia" w:eastAsiaTheme="minorEastAsia" w:cstheme="minorEastAsia"/>
          <w:color w:val="auto"/>
          <w:spacing w:val="8"/>
          <w:position w:val="15"/>
          <w:sz w:val="24"/>
          <w:szCs w:val="24"/>
          <w:highlight w:val="none"/>
          <w:lang w:val="en-US" w:eastAsia="zh-CN"/>
        </w:rPr>
        <w:t>5</w:t>
      </w:r>
      <w:r>
        <w:rPr>
          <w:rFonts w:hint="eastAsia" w:asciiTheme="minorEastAsia" w:hAnsiTheme="minorEastAsia" w:eastAsiaTheme="minorEastAsia" w:cstheme="minorEastAsia"/>
          <w:color w:val="auto"/>
          <w:spacing w:val="8"/>
          <w:position w:val="15"/>
          <w:sz w:val="24"/>
          <w:szCs w:val="24"/>
          <w:highlight w:val="none"/>
        </w:rPr>
        <w:t>“近年发生的诉讼及仲裁情况”应说明相关情况，并附法院或仲裁机构作出的判决、裁决等有关法律文书复印件，具体年份要求见磋商须知前附表。</w:t>
      </w:r>
    </w:p>
    <w:p w14:paraId="574D9954">
      <w:pPr>
        <w:keepNext w:val="0"/>
        <w:keepLines w:val="0"/>
        <w:pageBreakBefore w:val="0"/>
        <w:widowControl w:val="0"/>
        <w:kinsoku/>
        <w:wordWrap/>
        <w:overflowPunct/>
        <w:topLinePunct w:val="0"/>
        <w:autoSpaceDE w:val="0"/>
        <w:autoSpaceDN w:val="0"/>
        <w:bidi w:val="0"/>
        <w:adjustRightInd w:val="0"/>
        <w:snapToGrid w:val="0"/>
        <w:spacing w:before="164" w:line="360" w:lineRule="auto"/>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3.6备选投标方案</w:t>
      </w:r>
    </w:p>
    <w:p w14:paraId="238E1F51">
      <w:pPr>
        <w:keepNext w:val="0"/>
        <w:keepLines w:val="0"/>
        <w:pageBreakBefore w:val="0"/>
        <w:widowControl w:val="0"/>
        <w:kinsoku/>
        <w:wordWrap/>
        <w:overflowPunct/>
        <w:topLinePunct w:val="0"/>
        <w:autoSpaceDE w:val="0"/>
        <w:autoSpaceDN w:val="0"/>
        <w:bidi w:val="0"/>
        <w:adjustRightInd w:val="0"/>
        <w:snapToGrid w:val="0"/>
        <w:spacing w:before="175" w:line="360" w:lineRule="auto"/>
        <w:ind w:right="56" w:firstLine="52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除磋商须知前附表另有规定外，供应商不得递交备选投标方案。允许供应商递交备选投标方案的，只</w:t>
      </w:r>
      <w:r>
        <w:rPr>
          <w:rFonts w:hint="eastAsia" w:asciiTheme="minorEastAsia" w:hAnsiTheme="minorEastAsia" w:eastAsiaTheme="minorEastAsia" w:cstheme="minorEastAsia"/>
          <w:color w:val="auto"/>
          <w:spacing w:val="12"/>
          <w:sz w:val="24"/>
          <w:szCs w:val="24"/>
          <w:highlight w:val="none"/>
        </w:rPr>
        <w:t>有成交人所递交的备选投标方案方可予以考虑。磋商小组</w:t>
      </w:r>
      <w:r>
        <w:rPr>
          <w:rFonts w:hint="eastAsia" w:asciiTheme="minorEastAsia" w:hAnsiTheme="minorEastAsia" w:eastAsiaTheme="minorEastAsia" w:cstheme="minorEastAsia"/>
          <w:color w:val="auto"/>
          <w:spacing w:val="11"/>
          <w:sz w:val="24"/>
          <w:szCs w:val="24"/>
          <w:highlight w:val="none"/>
        </w:rPr>
        <w:t>认为成交人的备选投标方案优于其按照竞争性磋</w:t>
      </w:r>
      <w:r>
        <w:rPr>
          <w:rFonts w:hint="eastAsia" w:asciiTheme="minorEastAsia" w:hAnsiTheme="minorEastAsia" w:eastAsiaTheme="minorEastAsia" w:cstheme="minorEastAsia"/>
          <w:color w:val="auto"/>
          <w:spacing w:val="9"/>
          <w:sz w:val="24"/>
          <w:szCs w:val="24"/>
          <w:highlight w:val="none"/>
        </w:rPr>
        <w:t>商文件要求编制的投标方案的，采购人可以接受该备选投标方案。</w:t>
      </w:r>
    </w:p>
    <w:p w14:paraId="380166C4">
      <w:pPr>
        <w:keepNext w:val="0"/>
        <w:keepLines w:val="0"/>
        <w:pageBreakBefore w:val="0"/>
        <w:widowControl w:val="0"/>
        <w:kinsoku/>
        <w:wordWrap/>
        <w:overflowPunct/>
        <w:topLinePunct w:val="0"/>
        <w:autoSpaceDE w:val="0"/>
        <w:autoSpaceDN w:val="0"/>
        <w:bidi w:val="0"/>
        <w:adjustRightInd w:val="0"/>
        <w:snapToGrid w:val="0"/>
        <w:spacing w:before="166" w:line="360" w:lineRule="auto"/>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3.7竞争性磋商响应文件的编制</w:t>
      </w:r>
    </w:p>
    <w:p w14:paraId="66A3C214">
      <w:pPr>
        <w:keepNext w:val="0"/>
        <w:keepLines w:val="0"/>
        <w:pageBreakBefore w:val="0"/>
        <w:widowControl w:val="0"/>
        <w:kinsoku/>
        <w:wordWrap/>
        <w:overflowPunct/>
        <w:topLinePunct w:val="0"/>
        <w:autoSpaceDE w:val="0"/>
        <w:autoSpaceDN w:val="0"/>
        <w:bidi w:val="0"/>
        <w:adjustRightInd w:val="0"/>
        <w:snapToGrid w:val="0"/>
        <w:spacing w:before="177"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3.7.1竞争性磋商响应文件应按第</w:t>
      </w:r>
      <w:r>
        <w:rPr>
          <w:rFonts w:hint="eastAsia" w:asciiTheme="minorEastAsia" w:hAnsiTheme="minorEastAsia" w:eastAsiaTheme="minorEastAsia" w:cstheme="minorEastAsia"/>
          <w:color w:val="auto"/>
          <w:spacing w:val="7"/>
          <w:sz w:val="24"/>
          <w:szCs w:val="24"/>
          <w:highlight w:val="none"/>
          <w:lang w:val="en-US" w:eastAsia="zh-CN"/>
        </w:rPr>
        <w:t>八</w:t>
      </w:r>
      <w:r>
        <w:rPr>
          <w:rFonts w:hint="eastAsia" w:asciiTheme="minorEastAsia" w:hAnsiTheme="minorEastAsia" w:eastAsiaTheme="minorEastAsia" w:cstheme="minorEastAsia"/>
          <w:color w:val="auto"/>
          <w:spacing w:val="7"/>
          <w:sz w:val="24"/>
          <w:szCs w:val="24"/>
          <w:highlight w:val="none"/>
        </w:rPr>
        <w:t>章“竞争性磋商响应文件格式”进行</w:t>
      </w:r>
      <w:r>
        <w:rPr>
          <w:rFonts w:hint="eastAsia" w:asciiTheme="minorEastAsia" w:hAnsiTheme="minorEastAsia" w:eastAsiaTheme="minorEastAsia" w:cstheme="minorEastAsia"/>
          <w:color w:val="auto"/>
          <w:spacing w:val="6"/>
          <w:sz w:val="24"/>
          <w:szCs w:val="24"/>
          <w:highlight w:val="none"/>
        </w:rPr>
        <w:t>编写如有必要，可以增加附</w:t>
      </w:r>
      <w:r>
        <w:rPr>
          <w:rFonts w:hint="eastAsia" w:asciiTheme="minorEastAsia" w:hAnsiTheme="minorEastAsia" w:eastAsiaTheme="minorEastAsia" w:cstheme="minorEastAsia"/>
          <w:color w:val="auto"/>
          <w:spacing w:val="8"/>
          <w:sz w:val="24"/>
          <w:szCs w:val="24"/>
          <w:highlight w:val="none"/>
        </w:rPr>
        <w:t>页，作为竞争性磋商响应文件的组成部分。</w:t>
      </w:r>
    </w:p>
    <w:p w14:paraId="3C84CAA0">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11"/>
          <w:position w:val="15"/>
          <w:sz w:val="24"/>
          <w:szCs w:val="24"/>
          <w:highlight w:val="none"/>
        </w:rPr>
      </w:pPr>
      <w:r>
        <w:rPr>
          <w:rFonts w:hint="eastAsia" w:asciiTheme="minorEastAsia" w:hAnsiTheme="minorEastAsia" w:eastAsiaTheme="minorEastAsia" w:cstheme="minorEastAsia"/>
          <w:color w:val="auto"/>
          <w:spacing w:val="11"/>
          <w:position w:val="15"/>
          <w:sz w:val="24"/>
          <w:szCs w:val="24"/>
          <w:highlight w:val="none"/>
        </w:rPr>
        <w:t>3.7.2竞争性磋商响应文件应当对竞争性磋商文件有关工期、磋商有效期、质量要求、采购范围等实质性内容作出响应。</w:t>
      </w:r>
    </w:p>
    <w:p w14:paraId="0E15B802">
      <w:pPr>
        <w:keepNext w:val="0"/>
        <w:keepLines w:val="0"/>
        <w:pageBreakBefore w:val="0"/>
        <w:widowControl w:val="0"/>
        <w:kinsoku/>
        <w:wordWrap/>
        <w:overflowPunct/>
        <w:topLinePunct w:val="0"/>
        <w:autoSpaceDE w:val="0"/>
        <w:autoSpaceDN w:val="0"/>
        <w:bidi w:val="0"/>
        <w:adjustRightInd w:val="0"/>
        <w:snapToGrid w:val="0"/>
        <w:spacing w:before="175" w:line="360" w:lineRule="auto"/>
        <w:jc w:val="center"/>
        <w:textAlignment w:val="baseline"/>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pacing w:val="-7"/>
          <w:sz w:val="28"/>
          <w:szCs w:val="28"/>
          <w:highlight w:val="none"/>
        </w:rPr>
        <w:t>4.投标</w:t>
      </w:r>
    </w:p>
    <w:p w14:paraId="7E547206">
      <w:pPr>
        <w:keepNext w:val="0"/>
        <w:keepLines w:val="0"/>
        <w:pageBreakBefore w:val="0"/>
        <w:widowControl w:val="0"/>
        <w:kinsoku/>
        <w:wordWrap/>
        <w:overflowPunct/>
        <w:topLinePunct w:val="0"/>
        <w:autoSpaceDE w:val="0"/>
        <w:autoSpaceDN w:val="0"/>
        <w:bidi w:val="0"/>
        <w:adjustRightInd w:val="0"/>
        <w:snapToGrid w:val="0"/>
        <w:spacing w:before="216" w:line="360" w:lineRule="auto"/>
        <w:textAlignment w:val="baseline"/>
        <w:outlineLvl w:val="1"/>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4.1竞争性磋商响应文件</w:t>
      </w:r>
    </w:p>
    <w:p w14:paraId="3058256D">
      <w:pPr>
        <w:keepNext w:val="0"/>
        <w:keepLines w:val="0"/>
        <w:pageBreakBefore w:val="0"/>
        <w:widowControl w:val="0"/>
        <w:kinsoku/>
        <w:wordWrap/>
        <w:overflowPunct/>
        <w:topLinePunct w:val="0"/>
        <w:autoSpaceDE w:val="0"/>
        <w:autoSpaceDN w:val="0"/>
        <w:bidi w:val="0"/>
        <w:adjustRightInd w:val="0"/>
        <w:snapToGrid w:val="0"/>
        <w:spacing w:before="216" w:line="360" w:lineRule="auto"/>
        <w:textAlignment w:val="baseline"/>
        <w:outlineLvl w:val="1"/>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采用电子招标投标，对投标文件的编制、标记、递交、开标、评标等的具体要求，见投标人须知前附表。</w:t>
      </w:r>
    </w:p>
    <w:p w14:paraId="57C8FF0C">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8"/>
          <w:position w:val="15"/>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4.2竞争性磋商响应文件的递交</w:t>
      </w:r>
    </w:p>
    <w:p w14:paraId="6999EFD8">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4.2.1供应商应在本章第2.2.2项规定的投标截止时间前递交竞争性磋商</w:t>
      </w:r>
      <w:r>
        <w:rPr>
          <w:rFonts w:hint="eastAsia" w:asciiTheme="minorEastAsia" w:hAnsiTheme="minorEastAsia" w:eastAsiaTheme="minorEastAsia" w:cstheme="minorEastAsia"/>
          <w:color w:val="auto"/>
          <w:spacing w:val="8"/>
          <w:position w:val="15"/>
          <w:sz w:val="24"/>
          <w:szCs w:val="24"/>
          <w:highlight w:val="none"/>
          <w:lang w:val="en-US" w:eastAsia="zh-CN"/>
        </w:rPr>
        <w:t>响应文件。</w:t>
      </w:r>
    </w:p>
    <w:p w14:paraId="6E6AFDD3">
      <w:pPr>
        <w:keepNext w:val="0"/>
        <w:keepLines w:val="0"/>
        <w:pageBreakBefore w:val="0"/>
        <w:widowControl w:val="0"/>
        <w:kinsoku/>
        <w:wordWrap/>
        <w:overflowPunct/>
        <w:topLinePunct w:val="0"/>
        <w:autoSpaceDE w:val="0"/>
        <w:autoSpaceDN w:val="0"/>
        <w:bidi w:val="0"/>
        <w:adjustRightInd w:val="0"/>
        <w:snapToGrid w:val="0"/>
        <w:spacing w:before="163"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4.2.2供应商递交投竞争性磋商响应文</w:t>
      </w:r>
      <w:r>
        <w:rPr>
          <w:rFonts w:hint="eastAsia" w:asciiTheme="minorEastAsia" w:hAnsiTheme="minorEastAsia" w:eastAsiaTheme="minorEastAsia" w:cstheme="minorEastAsia"/>
          <w:color w:val="auto"/>
          <w:spacing w:val="8"/>
          <w:sz w:val="24"/>
          <w:szCs w:val="24"/>
          <w:highlight w:val="none"/>
        </w:rPr>
        <w:t>件的地点：见供应商须知前附表。</w:t>
      </w:r>
    </w:p>
    <w:p w14:paraId="71D8AB55">
      <w:pPr>
        <w:keepNext w:val="0"/>
        <w:keepLines w:val="0"/>
        <w:pageBreakBefore w:val="0"/>
        <w:widowControl w:val="0"/>
        <w:kinsoku/>
        <w:wordWrap/>
        <w:overflowPunct/>
        <w:topLinePunct w:val="0"/>
        <w:autoSpaceDE w:val="0"/>
        <w:autoSpaceDN w:val="0"/>
        <w:bidi w:val="0"/>
        <w:adjustRightInd w:val="0"/>
        <w:snapToGrid w:val="0"/>
        <w:spacing w:before="169" w:line="360" w:lineRule="auto"/>
        <w:textAlignment w:val="baseline"/>
        <w:outlineLvl w:val="1"/>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4.3竞争性磋商响应文件的修改与撤回</w:t>
      </w:r>
      <w:r>
        <w:rPr>
          <w:rFonts w:hint="eastAsia" w:asciiTheme="minorEastAsia" w:hAnsiTheme="minorEastAsia" w:eastAsiaTheme="minorEastAsia" w:cstheme="minorEastAsia"/>
          <w:color w:val="auto"/>
          <w:spacing w:val="-1"/>
          <w:sz w:val="24"/>
          <w:szCs w:val="24"/>
          <w:highlight w:val="none"/>
          <w:lang w:eastAsia="zh-CN"/>
        </w:rPr>
        <w:t>。</w:t>
      </w:r>
    </w:p>
    <w:p w14:paraId="178A5202">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4.3.1在本章第2.2.2项规定的投标截止时间前，供应商可以修改或撤回已递交的竞争性磋商响应文件，但应以书面形式通知采购人。</w:t>
      </w:r>
    </w:p>
    <w:p w14:paraId="155660FE">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4.3.2供应商修改或撤回已递交竞争性磋商响应文件的书面通知应按照本章第3.7.3项的要求签字或盖章。采购人收到书面通知后，向供应商出具签收凭证。</w:t>
      </w:r>
    </w:p>
    <w:p w14:paraId="2C2527E2">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4.3.3修改的内容为竞争性磋商响应文件的组成部分。修改的竞争性磋商响应文件应按照本章第3条、第4条规定进行编制、标记和递交，并标明“修改”字样。</w:t>
      </w:r>
    </w:p>
    <w:p w14:paraId="6E2BAECA">
      <w:pPr>
        <w:keepNext w:val="0"/>
        <w:keepLines w:val="0"/>
        <w:pageBreakBefore w:val="0"/>
        <w:widowControl w:val="0"/>
        <w:kinsoku/>
        <w:wordWrap/>
        <w:overflowPunct/>
        <w:topLinePunct w:val="0"/>
        <w:autoSpaceDE w:val="0"/>
        <w:autoSpaceDN w:val="0"/>
        <w:bidi w:val="0"/>
        <w:spacing w:before="176" w:line="240" w:lineRule="auto"/>
        <w:jc w:val="center"/>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pacing w:val="-8"/>
          <w:sz w:val="28"/>
          <w:szCs w:val="28"/>
          <w:highlight w:val="none"/>
        </w:rPr>
        <w:t>5.开标</w:t>
      </w:r>
    </w:p>
    <w:p w14:paraId="0D25C2C8">
      <w:pPr>
        <w:keepNext w:val="0"/>
        <w:keepLines w:val="0"/>
        <w:pageBreakBefore w:val="0"/>
        <w:widowControl w:val="0"/>
        <w:kinsoku/>
        <w:wordWrap/>
        <w:overflowPunct/>
        <w:topLinePunct w:val="0"/>
        <w:autoSpaceDE w:val="0"/>
        <w:autoSpaceDN w:val="0"/>
        <w:bidi w:val="0"/>
        <w:adjustRightInd w:val="0"/>
        <w:snapToGrid w:val="0"/>
        <w:spacing w:before="213"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5.1开标时间和地点</w:t>
      </w:r>
    </w:p>
    <w:p w14:paraId="3022800C">
      <w:pPr>
        <w:keepNext w:val="0"/>
        <w:keepLines w:val="0"/>
        <w:pageBreakBefore w:val="0"/>
        <w:widowControl w:val="0"/>
        <w:kinsoku/>
        <w:wordWrap/>
        <w:overflowPunct/>
        <w:topLinePunct w:val="0"/>
        <w:autoSpaceDE w:val="0"/>
        <w:autoSpaceDN w:val="0"/>
        <w:bidi w:val="0"/>
        <w:adjustRightInd w:val="0"/>
        <w:snapToGrid w:val="0"/>
        <w:spacing w:before="176" w:line="360" w:lineRule="auto"/>
        <w:ind w:firstLine="472" w:firstLineChars="200"/>
        <w:textAlignment w:val="baseline"/>
        <w:outlineLvl w:val="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采购人在本章第2.2.2项规定的投标截止时间（开标时间）和磋商须知前附表规定的地点公开开标，并邀请所有供应商的法定代表人或其委托代理人参加。</w:t>
      </w:r>
    </w:p>
    <w:p w14:paraId="6B6E4048">
      <w:pPr>
        <w:keepNext w:val="0"/>
        <w:keepLines w:val="0"/>
        <w:pageBreakBefore w:val="0"/>
        <w:widowControl w:val="0"/>
        <w:kinsoku/>
        <w:wordWrap/>
        <w:overflowPunct/>
        <w:topLinePunct w:val="0"/>
        <w:autoSpaceDE w:val="0"/>
        <w:autoSpaceDN w:val="0"/>
        <w:bidi w:val="0"/>
        <w:adjustRightInd w:val="0"/>
        <w:snapToGrid w:val="0"/>
        <w:spacing w:before="176" w:line="360" w:lineRule="auto"/>
        <w:jc w:val="center"/>
        <w:textAlignment w:val="baseline"/>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pacing w:val="-6"/>
          <w:sz w:val="28"/>
          <w:szCs w:val="28"/>
          <w:highlight w:val="none"/>
        </w:rPr>
        <w:t>6.评标</w:t>
      </w:r>
    </w:p>
    <w:p w14:paraId="62B72A1B">
      <w:pPr>
        <w:keepNext w:val="0"/>
        <w:keepLines w:val="0"/>
        <w:pageBreakBefore w:val="0"/>
        <w:widowControl w:val="0"/>
        <w:kinsoku/>
        <w:wordWrap/>
        <w:overflowPunct/>
        <w:topLinePunct w:val="0"/>
        <w:autoSpaceDE w:val="0"/>
        <w:autoSpaceDN w:val="0"/>
        <w:bidi w:val="0"/>
        <w:adjustRightInd w:val="0"/>
        <w:snapToGrid w:val="0"/>
        <w:spacing w:before="216"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6.1磋商小组</w:t>
      </w:r>
    </w:p>
    <w:p w14:paraId="1FA91F54">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8"/>
          <w:position w:val="15"/>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6.1.1磋商小组由采购人依法组建的磋商小组负责。磋商小组会由有关技术专家组成。磋商小组成员人数以及技术专家的确定方式见磋商须知前附表。</w:t>
      </w:r>
    </w:p>
    <w:p w14:paraId="0F01DFF7">
      <w:pPr>
        <w:keepNext w:val="0"/>
        <w:keepLines w:val="0"/>
        <w:pageBreakBefore w:val="0"/>
        <w:widowControl w:val="0"/>
        <w:kinsoku/>
        <w:wordWrap/>
        <w:overflowPunct/>
        <w:topLinePunct w:val="0"/>
        <w:autoSpaceDE w:val="0"/>
        <w:autoSpaceDN w:val="0"/>
        <w:bidi w:val="0"/>
        <w:adjustRightInd w:val="0"/>
        <w:snapToGrid w:val="0"/>
        <w:spacing w:before="164"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8"/>
          <w:sz w:val="24"/>
          <w:szCs w:val="24"/>
          <w:highlight w:val="none"/>
        </w:rPr>
        <w:t>6.1.2磋商小组成员有下列情形之一的，应当回</w:t>
      </w:r>
      <w:r>
        <w:rPr>
          <w:rFonts w:hint="eastAsia" w:asciiTheme="minorEastAsia" w:hAnsiTheme="minorEastAsia" w:eastAsiaTheme="minorEastAsia" w:cstheme="minorEastAsia"/>
          <w:color w:val="auto"/>
          <w:spacing w:val="7"/>
          <w:sz w:val="24"/>
          <w:szCs w:val="24"/>
          <w:highlight w:val="none"/>
        </w:rPr>
        <w:t>避：</w:t>
      </w:r>
    </w:p>
    <w:p w14:paraId="52D1CC28">
      <w:pPr>
        <w:keepNext w:val="0"/>
        <w:keepLines w:val="0"/>
        <w:pageBreakBefore w:val="0"/>
        <w:widowControl w:val="0"/>
        <w:kinsoku/>
        <w:wordWrap/>
        <w:overflowPunct/>
        <w:topLinePunct w:val="0"/>
        <w:autoSpaceDE w:val="0"/>
        <w:autoSpaceDN w:val="0"/>
        <w:bidi w:val="0"/>
        <w:adjustRightInd w:val="0"/>
        <w:snapToGrid w:val="0"/>
        <w:spacing w:before="164" w:line="360" w:lineRule="auto"/>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（1）采购人或供应商的主要负责人的近亲属；</w:t>
      </w:r>
    </w:p>
    <w:p w14:paraId="6042F485">
      <w:pPr>
        <w:keepNext w:val="0"/>
        <w:keepLines w:val="0"/>
        <w:pageBreakBefore w:val="0"/>
        <w:widowControl w:val="0"/>
        <w:kinsoku/>
        <w:wordWrap/>
        <w:overflowPunct/>
        <w:topLinePunct w:val="0"/>
        <w:autoSpaceDE w:val="0"/>
        <w:autoSpaceDN w:val="0"/>
        <w:bidi w:val="0"/>
        <w:adjustRightInd w:val="0"/>
        <w:snapToGrid w:val="0"/>
        <w:spacing w:before="165" w:line="360" w:lineRule="auto"/>
        <w:textAlignment w:val="baseline"/>
        <w:outlineLvl w:val="1"/>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（2）项目主管部门或者行政监督部门的人员；</w:t>
      </w:r>
    </w:p>
    <w:p w14:paraId="1A3995B7">
      <w:pPr>
        <w:keepNext w:val="0"/>
        <w:keepLines w:val="0"/>
        <w:pageBreakBefore w:val="0"/>
        <w:widowControl w:val="0"/>
        <w:kinsoku/>
        <w:wordWrap/>
        <w:overflowPunct/>
        <w:topLinePunct w:val="0"/>
        <w:autoSpaceDE w:val="0"/>
        <w:autoSpaceDN w:val="0"/>
        <w:bidi w:val="0"/>
        <w:adjustRightInd w:val="0"/>
        <w:snapToGrid w:val="0"/>
        <w:spacing w:before="165" w:line="360" w:lineRule="auto"/>
        <w:textAlignment w:val="baseline"/>
        <w:outlineLvl w:val="1"/>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（3）与供应商有经济利益关系，可能影响对投标公正评审的；</w:t>
      </w:r>
    </w:p>
    <w:p w14:paraId="6125BC6B">
      <w:pPr>
        <w:keepNext w:val="0"/>
        <w:keepLines w:val="0"/>
        <w:pageBreakBefore w:val="0"/>
        <w:widowControl w:val="0"/>
        <w:kinsoku/>
        <w:wordWrap/>
        <w:overflowPunct/>
        <w:topLinePunct w:val="0"/>
        <w:autoSpaceDE w:val="0"/>
        <w:autoSpaceDN w:val="0"/>
        <w:bidi w:val="0"/>
        <w:adjustRightInd w:val="0"/>
        <w:snapToGrid w:val="0"/>
        <w:spacing w:before="165" w:line="360" w:lineRule="auto"/>
        <w:textAlignment w:val="baseline"/>
        <w:outlineLvl w:val="1"/>
        <w:rPr>
          <w:rFonts w:hint="eastAsia" w:asciiTheme="minorEastAsia" w:hAnsiTheme="minorEastAsia" w:eastAsiaTheme="minorEastAsia" w:cstheme="minorEastAsia"/>
          <w:color w:val="auto"/>
          <w:spacing w:val="-4"/>
          <w:sz w:val="24"/>
          <w:szCs w:val="24"/>
          <w:highlight w:val="none"/>
          <w:lang w:val="en-US" w:eastAsia="en-US"/>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lang w:val="en-US" w:eastAsia="en-US"/>
        </w:rPr>
        <w:t>曾因在采购、评标以及其他与政府采购有关活动中从事违法行为而受过行政处罚或刑事处罚的。</w:t>
      </w:r>
    </w:p>
    <w:p w14:paraId="3AAF3618">
      <w:pPr>
        <w:keepNext w:val="0"/>
        <w:keepLines w:val="0"/>
        <w:pageBreakBefore w:val="0"/>
        <w:widowControl w:val="0"/>
        <w:kinsoku/>
        <w:wordWrap/>
        <w:overflowPunct/>
        <w:topLinePunct w:val="0"/>
        <w:autoSpaceDE w:val="0"/>
        <w:autoSpaceDN w:val="0"/>
        <w:bidi w:val="0"/>
        <w:adjustRightInd w:val="0"/>
        <w:snapToGrid w:val="0"/>
        <w:spacing w:before="165" w:line="360" w:lineRule="auto"/>
        <w:textAlignment w:val="baseline"/>
        <w:outlineLvl w:val="1"/>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6.2评标原则</w:t>
      </w:r>
    </w:p>
    <w:p w14:paraId="15D2BD68">
      <w:pPr>
        <w:keepNext w:val="0"/>
        <w:keepLines w:val="0"/>
        <w:pageBreakBefore w:val="0"/>
        <w:widowControl w:val="0"/>
        <w:kinsoku/>
        <w:wordWrap/>
        <w:overflowPunct/>
        <w:topLinePunct w:val="0"/>
        <w:autoSpaceDE w:val="0"/>
        <w:autoSpaceDN w:val="0"/>
        <w:bidi w:val="0"/>
        <w:adjustRightInd w:val="0"/>
        <w:snapToGrid w:val="0"/>
        <w:spacing w:before="176" w:line="360" w:lineRule="auto"/>
        <w:ind w:firstLine="516"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评标活动遵循公平、公正、科学和择优的原则。</w:t>
      </w:r>
    </w:p>
    <w:p w14:paraId="68970C8E">
      <w:pPr>
        <w:keepNext w:val="0"/>
        <w:keepLines w:val="0"/>
        <w:pageBreakBefore w:val="0"/>
        <w:widowControl w:val="0"/>
        <w:kinsoku/>
        <w:wordWrap/>
        <w:overflowPunct/>
        <w:topLinePunct w:val="0"/>
        <w:autoSpaceDE w:val="0"/>
        <w:autoSpaceDN w:val="0"/>
        <w:bidi w:val="0"/>
        <w:adjustRightInd w:val="0"/>
        <w:snapToGrid w:val="0"/>
        <w:spacing w:before="165"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6.3评标</w:t>
      </w:r>
    </w:p>
    <w:p w14:paraId="739D4887">
      <w:pPr>
        <w:keepNext w:val="0"/>
        <w:keepLines w:val="0"/>
        <w:pageBreakBefore w:val="0"/>
        <w:widowControl w:val="0"/>
        <w:kinsoku/>
        <w:wordWrap/>
        <w:overflowPunct/>
        <w:topLinePunct w:val="0"/>
        <w:autoSpaceDE w:val="0"/>
        <w:autoSpaceDN w:val="0"/>
        <w:bidi w:val="0"/>
        <w:adjustRightInd w:val="0"/>
        <w:snapToGrid w:val="0"/>
        <w:spacing w:before="1" w:line="360" w:lineRule="auto"/>
        <w:ind w:firstLine="524" w:firstLineChars="200"/>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15"/>
          <w:sz w:val="24"/>
          <w:szCs w:val="24"/>
          <w:highlight w:val="none"/>
        </w:rPr>
        <w:t>磋商小组按照第三章“评审办法”规定的方法、评审因素、标准和程序对竞争性磋商响应文件进行评审。第三章“评审办法”没有规定的方法、评审因素和标准，不作为评标依据</w:t>
      </w:r>
      <w:r>
        <w:rPr>
          <w:rFonts w:hint="eastAsia" w:asciiTheme="minorEastAsia" w:hAnsiTheme="minorEastAsia" w:eastAsiaTheme="minorEastAsia" w:cstheme="minorEastAsia"/>
          <w:color w:val="auto"/>
          <w:spacing w:val="11"/>
          <w:position w:val="15"/>
          <w:sz w:val="24"/>
          <w:szCs w:val="24"/>
          <w:highlight w:val="none"/>
          <w:lang w:eastAsia="zh-CN"/>
        </w:rPr>
        <w:t>。</w:t>
      </w:r>
    </w:p>
    <w:p w14:paraId="51B470A7">
      <w:pPr>
        <w:keepNext w:val="0"/>
        <w:keepLines w:val="0"/>
        <w:pageBreakBefore w:val="0"/>
        <w:widowControl w:val="0"/>
        <w:kinsoku/>
        <w:wordWrap/>
        <w:overflowPunct/>
        <w:topLinePunct w:val="0"/>
        <w:autoSpaceDE w:val="0"/>
        <w:autoSpaceDN w:val="0"/>
        <w:bidi w:val="0"/>
        <w:adjustRightInd w:val="0"/>
        <w:snapToGrid w:val="0"/>
        <w:spacing w:before="173" w:line="360" w:lineRule="auto"/>
        <w:jc w:val="center"/>
        <w:textAlignment w:val="baseline"/>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pacing w:val="-3"/>
          <w:sz w:val="28"/>
          <w:szCs w:val="28"/>
          <w:highlight w:val="none"/>
        </w:rPr>
        <w:t>7.合同授予</w:t>
      </w:r>
    </w:p>
    <w:p w14:paraId="039AAD0C">
      <w:pPr>
        <w:keepNext w:val="0"/>
        <w:keepLines w:val="0"/>
        <w:pageBreakBefore w:val="0"/>
        <w:widowControl w:val="0"/>
        <w:kinsoku/>
        <w:wordWrap/>
        <w:overflowPunct/>
        <w:topLinePunct w:val="0"/>
        <w:autoSpaceDE w:val="0"/>
        <w:autoSpaceDN w:val="0"/>
        <w:bidi w:val="0"/>
        <w:adjustRightInd w:val="0"/>
        <w:snapToGrid w:val="0"/>
        <w:spacing w:before="215"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7.1定标方式</w:t>
      </w:r>
    </w:p>
    <w:p w14:paraId="0CB85B25">
      <w:pPr>
        <w:keepNext w:val="0"/>
        <w:keepLines w:val="0"/>
        <w:pageBreakBefore w:val="0"/>
        <w:widowControl w:val="0"/>
        <w:kinsoku/>
        <w:wordWrap/>
        <w:overflowPunct/>
        <w:topLinePunct w:val="0"/>
        <w:autoSpaceDE w:val="0"/>
        <w:autoSpaceDN w:val="0"/>
        <w:bidi w:val="0"/>
        <w:adjustRightInd w:val="0"/>
        <w:snapToGrid w:val="0"/>
        <w:spacing w:before="174" w:line="360" w:lineRule="auto"/>
        <w:ind w:right="2" w:firstLine="516" w:firstLineChars="200"/>
        <w:jc w:val="both"/>
        <w:textAlignment w:val="baseline"/>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除磋商须知前附表规定磋商小组直接确定成交人外，采购人依据磋商小组推荐的成交候选人确定成交人，磋商小组推荐成交候选人的人数见磋商须知前附表</w:t>
      </w:r>
    </w:p>
    <w:p w14:paraId="43B62A24">
      <w:pPr>
        <w:keepNext w:val="0"/>
        <w:keepLines w:val="0"/>
        <w:pageBreakBefore w:val="0"/>
        <w:widowControl w:val="0"/>
        <w:kinsoku/>
        <w:wordWrap/>
        <w:overflowPunct/>
        <w:topLinePunct w:val="0"/>
        <w:autoSpaceDE w:val="0"/>
        <w:autoSpaceDN w:val="0"/>
        <w:bidi w:val="0"/>
        <w:adjustRightInd w:val="0"/>
        <w:snapToGrid w:val="0"/>
        <w:spacing w:before="174" w:line="360" w:lineRule="auto"/>
        <w:ind w:right="2"/>
        <w:jc w:val="both"/>
        <w:textAlignment w:val="baseline"/>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7.2成交通知</w:t>
      </w:r>
    </w:p>
    <w:p w14:paraId="4CEBF6B3">
      <w:pPr>
        <w:keepNext w:val="0"/>
        <w:keepLines w:val="0"/>
        <w:pageBreakBefore w:val="0"/>
        <w:widowControl w:val="0"/>
        <w:kinsoku/>
        <w:wordWrap/>
        <w:overflowPunct/>
        <w:topLinePunct w:val="0"/>
        <w:autoSpaceDE w:val="0"/>
        <w:autoSpaceDN w:val="0"/>
        <w:bidi w:val="0"/>
        <w:adjustRightInd w:val="0"/>
        <w:snapToGrid w:val="0"/>
        <w:spacing w:before="174" w:line="360" w:lineRule="auto"/>
        <w:ind w:right="2" w:firstLine="516" w:firstLineChars="200"/>
        <w:jc w:val="both"/>
        <w:textAlignment w:val="baseline"/>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在本章第3.3款规定的磋商有效期内，采购人以书面形式向成交人发出成交通知书，同时将成交结果通知未成交的供应商。</w:t>
      </w:r>
    </w:p>
    <w:p w14:paraId="7F41E7C6">
      <w:pPr>
        <w:keepNext w:val="0"/>
        <w:keepLines w:val="0"/>
        <w:pageBreakBefore w:val="0"/>
        <w:widowControl w:val="0"/>
        <w:kinsoku/>
        <w:wordWrap/>
        <w:overflowPunct/>
        <w:topLinePunct w:val="0"/>
        <w:autoSpaceDE w:val="0"/>
        <w:autoSpaceDN w:val="0"/>
        <w:bidi w:val="0"/>
        <w:adjustRightInd w:val="0"/>
        <w:snapToGrid w:val="0"/>
        <w:spacing w:before="174" w:line="360" w:lineRule="auto"/>
        <w:ind w:right="2"/>
        <w:jc w:val="both"/>
        <w:textAlignment w:val="baseline"/>
        <w:rPr>
          <w:rFonts w:hint="eastAsia" w:asciiTheme="minorEastAsia" w:hAnsiTheme="minorEastAsia" w:eastAsiaTheme="minorEastAsia" w:cstheme="minorEastAsia"/>
          <w:color w:val="auto"/>
          <w:spacing w:val="9"/>
          <w:sz w:val="24"/>
          <w:szCs w:val="24"/>
          <w:highlight w:val="none"/>
        </w:rPr>
      </w:pPr>
      <w:r>
        <w:rPr>
          <w:rFonts w:hint="eastAsia" w:asciiTheme="minorEastAsia" w:hAnsiTheme="minorEastAsia" w:eastAsiaTheme="minorEastAsia" w:cstheme="minorEastAsia"/>
          <w:color w:val="auto"/>
          <w:spacing w:val="9"/>
          <w:sz w:val="24"/>
          <w:szCs w:val="24"/>
          <w:highlight w:val="none"/>
        </w:rPr>
        <w:t>7.3履约保证金</w:t>
      </w:r>
    </w:p>
    <w:p w14:paraId="1AAA7CDB">
      <w:pPr>
        <w:keepNext w:val="0"/>
        <w:keepLines w:val="0"/>
        <w:pageBreakBefore w:val="0"/>
        <w:widowControl w:val="0"/>
        <w:kinsoku/>
        <w:wordWrap/>
        <w:overflowPunct/>
        <w:topLinePunct w:val="0"/>
        <w:autoSpaceDE w:val="0"/>
        <w:autoSpaceDN w:val="0"/>
        <w:bidi w:val="0"/>
        <w:adjustRightInd w:val="0"/>
        <w:snapToGrid w:val="0"/>
        <w:spacing w:before="176"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7.3.1符合前附表要求</w:t>
      </w:r>
    </w:p>
    <w:p w14:paraId="7DC6833E">
      <w:pPr>
        <w:keepNext w:val="0"/>
        <w:keepLines w:val="0"/>
        <w:pageBreakBefore w:val="0"/>
        <w:widowControl w:val="0"/>
        <w:kinsoku/>
        <w:wordWrap/>
        <w:overflowPunct/>
        <w:topLinePunct w:val="0"/>
        <w:autoSpaceDE w:val="0"/>
        <w:autoSpaceDN w:val="0"/>
        <w:bidi w:val="0"/>
        <w:adjustRightInd w:val="0"/>
        <w:snapToGrid w:val="0"/>
        <w:spacing w:before="166"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7.4签订合同</w:t>
      </w:r>
    </w:p>
    <w:p w14:paraId="394B117E">
      <w:pPr>
        <w:keepNext w:val="0"/>
        <w:keepLines w:val="0"/>
        <w:pageBreakBefore w:val="0"/>
        <w:widowControl w:val="0"/>
        <w:kinsoku/>
        <w:wordWrap/>
        <w:overflowPunct/>
        <w:topLinePunct w:val="0"/>
        <w:autoSpaceDE w:val="0"/>
        <w:autoSpaceDN w:val="0"/>
        <w:bidi w:val="0"/>
        <w:adjustRightInd w:val="0"/>
        <w:snapToGrid w:val="0"/>
        <w:spacing w:before="174" w:line="360" w:lineRule="auto"/>
        <w:ind w:right="2"/>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rPr>
        <w:t>7.4.1采购人和成交人应当自成交通知书发出之日起30天内，根据竞争性磋商文件和成</w:t>
      </w:r>
      <w:r>
        <w:rPr>
          <w:rFonts w:hint="eastAsia" w:asciiTheme="minorEastAsia" w:hAnsiTheme="minorEastAsia" w:eastAsiaTheme="minorEastAsia" w:cstheme="minorEastAsia"/>
          <w:color w:val="auto"/>
          <w:spacing w:val="8"/>
          <w:sz w:val="24"/>
          <w:szCs w:val="24"/>
          <w:highlight w:val="none"/>
        </w:rPr>
        <w:t>交人的竞争性</w:t>
      </w:r>
      <w:r>
        <w:rPr>
          <w:rFonts w:hint="eastAsia" w:asciiTheme="minorEastAsia" w:hAnsiTheme="minorEastAsia" w:eastAsiaTheme="minorEastAsia" w:cstheme="minorEastAsia"/>
          <w:color w:val="auto"/>
          <w:spacing w:val="12"/>
          <w:sz w:val="24"/>
          <w:szCs w:val="24"/>
          <w:highlight w:val="none"/>
        </w:rPr>
        <w:t>磋商响应文件订立书面合同。成交人无正当理由拒签合同的，</w:t>
      </w:r>
      <w:r>
        <w:rPr>
          <w:rFonts w:hint="eastAsia" w:asciiTheme="minorEastAsia" w:hAnsiTheme="minorEastAsia" w:eastAsiaTheme="minorEastAsia" w:cstheme="minorEastAsia"/>
          <w:color w:val="auto"/>
          <w:spacing w:val="11"/>
          <w:sz w:val="24"/>
          <w:szCs w:val="24"/>
          <w:highlight w:val="none"/>
        </w:rPr>
        <w:t>采购人取消其成交资格，</w:t>
      </w:r>
      <w:r>
        <w:rPr>
          <w:rFonts w:hint="eastAsia" w:asciiTheme="minorEastAsia" w:hAnsiTheme="minorEastAsia" w:eastAsiaTheme="minorEastAsia" w:cstheme="minorEastAsia"/>
          <w:color w:val="auto"/>
          <w:spacing w:val="9"/>
          <w:sz w:val="24"/>
          <w:szCs w:val="24"/>
          <w:highlight w:val="none"/>
          <w:lang w:val="en-US" w:eastAsia="zh-CN"/>
        </w:rPr>
        <w:t>将成交人失信行为报告相关部门。</w:t>
      </w:r>
    </w:p>
    <w:p w14:paraId="223387B6">
      <w:pPr>
        <w:keepNext w:val="0"/>
        <w:keepLines w:val="0"/>
        <w:pageBreakBefore w:val="0"/>
        <w:widowControl w:val="0"/>
        <w:kinsoku/>
        <w:wordWrap/>
        <w:overflowPunct/>
        <w:topLinePunct w:val="0"/>
        <w:autoSpaceDE w:val="0"/>
        <w:autoSpaceDN w:val="0"/>
        <w:bidi w:val="0"/>
        <w:spacing w:before="177" w:line="240" w:lineRule="auto"/>
        <w:jc w:val="center"/>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pacing w:val="-1"/>
          <w:sz w:val="28"/>
          <w:szCs w:val="28"/>
          <w:highlight w:val="none"/>
        </w:rPr>
        <w:t>8.重新采购和不再采购</w:t>
      </w:r>
    </w:p>
    <w:p w14:paraId="56E40975">
      <w:pPr>
        <w:keepNext w:val="0"/>
        <w:keepLines w:val="0"/>
        <w:pageBreakBefore w:val="0"/>
        <w:widowControl w:val="0"/>
        <w:kinsoku/>
        <w:wordWrap/>
        <w:overflowPunct/>
        <w:topLinePunct w:val="0"/>
        <w:autoSpaceDE w:val="0"/>
        <w:autoSpaceDN w:val="0"/>
        <w:bidi w:val="0"/>
        <w:adjustRightInd w:val="0"/>
        <w:snapToGrid w:val="0"/>
        <w:spacing w:before="219"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8.1重新采购</w:t>
      </w:r>
    </w:p>
    <w:p w14:paraId="7CC187C8">
      <w:pPr>
        <w:keepNext w:val="0"/>
        <w:keepLines w:val="0"/>
        <w:pageBreakBefore w:val="0"/>
        <w:widowControl w:val="0"/>
        <w:kinsoku/>
        <w:wordWrap/>
        <w:overflowPunct/>
        <w:topLinePunct w:val="0"/>
        <w:autoSpaceDE w:val="0"/>
        <w:autoSpaceDN w:val="0"/>
        <w:bidi w:val="0"/>
        <w:adjustRightInd w:val="0"/>
        <w:snapToGrid w:val="0"/>
        <w:spacing w:before="175" w:line="360" w:lineRule="auto"/>
        <w:ind w:firstLine="512"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有下列情形之一的，采购人将重新采购：</w:t>
      </w:r>
    </w:p>
    <w:p w14:paraId="5189EFB1">
      <w:pPr>
        <w:keepNext w:val="0"/>
        <w:keepLines w:val="0"/>
        <w:pageBreakBefore w:val="0"/>
        <w:widowControl w:val="0"/>
        <w:kinsoku/>
        <w:wordWrap/>
        <w:overflowPunct/>
        <w:topLinePunct w:val="0"/>
        <w:autoSpaceDE w:val="0"/>
        <w:autoSpaceDN w:val="0"/>
        <w:bidi w:val="0"/>
        <w:adjustRightInd w:val="0"/>
        <w:snapToGrid w:val="0"/>
        <w:spacing w:before="162"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position w:val="15"/>
          <w:sz w:val="24"/>
          <w:szCs w:val="24"/>
          <w:highlight w:val="none"/>
        </w:rPr>
        <w:t>（1）投标截止时间止，供应商少于3个的；</w:t>
      </w:r>
    </w:p>
    <w:p w14:paraId="54B2EC19">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（2）磋商小组评审后否决所有投标的。</w:t>
      </w:r>
    </w:p>
    <w:p w14:paraId="5D5188A9">
      <w:pPr>
        <w:keepNext w:val="0"/>
        <w:keepLines w:val="0"/>
        <w:pageBreakBefore w:val="0"/>
        <w:widowControl w:val="0"/>
        <w:kinsoku/>
        <w:wordWrap/>
        <w:overflowPunct/>
        <w:topLinePunct w:val="0"/>
        <w:autoSpaceDE w:val="0"/>
        <w:autoSpaceDN w:val="0"/>
        <w:bidi w:val="0"/>
        <w:adjustRightInd w:val="0"/>
        <w:snapToGrid w:val="0"/>
        <w:spacing w:before="166"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8.2不再采购</w:t>
      </w:r>
    </w:p>
    <w:p w14:paraId="3E9BD132">
      <w:pPr>
        <w:keepNext w:val="0"/>
        <w:keepLines w:val="0"/>
        <w:pageBreakBefore w:val="0"/>
        <w:widowControl w:val="0"/>
        <w:kinsoku/>
        <w:wordWrap/>
        <w:overflowPunct/>
        <w:topLinePunct w:val="0"/>
        <w:autoSpaceDE w:val="0"/>
        <w:autoSpaceDN w:val="0"/>
        <w:bidi w:val="0"/>
        <w:adjustRightInd w:val="0"/>
        <w:snapToGrid w:val="0"/>
        <w:spacing w:before="175" w:line="360" w:lineRule="auto"/>
        <w:ind w:right="69" w:firstLine="528" w:firstLineChars="200"/>
        <w:jc w:val="both"/>
        <w:textAlignment w:val="baseline"/>
        <w:rPr>
          <w:rFonts w:hint="eastAsia" w:asciiTheme="minorEastAsia" w:hAnsiTheme="minorEastAsia" w:eastAsiaTheme="minorEastAsia" w:cstheme="minorEastAsia"/>
          <w:color w:val="auto"/>
          <w:spacing w:val="12"/>
          <w:sz w:val="24"/>
          <w:szCs w:val="24"/>
          <w:highlight w:val="none"/>
          <w:lang w:val="en-US" w:eastAsia="en-US"/>
        </w:rPr>
      </w:pPr>
      <w:r>
        <w:rPr>
          <w:rFonts w:hint="eastAsia" w:asciiTheme="minorEastAsia" w:hAnsiTheme="minorEastAsia" w:eastAsiaTheme="minorEastAsia" w:cstheme="minorEastAsia"/>
          <w:color w:val="auto"/>
          <w:spacing w:val="12"/>
          <w:sz w:val="24"/>
          <w:szCs w:val="24"/>
          <w:highlight w:val="none"/>
          <w:lang w:val="en-US" w:eastAsia="en-US"/>
        </w:rPr>
        <w:t>重新采购后供应商仍少于3个或者所有投标被否决的，属于必须审批或核准的工程建设项目，经原审批或核准部门批准后不再进行采购。</w:t>
      </w:r>
    </w:p>
    <w:p w14:paraId="54B2F301">
      <w:pPr>
        <w:keepNext w:val="0"/>
        <w:keepLines w:val="0"/>
        <w:pageBreakBefore w:val="0"/>
        <w:widowControl w:val="0"/>
        <w:kinsoku/>
        <w:wordWrap/>
        <w:overflowPunct/>
        <w:topLinePunct w:val="0"/>
        <w:autoSpaceDE w:val="0"/>
        <w:autoSpaceDN w:val="0"/>
        <w:bidi w:val="0"/>
        <w:adjustRightInd w:val="0"/>
        <w:snapToGrid w:val="0"/>
        <w:spacing w:before="175" w:line="360" w:lineRule="auto"/>
        <w:ind w:right="69" w:firstLine="542" w:firstLineChars="200"/>
        <w:jc w:val="center"/>
        <w:textAlignment w:val="baseline"/>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pacing w:val="-5"/>
          <w:sz w:val="28"/>
          <w:szCs w:val="28"/>
          <w:highlight w:val="none"/>
        </w:rPr>
        <w:t>9.纪律和监督</w:t>
      </w:r>
    </w:p>
    <w:p w14:paraId="7EDF2232">
      <w:pPr>
        <w:keepNext w:val="0"/>
        <w:keepLines w:val="0"/>
        <w:pageBreakBefore w:val="0"/>
        <w:widowControl w:val="0"/>
        <w:kinsoku/>
        <w:wordWrap/>
        <w:overflowPunct/>
        <w:topLinePunct w:val="0"/>
        <w:autoSpaceDE w:val="0"/>
        <w:autoSpaceDN w:val="0"/>
        <w:bidi w:val="0"/>
        <w:adjustRightInd w:val="0"/>
        <w:snapToGrid w:val="0"/>
        <w:spacing w:before="217"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9.1对采购人的纪律要求</w:t>
      </w:r>
    </w:p>
    <w:p w14:paraId="6840F5D8">
      <w:pPr>
        <w:keepNext w:val="0"/>
        <w:keepLines w:val="0"/>
        <w:pageBreakBefore w:val="0"/>
        <w:widowControl w:val="0"/>
        <w:kinsoku/>
        <w:wordWrap/>
        <w:overflowPunct/>
        <w:topLinePunct w:val="0"/>
        <w:autoSpaceDE w:val="0"/>
        <w:autoSpaceDN w:val="0"/>
        <w:bidi w:val="0"/>
        <w:adjustRightInd w:val="0"/>
        <w:snapToGrid w:val="0"/>
        <w:spacing w:before="175" w:line="360" w:lineRule="auto"/>
        <w:ind w:right="69" w:firstLine="528" w:firstLineChars="200"/>
        <w:jc w:val="both"/>
        <w:textAlignment w:val="baseline"/>
        <w:rPr>
          <w:rFonts w:hint="eastAsia" w:asciiTheme="minorEastAsia" w:hAnsiTheme="minorEastAsia" w:eastAsiaTheme="minorEastAsia" w:cstheme="minorEastAsia"/>
          <w:color w:val="auto"/>
          <w:spacing w:val="12"/>
          <w:sz w:val="24"/>
          <w:szCs w:val="24"/>
          <w:highlight w:val="none"/>
          <w:lang w:val="en-US" w:eastAsia="en-US"/>
        </w:rPr>
      </w:pPr>
      <w:r>
        <w:rPr>
          <w:rFonts w:hint="eastAsia" w:asciiTheme="minorEastAsia" w:hAnsiTheme="minorEastAsia" w:eastAsiaTheme="minorEastAsia" w:cstheme="minorEastAsia"/>
          <w:color w:val="auto"/>
          <w:spacing w:val="12"/>
          <w:sz w:val="24"/>
          <w:szCs w:val="24"/>
          <w:highlight w:val="none"/>
          <w:lang w:val="en-US" w:eastAsia="en-US"/>
        </w:rPr>
        <w:t>采购人不得泄漏政府采购活动中应当保密的情况和资料，不得与供应商串通损害国家利益、社会公共利益或者他人合法权益。</w:t>
      </w:r>
    </w:p>
    <w:p w14:paraId="6C7F6F18">
      <w:pPr>
        <w:keepNext w:val="0"/>
        <w:keepLines w:val="0"/>
        <w:pageBreakBefore w:val="0"/>
        <w:widowControl w:val="0"/>
        <w:kinsoku/>
        <w:wordWrap/>
        <w:overflowPunct/>
        <w:topLinePunct w:val="0"/>
        <w:autoSpaceDE w:val="0"/>
        <w:autoSpaceDN w:val="0"/>
        <w:bidi w:val="0"/>
        <w:adjustRightInd w:val="0"/>
        <w:snapToGrid w:val="0"/>
        <w:spacing w:before="168" w:line="360" w:lineRule="auto"/>
        <w:textAlignment w:val="baseline"/>
        <w:outlineLvl w:val="1"/>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9.2对供应商的纪律要求</w:t>
      </w:r>
    </w:p>
    <w:p w14:paraId="23F92C6D">
      <w:pPr>
        <w:keepNext w:val="0"/>
        <w:keepLines w:val="0"/>
        <w:pageBreakBefore w:val="0"/>
        <w:widowControl w:val="0"/>
        <w:kinsoku/>
        <w:wordWrap/>
        <w:overflowPunct/>
        <w:topLinePunct w:val="0"/>
        <w:autoSpaceDE w:val="0"/>
        <w:autoSpaceDN w:val="0"/>
        <w:bidi w:val="0"/>
        <w:adjustRightInd w:val="0"/>
        <w:snapToGrid w:val="0"/>
        <w:spacing w:before="175" w:line="360" w:lineRule="auto"/>
        <w:ind w:right="69" w:firstLine="528" w:firstLineChars="200"/>
        <w:jc w:val="both"/>
        <w:textAlignment w:val="baseline"/>
        <w:rPr>
          <w:rFonts w:hint="eastAsia" w:asciiTheme="minorEastAsia" w:hAnsiTheme="minorEastAsia" w:eastAsiaTheme="minorEastAsia" w:cstheme="minorEastAsia"/>
          <w:color w:val="auto"/>
          <w:spacing w:val="12"/>
          <w:sz w:val="24"/>
          <w:szCs w:val="24"/>
          <w:highlight w:val="none"/>
          <w:lang w:val="en-US" w:eastAsia="en-US"/>
        </w:rPr>
      </w:pPr>
      <w:r>
        <w:rPr>
          <w:rFonts w:hint="eastAsia" w:asciiTheme="minorEastAsia" w:hAnsiTheme="minorEastAsia" w:eastAsiaTheme="minorEastAsia" w:cstheme="minorEastAsia"/>
          <w:color w:val="auto"/>
          <w:spacing w:val="12"/>
          <w:sz w:val="24"/>
          <w:szCs w:val="24"/>
          <w:highlight w:val="none"/>
          <w:lang w:val="en-US" w:eastAsia="en-US"/>
        </w:rPr>
        <w:t>供应商不得相互串通投标或者与采购人串通投标，不得向采购人或者磋商小组成员行贿谋取成交，不得以他人名义投标或者以其他方式弄虚作假骗取成交；供应商不得以任何方式干扰、影响评标工作。</w:t>
      </w:r>
    </w:p>
    <w:p w14:paraId="5C32C50C">
      <w:pPr>
        <w:keepNext w:val="0"/>
        <w:keepLines w:val="0"/>
        <w:pageBreakBefore w:val="0"/>
        <w:widowControl w:val="0"/>
        <w:kinsoku/>
        <w:wordWrap/>
        <w:overflowPunct/>
        <w:topLinePunct w:val="0"/>
        <w:autoSpaceDE w:val="0"/>
        <w:autoSpaceDN w:val="0"/>
        <w:bidi w:val="0"/>
        <w:adjustRightInd w:val="0"/>
        <w:snapToGrid w:val="0"/>
        <w:spacing w:before="169"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9.3对评标委员会成员的纪律要求</w:t>
      </w:r>
    </w:p>
    <w:p w14:paraId="34C9EB4C">
      <w:pPr>
        <w:keepNext w:val="0"/>
        <w:keepLines w:val="0"/>
        <w:pageBreakBefore w:val="0"/>
        <w:widowControl w:val="0"/>
        <w:kinsoku/>
        <w:wordWrap/>
        <w:overflowPunct/>
        <w:topLinePunct w:val="0"/>
        <w:autoSpaceDE w:val="0"/>
        <w:autoSpaceDN w:val="0"/>
        <w:bidi w:val="0"/>
        <w:adjustRightInd w:val="0"/>
        <w:snapToGrid w:val="0"/>
        <w:spacing w:before="175" w:line="360" w:lineRule="auto"/>
        <w:ind w:right="69" w:firstLine="52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磋商小组成员不得收受他人的财物或者其他好处，不得向他人透漏对竞</w:t>
      </w:r>
      <w:r>
        <w:rPr>
          <w:rFonts w:hint="eastAsia" w:asciiTheme="minorEastAsia" w:hAnsiTheme="minorEastAsia" w:eastAsiaTheme="minorEastAsia" w:cstheme="minorEastAsia"/>
          <w:color w:val="auto"/>
          <w:spacing w:val="11"/>
          <w:sz w:val="24"/>
          <w:szCs w:val="24"/>
          <w:highlight w:val="none"/>
        </w:rPr>
        <w:t>争性磋商响应文件的评审和比</w:t>
      </w:r>
      <w:r>
        <w:rPr>
          <w:rFonts w:hint="eastAsia" w:asciiTheme="minorEastAsia" w:hAnsiTheme="minorEastAsia" w:eastAsiaTheme="minorEastAsia" w:cstheme="minorEastAsia"/>
          <w:color w:val="auto"/>
          <w:spacing w:val="12"/>
          <w:sz w:val="24"/>
          <w:szCs w:val="24"/>
          <w:highlight w:val="none"/>
        </w:rPr>
        <w:t>较、成交候选人的推荐情况以及评标有关的其他情况。在评</w:t>
      </w:r>
      <w:r>
        <w:rPr>
          <w:rFonts w:hint="eastAsia" w:asciiTheme="minorEastAsia" w:hAnsiTheme="minorEastAsia" w:eastAsiaTheme="minorEastAsia" w:cstheme="minorEastAsia"/>
          <w:color w:val="auto"/>
          <w:spacing w:val="11"/>
          <w:sz w:val="24"/>
          <w:szCs w:val="24"/>
          <w:highlight w:val="none"/>
        </w:rPr>
        <w:t>标活动中，磋商小组成员不得擅离职守，影响</w:t>
      </w:r>
      <w:r>
        <w:rPr>
          <w:rFonts w:hint="eastAsia" w:asciiTheme="minorEastAsia" w:hAnsiTheme="minorEastAsia" w:eastAsiaTheme="minorEastAsia" w:cstheme="minorEastAsia"/>
          <w:color w:val="auto"/>
          <w:spacing w:val="9"/>
          <w:sz w:val="24"/>
          <w:szCs w:val="24"/>
          <w:highlight w:val="none"/>
        </w:rPr>
        <w:t>评标程序正常进行，不得使用第三章“评审办法”没有规定的</w:t>
      </w:r>
      <w:r>
        <w:rPr>
          <w:rFonts w:hint="eastAsia" w:asciiTheme="minorEastAsia" w:hAnsiTheme="minorEastAsia" w:eastAsiaTheme="minorEastAsia" w:cstheme="minorEastAsia"/>
          <w:color w:val="auto"/>
          <w:spacing w:val="8"/>
          <w:sz w:val="24"/>
          <w:szCs w:val="24"/>
          <w:highlight w:val="none"/>
        </w:rPr>
        <w:t>评审因素和标准进行评标。</w:t>
      </w:r>
    </w:p>
    <w:p w14:paraId="6033FF69">
      <w:pPr>
        <w:keepNext w:val="0"/>
        <w:keepLines w:val="0"/>
        <w:pageBreakBefore w:val="0"/>
        <w:widowControl w:val="0"/>
        <w:kinsoku/>
        <w:wordWrap/>
        <w:overflowPunct/>
        <w:topLinePunct w:val="0"/>
        <w:autoSpaceDE w:val="0"/>
        <w:autoSpaceDN w:val="0"/>
        <w:bidi w:val="0"/>
        <w:adjustRightInd w:val="0"/>
        <w:snapToGrid w:val="0"/>
        <w:spacing w:before="166"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9.4对与评标活动有关的工作人员的纪律要求</w:t>
      </w:r>
    </w:p>
    <w:p w14:paraId="67958FDC">
      <w:pPr>
        <w:keepNext w:val="0"/>
        <w:keepLines w:val="0"/>
        <w:pageBreakBefore w:val="0"/>
        <w:widowControl w:val="0"/>
        <w:kinsoku/>
        <w:wordWrap/>
        <w:overflowPunct/>
        <w:topLinePunct w:val="0"/>
        <w:autoSpaceDE w:val="0"/>
        <w:autoSpaceDN w:val="0"/>
        <w:bidi w:val="0"/>
        <w:adjustRightInd w:val="0"/>
        <w:snapToGrid w:val="0"/>
        <w:spacing w:before="174" w:line="360" w:lineRule="auto"/>
        <w:ind w:right="69" w:firstLine="52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与评标活动有关的工作人员不得收受他人的财物或者其他好处，不得向他人透漏对竞争性磋商响应</w:t>
      </w:r>
      <w:r>
        <w:rPr>
          <w:rFonts w:hint="eastAsia" w:asciiTheme="minorEastAsia" w:hAnsiTheme="minorEastAsia" w:eastAsiaTheme="minorEastAsia" w:cstheme="minorEastAsia"/>
          <w:color w:val="auto"/>
          <w:spacing w:val="12"/>
          <w:sz w:val="24"/>
          <w:szCs w:val="24"/>
          <w:highlight w:val="none"/>
        </w:rPr>
        <w:t>文件的评审和比较、成交候选人的推荐情况以及评标有关的</w:t>
      </w:r>
      <w:r>
        <w:rPr>
          <w:rFonts w:hint="eastAsia" w:asciiTheme="minorEastAsia" w:hAnsiTheme="minorEastAsia" w:eastAsiaTheme="minorEastAsia" w:cstheme="minorEastAsia"/>
          <w:color w:val="auto"/>
          <w:spacing w:val="11"/>
          <w:sz w:val="24"/>
          <w:szCs w:val="24"/>
          <w:highlight w:val="none"/>
        </w:rPr>
        <w:t>其他情况。在评标活动中，与评标活动有关的</w:t>
      </w:r>
      <w:r>
        <w:rPr>
          <w:rFonts w:hint="eastAsia" w:asciiTheme="minorEastAsia" w:hAnsiTheme="minorEastAsia" w:eastAsiaTheme="minorEastAsia" w:cstheme="minorEastAsia"/>
          <w:color w:val="auto"/>
          <w:spacing w:val="9"/>
          <w:sz w:val="24"/>
          <w:szCs w:val="24"/>
          <w:highlight w:val="none"/>
        </w:rPr>
        <w:t>工作人员不得擅离职守，影响评标程序正常进行。</w:t>
      </w:r>
    </w:p>
    <w:p w14:paraId="3EB538D9">
      <w:pPr>
        <w:keepNext w:val="0"/>
        <w:keepLines w:val="0"/>
        <w:pageBreakBefore w:val="0"/>
        <w:widowControl w:val="0"/>
        <w:kinsoku/>
        <w:wordWrap/>
        <w:overflowPunct/>
        <w:topLinePunct w:val="0"/>
        <w:autoSpaceDE w:val="0"/>
        <w:autoSpaceDN w:val="0"/>
        <w:bidi w:val="0"/>
        <w:adjustRightInd w:val="0"/>
        <w:snapToGrid w:val="0"/>
        <w:spacing w:before="165" w:line="360" w:lineRule="auto"/>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9.5质疑处理和投诉</w:t>
      </w:r>
    </w:p>
    <w:p w14:paraId="718A849A">
      <w:pPr>
        <w:keepNext w:val="0"/>
        <w:keepLines w:val="0"/>
        <w:pageBreakBefore w:val="0"/>
        <w:widowControl w:val="0"/>
        <w:kinsoku/>
        <w:wordWrap/>
        <w:overflowPunct/>
        <w:topLinePunct w:val="0"/>
        <w:autoSpaceDE w:val="0"/>
        <w:autoSpaceDN w:val="0"/>
        <w:bidi w:val="0"/>
        <w:adjustRightInd w:val="0"/>
        <w:snapToGrid w:val="0"/>
        <w:spacing w:before="176"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position w:val="15"/>
          <w:sz w:val="24"/>
          <w:szCs w:val="24"/>
          <w:highlight w:val="none"/>
        </w:rPr>
        <w:t>9.5.1供应商如认为采购文件、采购过程和中标结果使自己的权益受到损害的，应在知道或应知道其权益受到损害之日起七个工作日内以书面形式向采购人、采购代理机构提出质疑。</w:t>
      </w:r>
    </w:p>
    <w:p w14:paraId="122A392B">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9.5.2供应商须在质疑期内一次性提出针对同一采购程序环节的质疑。</w:t>
      </w:r>
    </w:p>
    <w:p w14:paraId="5EF6944A">
      <w:pPr>
        <w:pStyle w:val="4"/>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default" w:eastAsiaTheme="minorEastAsia"/>
          <w:color w:val="auto"/>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9.5.3提出质疑应当提交质疑函和必要的证明材料，质疑函应当包括下列内容：</w:t>
      </w:r>
    </w:p>
    <w:p w14:paraId="48BBC60E">
      <w:pPr>
        <w:keepNext w:val="0"/>
        <w:keepLines w:val="0"/>
        <w:pageBreakBefore w:val="0"/>
        <w:widowControl w:val="0"/>
        <w:kinsoku/>
        <w:wordWrap/>
        <w:overflowPunct/>
        <w:topLinePunct w:val="0"/>
        <w:autoSpaceDE w:val="0"/>
        <w:autoSpaceDN w:val="0"/>
        <w:bidi w:val="0"/>
        <w:adjustRightInd w:val="0"/>
        <w:snapToGrid w:val="0"/>
        <w:spacing w:before="176" w:line="360" w:lineRule="auto"/>
        <w:textAlignment w:val="baseline"/>
        <w:rPr>
          <w:rFonts w:hint="eastAsia" w:asciiTheme="minorEastAsia" w:hAnsiTheme="minorEastAsia" w:eastAsiaTheme="minorEastAsia" w:cstheme="minorEastAsia"/>
          <w:color w:val="auto"/>
          <w:spacing w:val="11"/>
          <w:position w:val="15"/>
          <w:sz w:val="24"/>
          <w:szCs w:val="24"/>
          <w:highlight w:val="none"/>
          <w:lang w:val="en-US" w:eastAsia="zh-CN"/>
        </w:rPr>
      </w:pPr>
      <w:r>
        <w:rPr>
          <w:rFonts w:hint="eastAsia" w:asciiTheme="minorEastAsia" w:hAnsiTheme="minorEastAsia" w:eastAsiaTheme="minorEastAsia" w:cstheme="minorEastAsia"/>
          <w:color w:val="auto"/>
          <w:spacing w:val="11"/>
          <w:position w:val="15"/>
          <w:sz w:val="24"/>
          <w:szCs w:val="24"/>
          <w:highlight w:val="none"/>
        </w:rPr>
        <w:t>1</w:t>
      </w:r>
      <w:r>
        <w:rPr>
          <w:rFonts w:hint="eastAsia" w:asciiTheme="minorEastAsia" w:hAnsiTheme="minorEastAsia" w:eastAsiaTheme="minorEastAsia" w:cstheme="minorEastAsia"/>
          <w:color w:val="auto"/>
          <w:spacing w:val="11"/>
          <w:position w:val="15"/>
          <w:sz w:val="24"/>
          <w:szCs w:val="24"/>
          <w:highlight w:val="none"/>
          <w:lang w:eastAsia="zh-CN"/>
        </w:rPr>
        <w:t>）</w:t>
      </w:r>
      <w:r>
        <w:rPr>
          <w:rFonts w:hint="eastAsia" w:asciiTheme="minorEastAsia" w:hAnsiTheme="minorEastAsia" w:eastAsiaTheme="minorEastAsia" w:cstheme="minorEastAsia"/>
          <w:color w:val="auto"/>
          <w:spacing w:val="11"/>
          <w:position w:val="15"/>
          <w:sz w:val="24"/>
          <w:szCs w:val="24"/>
          <w:highlight w:val="none"/>
        </w:rPr>
        <w:t>供应商的姓名或者名称、地址、邮编、联系人</w:t>
      </w:r>
      <w:r>
        <w:rPr>
          <w:rFonts w:hint="eastAsia" w:asciiTheme="minorEastAsia" w:hAnsiTheme="minorEastAsia" w:eastAsiaTheme="minorEastAsia" w:cstheme="minorEastAsia"/>
          <w:color w:val="auto"/>
          <w:spacing w:val="11"/>
          <w:position w:val="15"/>
          <w:sz w:val="24"/>
          <w:szCs w:val="24"/>
          <w:highlight w:val="none"/>
          <w:lang w:val="en-US" w:eastAsia="zh-CN"/>
        </w:rPr>
        <w:t>及</w:t>
      </w:r>
      <w:r>
        <w:rPr>
          <w:rFonts w:hint="eastAsia" w:asciiTheme="minorEastAsia" w:hAnsiTheme="minorEastAsia" w:eastAsiaTheme="minorEastAsia" w:cstheme="minorEastAsia"/>
          <w:color w:val="auto"/>
          <w:spacing w:val="11"/>
          <w:position w:val="15"/>
          <w:sz w:val="24"/>
          <w:szCs w:val="24"/>
          <w:highlight w:val="none"/>
        </w:rPr>
        <w:t>联系电话</w:t>
      </w:r>
      <w:r>
        <w:rPr>
          <w:rFonts w:hint="eastAsia" w:asciiTheme="minorEastAsia" w:hAnsiTheme="minorEastAsia" w:eastAsiaTheme="minorEastAsia" w:cstheme="minorEastAsia"/>
          <w:color w:val="auto"/>
          <w:spacing w:val="11"/>
          <w:position w:val="15"/>
          <w:sz w:val="24"/>
          <w:szCs w:val="24"/>
          <w:highlight w:val="none"/>
          <w:lang w:eastAsia="zh-CN"/>
        </w:rPr>
        <w:t>；</w:t>
      </w:r>
    </w:p>
    <w:p w14:paraId="4FE45920">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2）质疑项目的名称、编号；</w:t>
      </w:r>
    </w:p>
    <w:p w14:paraId="4E4D08BA">
      <w:pPr>
        <w:keepNext w:val="0"/>
        <w:keepLines w:val="0"/>
        <w:pageBreakBefore w:val="0"/>
        <w:widowControl w:val="0"/>
        <w:kinsoku/>
        <w:wordWrap/>
        <w:overflowPunct/>
        <w:topLinePunct w:val="0"/>
        <w:autoSpaceDE w:val="0"/>
        <w:autoSpaceDN w:val="0"/>
        <w:bidi w:val="0"/>
        <w:adjustRightInd w:val="0"/>
        <w:snapToGrid w:val="0"/>
        <w:spacing w:before="163"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15"/>
          <w:sz w:val="24"/>
          <w:szCs w:val="24"/>
          <w:highlight w:val="none"/>
        </w:rPr>
        <w:t>3）具体、明确的质疑事项和与质疑事项相关的请求；</w:t>
      </w:r>
    </w:p>
    <w:p w14:paraId="252BF9D1">
      <w:pPr>
        <w:keepNext w:val="0"/>
        <w:keepLines w:val="0"/>
        <w:pageBreakBefore w:val="0"/>
        <w:widowControl w:val="0"/>
        <w:kinsoku/>
        <w:wordWrap/>
        <w:overflowPunct/>
        <w:topLinePunct w:val="0"/>
        <w:autoSpaceDE w:val="0"/>
        <w:autoSpaceDN w:val="0"/>
        <w:bidi w:val="0"/>
        <w:adjustRightInd w:val="0"/>
        <w:snapToGrid w:val="0"/>
        <w:spacing w:before="1"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4）事实依据；</w:t>
      </w:r>
    </w:p>
    <w:p w14:paraId="4C160CC2">
      <w:pPr>
        <w:keepNext w:val="0"/>
        <w:keepLines w:val="0"/>
        <w:pageBreakBefore w:val="0"/>
        <w:widowControl w:val="0"/>
        <w:kinsoku/>
        <w:wordWrap/>
        <w:overflowPunct/>
        <w:topLinePunct w:val="0"/>
        <w:autoSpaceDE w:val="0"/>
        <w:autoSpaceDN w:val="0"/>
        <w:bidi w:val="0"/>
        <w:adjustRightInd w:val="0"/>
        <w:snapToGrid w:val="0"/>
        <w:spacing w:before="161"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position w:val="15"/>
          <w:sz w:val="24"/>
          <w:szCs w:val="24"/>
          <w:highlight w:val="none"/>
        </w:rPr>
        <w:t>5）必要的法律依据；</w:t>
      </w:r>
    </w:p>
    <w:p w14:paraId="415B293B">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6）提出质疑的日期。</w:t>
      </w:r>
    </w:p>
    <w:p w14:paraId="252E7878">
      <w:pPr>
        <w:keepNext w:val="0"/>
        <w:keepLines w:val="0"/>
        <w:pageBreakBefore w:val="0"/>
        <w:widowControl w:val="0"/>
        <w:kinsoku/>
        <w:wordWrap/>
        <w:overflowPunct/>
        <w:topLinePunct w:val="0"/>
        <w:autoSpaceDE w:val="0"/>
        <w:autoSpaceDN w:val="0"/>
        <w:bidi w:val="0"/>
        <w:adjustRightInd w:val="0"/>
        <w:snapToGrid w:val="0"/>
        <w:spacing w:line="360" w:lineRule="auto"/>
        <w:ind w:firstLine="254" w:firstLineChars="100"/>
        <w:textAlignment w:val="baseline"/>
        <w:rPr>
          <w:rFonts w:hint="default" w:eastAsiaTheme="minorEastAsia"/>
          <w:color w:val="auto"/>
          <w:highlight w:val="none"/>
          <w:lang w:val="en-US" w:eastAsia="zh-CN"/>
        </w:rPr>
      </w:pPr>
      <w:r>
        <w:rPr>
          <w:rFonts w:hint="eastAsia" w:asciiTheme="minorEastAsia" w:hAnsiTheme="minorEastAsia" w:eastAsiaTheme="minorEastAsia" w:cstheme="minorEastAsia"/>
          <w:color w:val="auto"/>
          <w:spacing w:val="7"/>
          <w:sz w:val="24"/>
          <w:szCs w:val="24"/>
          <w:highlight w:val="none"/>
          <w:lang w:val="en-US" w:eastAsia="zh-CN"/>
        </w:rPr>
        <w:t>质疑函格式按附录要求填写。未按要求填写、匿名、非书面形式、七个工作日之外的质疑均不予受理。</w:t>
      </w:r>
    </w:p>
    <w:p w14:paraId="363ABDBC">
      <w:pPr>
        <w:pStyle w:val="4"/>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Cs w:val="0"/>
          <w:snapToGrid w:val="0"/>
          <w:color w:val="auto"/>
          <w:spacing w:val="7"/>
          <w:kern w:val="0"/>
          <w:position w:val="15"/>
          <w:sz w:val="24"/>
          <w:szCs w:val="24"/>
          <w:highlight w:val="none"/>
          <w:lang w:val="en-US" w:eastAsia="en-US" w:bidi="ar-SA"/>
        </w:rPr>
      </w:pPr>
      <w:r>
        <w:rPr>
          <w:rFonts w:hint="eastAsia" w:asciiTheme="minorEastAsia" w:hAnsiTheme="minorEastAsia" w:eastAsiaTheme="minorEastAsia" w:cstheme="minorEastAsia"/>
          <w:bCs w:val="0"/>
          <w:snapToGrid w:val="0"/>
          <w:color w:val="auto"/>
          <w:spacing w:val="7"/>
          <w:kern w:val="0"/>
          <w:position w:val="15"/>
          <w:sz w:val="24"/>
          <w:szCs w:val="24"/>
          <w:highlight w:val="none"/>
          <w:lang w:val="en-US" w:eastAsia="en-US" w:bidi="ar-SA"/>
        </w:rPr>
        <w:t>9.5.4采购人或采购代理机构应当在收到供应商的书面质疑后7个工作日内作出答复，并以书面形式通知质疑供应商和其他有关供应商。</w:t>
      </w:r>
    </w:p>
    <w:p w14:paraId="56639539">
      <w:pPr>
        <w:pStyle w:val="4"/>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Cs w:val="0"/>
          <w:snapToGrid w:val="0"/>
          <w:color w:val="auto"/>
          <w:spacing w:val="7"/>
          <w:kern w:val="0"/>
          <w:position w:val="15"/>
          <w:sz w:val="24"/>
          <w:szCs w:val="24"/>
          <w:highlight w:val="none"/>
          <w:lang w:val="en-US" w:eastAsia="zh-CN" w:bidi="ar-SA"/>
        </w:rPr>
      </w:pPr>
      <w:r>
        <w:rPr>
          <w:rFonts w:hint="eastAsia" w:asciiTheme="minorEastAsia" w:hAnsiTheme="minorEastAsia" w:eastAsiaTheme="minorEastAsia" w:cstheme="minorEastAsia"/>
          <w:bCs w:val="0"/>
          <w:snapToGrid w:val="0"/>
          <w:color w:val="auto"/>
          <w:spacing w:val="7"/>
          <w:kern w:val="0"/>
          <w:position w:val="15"/>
          <w:sz w:val="24"/>
          <w:szCs w:val="24"/>
          <w:highlight w:val="none"/>
          <w:lang w:val="en-US" w:eastAsia="en-US" w:bidi="ar-SA"/>
        </w:rPr>
        <w:t>9.5.5质疑供应商对采购人、采购代理机构的答复不满意，或者采购人、采购代理机构未在规定时间内作出答复的，可以在答复期满后15个工作日内按规定向财政部门提起投诉</w:t>
      </w:r>
      <w:r>
        <w:rPr>
          <w:rFonts w:hint="eastAsia" w:asciiTheme="minorEastAsia" w:hAnsiTheme="minorEastAsia" w:eastAsiaTheme="minorEastAsia" w:cstheme="minorEastAsia"/>
          <w:bCs w:val="0"/>
          <w:snapToGrid w:val="0"/>
          <w:color w:val="auto"/>
          <w:spacing w:val="7"/>
          <w:kern w:val="0"/>
          <w:position w:val="15"/>
          <w:sz w:val="24"/>
          <w:szCs w:val="24"/>
          <w:highlight w:val="none"/>
          <w:lang w:val="en-US" w:eastAsia="zh-CN" w:bidi="ar-SA"/>
        </w:rPr>
        <w:t>。</w:t>
      </w:r>
    </w:p>
    <w:p w14:paraId="53D97A2D">
      <w:pPr>
        <w:rPr>
          <w:rFonts w:hint="eastAsia" w:asciiTheme="minorEastAsia" w:hAnsiTheme="minorEastAsia" w:eastAsiaTheme="minorEastAsia" w:cstheme="minorEastAsia"/>
          <w:b/>
          <w:bCs/>
          <w:color w:val="auto"/>
          <w:spacing w:val="3"/>
          <w:sz w:val="28"/>
          <w:szCs w:val="28"/>
          <w:highlight w:val="none"/>
        </w:rPr>
      </w:pPr>
      <w:r>
        <w:rPr>
          <w:rFonts w:hint="eastAsia" w:asciiTheme="minorEastAsia" w:hAnsiTheme="minorEastAsia" w:eastAsiaTheme="minorEastAsia" w:cstheme="minorEastAsia"/>
          <w:b/>
          <w:bCs/>
          <w:color w:val="auto"/>
          <w:spacing w:val="3"/>
          <w:sz w:val="28"/>
          <w:szCs w:val="28"/>
          <w:highlight w:val="none"/>
        </w:rPr>
        <w:br w:type="page"/>
      </w:r>
    </w:p>
    <w:p w14:paraId="0B9E6A80">
      <w:pPr>
        <w:keepNext w:val="0"/>
        <w:keepLines w:val="0"/>
        <w:pageBreakBefore w:val="0"/>
        <w:widowControl w:val="0"/>
        <w:kinsoku/>
        <w:wordWrap/>
        <w:overflowPunct/>
        <w:topLinePunct w:val="0"/>
        <w:autoSpaceDE w:val="0"/>
        <w:autoSpaceDN w:val="0"/>
        <w:bidi w:val="0"/>
        <w:spacing w:before="42" w:line="240" w:lineRule="auto"/>
        <w:ind w:firstLine="574" w:firstLineChars="20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pacing w:val="3"/>
          <w:sz w:val="28"/>
          <w:szCs w:val="28"/>
          <w:highlight w:val="none"/>
        </w:rPr>
        <w:t>中小企业划型标准规定</w:t>
      </w:r>
    </w:p>
    <w:p w14:paraId="7B2763E9">
      <w:pPr>
        <w:keepNext w:val="0"/>
        <w:keepLines w:val="0"/>
        <w:pageBreakBefore w:val="0"/>
        <w:widowControl w:val="0"/>
        <w:kinsoku/>
        <w:wordWrap/>
        <w:overflowPunct/>
        <w:topLinePunct w:val="0"/>
        <w:autoSpaceDE w:val="0"/>
        <w:autoSpaceDN w:val="0"/>
        <w:bidi w:val="0"/>
        <w:adjustRightInd w:val="0"/>
        <w:snapToGrid w:val="0"/>
        <w:spacing w:before="65" w:line="360" w:lineRule="auto"/>
        <w:ind w:left="33" w:right="53" w:firstLine="468"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一、根据《中华人民共和国中小企业促进法》和《国务院关于进一步促进中小企业发展的若干意见》(国发</w:t>
      </w:r>
      <w:r>
        <w:rPr>
          <w:rFonts w:hint="eastAsia" w:asciiTheme="minorEastAsia" w:hAnsiTheme="minorEastAsia" w:eastAsiaTheme="minorEastAsia" w:cstheme="minorEastAsia"/>
          <w:color w:val="auto"/>
          <w:spacing w:val="1"/>
          <w:sz w:val="24"/>
          <w:szCs w:val="24"/>
          <w:highlight w:val="none"/>
        </w:rPr>
        <w:t>〔2009〕36号)，制定本规定。</w:t>
      </w:r>
    </w:p>
    <w:p w14:paraId="33DBECB1">
      <w:pPr>
        <w:keepNext w:val="0"/>
        <w:keepLines w:val="0"/>
        <w:pageBreakBefore w:val="0"/>
        <w:widowControl w:val="0"/>
        <w:kinsoku/>
        <w:wordWrap/>
        <w:overflowPunct/>
        <w:topLinePunct w:val="0"/>
        <w:autoSpaceDE w:val="0"/>
        <w:autoSpaceDN w:val="0"/>
        <w:bidi w:val="0"/>
        <w:adjustRightInd w:val="0"/>
        <w:snapToGrid w:val="0"/>
        <w:spacing w:before="158" w:line="360" w:lineRule="auto"/>
        <w:ind w:left="4" w:right="65" w:firstLine="52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二、中小企业划分为中型、小型、微型三种类型，具体标准根据企业从业人员、营业收入、资产总额</w:t>
      </w:r>
      <w:r>
        <w:rPr>
          <w:rFonts w:hint="eastAsia" w:asciiTheme="minorEastAsia" w:hAnsiTheme="minorEastAsia" w:eastAsiaTheme="minorEastAsia" w:cstheme="minorEastAsia"/>
          <w:color w:val="auto"/>
          <w:spacing w:val="4"/>
          <w:sz w:val="24"/>
          <w:szCs w:val="24"/>
          <w:highlight w:val="none"/>
        </w:rPr>
        <w:t>等指标，结合行业特点制定。</w:t>
      </w:r>
    </w:p>
    <w:p w14:paraId="6EA02773">
      <w:pPr>
        <w:keepNext w:val="0"/>
        <w:keepLines w:val="0"/>
        <w:pageBreakBefore w:val="0"/>
        <w:widowControl w:val="0"/>
        <w:kinsoku/>
        <w:wordWrap/>
        <w:overflowPunct/>
        <w:topLinePunct w:val="0"/>
        <w:autoSpaceDE w:val="0"/>
        <w:autoSpaceDN w:val="0"/>
        <w:bidi w:val="0"/>
        <w:adjustRightInd w:val="0"/>
        <w:snapToGrid w:val="0"/>
        <w:spacing w:before="155" w:line="360" w:lineRule="auto"/>
        <w:ind w:left="6"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三、本规定适用的行业包括：农、林、牧、渔业，工业（包括采矿业，制造业</w:t>
      </w:r>
      <w:r>
        <w:rPr>
          <w:rFonts w:hint="eastAsia" w:asciiTheme="minorEastAsia" w:hAnsiTheme="minorEastAsia" w:eastAsiaTheme="minorEastAsia" w:cstheme="minorEastAsia"/>
          <w:color w:val="auto"/>
          <w:spacing w:val="2"/>
          <w:sz w:val="24"/>
          <w:szCs w:val="24"/>
          <w:highlight w:val="none"/>
        </w:rPr>
        <w:t>，电力、热力、燃气及水</w:t>
      </w:r>
      <w:r>
        <w:rPr>
          <w:rFonts w:hint="eastAsia" w:asciiTheme="minorEastAsia" w:hAnsiTheme="minorEastAsia" w:eastAsiaTheme="minorEastAsia" w:cstheme="minorEastAsia"/>
          <w:color w:val="auto"/>
          <w:spacing w:val="-5"/>
          <w:sz w:val="24"/>
          <w:szCs w:val="24"/>
          <w:highlight w:val="none"/>
        </w:rPr>
        <w:t>生产和供应业</w:t>
      </w:r>
      <w:r>
        <w:rPr>
          <w:rFonts w:hint="eastAsia" w:asciiTheme="minorEastAsia" w:hAnsiTheme="minorEastAsia" w:eastAsiaTheme="minorEastAsia" w:cstheme="minorEastAsia"/>
          <w:color w:val="auto"/>
          <w:spacing w:val="-46"/>
          <w:w w:val="87"/>
          <w:sz w:val="24"/>
          <w:szCs w:val="24"/>
          <w:highlight w:val="none"/>
        </w:rPr>
        <w:t>），</w:t>
      </w:r>
      <w:r>
        <w:rPr>
          <w:rFonts w:hint="eastAsia" w:asciiTheme="minorEastAsia" w:hAnsiTheme="minorEastAsia" w:eastAsiaTheme="minorEastAsia" w:cstheme="minorEastAsia"/>
          <w:color w:val="auto"/>
          <w:spacing w:val="-5"/>
          <w:sz w:val="24"/>
          <w:szCs w:val="24"/>
          <w:highlight w:val="none"/>
        </w:rPr>
        <w:t>建筑业，批发业，零售业，交</w:t>
      </w:r>
      <w:r>
        <w:rPr>
          <w:rFonts w:hint="eastAsia" w:asciiTheme="minorEastAsia" w:hAnsiTheme="minorEastAsia" w:eastAsiaTheme="minorEastAsia" w:cstheme="minorEastAsia"/>
          <w:color w:val="auto"/>
          <w:spacing w:val="-6"/>
          <w:sz w:val="24"/>
          <w:szCs w:val="24"/>
          <w:highlight w:val="none"/>
        </w:rPr>
        <w:t>通运输业（不含铁路运输业</w:t>
      </w:r>
      <w:r>
        <w:rPr>
          <w:rFonts w:hint="eastAsia" w:asciiTheme="minorEastAsia" w:hAnsiTheme="minorEastAsia" w:eastAsiaTheme="minorEastAsia" w:cstheme="minorEastAsia"/>
          <w:color w:val="auto"/>
          <w:spacing w:val="-46"/>
          <w:w w:val="87"/>
          <w:sz w:val="24"/>
          <w:szCs w:val="24"/>
          <w:highlight w:val="none"/>
        </w:rPr>
        <w:t>），</w:t>
      </w:r>
      <w:r>
        <w:rPr>
          <w:rFonts w:hint="eastAsia" w:asciiTheme="minorEastAsia" w:hAnsiTheme="minorEastAsia" w:eastAsiaTheme="minorEastAsia" w:cstheme="minorEastAsia"/>
          <w:color w:val="auto"/>
          <w:spacing w:val="-6"/>
          <w:sz w:val="24"/>
          <w:szCs w:val="24"/>
          <w:highlight w:val="none"/>
        </w:rPr>
        <w:t>仓储业，邮政业，住宿业，餐饮业，</w:t>
      </w:r>
      <w:r>
        <w:rPr>
          <w:rFonts w:hint="eastAsia" w:asciiTheme="minorEastAsia" w:hAnsiTheme="minorEastAsia" w:eastAsiaTheme="minorEastAsia" w:cstheme="minorEastAsia"/>
          <w:color w:val="auto"/>
          <w:spacing w:val="1"/>
          <w:sz w:val="24"/>
          <w:szCs w:val="24"/>
          <w:highlight w:val="none"/>
        </w:rPr>
        <w:t>信息传输业（包括电信、互联网和相关服务</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1"/>
          <w:sz w:val="24"/>
          <w:szCs w:val="24"/>
          <w:highlight w:val="none"/>
        </w:rPr>
        <w:t>软件和信息技术服务业，房地产开</w:t>
      </w:r>
      <w:r>
        <w:rPr>
          <w:rFonts w:hint="eastAsia" w:asciiTheme="minorEastAsia" w:hAnsiTheme="minorEastAsia" w:eastAsiaTheme="minorEastAsia" w:cstheme="minorEastAsia"/>
          <w:color w:val="auto"/>
          <w:sz w:val="24"/>
          <w:szCs w:val="24"/>
          <w:highlight w:val="none"/>
        </w:rPr>
        <w:t>发经营，物业管理，租赁和</w:t>
      </w:r>
      <w:r>
        <w:rPr>
          <w:rFonts w:hint="eastAsia" w:asciiTheme="minorEastAsia" w:hAnsiTheme="minorEastAsia" w:eastAsiaTheme="minorEastAsia" w:cstheme="minorEastAsia"/>
          <w:color w:val="auto"/>
          <w:spacing w:val="3"/>
          <w:sz w:val="24"/>
          <w:szCs w:val="24"/>
          <w:highlight w:val="none"/>
        </w:rPr>
        <w:t>商务服务业，其他未列明行业（包括科学研究和技术服务业，水利、环境和公共设施管理业，居民服务</w:t>
      </w:r>
      <w:r>
        <w:rPr>
          <w:rFonts w:hint="eastAsia" w:asciiTheme="minorEastAsia" w:hAnsiTheme="minorEastAsia" w:eastAsiaTheme="minorEastAsia" w:cstheme="minorEastAsia"/>
          <w:color w:val="auto"/>
          <w:spacing w:val="2"/>
          <w:sz w:val="24"/>
          <w:szCs w:val="24"/>
          <w:highlight w:val="none"/>
        </w:rPr>
        <w:t>、修</w:t>
      </w:r>
      <w:r>
        <w:rPr>
          <w:rFonts w:hint="eastAsia" w:asciiTheme="minorEastAsia" w:hAnsiTheme="minorEastAsia" w:eastAsiaTheme="minorEastAsia" w:cstheme="minorEastAsia"/>
          <w:color w:val="auto"/>
          <w:spacing w:val="-4"/>
          <w:sz w:val="24"/>
          <w:szCs w:val="24"/>
          <w:highlight w:val="none"/>
        </w:rPr>
        <w:t>理和其他服务业，社会工作，文化、体育和娱乐业等）。</w:t>
      </w:r>
    </w:p>
    <w:p w14:paraId="247B89B7">
      <w:pPr>
        <w:keepNext w:val="0"/>
        <w:keepLines w:val="0"/>
        <w:pageBreakBefore w:val="0"/>
        <w:widowControl w:val="0"/>
        <w:kinsoku/>
        <w:wordWrap/>
        <w:overflowPunct/>
        <w:topLinePunct w:val="0"/>
        <w:autoSpaceDE w:val="0"/>
        <w:autoSpaceDN w:val="0"/>
        <w:bidi w:val="0"/>
        <w:adjustRightInd w:val="0"/>
        <w:snapToGrid w:val="0"/>
        <w:spacing w:before="173" w:line="360" w:lineRule="auto"/>
        <w:ind w:left="464" w:firstLine="472"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四、各行业划型标准为：</w:t>
      </w:r>
    </w:p>
    <w:p w14:paraId="78352BC8">
      <w:pPr>
        <w:keepNext w:val="0"/>
        <w:keepLines w:val="0"/>
        <w:pageBreakBefore w:val="0"/>
        <w:widowControl w:val="0"/>
        <w:kinsoku/>
        <w:wordWrap/>
        <w:overflowPunct/>
        <w:topLinePunct w:val="0"/>
        <w:autoSpaceDE w:val="0"/>
        <w:autoSpaceDN w:val="0"/>
        <w:bidi w:val="0"/>
        <w:adjustRightInd w:val="0"/>
        <w:snapToGrid w:val="0"/>
        <w:spacing w:before="123" w:line="360" w:lineRule="auto"/>
        <w:ind w:left="26" w:right="51" w:firstLine="492"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（一）农、林、牧、渔业。营业收入20000</w:t>
      </w:r>
      <w:r>
        <w:rPr>
          <w:rFonts w:hint="eastAsia" w:asciiTheme="minorEastAsia" w:hAnsiTheme="minorEastAsia" w:eastAsiaTheme="minorEastAsia" w:cstheme="minorEastAsia"/>
          <w:color w:val="auto"/>
          <w:spacing w:val="2"/>
          <w:sz w:val="24"/>
          <w:szCs w:val="24"/>
          <w:highlight w:val="none"/>
        </w:rPr>
        <w:t>万元以下的为中小微型企业。其中，营业收入500万元及以</w:t>
      </w:r>
      <w:r>
        <w:rPr>
          <w:rFonts w:hint="eastAsia" w:asciiTheme="minorEastAsia" w:hAnsiTheme="minorEastAsia" w:eastAsiaTheme="minorEastAsia" w:cstheme="minorEastAsia"/>
          <w:color w:val="auto"/>
          <w:spacing w:val="3"/>
          <w:sz w:val="24"/>
          <w:szCs w:val="24"/>
          <w:highlight w:val="none"/>
        </w:rPr>
        <w:t>上的为中型企业</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color w:val="auto"/>
          <w:spacing w:val="3"/>
          <w:sz w:val="24"/>
          <w:szCs w:val="24"/>
          <w:highlight w:val="none"/>
        </w:rPr>
        <w:t>营业收入50万元及以上的为小型企业，营业收入50万元以下的为微型企业。</w:t>
      </w:r>
    </w:p>
    <w:p w14:paraId="62E40F58">
      <w:pPr>
        <w:keepNext w:val="0"/>
        <w:keepLines w:val="0"/>
        <w:pageBreakBefore w:val="0"/>
        <w:widowControl w:val="0"/>
        <w:kinsoku/>
        <w:wordWrap/>
        <w:overflowPunct/>
        <w:topLinePunct w:val="0"/>
        <w:autoSpaceDE w:val="0"/>
        <w:autoSpaceDN w:val="0"/>
        <w:bidi w:val="0"/>
        <w:adjustRightInd w:val="0"/>
        <w:snapToGrid w:val="0"/>
        <w:spacing w:before="154" w:line="360" w:lineRule="auto"/>
        <w:ind w:left="4" w:right="48"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（二）工业。从业人员1000人以下或营业收入40000万元以下的为中小微型企业。其中，从业人员300</w:t>
      </w:r>
      <w:r>
        <w:rPr>
          <w:rFonts w:hint="eastAsia" w:asciiTheme="minorEastAsia" w:hAnsiTheme="minorEastAsia" w:eastAsiaTheme="minorEastAsia" w:cstheme="minorEastAsia"/>
          <w:color w:val="auto"/>
          <w:spacing w:val="3"/>
          <w:sz w:val="24"/>
          <w:szCs w:val="24"/>
          <w:highlight w:val="none"/>
        </w:rPr>
        <w:t>人及以上，且营业收入2000万元及以上的为中型企业；从业人员20人及以上，且营业收入300万元及以上的</w:t>
      </w:r>
      <w:r>
        <w:rPr>
          <w:rFonts w:hint="eastAsia" w:asciiTheme="minorEastAsia" w:hAnsiTheme="minorEastAsia" w:eastAsiaTheme="minorEastAsia" w:cstheme="minorEastAsia"/>
          <w:color w:val="auto"/>
          <w:spacing w:val="2"/>
          <w:sz w:val="24"/>
          <w:szCs w:val="24"/>
          <w:highlight w:val="none"/>
        </w:rPr>
        <w:t>为小型企业；从业人员20人以下或营业收入300</w:t>
      </w:r>
      <w:r>
        <w:rPr>
          <w:rFonts w:hint="eastAsia" w:asciiTheme="minorEastAsia" w:hAnsiTheme="minorEastAsia" w:eastAsiaTheme="minorEastAsia" w:cstheme="minorEastAsia"/>
          <w:color w:val="auto"/>
          <w:spacing w:val="1"/>
          <w:sz w:val="24"/>
          <w:szCs w:val="24"/>
          <w:highlight w:val="none"/>
        </w:rPr>
        <w:t>万元以下的为微型企业。</w:t>
      </w:r>
    </w:p>
    <w:p w14:paraId="13C58373">
      <w:pPr>
        <w:keepNext w:val="0"/>
        <w:keepLines w:val="0"/>
        <w:pageBreakBefore w:val="0"/>
        <w:widowControl w:val="0"/>
        <w:kinsoku/>
        <w:wordWrap/>
        <w:overflowPunct/>
        <w:topLinePunct w:val="0"/>
        <w:autoSpaceDE w:val="0"/>
        <w:autoSpaceDN w:val="0"/>
        <w:bidi w:val="0"/>
        <w:adjustRightInd w:val="0"/>
        <w:snapToGrid w:val="0"/>
        <w:spacing w:before="176" w:line="360" w:lineRule="auto"/>
        <w:ind w:right="44" w:firstLine="48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（三）建筑业</w:t>
      </w:r>
      <w:r>
        <w:rPr>
          <w:rFonts w:hint="eastAsia" w:asciiTheme="minorEastAsia" w:hAnsiTheme="minorEastAsia" w:eastAsiaTheme="minorEastAsia" w:cstheme="minorEastAsia"/>
          <w:b/>
          <w:bCs/>
          <w:color w:val="auto"/>
          <w:spacing w:val="1"/>
          <w:sz w:val="24"/>
          <w:szCs w:val="24"/>
          <w:highlight w:val="none"/>
          <w:lang w:eastAsia="zh-CN"/>
        </w:rPr>
        <w:t>，</w:t>
      </w:r>
      <w:r>
        <w:rPr>
          <w:rFonts w:hint="eastAsia" w:asciiTheme="minorEastAsia" w:hAnsiTheme="minorEastAsia" w:eastAsiaTheme="minorEastAsia" w:cstheme="minorEastAsia"/>
          <w:b/>
          <w:bCs/>
          <w:color w:val="auto"/>
          <w:spacing w:val="1"/>
          <w:sz w:val="24"/>
          <w:szCs w:val="24"/>
          <w:highlight w:val="none"/>
        </w:rPr>
        <w:t>营业收入80000万元以下或资产总额80000万元以下的为中小微型企业。其中，营业收入6000万元及以上，且资产总额5000万元</w:t>
      </w:r>
      <w:r>
        <w:rPr>
          <w:rFonts w:hint="eastAsia" w:asciiTheme="minorEastAsia" w:hAnsiTheme="minorEastAsia" w:eastAsiaTheme="minorEastAsia" w:cstheme="minorEastAsia"/>
          <w:b/>
          <w:bCs/>
          <w:color w:val="auto"/>
          <w:sz w:val="24"/>
          <w:szCs w:val="24"/>
          <w:highlight w:val="none"/>
        </w:rPr>
        <w:t>及以上的为中型企业；营业收入300万元及以上，且资产总额300万</w:t>
      </w:r>
      <w:r>
        <w:rPr>
          <w:rFonts w:hint="eastAsia" w:asciiTheme="minorEastAsia" w:hAnsiTheme="minorEastAsia" w:eastAsiaTheme="minorEastAsia" w:cstheme="minorEastAsia"/>
          <w:b/>
          <w:bCs/>
          <w:color w:val="auto"/>
          <w:spacing w:val="8"/>
          <w:sz w:val="24"/>
          <w:szCs w:val="24"/>
          <w:highlight w:val="none"/>
        </w:rPr>
        <w:t>元及以上的为小型企业；营业收入300万元以下或资产总额300万元以下的</w:t>
      </w:r>
      <w:r>
        <w:rPr>
          <w:rFonts w:hint="eastAsia" w:asciiTheme="minorEastAsia" w:hAnsiTheme="minorEastAsia" w:eastAsiaTheme="minorEastAsia" w:cstheme="minorEastAsia"/>
          <w:b/>
          <w:bCs/>
          <w:color w:val="auto"/>
          <w:spacing w:val="7"/>
          <w:sz w:val="24"/>
          <w:szCs w:val="24"/>
          <w:highlight w:val="none"/>
        </w:rPr>
        <w:t>为微型企业。</w:t>
      </w:r>
    </w:p>
    <w:p w14:paraId="551618FC">
      <w:pPr>
        <w:keepNext w:val="0"/>
        <w:keepLines w:val="0"/>
        <w:pageBreakBefore w:val="0"/>
        <w:widowControl w:val="0"/>
        <w:kinsoku/>
        <w:wordWrap/>
        <w:overflowPunct/>
        <w:topLinePunct w:val="0"/>
        <w:autoSpaceDE w:val="0"/>
        <w:autoSpaceDN w:val="0"/>
        <w:bidi w:val="0"/>
        <w:adjustRightInd w:val="0"/>
        <w:snapToGrid w:val="0"/>
        <w:spacing w:before="172" w:line="360" w:lineRule="auto"/>
        <w:ind w:left="2" w:right="48"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（四）批发业。从业人员200人以下或营业收入40000万元以下的为中小微型企业。其中，从业</w:t>
      </w:r>
      <w:r>
        <w:rPr>
          <w:rFonts w:hint="eastAsia" w:asciiTheme="minorEastAsia" w:hAnsiTheme="minorEastAsia" w:eastAsiaTheme="minorEastAsia" w:cstheme="minorEastAsia"/>
          <w:color w:val="auto"/>
          <w:sz w:val="24"/>
          <w:szCs w:val="24"/>
          <w:highlight w:val="none"/>
        </w:rPr>
        <w:t>人员20人</w:t>
      </w:r>
      <w:r>
        <w:rPr>
          <w:rFonts w:hint="eastAsia" w:asciiTheme="minorEastAsia" w:hAnsiTheme="minorEastAsia" w:eastAsiaTheme="minorEastAsia" w:cstheme="minorEastAsia"/>
          <w:color w:val="auto"/>
          <w:spacing w:val="2"/>
          <w:sz w:val="24"/>
          <w:szCs w:val="24"/>
          <w:highlight w:val="none"/>
        </w:rPr>
        <w:t>及以上，且营业收入5000万元及以上的为中型企业；从业人员5人及以上，且营业收入10</w:t>
      </w:r>
      <w:r>
        <w:rPr>
          <w:rFonts w:hint="eastAsia" w:asciiTheme="minorEastAsia" w:hAnsiTheme="minorEastAsia" w:eastAsiaTheme="minorEastAsia" w:cstheme="minorEastAsia"/>
          <w:color w:val="auto"/>
          <w:spacing w:val="1"/>
          <w:sz w:val="24"/>
          <w:szCs w:val="24"/>
          <w:highlight w:val="none"/>
        </w:rPr>
        <w:t>00万元及以上的为</w:t>
      </w:r>
      <w:r>
        <w:rPr>
          <w:rFonts w:hint="eastAsia" w:asciiTheme="minorEastAsia" w:hAnsiTheme="minorEastAsia" w:eastAsiaTheme="minorEastAsia" w:cstheme="minorEastAsia"/>
          <w:color w:val="auto"/>
          <w:sz w:val="24"/>
          <w:szCs w:val="24"/>
          <w:highlight w:val="none"/>
        </w:rPr>
        <w:t>小型企业；从业人员5人以下或营业收入1000万元以下的为微型企业。</w:t>
      </w:r>
    </w:p>
    <w:p w14:paraId="33FEF03F">
      <w:pPr>
        <w:keepNext w:val="0"/>
        <w:keepLines w:val="0"/>
        <w:pageBreakBefore w:val="0"/>
        <w:widowControl w:val="0"/>
        <w:kinsoku/>
        <w:wordWrap/>
        <w:overflowPunct/>
        <w:topLinePunct w:val="0"/>
        <w:autoSpaceDE w:val="0"/>
        <w:autoSpaceDN w:val="0"/>
        <w:bidi w:val="0"/>
        <w:adjustRightInd w:val="0"/>
        <w:snapToGrid w:val="0"/>
        <w:spacing w:before="176" w:line="360" w:lineRule="auto"/>
        <w:ind w:left="4" w:right="48"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（五）零售业。从业人员300人以下或营业收入20000万元以下的为中小微型企业。其中，从业人员50人及以上，且营业收入500万元及以上的为中型企业；从业人员10人及以上，且营业</w:t>
      </w:r>
      <w:r>
        <w:rPr>
          <w:rFonts w:hint="eastAsia" w:asciiTheme="minorEastAsia" w:hAnsiTheme="minorEastAsia" w:eastAsiaTheme="minorEastAsia" w:cstheme="minorEastAsia"/>
          <w:color w:val="auto"/>
          <w:spacing w:val="-3"/>
          <w:sz w:val="24"/>
          <w:szCs w:val="24"/>
          <w:highlight w:val="none"/>
        </w:rPr>
        <w:t>收入100万元及以上的为</w:t>
      </w:r>
      <w:r>
        <w:rPr>
          <w:rFonts w:hint="eastAsia" w:asciiTheme="minorEastAsia" w:hAnsiTheme="minorEastAsia" w:eastAsiaTheme="minorEastAsia" w:cstheme="minorEastAsia"/>
          <w:color w:val="auto"/>
          <w:sz w:val="24"/>
          <w:szCs w:val="24"/>
          <w:highlight w:val="none"/>
        </w:rPr>
        <w:t>小型企业；从业人员10人以下或营业收入100万</w:t>
      </w:r>
      <w:r>
        <w:rPr>
          <w:rFonts w:hint="eastAsia" w:asciiTheme="minorEastAsia" w:hAnsiTheme="minorEastAsia" w:eastAsiaTheme="minorEastAsia" w:cstheme="minorEastAsia"/>
          <w:color w:val="auto"/>
          <w:spacing w:val="-1"/>
          <w:sz w:val="24"/>
          <w:szCs w:val="24"/>
          <w:highlight w:val="none"/>
        </w:rPr>
        <w:t>元以下的为微型企业。</w:t>
      </w:r>
    </w:p>
    <w:p w14:paraId="5A6F9F1A">
      <w:pPr>
        <w:keepNext w:val="0"/>
        <w:keepLines w:val="0"/>
        <w:pageBreakBefore w:val="0"/>
        <w:widowControl w:val="0"/>
        <w:kinsoku/>
        <w:wordWrap/>
        <w:overflowPunct/>
        <w:topLinePunct w:val="0"/>
        <w:autoSpaceDE w:val="0"/>
        <w:autoSpaceDN w:val="0"/>
        <w:bidi w:val="0"/>
        <w:adjustRightInd w:val="0"/>
        <w:snapToGrid w:val="0"/>
        <w:spacing w:before="171" w:line="360" w:lineRule="auto"/>
        <w:ind w:left="7" w:right="53"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（六）交通运输业。从业人员1000人以下或营业收入30000万元以下的为中小微型企业。</w:t>
      </w:r>
      <w:r>
        <w:rPr>
          <w:rFonts w:hint="eastAsia" w:asciiTheme="minorEastAsia" w:hAnsiTheme="minorEastAsia" w:eastAsiaTheme="minorEastAsia" w:cstheme="minorEastAsia"/>
          <w:color w:val="auto"/>
          <w:spacing w:val="-2"/>
          <w:sz w:val="24"/>
          <w:szCs w:val="24"/>
          <w:highlight w:val="none"/>
        </w:rPr>
        <w:t>其中，从业人员</w:t>
      </w:r>
      <w:r>
        <w:rPr>
          <w:rFonts w:hint="eastAsia" w:asciiTheme="minorEastAsia" w:hAnsiTheme="minorEastAsia" w:eastAsiaTheme="minorEastAsia" w:cstheme="minorEastAsia"/>
          <w:color w:val="auto"/>
          <w:spacing w:val="4"/>
          <w:sz w:val="24"/>
          <w:szCs w:val="24"/>
          <w:highlight w:val="none"/>
        </w:rPr>
        <w:t>300人及以上，且营业收入3000万元及以上的为中型企业；从业人员20人及以上</w:t>
      </w:r>
      <w:r>
        <w:rPr>
          <w:rFonts w:hint="eastAsia" w:asciiTheme="minorEastAsia" w:hAnsiTheme="minorEastAsia" w:eastAsiaTheme="minorEastAsia" w:cstheme="minorEastAsia"/>
          <w:color w:val="auto"/>
          <w:spacing w:val="3"/>
          <w:sz w:val="24"/>
          <w:szCs w:val="24"/>
          <w:highlight w:val="none"/>
        </w:rPr>
        <w:t>，且营业收入200万元及</w:t>
      </w:r>
      <w:r>
        <w:rPr>
          <w:rFonts w:hint="eastAsia" w:asciiTheme="minorEastAsia" w:hAnsiTheme="minorEastAsia" w:eastAsiaTheme="minorEastAsia" w:cstheme="minorEastAsia"/>
          <w:color w:val="auto"/>
          <w:spacing w:val="8"/>
          <w:sz w:val="24"/>
          <w:szCs w:val="24"/>
          <w:highlight w:val="none"/>
        </w:rPr>
        <w:t>以上的为小型企业；从业人员20人以下或营业收入200万元以下的为微型企业。</w:t>
      </w:r>
    </w:p>
    <w:p w14:paraId="2677990F">
      <w:pPr>
        <w:keepNext w:val="0"/>
        <w:keepLines w:val="0"/>
        <w:pageBreakBefore w:val="0"/>
        <w:widowControl w:val="0"/>
        <w:kinsoku/>
        <w:wordWrap/>
        <w:overflowPunct/>
        <w:topLinePunct w:val="0"/>
        <w:autoSpaceDE w:val="0"/>
        <w:autoSpaceDN w:val="0"/>
        <w:bidi w:val="0"/>
        <w:adjustRightInd w:val="0"/>
        <w:snapToGrid w:val="0"/>
        <w:spacing w:before="174" w:line="360" w:lineRule="auto"/>
        <w:ind w:left="2" w:right="47"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（七）仓储业。从业人员200人以下或营业收入30000万元以下的为中小微型企业。其中，从业人员100人及以上，且营业收入1000万元及以上的为中型企业；从业人员</w:t>
      </w:r>
      <w:r>
        <w:rPr>
          <w:rFonts w:hint="eastAsia" w:asciiTheme="minorEastAsia" w:hAnsiTheme="minorEastAsia" w:eastAsiaTheme="minorEastAsia" w:cstheme="minorEastAsia"/>
          <w:color w:val="auto"/>
          <w:spacing w:val="-1"/>
          <w:sz w:val="24"/>
          <w:szCs w:val="24"/>
          <w:highlight w:val="none"/>
        </w:rPr>
        <w:t>20人及以上，且营业收入100万元及以上</w:t>
      </w:r>
      <w:r>
        <w:rPr>
          <w:rFonts w:hint="eastAsia" w:asciiTheme="minorEastAsia" w:hAnsiTheme="minorEastAsia" w:eastAsiaTheme="minorEastAsia" w:cstheme="minorEastAsia"/>
          <w:color w:val="auto"/>
          <w:spacing w:val="6"/>
          <w:sz w:val="24"/>
          <w:szCs w:val="24"/>
          <w:highlight w:val="none"/>
        </w:rPr>
        <w:t>的为小型企业；从业人员20人以下或营业收入100万元以下的为微型企业。</w:t>
      </w:r>
    </w:p>
    <w:p w14:paraId="2102E751">
      <w:pPr>
        <w:keepNext w:val="0"/>
        <w:keepLines w:val="0"/>
        <w:pageBreakBefore w:val="0"/>
        <w:widowControl w:val="0"/>
        <w:kinsoku/>
        <w:wordWrap/>
        <w:overflowPunct/>
        <w:topLinePunct w:val="0"/>
        <w:autoSpaceDE w:val="0"/>
        <w:autoSpaceDN w:val="0"/>
        <w:bidi w:val="0"/>
        <w:adjustRightInd w:val="0"/>
        <w:snapToGrid w:val="0"/>
        <w:spacing w:before="173" w:line="360" w:lineRule="auto"/>
        <w:ind w:right="51"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（八）邮政业。从业人员1000人以下或营业</w:t>
      </w:r>
      <w:r>
        <w:rPr>
          <w:rFonts w:hint="eastAsia" w:asciiTheme="minorEastAsia" w:hAnsiTheme="minorEastAsia" w:eastAsiaTheme="minorEastAsia" w:cstheme="minorEastAsia"/>
          <w:color w:val="auto"/>
          <w:spacing w:val="-3"/>
          <w:sz w:val="24"/>
          <w:szCs w:val="24"/>
          <w:highlight w:val="none"/>
        </w:rPr>
        <w:t>收入30000万元以下的为中小微型企业。其中，从业人员300人</w:t>
      </w:r>
      <w:r>
        <w:rPr>
          <w:rFonts w:hint="eastAsia" w:asciiTheme="minorEastAsia" w:hAnsiTheme="minorEastAsia" w:eastAsiaTheme="minorEastAsia" w:cstheme="minorEastAsia"/>
          <w:color w:val="auto"/>
          <w:sz w:val="24"/>
          <w:szCs w:val="24"/>
          <w:highlight w:val="none"/>
        </w:rPr>
        <w:t>及以上，且营业收入2000万元及以上的为中型企业；从业人员</w:t>
      </w:r>
      <w:r>
        <w:rPr>
          <w:rFonts w:hint="eastAsia" w:asciiTheme="minorEastAsia" w:hAnsiTheme="minorEastAsia" w:eastAsiaTheme="minorEastAsia" w:cstheme="minorEastAsia"/>
          <w:color w:val="auto"/>
          <w:spacing w:val="-1"/>
          <w:sz w:val="24"/>
          <w:szCs w:val="24"/>
          <w:highlight w:val="none"/>
        </w:rPr>
        <w:t>20人及以上，且营业收入100万元及以上的</w:t>
      </w:r>
      <w:r>
        <w:rPr>
          <w:rFonts w:hint="eastAsia" w:asciiTheme="minorEastAsia" w:hAnsiTheme="minorEastAsia" w:eastAsiaTheme="minorEastAsia" w:cstheme="minorEastAsia"/>
          <w:color w:val="auto"/>
          <w:spacing w:val="6"/>
          <w:sz w:val="24"/>
          <w:szCs w:val="24"/>
          <w:highlight w:val="none"/>
        </w:rPr>
        <w:t>为小型企业；从业人员20人以下或营业收入100万元以下的为微型企业。</w:t>
      </w:r>
    </w:p>
    <w:p w14:paraId="20060D75">
      <w:pPr>
        <w:keepNext w:val="0"/>
        <w:keepLines w:val="0"/>
        <w:pageBreakBefore w:val="0"/>
        <w:widowControl w:val="0"/>
        <w:kinsoku/>
        <w:wordWrap/>
        <w:overflowPunct/>
        <w:topLinePunct w:val="0"/>
        <w:autoSpaceDE w:val="0"/>
        <w:autoSpaceDN w:val="0"/>
        <w:bidi w:val="0"/>
        <w:adjustRightInd w:val="0"/>
        <w:snapToGrid w:val="0"/>
        <w:spacing w:before="172" w:line="360" w:lineRule="auto"/>
        <w:ind w:left="0" w:right="51"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（九）住宿业。从业人员300人以下或营业收入</w:t>
      </w:r>
      <w:r>
        <w:rPr>
          <w:rFonts w:hint="eastAsia" w:asciiTheme="minorEastAsia" w:hAnsiTheme="minorEastAsia" w:eastAsiaTheme="minorEastAsia" w:cstheme="minorEastAsia"/>
          <w:color w:val="auto"/>
          <w:spacing w:val="-2"/>
          <w:sz w:val="24"/>
          <w:szCs w:val="24"/>
          <w:highlight w:val="none"/>
        </w:rPr>
        <w:t>10000万元以下的为中小微型企业。其中，从业人员100</w:t>
      </w:r>
      <w:r>
        <w:rPr>
          <w:rFonts w:hint="eastAsia" w:asciiTheme="minorEastAsia" w:hAnsiTheme="minorEastAsia" w:eastAsiaTheme="minorEastAsia" w:cstheme="minorEastAsia"/>
          <w:color w:val="auto"/>
          <w:sz w:val="24"/>
          <w:szCs w:val="24"/>
          <w:highlight w:val="none"/>
        </w:rPr>
        <w:t>人及以上，且营业收入2000万元及以上的为中型企业；从业</w:t>
      </w:r>
      <w:r>
        <w:rPr>
          <w:rFonts w:hint="eastAsia" w:asciiTheme="minorEastAsia" w:hAnsiTheme="minorEastAsia" w:eastAsiaTheme="minorEastAsia" w:cstheme="minorEastAsia"/>
          <w:color w:val="auto"/>
          <w:spacing w:val="-1"/>
          <w:sz w:val="24"/>
          <w:szCs w:val="24"/>
          <w:highlight w:val="none"/>
        </w:rPr>
        <w:t>人员10人及以上，且营业收入100万元及以上</w:t>
      </w:r>
      <w:r>
        <w:rPr>
          <w:rFonts w:hint="eastAsia" w:asciiTheme="minorEastAsia" w:hAnsiTheme="minorEastAsia" w:eastAsiaTheme="minorEastAsia" w:cstheme="minorEastAsia"/>
          <w:color w:val="auto"/>
          <w:spacing w:val="4"/>
          <w:sz w:val="24"/>
          <w:szCs w:val="24"/>
          <w:highlight w:val="none"/>
        </w:rPr>
        <w:t>的为小型企业；从业人员10人以下或营业收入100万元以下的为微型企业。</w:t>
      </w:r>
    </w:p>
    <w:p w14:paraId="5237610F">
      <w:pPr>
        <w:keepNext w:val="0"/>
        <w:keepLines w:val="0"/>
        <w:pageBreakBefore w:val="0"/>
        <w:widowControl w:val="0"/>
        <w:kinsoku/>
        <w:wordWrap/>
        <w:overflowPunct/>
        <w:topLinePunct w:val="0"/>
        <w:autoSpaceDE w:val="0"/>
        <w:autoSpaceDN w:val="0"/>
        <w:bidi w:val="0"/>
        <w:adjustRightInd w:val="0"/>
        <w:snapToGrid w:val="0"/>
        <w:spacing w:before="176" w:line="360" w:lineRule="auto"/>
        <w:ind w:left="19" w:right="50" w:firstLine="472"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（十）餐饮业。从业人员300人以下或营业收入10000万元以下的为中小微型企业。其中，从业人员100</w:t>
      </w:r>
      <w:r>
        <w:rPr>
          <w:rFonts w:hint="eastAsia" w:asciiTheme="minorEastAsia" w:hAnsiTheme="minorEastAsia" w:eastAsiaTheme="minorEastAsia" w:cstheme="minorEastAsia"/>
          <w:color w:val="auto"/>
          <w:spacing w:val="-3"/>
          <w:sz w:val="24"/>
          <w:szCs w:val="24"/>
          <w:highlight w:val="none"/>
        </w:rPr>
        <w:t>人及以上，且营业收入2000万元及以上的为中型企业；从业人员10人及以上，且营业收入100万元</w:t>
      </w:r>
      <w:r>
        <w:rPr>
          <w:rFonts w:hint="eastAsia" w:asciiTheme="minorEastAsia" w:hAnsiTheme="minorEastAsia" w:eastAsiaTheme="minorEastAsia" w:cstheme="minorEastAsia"/>
          <w:color w:val="auto"/>
          <w:spacing w:val="5"/>
          <w:sz w:val="24"/>
          <w:szCs w:val="24"/>
          <w:highlight w:val="none"/>
        </w:rPr>
        <w:t>及以上的为小型企业；从业人员10人以下或营业收入100万</w:t>
      </w:r>
      <w:r>
        <w:rPr>
          <w:rFonts w:hint="eastAsia" w:asciiTheme="minorEastAsia" w:hAnsiTheme="minorEastAsia" w:eastAsiaTheme="minorEastAsia" w:cstheme="minorEastAsia"/>
          <w:color w:val="auto"/>
          <w:spacing w:val="4"/>
          <w:sz w:val="24"/>
          <w:szCs w:val="24"/>
          <w:highlight w:val="none"/>
        </w:rPr>
        <w:t>元以下的为微型企业。</w:t>
      </w:r>
    </w:p>
    <w:p w14:paraId="502222CB">
      <w:pPr>
        <w:keepNext w:val="0"/>
        <w:keepLines w:val="0"/>
        <w:pageBreakBefore w:val="0"/>
        <w:widowControl w:val="0"/>
        <w:kinsoku/>
        <w:wordWrap/>
        <w:overflowPunct/>
        <w:topLinePunct w:val="0"/>
        <w:autoSpaceDE w:val="0"/>
        <w:autoSpaceDN w:val="0"/>
        <w:bidi w:val="0"/>
        <w:adjustRightInd w:val="0"/>
        <w:snapToGrid w:val="0"/>
        <w:spacing w:before="121" w:line="360" w:lineRule="auto"/>
        <w:ind w:left="2" w:right="79"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（十一）信息传输业。从业人员2000人以下或营业收入100000万元以下的为中小微型企业。其中，从</w:t>
      </w:r>
      <w:r>
        <w:rPr>
          <w:rFonts w:hint="eastAsia" w:asciiTheme="minorEastAsia" w:hAnsiTheme="minorEastAsia" w:eastAsiaTheme="minorEastAsia" w:cstheme="minorEastAsia"/>
          <w:color w:val="auto"/>
          <w:spacing w:val="1"/>
          <w:sz w:val="24"/>
          <w:szCs w:val="24"/>
          <w:highlight w:val="none"/>
        </w:rPr>
        <w:t>业人员100人及以上，且营业收入1000万元及以上的为中型企业；从业人员10人及以上，</w:t>
      </w:r>
      <w:r>
        <w:rPr>
          <w:rFonts w:hint="eastAsia" w:asciiTheme="minorEastAsia" w:hAnsiTheme="minorEastAsia" w:eastAsiaTheme="minorEastAsia" w:cstheme="minorEastAsia"/>
          <w:color w:val="auto"/>
          <w:sz w:val="24"/>
          <w:szCs w:val="24"/>
          <w:highlight w:val="none"/>
        </w:rPr>
        <w:t>且营业收入100万元及以上的为小型企业；从业人员10人以下或营业收入100万元以下的为微型企业。</w:t>
      </w:r>
    </w:p>
    <w:p w14:paraId="0706B179">
      <w:pPr>
        <w:keepNext w:val="0"/>
        <w:keepLines w:val="0"/>
        <w:pageBreakBefore w:val="0"/>
        <w:widowControl w:val="0"/>
        <w:kinsoku/>
        <w:wordWrap/>
        <w:overflowPunct/>
        <w:topLinePunct w:val="0"/>
        <w:autoSpaceDE w:val="0"/>
        <w:autoSpaceDN w:val="0"/>
        <w:bidi w:val="0"/>
        <w:adjustRightInd w:val="0"/>
        <w:snapToGrid w:val="0"/>
        <w:spacing w:before="175" w:line="360" w:lineRule="auto"/>
        <w:ind w:left="5" w:right="69"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（十二）软件和信息技术服务业。从业人员300人以下或营业收入10000万元以下的为中小微型企业。其</w:t>
      </w:r>
      <w:r>
        <w:rPr>
          <w:rFonts w:hint="eastAsia" w:asciiTheme="minorEastAsia" w:hAnsiTheme="minorEastAsia" w:eastAsiaTheme="minorEastAsia" w:cstheme="minorEastAsia"/>
          <w:color w:val="auto"/>
          <w:spacing w:val="-5"/>
          <w:sz w:val="24"/>
          <w:szCs w:val="24"/>
          <w:highlight w:val="none"/>
        </w:rPr>
        <w:t>中，从业人员100人及以上，且营业收入1000万元</w:t>
      </w:r>
      <w:r>
        <w:rPr>
          <w:rFonts w:hint="eastAsia" w:asciiTheme="minorEastAsia" w:hAnsiTheme="minorEastAsia" w:eastAsiaTheme="minorEastAsia" w:cstheme="minorEastAsia"/>
          <w:color w:val="auto"/>
          <w:spacing w:val="-6"/>
          <w:sz w:val="24"/>
          <w:szCs w:val="24"/>
          <w:highlight w:val="none"/>
        </w:rPr>
        <w:t>及以上的为中型企业；从业人员10人及以上，且营业收入50</w:t>
      </w:r>
      <w:r>
        <w:rPr>
          <w:rFonts w:hint="eastAsia" w:asciiTheme="minorEastAsia" w:hAnsiTheme="minorEastAsia" w:eastAsiaTheme="minorEastAsia" w:cstheme="minorEastAsia"/>
          <w:color w:val="auto"/>
          <w:spacing w:val="3"/>
          <w:sz w:val="24"/>
          <w:szCs w:val="24"/>
          <w:highlight w:val="none"/>
        </w:rPr>
        <w:t>万元及以上的为小型企业；从业人员10人以下</w:t>
      </w:r>
      <w:r>
        <w:rPr>
          <w:rFonts w:hint="eastAsia" w:asciiTheme="minorEastAsia" w:hAnsiTheme="minorEastAsia" w:eastAsiaTheme="minorEastAsia" w:cstheme="minorEastAsia"/>
          <w:color w:val="auto"/>
          <w:spacing w:val="2"/>
          <w:sz w:val="24"/>
          <w:szCs w:val="24"/>
          <w:highlight w:val="none"/>
        </w:rPr>
        <w:t>或营业收入50万元以下的为微型企业。</w:t>
      </w:r>
    </w:p>
    <w:p w14:paraId="5E2F1457">
      <w:pPr>
        <w:keepNext w:val="0"/>
        <w:keepLines w:val="0"/>
        <w:pageBreakBefore w:val="0"/>
        <w:widowControl w:val="0"/>
        <w:kinsoku/>
        <w:wordWrap/>
        <w:overflowPunct/>
        <w:topLinePunct w:val="0"/>
        <w:autoSpaceDE w:val="0"/>
        <w:autoSpaceDN w:val="0"/>
        <w:bidi w:val="0"/>
        <w:adjustRightInd w:val="0"/>
        <w:snapToGrid w:val="0"/>
        <w:spacing w:before="170" w:line="360" w:lineRule="auto"/>
        <w:ind w:left="3"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（十三）房地产开发经营。营业收入200000万元以下或资产总额10000万元以下的为中小微型企业。其</w:t>
      </w:r>
      <w:r>
        <w:rPr>
          <w:rFonts w:hint="eastAsia" w:asciiTheme="minorEastAsia" w:hAnsiTheme="minorEastAsia" w:eastAsiaTheme="minorEastAsia" w:cstheme="minorEastAsia"/>
          <w:color w:val="auto"/>
          <w:spacing w:val="-1"/>
          <w:sz w:val="24"/>
          <w:szCs w:val="24"/>
          <w:highlight w:val="none"/>
        </w:rPr>
        <w:t>中，营业收入1000万元及以上，且资产总额5000万元及以上的为中型企业；营业收入100万元及以上，</w:t>
      </w:r>
      <w:r>
        <w:rPr>
          <w:rFonts w:hint="eastAsia" w:asciiTheme="minorEastAsia" w:hAnsiTheme="minorEastAsia" w:eastAsiaTheme="minorEastAsia" w:cstheme="minorEastAsia"/>
          <w:color w:val="auto"/>
          <w:spacing w:val="-2"/>
          <w:sz w:val="24"/>
          <w:szCs w:val="24"/>
          <w:highlight w:val="none"/>
        </w:rPr>
        <w:t>且资产</w:t>
      </w:r>
      <w:r>
        <w:rPr>
          <w:rFonts w:hint="eastAsia" w:asciiTheme="minorEastAsia" w:hAnsiTheme="minorEastAsia" w:eastAsiaTheme="minorEastAsia" w:cstheme="minorEastAsia"/>
          <w:color w:val="auto"/>
          <w:spacing w:val="4"/>
          <w:sz w:val="24"/>
          <w:szCs w:val="24"/>
          <w:highlight w:val="none"/>
        </w:rPr>
        <w:t>总额2000万元及以上的为小型企业；营业收入100万元以下或资产总额2000万元以下的为微型企业。</w:t>
      </w:r>
    </w:p>
    <w:p w14:paraId="2210E661">
      <w:pPr>
        <w:keepNext w:val="0"/>
        <w:keepLines w:val="0"/>
        <w:pageBreakBefore w:val="0"/>
        <w:widowControl w:val="0"/>
        <w:kinsoku/>
        <w:wordWrap/>
        <w:overflowPunct/>
        <w:topLinePunct w:val="0"/>
        <w:autoSpaceDE w:val="0"/>
        <w:autoSpaceDN w:val="0"/>
        <w:bidi w:val="0"/>
        <w:adjustRightInd w:val="0"/>
        <w:snapToGrid w:val="0"/>
        <w:spacing w:before="173" w:line="360" w:lineRule="auto"/>
        <w:ind w:left="2" w:right="84"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（十四）物业管理。从业人员1000人以下或营业收入5000万元以下的为中小微</w:t>
      </w:r>
      <w:r>
        <w:rPr>
          <w:rFonts w:hint="eastAsia" w:asciiTheme="minorEastAsia" w:hAnsiTheme="minorEastAsia" w:eastAsiaTheme="minorEastAsia" w:cstheme="minorEastAsia"/>
          <w:color w:val="auto"/>
          <w:spacing w:val="1"/>
          <w:sz w:val="24"/>
          <w:szCs w:val="24"/>
          <w:highlight w:val="none"/>
        </w:rPr>
        <w:t>型企业。其中，从业人</w:t>
      </w:r>
      <w:r>
        <w:rPr>
          <w:rFonts w:hint="eastAsia" w:asciiTheme="minorEastAsia" w:hAnsiTheme="minorEastAsia" w:eastAsiaTheme="minorEastAsia" w:cstheme="minorEastAsia"/>
          <w:color w:val="auto"/>
          <w:spacing w:val="7"/>
          <w:sz w:val="24"/>
          <w:szCs w:val="24"/>
          <w:highlight w:val="none"/>
        </w:rPr>
        <w:t>员300人及以上，且营业收入1000万元及以上的为中型企业</w:t>
      </w:r>
      <w:r>
        <w:rPr>
          <w:rFonts w:hint="eastAsia" w:asciiTheme="minorEastAsia" w:hAnsiTheme="minorEastAsia" w:eastAsiaTheme="minorEastAsia" w:cstheme="minorEastAsia"/>
          <w:color w:val="auto"/>
          <w:spacing w:val="6"/>
          <w:sz w:val="24"/>
          <w:szCs w:val="24"/>
          <w:highlight w:val="none"/>
        </w:rPr>
        <w:t>；从业人员100人及以上，且营业收入500万元</w:t>
      </w:r>
      <w:r>
        <w:rPr>
          <w:rFonts w:hint="eastAsia" w:asciiTheme="minorEastAsia" w:hAnsiTheme="minorEastAsia" w:eastAsiaTheme="minorEastAsia" w:cstheme="minorEastAsia"/>
          <w:color w:val="auto"/>
          <w:spacing w:val="7"/>
          <w:sz w:val="24"/>
          <w:szCs w:val="24"/>
          <w:highlight w:val="none"/>
        </w:rPr>
        <w:t>及以上的为小型企业；从业人员100人以下或营业收入500万元以下的为微型企业。</w:t>
      </w:r>
    </w:p>
    <w:p w14:paraId="30658D20">
      <w:pPr>
        <w:keepNext w:val="0"/>
        <w:keepLines w:val="0"/>
        <w:pageBreakBefore w:val="0"/>
        <w:widowControl w:val="0"/>
        <w:kinsoku/>
        <w:wordWrap/>
        <w:overflowPunct/>
        <w:topLinePunct w:val="0"/>
        <w:autoSpaceDE w:val="0"/>
        <w:autoSpaceDN w:val="0"/>
        <w:bidi w:val="0"/>
        <w:adjustRightInd w:val="0"/>
        <w:snapToGrid w:val="0"/>
        <w:spacing w:before="171" w:line="360" w:lineRule="auto"/>
        <w:ind w:left="5" w:right="3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FF3555">
      <w:pPr>
        <w:keepNext w:val="0"/>
        <w:keepLines w:val="0"/>
        <w:pageBreakBefore w:val="0"/>
        <w:widowControl w:val="0"/>
        <w:kinsoku/>
        <w:wordWrap/>
        <w:overflowPunct/>
        <w:topLinePunct w:val="0"/>
        <w:autoSpaceDE w:val="0"/>
        <w:autoSpaceDN w:val="0"/>
        <w:bidi w:val="0"/>
        <w:adjustRightInd w:val="0"/>
        <w:snapToGrid w:val="0"/>
        <w:spacing w:before="177" w:line="360" w:lineRule="auto"/>
        <w:ind w:left="22" w:right="76" w:firstLine="492"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（十六）其他未列明行业。从业人员300人以下的为中小微型</w:t>
      </w:r>
      <w:r>
        <w:rPr>
          <w:rFonts w:hint="eastAsia" w:asciiTheme="minorEastAsia" w:hAnsiTheme="minorEastAsia" w:eastAsiaTheme="minorEastAsia" w:cstheme="minorEastAsia"/>
          <w:color w:val="auto"/>
          <w:spacing w:val="2"/>
          <w:sz w:val="24"/>
          <w:szCs w:val="24"/>
          <w:highlight w:val="none"/>
        </w:rPr>
        <w:t>企业。其中，从业人员100人及以上的为</w:t>
      </w:r>
      <w:r>
        <w:rPr>
          <w:rFonts w:hint="eastAsia" w:asciiTheme="minorEastAsia" w:hAnsiTheme="minorEastAsia" w:eastAsiaTheme="minorEastAsia" w:cstheme="minorEastAsia"/>
          <w:color w:val="auto"/>
          <w:spacing w:val="1"/>
          <w:sz w:val="24"/>
          <w:szCs w:val="24"/>
          <w:highlight w:val="none"/>
        </w:rPr>
        <w:t>中型企业；从业人员10人及以上的为小型</w:t>
      </w:r>
      <w:r>
        <w:rPr>
          <w:rFonts w:hint="eastAsia" w:asciiTheme="minorEastAsia" w:hAnsiTheme="minorEastAsia" w:eastAsiaTheme="minorEastAsia" w:cstheme="minorEastAsia"/>
          <w:color w:val="auto"/>
          <w:sz w:val="24"/>
          <w:szCs w:val="24"/>
          <w:highlight w:val="none"/>
        </w:rPr>
        <w:t>企业；从业人员10人以下的为微型企业。</w:t>
      </w:r>
    </w:p>
    <w:p w14:paraId="394A0AF0">
      <w:pPr>
        <w:keepNext w:val="0"/>
        <w:keepLines w:val="0"/>
        <w:pageBreakBefore w:val="0"/>
        <w:widowControl w:val="0"/>
        <w:kinsoku/>
        <w:wordWrap/>
        <w:overflowPunct/>
        <w:topLinePunct w:val="0"/>
        <w:autoSpaceDE w:val="0"/>
        <w:autoSpaceDN w:val="0"/>
        <w:bidi w:val="0"/>
        <w:adjustRightInd w:val="0"/>
        <w:snapToGrid w:val="0"/>
        <w:spacing w:before="138" w:line="360" w:lineRule="auto"/>
        <w:ind w:firstLine="50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五、企业类型的划分以统计部门的统计数据为依据。</w:t>
      </w:r>
    </w:p>
    <w:p w14:paraId="7258B713">
      <w:pPr>
        <w:keepNext w:val="0"/>
        <w:keepLines w:val="0"/>
        <w:pageBreakBefore w:val="0"/>
        <w:widowControl w:val="0"/>
        <w:kinsoku/>
        <w:wordWrap/>
        <w:overflowPunct/>
        <w:topLinePunct w:val="0"/>
        <w:autoSpaceDE w:val="0"/>
        <w:autoSpaceDN w:val="0"/>
        <w:bidi w:val="0"/>
        <w:adjustRightInd w:val="0"/>
        <w:snapToGrid w:val="0"/>
        <w:spacing w:before="124" w:line="360" w:lineRule="auto"/>
        <w:ind w:left="1" w:right="91" w:firstLine="52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六、本规定适用于在中华人民共和国境内依法设立的各类所有制和各种组织形式的企业。个体工商户</w:t>
      </w:r>
      <w:r>
        <w:rPr>
          <w:rFonts w:hint="eastAsia" w:asciiTheme="minorEastAsia" w:hAnsiTheme="minorEastAsia" w:eastAsiaTheme="minorEastAsia" w:cstheme="minorEastAsia"/>
          <w:color w:val="auto"/>
          <w:spacing w:val="7"/>
          <w:sz w:val="24"/>
          <w:szCs w:val="24"/>
          <w:highlight w:val="none"/>
        </w:rPr>
        <w:t>和本规定以外的行业，参照本规定进行划型。</w:t>
      </w:r>
    </w:p>
    <w:p w14:paraId="3DFF9952">
      <w:pPr>
        <w:keepNext w:val="0"/>
        <w:keepLines w:val="0"/>
        <w:pageBreakBefore w:val="0"/>
        <w:widowControl w:val="0"/>
        <w:kinsoku/>
        <w:wordWrap/>
        <w:overflowPunct/>
        <w:topLinePunct w:val="0"/>
        <w:autoSpaceDE w:val="0"/>
        <w:autoSpaceDN w:val="0"/>
        <w:bidi w:val="0"/>
        <w:adjustRightInd w:val="0"/>
        <w:snapToGrid w:val="0"/>
        <w:spacing w:before="160" w:line="360" w:lineRule="auto"/>
        <w:ind w:left="10" w:right="93" w:firstLine="524"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七、本规定的中型企业标准上限即为大型企业</w:t>
      </w:r>
      <w:r>
        <w:rPr>
          <w:rFonts w:hint="eastAsia" w:asciiTheme="minorEastAsia" w:hAnsiTheme="minorEastAsia" w:eastAsiaTheme="minorEastAsia" w:cstheme="minorEastAsia"/>
          <w:color w:val="auto"/>
          <w:spacing w:val="10"/>
          <w:sz w:val="24"/>
          <w:szCs w:val="24"/>
          <w:highlight w:val="none"/>
        </w:rPr>
        <w:t>标准的下限，国家统计部门据此制定大中小微型企业的</w:t>
      </w:r>
      <w:r>
        <w:rPr>
          <w:rFonts w:hint="eastAsia" w:asciiTheme="minorEastAsia" w:hAnsiTheme="minorEastAsia" w:eastAsiaTheme="minorEastAsia" w:cstheme="minorEastAsia"/>
          <w:color w:val="auto"/>
          <w:spacing w:val="9"/>
          <w:sz w:val="24"/>
          <w:szCs w:val="24"/>
          <w:highlight w:val="none"/>
        </w:rPr>
        <w:t>统计分类。国务院有关部门据此进行相关数据分析</w:t>
      </w:r>
      <w:r>
        <w:rPr>
          <w:rFonts w:hint="eastAsia" w:asciiTheme="minorEastAsia" w:hAnsiTheme="minorEastAsia" w:eastAsiaTheme="minorEastAsia" w:cstheme="minorEastAsia"/>
          <w:color w:val="auto"/>
          <w:spacing w:val="8"/>
          <w:sz w:val="24"/>
          <w:szCs w:val="24"/>
          <w:highlight w:val="none"/>
        </w:rPr>
        <w:t>，不得制定与本规定不一致的企业划型标准。</w:t>
      </w:r>
    </w:p>
    <w:p w14:paraId="683BDA00">
      <w:pPr>
        <w:keepNext w:val="0"/>
        <w:keepLines w:val="0"/>
        <w:pageBreakBefore w:val="0"/>
        <w:widowControl w:val="0"/>
        <w:kinsoku/>
        <w:wordWrap/>
        <w:overflowPunct/>
        <w:topLinePunct w:val="0"/>
        <w:autoSpaceDE w:val="0"/>
        <w:autoSpaceDN w:val="0"/>
        <w:bidi w:val="0"/>
        <w:adjustRightInd w:val="0"/>
        <w:snapToGrid w:val="0"/>
        <w:spacing w:before="160" w:line="360" w:lineRule="auto"/>
        <w:ind w:left="8" w:right="93" w:firstLine="52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八、本规定由工业和信息化部、国家统计局会同有关部门根据《国民经济行业分类》修订情况和企业</w:t>
      </w:r>
      <w:r>
        <w:rPr>
          <w:rFonts w:hint="eastAsia" w:asciiTheme="minorEastAsia" w:hAnsiTheme="minorEastAsia" w:eastAsiaTheme="minorEastAsia" w:cstheme="minorEastAsia"/>
          <w:color w:val="auto"/>
          <w:spacing w:val="3"/>
          <w:sz w:val="24"/>
          <w:szCs w:val="24"/>
          <w:highlight w:val="none"/>
        </w:rPr>
        <w:t>发展变化情况适时修订。</w:t>
      </w:r>
    </w:p>
    <w:p w14:paraId="44E2D3A5">
      <w:pPr>
        <w:keepNext w:val="0"/>
        <w:keepLines w:val="0"/>
        <w:pageBreakBefore w:val="0"/>
        <w:widowControl w:val="0"/>
        <w:kinsoku/>
        <w:wordWrap/>
        <w:overflowPunct/>
        <w:topLinePunct w:val="0"/>
        <w:autoSpaceDE w:val="0"/>
        <w:autoSpaceDN w:val="0"/>
        <w:bidi w:val="0"/>
        <w:adjustRightInd w:val="0"/>
        <w:snapToGrid w:val="0"/>
        <w:spacing w:before="139" w:line="360" w:lineRule="auto"/>
        <w:ind w:firstLine="512"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九、本规定由工业和信息化部、国家统计局会同有关部门负责解释。</w:t>
      </w:r>
    </w:p>
    <w:p w14:paraId="35E0FE76">
      <w:pPr>
        <w:keepNext w:val="0"/>
        <w:keepLines w:val="0"/>
        <w:pageBreakBefore w:val="0"/>
        <w:widowControl w:val="0"/>
        <w:kinsoku/>
        <w:wordWrap/>
        <w:overflowPunct/>
        <w:topLinePunct w:val="0"/>
        <w:autoSpaceDE w:val="0"/>
        <w:autoSpaceDN w:val="0"/>
        <w:bidi w:val="0"/>
        <w:adjustRightInd w:val="0"/>
        <w:snapToGrid w:val="0"/>
        <w:spacing w:before="126" w:line="360" w:lineRule="auto"/>
        <w:ind w:left="8" w:right="110" w:firstLine="488"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十、本规定自发布之日起执行，原国家经贸委、原国家计委、财政部和国家统计局2003年颁布的《</w:t>
      </w:r>
      <w:r>
        <w:rPr>
          <w:rFonts w:hint="eastAsia" w:asciiTheme="minorEastAsia" w:hAnsiTheme="minorEastAsia" w:eastAsiaTheme="minorEastAsia" w:cstheme="minorEastAsia"/>
          <w:color w:val="auto"/>
          <w:spacing w:val="1"/>
          <w:sz w:val="24"/>
          <w:szCs w:val="24"/>
          <w:highlight w:val="none"/>
        </w:rPr>
        <w:t>中小</w:t>
      </w:r>
      <w:r>
        <w:rPr>
          <w:rFonts w:hint="eastAsia" w:asciiTheme="minorEastAsia" w:hAnsiTheme="minorEastAsia" w:eastAsiaTheme="minorEastAsia" w:cstheme="minorEastAsia"/>
          <w:color w:val="auto"/>
          <w:spacing w:val="6"/>
          <w:sz w:val="24"/>
          <w:szCs w:val="24"/>
          <w:highlight w:val="none"/>
        </w:rPr>
        <w:t>企业标准暂行规定》同时废止。</w:t>
      </w:r>
    </w:p>
    <w:p w14:paraId="36EF1B4D">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7" w:h="16840"/>
          <w:pgMar w:top="1440" w:right="1800" w:bottom="1440" w:left="1800" w:header="0" w:footer="982" w:gutter="0"/>
          <w:pgBorders>
            <w:top w:val="none" w:sz="0" w:space="0"/>
            <w:left w:val="none" w:sz="0" w:space="0"/>
            <w:bottom w:val="none" w:sz="0" w:space="0"/>
            <w:right w:val="none" w:sz="0" w:space="0"/>
          </w:pgBorders>
          <w:pgNumType w:fmt="decimal"/>
          <w:cols w:space="720" w:num="1"/>
        </w:sectPr>
      </w:pPr>
    </w:p>
    <w:p w14:paraId="2E838BEB">
      <w:pPr>
        <w:keepNext w:val="0"/>
        <w:keepLines w:val="0"/>
        <w:pageBreakBefore w:val="0"/>
        <w:widowControl w:val="0"/>
        <w:kinsoku/>
        <w:wordWrap/>
        <w:overflowPunct/>
        <w:topLinePunct w:val="0"/>
        <w:autoSpaceDE w:val="0"/>
        <w:autoSpaceDN w:val="0"/>
        <w:bidi w:val="0"/>
        <w:adjustRightInd w:val="0"/>
        <w:snapToGrid w:val="0"/>
        <w:spacing w:before="42" w:line="228" w:lineRule="auto"/>
        <w:jc w:val="center"/>
        <w:textAlignment w:val="baseline"/>
        <w:outlineLvl w:val="1"/>
        <w:rPr>
          <w:rFonts w:ascii="宋体" w:hAnsi="宋体" w:eastAsia="宋体" w:cs="宋体"/>
          <w:b/>
          <w:bCs/>
          <w:color w:val="auto"/>
          <w:sz w:val="28"/>
          <w:szCs w:val="28"/>
          <w:highlight w:val="none"/>
        </w:rPr>
      </w:pPr>
      <w:r>
        <w:rPr>
          <w:rFonts w:ascii="宋体" w:hAnsi="宋体" w:eastAsia="宋体" w:cs="宋体"/>
          <w:b/>
          <w:bCs/>
          <w:color w:val="auto"/>
          <w:spacing w:val="7"/>
          <w:sz w:val="28"/>
          <w:szCs w:val="28"/>
          <w:highlight w:val="none"/>
        </w:rPr>
        <w:t>中小企业声明函（工程、服务）</w:t>
      </w:r>
    </w:p>
    <w:p w14:paraId="14F63480">
      <w:pPr>
        <w:pStyle w:val="2"/>
        <w:keepNext w:val="0"/>
        <w:keepLines w:val="0"/>
        <w:pageBreakBefore w:val="0"/>
        <w:widowControl w:val="0"/>
        <w:kinsoku/>
        <w:wordWrap/>
        <w:overflowPunct/>
        <w:topLinePunct w:val="0"/>
        <w:autoSpaceDE w:val="0"/>
        <w:autoSpaceDN w:val="0"/>
        <w:bidi w:val="0"/>
        <w:adjustRightInd w:val="0"/>
        <w:snapToGrid w:val="0"/>
        <w:spacing w:line="353" w:lineRule="auto"/>
        <w:textAlignment w:val="baseline"/>
        <w:rPr>
          <w:color w:val="auto"/>
          <w:highlight w:val="none"/>
        </w:rPr>
      </w:pPr>
    </w:p>
    <w:p w14:paraId="5EAE92E3">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本公司（联合体）郑重声明，根据《关于进一步加大政府采购支持中小企业力度的通知》(财库〔2022〕19号）、《政府采购促进中小企业发展管理办法》（财库〔2020）46号）的规定，本公司（联合体）参加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15DD5CE">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u w:val="single"/>
        </w:rPr>
      </w:pPr>
      <w:r>
        <w:rPr>
          <w:rFonts w:hint="eastAsia"/>
          <w:color w:val="auto"/>
          <w:sz w:val="24"/>
          <w:szCs w:val="24"/>
          <w:highlight w:val="none"/>
        </w:rPr>
        <w:t>1.</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,承建（承接）企业为</w:t>
      </w:r>
      <w:r>
        <w:rPr>
          <w:rFonts w:hint="eastAsia"/>
          <w:color w:val="auto"/>
          <w:sz w:val="24"/>
          <w:szCs w:val="24"/>
          <w:highlight w:val="none"/>
          <w:u w:val="single"/>
        </w:rPr>
        <w:t>（企业名称）</w:t>
      </w:r>
      <w:r>
        <w:rPr>
          <w:rFonts w:hint="eastAsia"/>
          <w:color w:val="auto"/>
          <w:sz w:val="24"/>
          <w:szCs w:val="24"/>
          <w:highlight w:val="none"/>
        </w:rPr>
        <w:t>,从业人员人，营业收入为</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rPr>
        <w:t xml:space="preserve">     </w:t>
      </w:r>
      <w:r>
        <w:rPr>
          <w:rFonts w:hint="eastAsia"/>
          <w:color w:val="auto"/>
          <w:sz w:val="24"/>
          <w:szCs w:val="24"/>
          <w:highlight w:val="none"/>
        </w:rPr>
        <w:t>万元，属于</w:t>
      </w:r>
      <w:r>
        <w:rPr>
          <w:rFonts w:hint="eastAsia"/>
          <w:color w:val="auto"/>
          <w:sz w:val="24"/>
          <w:szCs w:val="24"/>
          <w:highlight w:val="none"/>
          <w:u w:val="single"/>
        </w:rPr>
        <w:t>（中型企业、小型企业、微型企业）,</w:t>
      </w:r>
    </w:p>
    <w:p w14:paraId="37CD9BF0">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,承建（承接）企业为</w:t>
      </w:r>
      <w:r>
        <w:rPr>
          <w:rFonts w:hint="eastAsia"/>
          <w:color w:val="auto"/>
          <w:sz w:val="24"/>
          <w:szCs w:val="24"/>
          <w:highlight w:val="none"/>
          <w:u w:val="single"/>
        </w:rPr>
        <w:t>（企业名称）</w:t>
      </w:r>
      <w:r>
        <w:rPr>
          <w:rFonts w:hint="eastAsia"/>
          <w:color w:val="auto"/>
          <w:sz w:val="24"/>
          <w:szCs w:val="24"/>
          <w:highlight w:val="none"/>
        </w:rPr>
        <w:t>,从业人员人，营业收入为</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rPr>
        <w:t xml:space="preserve">    </w:t>
      </w:r>
      <w:r>
        <w:rPr>
          <w:rFonts w:hint="eastAsia"/>
          <w:color w:val="auto"/>
          <w:sz w:val="24"/>
          <w:szCs w:val="24"/>
          <w:highlight w:val="none"/>
        </w:rPr>
        <w:t>万元，属于（</w:t>
      </w:r>
      <w:r>
        <w:rPr>
          <w:rFonts w:hint="eastAsia"/>
          <w:color w:val="auto"/>
          <w:sz w:val="24"/>
          <w:szCs w:val="24"/>
          <w:highlight w:val="none"/>
          <w:u w:val="single"/>
        </w:rPr>
        <w:t>中型企业、小型企业、微型企业）</w:t>
      </w:r>
      <w:r>
        <w:rPr>
          <w:rFonts w:hint="eastAsia"/>
          <w:color w:val="auto"/>
          <w:sz w:val="24"/>
          <w:szCs w:val="24"/>
          <w:highlight w:val="none"/>
        </w:rPr>
        <w:t>,</w:t>
      </w:r>
    </w:p>
    <w:p w14:paraId="7B542329">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w:t>
      </w:r>
    </w:p>
    <w:p w14:paraId="12327001">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7F989941">
      <w:pPr>
        <w:pStyle w:val="19"/>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本企业对上述声明内容的真实性负责。如有虚假，将依法承担相应责任。</w:t>
      </w:r>
    </w:p>
    <w:p w14:paraId="4A4917D9">
      <w:pPr>
        <w:pStyle w:val="19"/>
        <w:keepNext w:val="0"/>
        <w:keepLines w:val="0"/>
        <w:pageBreakBefore w:val="0"/>
        <w:widowControl w:val="0"/>
        <w:kinsoku/>
        <w:wordWrap/>
        <w:overflowPunct/>
        <w:topLinePunct w:val="0"/>
        <w:autoSpaceDE w:val="0"/>
        <w:autoSpaceDN w:val="0"/>
        <w:bidi w:val="0"/>
        <w:adjustRightInd w:val="0"/>
        <w:snapToGrid w:val="0"/>
        <w:textAlignment w:val="baseline"/>
        <w:rPr>
          <w:rFonts w:hint="eastAsia"/>
          <w:color w:val="auto"/>
          <w:sz w:val="24"/>
          <w:szCs w:val="24"/>
          <w:highlight w:val="none"/>
        </w:rPr>
      </w:pPr>
    </w:p>
    <w:p w14:paraId="4F1000F8">
      <w:pPr>
        <w:pStyle w:val="19"/>
        <w:keepNext w:val="0"/>
        <w:keepLines w:val="0"/>
        <w:pageBreakBefore w:val="0"/>
        <w:widowControl w:val="0"/>
        <w:kinsoku/>
        <w:wordWrap/>
        <w:overflowPunct/>
        <w:topLinePunct w:val="0"/>
        <w:autoSpaceDE w:val="0"/>
        <w:autoSpaceDN w:val="0"/>
        <w:bidi w:val="0"/>
        <w:adjustRightInd w:val="0"/>
        <w:snapToGrid w:val="0"/>
        <w:jc w:val="right"/>
        <w:textAlignment w:val="baseline"/>
        <w:rPr>
          <w:rFonts w:hint="eastAsia"/>
          <w:color w:val="auto"/>
          <w:sz w:val="24"/>
          <w:szCs w:val="24"/>
          <w:highlight w:val="none"/>
        </w:rPr>
      </w:pPr>
      <w:r>
        <w:rPr>
          <w:rFonts w:hint="eastAsia"/>
          <w:color w:val="auto"/>
          <w:sz w:val="24"/>
          <w:szCs w:val="24"/>
          <w:highlight w:val="none"/>
        </w:rPr>
        <w:t>企业名称（盖章）：</w:t>
      </w:r>
    </w:p>
    <w:p w14:paraId="4F46CA8E">
      <w:pPr>
        <w:pStyle w:val="19"/>
        <w:keepNext w:val="0"/>
        <w:keepLines w:val="0"/>
        <w:pageBreakBefore w:val="0"/>
        <w:widowControl w:val="0"/>
        <w:kinsoku/>
        <w:wordWrap/>
        <w:overflowPunct/>
        <w:topLinePunct w:val="0"/>
        <w:autoSpaceDE w:val="0"/>
        <w:autoSpaceDN w:val="0"/>
        <w:bidi w:val="0"/>
        <w:adjustRightInd w:val="0"/>
        <w:snapToGrid w:val="0"/>
        <w:textAlignment w:val="baseline"/>
        <w:rPr>
          <w:rFonts w:hint="eastAsia"/>
          <w:color w:val="auto"/>
          <w:sz w:val="24"/>
          <w:szCs w:val="24"/>
          <w:highlight w:val="none"/>
        </w:rPr>
      </w:pPr>
      <w:r>
        <w:rPr>
          <w:rFonts w:hint="eastAsia"/>
          <w:color w:val="auto"/>
          <w:sz w:val="24"/>
          <w:szCs w:val="24"/>
          <w:highlight w:val="none"/>
        </w:rPr>
        <w:t>日期：</w:t>
      </w:r>
    </w:p>
    <w:p w14:paraId="67330145">
      <w:pPr>
        <w:pStyle w:val="19"/>
        <w:keepNext w:val="0"/>
        <w:keepLines w:val="0"/>
        <w:pageBreakBefore w:val="0"/>
        <w:widowControl w:val="0"/>
        <w:kinsoku/>
        <w:wordWrap/>
        <w:overflowPunct/>
        <w:topLinePunct w:val="0"/>
        <w:autoSpaceDE w:val="0"/>
        <w:autoSpaceDN w:val="0"/>
        <w:bidi w:val="0"/>
        <w:adjustRightInd w:val="0"/>
        <w:snapToGrid w:val="0"/>
        <w:textAlignment w:val="baseline"/>
        <w:rPr>
          <w:color w:val="auto"/>
          <w:sz w:val="24"/>
          <w:szCs w:val="24"/>
          <w:highlight w:val="none"/>
        </w:rPr>
      </w:pPr>
      <w:r>
        <w:rPr>
          <w:rFonts w:hint="eastAsia"/>
          <w:color w:val="auto"/>
          <w:sz w:val="24"/>
          <w:szCs w:val="24"/>
          <w:highlight w:val="none"/>
        </w:rPr>
        <w:t>从业人员、营业收入、资产总额填报上一年度数据，无上一年度数据的新成立企业可不填报。</w:t>
      </w:r>
    </w:p>
    <w:p w14:paraId="785151C8">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color w:val="auto"/>
          <w:spacing w:val="7"/>
          <w:sz w:val="24"/>
          <w:szCs w:val="24"/>
          <w:highlight w:val="none"/>
        </w:rPr>
      </w:pPr>
    </w:p>
    <w:p w14:paraId="284B92E3">
      <w:pPr>
        <w:keepNext w:val="0"/>
        <w:keepLines w:val="0"/>
        <w:pageBreakBefore w:val="0"/>
        <w:widowControl w:val="0"/>
        <w:kinsoku/>
        <w:wordWrap/>
        <w:overflowPunct/>
        <w:topLinePunct w:val="0"/>
        <w:autoSpaceDE w:val="0"/>
        <w:autoSpaceDN w:val="0"/>
        <w:bidi w:val="0"/>
        <w:spacing w:before="80" w:line="219" w:lineRule="auto"/>
        <w:outlineLvl w:val="0"/>
        <w:rPr>
          <w:rFonts w:ascii="宋体" w:hAnsi="宋体" w:eastAsia="宋体" w:cs="宋体"/>
          <w:color w:val="auto"/>
          <w:spacing w:val="-2"/>
          <w:sz w:val="24"/>
          <w:szCs w:val="24"/>
          <w:highlight w:val="none"/>
        </w:rPr>
      </w:pPr>
    </w:p>
    <w:p w14:paraId="56CC276F">
      <w:pPr>
        <w:pStyle w:val="3"/>
        <w:keepNext w:val="0"/>
        <w:keepLines w:val="0"/>
        <w:pageBreakBefore w:val="0"/>
        <w:widowControl w:val="0"/>
        <w:kinsoku/>
        <w:wordWrap/>
        <w:overflowPunct/>
        <w:topLinePunct w:val="0"/>
        <w:autoSpaceDE w:val="0"/>
        <w:autoSpaceDN w:val="0"/>
        <w:bidi w:val="0"/>
        <w:spacing w:before="0" w:after="0" w:line="400" w:lineRule="exact"/>
        <w:ind w:firstLine="732" w:firstLineChars="200"/>
        <w:jc w:val="center"/>
        <w:rPr>
          <w:rFonts w:hint="eastAsia" w:ascii="宋体" w:hAnsi="宋体" w:eastAsia="宋体" w:cs="宋体"/>
          <w:bCs w:val="0"/>
          <w:snapToGrid w:val="0"/>
          <w:color w:val="auto"/>
          <w:spacing w:val="8"/>
          <w:kern w:val="0"/>
          <w:sz w:val="35"/>
          <w:szCs w:val="35"/>
          <w:highlight w:val="none"/>
          <w:lang w:val="en-US" w:eastAsia="zh-CN" w:bidi="ar-SA"/>
        </w:rPr>
      </w:pPr>
    </w:p>
    <w:p w14:paraId="28839C30">
      <w:pPr>
        <w:pStyle w:val="3"/>
        <w:keepNext w:val="0"/>
        <w:keepLines w:val="0"/>
        <w:pageBreakBefore w:val="0"/>
        <w:widowControl w:val="0"/>
        <w:kinsoku/>
        <w:wordWrap/>
        <w:overflowPunct/>
        <w:topLinePunct w:val="0"/>
        <w:autoSpaceDE w:val="0"/>
        <w:autoSpaceDN w:val="0"/>
        <w:bidi w:val="0"/>
        <w:spacing w:before="0" w:after="0" w:line="400" w:lineRule="exact"/>
        <w:ind w:firstLine="675" w:firstLineChars="200"/>
        <w:jc w:val="center"/>
        <w:rPr>
          <w:rFonts w:hint="eastAsia" w:ascii="仿宋" w:hAnsi="仿宋" w:eastAsia="仿宋" w:cs="仿宋"/>
          <w:b w:val="0"/>
          <w:color w:val="auto"/>
          <w:sz w:val="32"/>
          <w:szCs w:val="32"/>
          <w:highlight w:val="none"/>
        </w:rPr>
      </w:pPr>
      <w:r>
        <w:rPr>
          <w:rFonts w:hint="eastAsia" w:ascii="宋体" w:hAnsi="宋体" w:eastAsia="宋体" w:cs="宋体"/>
          <w:b/>
          <w:bCs/>
          <w:snapToGrid w:val="0"/>
          <w:color w:val="auto"/>
          <w:spacing w:val="8"/>
          <w:kern w:val="0"/>
          <w:sz w:val="32"/>
          <w:szCs w:val="32"/>
          <w:highlight w:val="none"/>
          <w:lang w:val="en-US" w:eastAsia="zh-CN" w:bidi="ar-SA"/>
        </w:rPr>
        <w:t>第三章</w:t>
      </w:r>
      <w:bookmarkEnd w:id="29"/>
      <w:r>
        <w:rPr>
          <w:rFonts w:hint="eastAsia" w:ascii="宋体" w:hAnsi="宋体" w:eastAsia="宋体" w:cs="宋体"/>
          <w:b/>
          <w:bCs/>
          <w:snapToGrid w:val="0"/>
          <w:color w:val="auto"/>
          <w:spacing w:val="8"/>
          <w:kern w:val="0"/>
          <w:sz w:val="32"/>
          <w:szCs w:val="32"/>
          <w:highlight w:val="none"/>
          <w:lang w:val="en-US" w:eastAsia="zh-CN" w:bidi="ar-SA"/>
        </w:rPr>
        <w:t>竞争性磋商办法</w:t>
      </w:r>
      <w:bookmarkEnd w:id="30"/>
    </w:p>
    <w:p w14:paraId="03762CD8">
      <w:pPr>
        <w:keepNext w:val="0"/>
        <w:keepLines w:val="0"/>
        <w:pageBreakBefore w:val="0"/>
        <w:widowControl w:val="0"/>
        <w:kinsoku/>
        <w:wordWrap/>
        <w:overflowPunct/>
        <w:topLinePunct w:val="0"/>
        <w:autoSpaceDE w:val="0"/>
        <w:autoSpaceDN w:val="0"/>
        <w:bidi w:val="0"/>
        <w:adjustRightInd w:val="0"/>
        <w:spacing w:line="400" w:lineRule="exact"/>
        <w:ind w:firstLine="440" w:firstLineChars="200"/>
        <w:jc w:val="left"/>
        <w:rPr>
          <w:rFonts w:hint="eastAsia" w:ascii="仿宋" w:hAnsi="仿宋" w:eastAsia="仿宋" w:cs="仿宋"/>
          <w:b w:val="0"/>
          <w:color w:val="auto"/>
          <w:sz w:val="22"/>
          <w:szCs w:val="22"/>
          <w:highlight w:val="none"/>
          <w:lang w:val="zh-CN"/>
        </w:rPr>
      </w:pPr>
    </w:p>
    <w:p w14:paraId="66433E98">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初步评审表（一）</w:t>
      </w:r>
    </w:p>
    <w:tbl>
      <w:tblPr>
        <w:tblStyle w:val="16"/>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00"/>
        <w:gridCol w:w="1413"/>
        <w:gridCol w:w="6369"/>
      </w:tblGrid>
      <w:tr w14:paraId="502C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blHeader/>
        </w:trPr>
        <w:tc>
          <w:tcPr>
            <w:tcW w:w="1382" w:type="dxa"/>
            <w:gridSpan w:val="2"/>
            <w:noWrap w:val="0"/>
            <w:vAlign w:val="center"/>
          </w:tcPr>
          <w:p w14:paraId="0DDA788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zh-CN"/>
              </w:rPr>
              <w:t>条款号</w:t>
            </w:r>
          </w:p>
        </w:tc>
        <w:tc>
          <w:tcPr>
            <w:tcW w:w="1413" w:type="dxa"/>
            <w:noWrap w:val="0"/>
            <w:vAlign w:val="center"/>
          </w:tcPr>
          <w:p w14:paraId="47D7B42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zh-CN"/>
              </w:rPr>
              <w:t>评审因素</w:t>
            </w:r>
          </w:p>
        </w:tc>
        <w:tc>
          <w:tcPr>
            <w:tcW w:w="6369" w:type="dxa"/>
            <w:noWrap w:val="0"/>
            <w:vAlign w:val="center"/>
          </w:tcPr>
          <w:p w14:paraId="675A8D9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zh-CN"/>
              </w:rPr>
              <w:t>评审标准</w:t>
            </w:r>
          </w:p>
        </w:tc>
      </w:tr>
      <w:tr w14:paraId="722A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82" w:type="dxa"/>
            <w:vMerge w:val="restart"/>
            <w:noWrap w:val="0"/>
            <w:vAlign w:val="center"/>
          </w:tcPr>
          <w:p w14:paraId="5455CAC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2.1.1</w:t>
            </w:r>
          </w:p>
        </w:tc>
        <w:tc>
          <w:tcPr>
            <w:tcW w:w="600" w:type="dxa"/>
            <w:vMerge w:val="restart"/>
            <w:noWrap w:val="0"/>
            <w:vAlign w:val="center"/>
          </w:tcPr>
          <w:p w14:paraId="3C12671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en-US" w:eastAsia="zh-CN"/>
              </w:rPr>
              <w:t>形</w:t>
            </w:r>
          </w:p>
          <w:p w14:paraId="0259032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式</w:t>
            </w:r>
          </w:p>
          <w:p w14:paraId="5E221A5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评</w:t>
            </w:r>
          </w:p>
          <w:p w14:paraId="55800EF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审</w:t>
            </w:r>
          </w:p>
          <w:p w14:paraId="4DFCD61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标</w:t>
            </w:r>
          </w:p>
          <w:p w14:paraId="4B67A15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准</w:t>
            </w:r>
          </w:p>
        </w:tc>
        <w:tc>
          <w:tcPr>
            <w:tcW w:w="1413" w:type="dxa"/>
            <w:noWrap w:val="0"/>
            <w:vAlign w:val="center"/>
          </w:tcPr>
          <w:p w14:paraId="37F1EF6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投标人名称</w:t>
            </w:r>
          </w:p>
        </w:tc>
        <w:tc>
          <w:tcPr>
            <w:tcW w:w="6369" w:type="dxa"/>
            <w:noWrap w:val="0"/>
            <w:vAlign w:val="center"/>
          </w:tcPr>
          <w:p w14:paraId="470BF39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与营业执照、资质证书、安全生产许可证一致；</w:t>
            </w:r>
          </w:p>
        </w:tc>
      </w:tr>
      <w:tr w14:paraId="1724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82" w:type="dxa"/>
            <w:vMerge w:val="continue"/>
            <w:noWrap w:val="0"/>
            <w:vAlign w:val="center"/>
          </w:tcPr>
          <w:p w14:paraId="397F084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600" w:type="dxa"/>
            <w:vMerge w:val="continue"/>
            <w:noWrap w:val="0"/>
            <w:vAlign w:val="center"/>
          </w:tcPr>
          <w:p w14:paraId="3A620FD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6294BFB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磋商函签字盖单位公章</w:t>
            </w:r>
          </w:p>
        </w:tc>
        <w:tc>
          <w:tcPr>
            <w:tcW w:w="6369" w:type="dxa"/>
            <w:noWrap w:val="0"/>
            <w:vAlign w:val="center"/>
          </w:tcPr>
          <w:p w14:paraId="26608F3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en-US" w:eastAsia="zh-CN"/>
              </w:rPr>
              <w:t>有</w:t>
            </w:r>
            <w:r>
              <w:rPr>
                <w:rFonts w:hint="eastAsia" w:ascii="宋体" w:hAnsi="宋体" w:eastAsia="宋体" w:cs="宋体"/>
                <w:b w:val="0"/>
                <w:bCs/>
                <w:color w:val="auto"/>
                <w:kern w:val="2"/>
                <w:sz w:val="21"/>
                <w:szCs w:val="21"/>
                <w:highlight w:val="none"/>
                <w:lang w:val="zh-CN"/>
              </w:rPr>
              <w:t>法定代表人或其委托代理人签字或盖章并加盖单位</w:t>
            </w:r>
            <w:r>
              <w:rPr>
                <w:rFonts w:hint="eastAsia" w:ascii="宋体" w:hAnsi="宋体" w:eastAsia="宋体" w:cs="宋体"/>
                <w:b w:val="0"/>
                <w:bCs/>
                <w:color w:val="auto"/>
                <w:kern w:val="2"/>
                <w:sz w:val="21"/>
                <w:szCs w:val="21"/>
                <w:highlight w:val="none"/>
                <w:lang w:val="en-US" w:eastAsia="zh-CN"/>
              </w:rPr>
              <w:t>公</w:t>
            </w:r>
            <w:r>
              <w:rPr>
                <w:rFonts w:hint="eastAsia" w:ascii="宋体" w:hAnsi="宋体" w:eastAsia="宋体" w:cs="宋体"/>
                <w:b w:val="0"/>
                <w:bCs/>
                <w:color w:val="auto"/>
                <w:kern w:val="2"/>
                <w:sz w:val="21"/>
                <w:szCs w:val="21"/>
                <w:highlight w:val="none"/>
                <w:lang w:val="zh-CN"/>
              </w:rPr>
              <w:t>章；</w:t>
            </w:r>
          </w:p>
        </w:tc>
      </w:tr>
      <w:tr w14:paraId="5DEB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782" w:type="dxa"/>
            <w:vMerge w:val="continue"/>
            <w:noWrap w:val="0"/>
            <w:vAlign w:val="center"/>
          </w:tcPr>
          <w:p w14:paraId="419F0B7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600" w:type="dxa"/>
            <w:vMerge w:val="continue"/>
            <w:noWrap w:val="0"/>
            <w:vAlign w:val="center"/>
          </w:tcPr>
          <w:p w14:paraId="1E5BF50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0D934BE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磋商文件格式</w:t>
            </w:r>
          </w:p>
        </w:tc>
        <w:tc>
          <w:tcPr>
            <w:tcW w:w="6369" w:type="dxa"/>
            <w:noWrap w:val="0"/>
            <w:vAlign w:val="center"/>
          </w:tcPr>
          <w:p w14:paraId="53C854B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符合“</w:t>
            </w:r>
            <w:r>
              <w:rPr>
                <w:rFonts w:hint="eastAsia" w:ascii="宋体" w:hAnsi="宋体" w:eastAsia="宋体" w:cs="宋体"/>
                <w:b w:val="0"/>
                <w:bCs/>
                <w:color w:val="auto"/>
                <w:kern w:val="2"/>
                <w:sz w:val="21"/>
                <w:szCs w:val="21"/>
                <w:highlight w:val="none"/>
                <w:lang w:val="en-US" w:eastAsia="en-US"/>
              </w:rPr>
              <w:t>竞争性磋商响应文件格式</w:t>
            </w:r>
            <w:r>
              <w:rPr>
                <w:rFonts w:hint="eastAsia" w:ascii="宋体" w:hAnsi="宋体" w:eastAsia="宋体" w:cs="宋体"/>
                <w:b w:val="0"/>
                <w:bCs/>
                <w:color w:val="auto"/>
                <w:kern w:val="2"/>
                <w:sz w:val="21"/>
                <w:szCs w:val="21"/>
                <w:highlight w:val="none"/>
                <w:lang w:val="zh-CN"/>
              </w:rPr>
              <w:t>”的要求；</w:t>
            </w:r>
          </w:p>
        </w:tc>
      </w:tr>
      <w:tr w14:paraId="7C29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782" w:type="dxa"/>
            <w:vMerge w:val="continue"/>
            <w:tcBorders>
              <w:bottom w:val="single" w:color="auto" w:sz="4" w:space="0"/>
            </w:tcBorders>
            <w:noWrap w:val="0"/>
            <w:vAlign w:val="center"/>
          </w:tcPr>
          <w:p w14:paraId="601C2F0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600" w:type="dxa"/>
            <w:vMerge w:val="continue"/>
            <w:tcBorders>
              <w:bottom w:val="single" w:color="auto" w:sz="4" w:space="0"/>
            </w:tcBorders>
            <w:noWrap w:val="0"/>
            <w:vAlign w:val="center"/>
          </w:tcPr>
          <w:p w14:paraId="29F0F6ED">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rPr>
                <w:rFonts w:hint="eastAsia" w:ascii="宋体" w:hAnsi="宋体" w:eastAsia="宋体" w:cs="宋体"/>
                <w:b w:val="0"/>
                <w:bCs/>
                <w:color w:val="auto"/>
                <w:kern w:val="2"/>
                <w:sz w:val="21"/>
                <w:szCs w:val="21"/>
                <w:highlight w:val="none"/>
                <w:lang w:val="zh-CN"/>
              </w:rPr>
            </w:pPr>
          </w:p>
        </w:tc>
        <w:tc>
          <w:tcPr>
            <w:tcW w:w="1413" w:type="dxa"/>
            <w:tcBorders>
              <w:bottom w:val="single" w:color="auto" w:sz="4" w:space="0"/>
            </w:tcBorders>
            <w:noWrap w:val="0"/>
            <w:vAlign w:val="center"/>
          </w:tcPr>
          <w:p w14:paraId="20C6B2A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报价唯一</w:t>
            </w:r>
          </w:p>
        </w:tc>
        <w:tc>
          <w:tcPr>
            <w:tcW w:w="6369" w:type="dxa"/>
            <w:tcBorders>
              <w:bottom w:val="single" w:color="auto" w:sz="4" w:space="0"/>
            </w:tcBorders>
            <w:noWrap w:val="0"/>
            <w:vAlign w:val="center"/>
          </w:tcPr>
          <w:p w14:paraId="5E62C04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只能有一个有效报价。</w:t>
            </w:r>
          </w:p>
        </w:tc>
      </w:tr>
      <w:tr w14:paraId="55CE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82" w:type="dxa"/>
            <w:vMerge w:val="restart"/>
            <w:noWrap w:val="0"/>
            <w:vAlign w:val="center"/>
          </w:tcPr>
          <w:p w14:paraId="7BD6ABC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2.1.2</w:t>
            </w:r>
          </w:p>
        </w:tc>
        <w:tc>
          <w:tcPr>
            <w:tcW w:w="600" w:type="dxa"/>
            <w:vMerge w:val="restart"/>
            <w:noWrap w:val="0"/>
            <w:vAlign w:val="center"/>
          </w:tcPr>
          <w:p w14:paraId="4C2580F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en-US" w:eastAsia="zh-CN"/>
              </w:rPr>
              <w:t>资</w:t>
            </w:r>
          </w:p>
          <w:p w14:paraId="68B06F39">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格</w:t>
            </w:r>
          </w:p>
          <w:p w14:paraId="2EFD8CF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评</w:t>
            </w:r>
          </w:p>
          <w:p w14:paraId="6E1BBB9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审</w:t>
            </w:r>
          </w:p>
          <w:p w14:paraId="506C8E0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right="0"/>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标准</w:t>
            </w:r>
          </w:p>
        </w:tc>
        <w:tc>
          <w:tcPr>
            <w:tcW w:w="1413" w:type="dxa"/>
            <w:noWrap w:val="0"/>
            <w:vAlign w:val="center"/>
          </w:tcPr>
          <w:p w14:paraId="154AB16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营业执照</w:t>
            </w:r>
          </w:p>
        </w:tc>
        <w:tc>
          <w:tcPr>
            <w:tcW w:w="6369" w:type="dxa"/>
            <w:noWrap w:val="0"/>
            <w:vAlign w:val="center"/>
          </w:tcPr>
          <w:p w14:paraId="6FD4C80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en-US" w:eastAsia="zh-CN"/>
              </w:rPr>
              <w:t>供应商须是中华人民共和国境内合法注册的独立法人，</w:t>
            </w:r>
            <w:r>
              <w:rPr>
                <w:rFonts w:hint="eastAsia" w:ascii="宋体" w:hAnsi="宋体" w:eastAsia="宋体" w:cs="宋体"/>
                <w:b w:val="0"/>
                <w:bCs/>
                <w:color w:val="auto"/>
                <w:kern w:val="2"/>
                <w:sz w:val="21"/>
                <w:szCs w:val="21"/>
                <w:highlight w:val="none"/>
                <w:lang w:val="zh-CN"/>
              </w:rPr>
              <w:t>具备有效的营业执照副本，投标文件内附营业执照（副本）复印件加盖投标单位公章；</w:t>
            </w:r>
          </w:p>
        </w:tc>
      </w:tr>
      <w:tr w14:paraId="730C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center"/>
          </w:tcPr>
          <w:p w14:paraId="5FDDEB8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600" w:type="dxa"/>
            <w:vMerge w:val="continue"/>
            <w:noWrap w:val="0"/>
            <w:vAlign w:val="center"/>
          </w:tcPr>
          <w:p w14:paraId="0F14D919">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1AD0E98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安全生产许可证</w:t>
            </w:r>
          </w:p>
        </w:tc>
        <w:tc>
          <w:tcPr>
            <w:tcW w:w="6369" w:type="dxa"/>
            <w:noWrap w:val="0"/>
            <w:vAlign w:val="center"/>
          </w:tcPr>
          <w:p w14:paraId="41B8957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具备有效的安全生产许可证；</w:t>
            </w:r>
          </w:p>
          <w:p w14:paraId="78049DED">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jc w:val="both"/>
              <w:rPr>
                <w:rFonts w:hint="eastAsia" w:ascii="宋体" w:hAnsi="宋体" w:eastAsia="宋体" w:cs="宋体"/>
                <w:color w:val="auto"/>
                <w:sz w:val="21"/>
                <w:szCs w:val="21"/>
                <w:highlight w:val="none"/>
                <w:lang w:val="zh-CN"/>
              </w:rPr>
            </w:pPr>
            <w:r>
              <w:rPr>
                <w:rFonts w:hint="eastAsia" w:ascii="宋体" w:hAnsi="宋体" w:eastAsia="宋体" w:cs="宋体"/>
                <w:b w:val="0"/>
                <w:bCs/>
                <w:color w:val="auto"/>
                <w:kern w:val="2"/>
                <w:sz w:val="21"/>
                <w:szCs w:val="21"/>
                <w:highlight w:val="none"/>
                <w:lang w:val="zh-CN"/>
              </w:rPr>
              <w:t>投标文件内附安全生产许可证复印件加盖投标单位公章；</w:t>
            </w:r>
          </w:p>
        </w:tc>
      </w:tr>
      <w:tr w14:paraId="03F7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center"/>
          </w:tcPr>
          <w:p w14:paraId="06BD7CB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600" w:type="dxa"/>
            <w:vMerge w:val="continue"/>
            <w:noWrap w:val="0"/>
            <w:vAlign w:val="center"/>
          </w:tcPr>
          <w:p w14:paraId="428FD28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5066001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资质等级</w:t>
            </w:r>
          </w:p>
        </w:tc>
        <w:tc>
          <w:tcPr>
            <w:tcW w:w="6369" w:type="dxa"/>
            <w:noWrap w:val="0"/>
            <w:vAlign w:val="center"/>
          </w:tcPr>
          <w:p w14:paraId="17BEB49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rPr>
                <w:rFonts w:hint="eastAsia" w:ascii="宋体" w:hAnsi="宋体" w:eastAsia="宋体" w:cs="宋体"/>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具备建设行政主管部门核发的公路工程施工总承包贰级及以上资质且具备有效的安全生产许可证；</w:t>
            </w:r>
            <w:r>
              <w:rPr>
                <w:rFonts w:hint="eastAsia" w:ascii="宋体" w:hAnsi="宋体" w:eastAsia="宋体" w:cs="宋体"/>
                <w:b w:val="0"/>
                <w:bCs/>
                <w:color w:val="auto"/>
                <w:kern w:val="2"/>
                <w:sz w:val="21"/>
                <w:szCs w:val="21"/>
                <w:highlight w:val="none"/>
                <w:lang w:val="zh-CN"/>
              </w:rPr>
              <w:t>投标文件内附资质证书复印件加盖投标单位公章；</w:t>
            </w:r>
          </w:p>
        </w:tc>
      </w:tr>
      <w:tr w14:paraId="13D1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82" w:type="dxa"/>
            <w:vMerge w:val="continue"/>
            <w:noWrap w:val="0"/>
            <w:vAlign w:val="center"/>
          </w:tcPr>
          <w:p w14:paraId="269E25F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600" w:type="dxa"/>
            <w:vMerge w:val="continue"/>
            <w:noWrap w:val="0"/>
            <w:vAlign w:val="center"/>
          </w:tcPr>
          <w:p w14:paraId="52C83BD9">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46C5B78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开户许可证</w:t>
            </w:r>
          </w:p>
        </w:tc>
        <w:tc>
          <w:tcPr>
            <w:tcW w:w="6369" w:type="dxa"/>
            <w:noWrap w:val="0"/>
            <w:vAlign w:val="center"/>
          </w:tcPr>
          <w:p w14:paraId="6535127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both"/>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具备有效的开户许可证或开户证明材料；</w:t>
            </w:r>
          </w:p>
        </w:tc>
      </w:tr>
      <w:tr w14:paraId="6121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center"/>
          </w:tcPr>
          <w:p w14:paraId="2769F4A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600" w:type="dxa"/>
            <w:vMerge w:val="continue"/>
            <w:noWrap w:val="0"/>
            <w:vAlign w:val="center"/>
          </w:tcPr>
          <w:p w14:paraId="5BBA321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6D4622E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财务要求</w:t>
            </w:r>
          </w:p>
        </w:tc>
        <w:tc>
          <w:tcPr>
            <w:tcW w:w="6369" w:type="dxa"/>
            <w:noWrap w:val="0"/>
            <w:vAlign w:val="center"/>
          </w:tcPr>
          <w:p w14:paraId="226C7C0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jc w:val="both"/>
              <w:rPr>
                <w:rFonts w:hint="eastAsia" w:ascii="宋体" w:hAnsi="宋体" w:eastAsia="宋体" w:cs="宋体"/>
                <w:b w:val="0"/>
                <w:bCs/>
                <w:color w:val="auto"/>
                <w:kern w:val="2"/>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zh-CN"/>
              </w:rPr>
              <w:t>财务要求：近三年（202</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lang w:val="zh-CN"/>
              </w:rPr>
              <w:t>年-202</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lang w:val="zh-CN"/>
              </w:rPr>
              <w:t>年）经会计师事务所或审计机构审计的财务审计报告，财务状况良好。（当供应商成立日期在202</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lang w:val="zh-CN"/>
              </w:rPr>
              <w:t>年-202</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lang w:val="zh-CN"/>
              </w:rPr>
              <w:t>年之间的，提供从成立日期起至202</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lang w:val="zh-CN"/>
              </w:rPr>
              <w:t>年之间的经会计师事务所或审计机构审计的财务审计报告，202</w:t>
            </w: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lang w:val="zh-CN"/>
              </w:rPr>
              <w:t>年以后新成立的公司无财务审计报告的，需提供一份基本开户银行出具的资信证明；各供应商另须提供202</w:t>
            </w: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lang w:val="zh-CN"/>
              </w:rPr>
              <w:t>年01月01日至响应文件</w:t>
            </w:r>
            <w:r>
              <w:rPr>
                <w:rFonts w:hint="eastAsia" w:asciiTheme="minorEastAsia" w:hAnsiTheme="minorEastAsia" w:eastAsiaTheme="minorEastAsia" w:cstheme="minorEastAsia"/>
                <w:b w:val="0"/>
                <w:bCs w:val="0"/>
                <w:color w:val="auto"/>
                <w:sz w:val="21"/>
                <w:szCs w:val="21"/>
                <w:highlight w:val="none"/>
                <w:lang w:val="en-US" w:eastAsia="zh-CN"/>
              </w:rPr>
              <w:t>报名</w:t>
            </w:r>
            <w:r>
              <w:rPr>
                <w:rFonts w:hint="eastAsia" w:asciiTheme="minorEastAsia" w:hAnsiTheme="minorEastAsia" w:eastAsiaTheme="minorEastAsia" w:cstheme="minorEastAsia"/>
                <w:b w:val="0"/>
                <w:bCs w:val="0"/>
                <w:color w:val="auto"/>
                <w:sz w:val="21"/>
                <w:szCs w:val="21"/>
                <w:highlight w:val="none"/>
                <w:lang w:val="zh-CN"/>
              </w:rPr>
              <w:t>截止时间的财务状况良好承诺书）。</w:t>
            </w:r>
          </w:p>
        </w:tc>
      </w:tr>
      <w:tr w14:paraId="312C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center"/>
          </w:tcPr>
          <w:p w14:paraId="75EA698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600" w:type="dxa"/>
            <w:vMerge w:val="continue"/>
            <w:noWrap w:val="0"/>
            <w:vAlign w:val="center"/>
          </w:tcPr>
          <w:p w14:paraId="019705E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1413" w:type="dxa"/>
            <w:noWrap w:val="0"/>
            <w:vAlign w:val="center"/>
          </w:tcPr>
          <w:p w14:paraId="0ADD434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信誉要求</w:t>
            </w:r>
          </w:p>
        </w:tc>
        <w:tc>
          <w:tcPr>
            <w:tcW w:w="6369" w:type="dxa"/>
            <w:noWrap w:val="0"/>
            <w:vAlign w:val="center"/>
          </w:tcPr>
          <w:p w14:paraId="229F133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jc w:val="left"/>
              <w:rPr>
                <w:rFonts w:hint="eastAsia" w:ascii="宋体" w:hAnsi="宋体" w:eastAsia="宋体" w:cs="宋体"/>
                <w:b w:val="0"/>
                <w:bCs/>
                <w:color w:val="auto"/>
                <w:kern w:val="2"/>
                <w:sz w:val="21"/>
                <w:szCs w:val="21"/>
                <w:highlight w:val="none"/>
                <w:lang w:val="zh-CN" w:eastAsia="zh-CN"/>
              </w:rPr>
            </w:pPr>
            <w:r>
              <w:rPr>
                <w:rFonts w:hint="eastAsia" w:ascii="宋体" w:hAnsi="宋体" w:eastAsia="宋体" w:cs="宋体"/>
                <w:b w:val="0"/>
                <w:bCs/>
                <w:color w:val="auto"/>
                <w:kern w:val="2"/>
                <w:sz w:val="21"/>
                <w:szCs w:val="21"/>
                <w:highlight w:val="none"/>
                <w:lang w:val="zh-CN" w:eastAsia="zh-CN"/>
              </w:rPr>
              <w:t>符合第二章“投标人须知”第1.4.1项规定</w:t>
            </w:r>
          </w:p>
          <w:p w14:paraId="63B3314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jc w:val="left"/>
              <w:rPr>
                <w:rFonts w:hint="eastAsia" w:ascii="宋体" w:hAnsi="宋体" w:eastAsia="宋体" w:cs="宋体"/>
                <w:b w:val="0"/>
                <w:bCs/>
                <w:color w:val="auto"/>
                <w:kern w:val="2"/>
                <w:sz w:val="21"/>
                <w:szCs w:val="21"/>
                <w:highlight w:val="none"/>
                <w:lang w:val="zh-CN" w:eastAsia="zh-CN"/>
              </w:rPr>
            </w:pPr>
            <w:r>
              <w:rPr>
                <w:rFonts w:hint="eastAsia" w:ascii="宋体" w:hAnsi="宋体" w:eastAsia="宋体" w:cs="宋体"/>
                <w:b w:val="0"/>
                <w:bCs/>
                <w:color w:val="auto"/>
                <w:kern w:val="2"/>
                <w:sz w:val="21"/>
                <w:szCs w:val="21"/>
                <w:highlight w:val="none"/>
                <w:lang w:val="zh-CN" w:eastAsia="zh-CN"/>
              </w:rPr>
              <w:t>（1）拒绝列入政府取消投标资格记录期间的企业或个人投标；</w:t>
            </w:r>
          </w:p>
          <w:p w14:paraId="659E18A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jc w:val="left"/>
              <w:rPr>
                <w:rFonts w:hint="eastAsia" w:ascii="宋体" w:hAnsi="宋体" w:eastAsia="宋体" w:cs="宋体"/>
                <w:b w:val="0"/>
                <w:bCs/>
                <w:color w:val="auto"/>
                <w:kern w:val="2"/>
                <w:sz w:val="21"/>
                <w:szCs w:val="21"/>
                <w:highlight w:val="none"/>
                <w:lang w:val="zh-CN" w:eastAsia="zh-CN"/>
              </w:rPr>
            </w:pPr>
            <w:r>
              <w:rPr>
                <w:rFonts w:hint="eastAsia" w:ascii="宋体" w:hAnsi="宋体" w:eastAsia="宋体" w:cs="宋体"/>
                <w:b w:val="0"/>
                <w:bCs/>
                <w:color w:val="auto"/>
                <w:kern w:val="2"/>
                <w:sz w:val="21"/>
                <w:szCs w:val="21"/>
                <w:highlight w:val="none"/>
                <w:lang w:val="zh-CN" w:eastAsia="zh-CN"/>
              </w:rPr>
              <w:t>（2）未被工商行政管理机关在全国企业信用信息公示系统（www.gsxt.gov.cn）中列入严重违法失信企业名单；</w:t>
            </w:r>
          </w:p>
          <w:p w14:paraId="4425C33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jc w:val="left"/>
              <w:rPr>
                <w:rFonts w:hint="eastAsia" w:ascii="宋体" w:hAnsi="宋体" w:eastAsia="宋体" w:cs="宋体"/>
                <w:b w:val="0"/>
                <w:bCs/>
                <w:color w:val="auto"/>
                <w:kern w:val="2"/>
                <w:sz w:val="21"/>
                <w:szCs w:val="21"/>
                <w:highlight w:val="none"/>
                <w:lang w:val="zh-CN" w:eastAsia="zh-CN"/>
              </w:rPr>
            </w:pPr>
            <w:r>
              <w:rPr>
                <w:rFonts w:hint="eastAsia" w:ascii="宋体" w:hAnsi="宋体" w:eastAsia="宋体" w:cs="宋体"/>
                <w:b w:val="0"/>
                <w:bCs/>
                <w:color w:val="auto"/>
                <w:kern w:val="2"/>
                <w:sz w:val="21"/>
                <w:szCs w:val="21"/>
                <w:highlight w:val="none"/>
                <w:lang w:val="zh-CN" w:eastAsia="zh-CN"/>
              </w:rPr>
              <w:t>（3）未被最高人民法院在“信用中国”网站（www.creditchina.gov.cn）或各级信用信息共享平台中列入失信被执行人名单；</w:t>
            </w:r>
          </w:p>
          <w:p w14:paraId="6C6A475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jc w:val="left"/>
              <w:rPr>
                <w:rFonts w:hint="eastAsia" w:ascii="宋体" w:hAnsi="宋体" w:eastAsia="宋体" w:cs="宋体"/>
                <w:b w:val="0"/>
                <w:bCs/>
                <w:color w:val="auto"/>
                <w:kern w:val="2"/>
                <w:sz w:val="21"/>
                <w:szCs w:val="21"/>
                <w:highlight w:val="none"/>
                <w:lang w:val="zh-CN" w:eastAsia="zh-CN"/>
              </w:rPr>
            </w:pPr>
            <w:r>
              <w:rPr>
                <w:rFonts w:hint="eastAsia" w:ascii="宋体" w:hAnsi="宋体" w:eastAsia="宋体" w:cs="宋体"/>
                <w:b w:val="0"/>
                <w:bCs/>
                <w:color w:val="auto"/>
                <w:kern w:val="2"/>
                <w:sz w:val="21"/>
                <w:szCs w:val="21"/>
                <w:highlight w:val="none"/>
                <w:lang w:val="zh-CN" w:eastAsia="zh-CN"/>
              </w:rPr>
              <w:t>（4）在近三年（20</w:t>
            </w:r>
            <w:r>
              <w:rPr>
                <w:rFonts w:hint="eastAsia" w:ascii="宋体" w:hAnsi="宋体" w:eastAsia="宋体" w:cs="宋体"/>
                <w:b w:val="0"/>
                <w:bCs/>
                <w:color w:val="auto"/>
                <w:kern w:val="2"/>
                <w:sz w:val="21"/>
                <w:szCs w:val="21"/>
                <w:highlight w:val="none"/>
                <w:lang w:val="en-US" w:eastAsia="zh-CN"/>
              </w:rPr>
              <w:t>22</w:t>
            </w:r>
            <w:r>
              <w:rPr>
                <w:rFonts w:hint="eastAsia" w:ascii="宋体" w:hAnsi="宋体" w:eastAsia="宋体" w:cs="宋体"/>
                <w:b w:val="0"/>
                <w:bCs/>
                <w:color w:val="auto"/>
                <w:kern w:val="2"/>
                <w:sz w:val="21"/>
                <w:szCs w:val="21"/>
                <w:highlight w:val="none"/>
                <w:lang w:val="zh-CN" w:eastAsia="zh-CN"/>
              </w:rPr>
              <w:t>年</w:t>
            </w:r>
            <w:r>
              <w:rPr>
                <w:rFonts w:hint="eastAsia" w:ascii="宋体" w:hAnsi="宋体" w:eastAsia="宋体" w:cs="宋体"/>
                <w:b w:val="0"/>
                <w:bCs/>
                <w:color w:val="auto"/>
                <w:kern w:val="2"/>
                <w:sz w:val="21"/>
                <w:szCs w:val="21"/>
                <w:highlight w:val="none"/>
                <w:lang w:val="en-US" w:eastAsia="zh-CN"/>
              </w:rPr>
              <w:t>1</w:t>
            </w:r>
            <w:r>
              <w:rPr>
                <w:rFonts w:hint="eastAsia" w:ascii="宋体" w:hAnsi="宋体" w:eastAsia="宋体" w:cs="宋体"/>
                <w:b w:val="0"/>
                <w:bCs/>
                <w:color w:val="auto"/>
                <w:kern w:val="2"/>
                <w:sz w:val="21"/>
                <w:szCs w:val="21"/>
                <w:highlight w:val="none"/>
                <w:lang w:val="zh-CN" w:eastAsia="zh-CN"/>
              </w:rPr>
              <w:t>月1日至今）内投标人或其法定代表人、拟委任的项目经理未在“中国裁判文书网”(wenshu.court.gov.cn)上有行贿犯罪行为；</w:t>
            </w:r>
          </w:p>
          <w:p w14:paraId="2AEADAC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jc w:val="left"/>
              <w:rPr>
                <w:rFonts w:hint="eastAsia" w:ascii="宋体" w:hAnsi="宋体" w:eastAsia="宋体" w:cs="宋体"/>
                <w:color w:val="auto"/>
                <w:sz w:val="21"/>
                <w:szCs w:val="21"/>
                <w:highlight w:val="none"/>
                <w:lang w:val="zh-CN"/>
              </w:rPr>
            </w:pPr>
            <w:r>
              <w:rPr>
                <w:rFonts w:hint="eastAsia" w:ascii="宋体" w:hAnsi="宋体" w:eastAsia="宋体" w:cs="宋体"/>
                <w:b w:val="0"/>
                <w:bCs/>
                <w:color w:val="auto"/>
                <w:kern w:val="2"/>
                <w:sz w:val="21"/>
                <w:szCs w:val="21"/>
                <w:highlight w:val="none"/>
                <w:lang w:val="zh-CN" w:eastAsia="zh-CN"/>
              </w:rPr>
              <w:t>投标文件内（1）附由法定代表人或其委托代理人签字并加盖投标单位公章的承诺书，（2）至（4）附网站查询截图复印件加盖投标单位公章。</w:t>
            </w:r>
          </w:p>
        </w:tc>
      </w:tr>
      <w:tr w14:paraId="5DD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center"/>
          </w:tcPr>
          <w:p w14:paraId="2B962AD9">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600" w:type="dxa"/>
            <w:vMerge w:val="continue"/>
            <w:noWrap w:val="0"/>
            <w:vAlign w:val="center"/>
          </w:tcPr>
          <w:p w14:paraId="2BE203E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1413" w:type="dxa"/>
            <w:noWrap w:val="0"/>
            <w:vAlign w:val="center"/>
          </w:tcPr>
          <w:p w14:paraId="59FFF7D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项目经理</w:t>
            </w:r>
          </w:p>
        </w:tc>
        <w:tc>
          <w:tcPr>
            <w:tcW w:w="6369" w:type="dxa"/>
            <w:noWrap w:val="0"/>
            <w:vAlign w:val="center"/>
          </w:tcPr>
          <w:p w14:paraId="104F19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color w:val="auto"/>
                <w:kern w:val="2"/>
                <w:sz w:val="21"/>
                <w:szCs w:val="21"/>
                <w:highlight w:val="none"/>
                <w:lang w:val="zh-CN"/>
              </w:rPr>
              <w:t>拟派出的</w:t>
            </w:r>
            <w:r>
              <w:rPr>
                <w:rFonts w:hint="eastAsia" w:ascii="宋体" w:hAnsi="宋体" w:eastAsia="宋体" w:cs="宋体"/>
                <w:b w:val="0"/>
                <w:bCs/>
                <w:color w:val="auto"/>
                <w:kern w:val="2"/>
                <w:sz w:val="21"/>
                <w:szCs w:val="21"/>
                <w:highlight w:val="none"/>
                <w:lang w:val="en-US" w:eastAsia="zh-CN"/>
              </w:rPr>
              <w:t>项目经理须具备公路工程专业贰级及以上注册建造师资格，具备有效的安全生产考核合格证书（B类），且无在建工程，整个采购过程不得随意更换项目经理。</w:t>
            </w:r>
          </w:p>
        </w:tc>
      </w:tr>
      <w:tr w14:paraId="3E91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center"/>
          </w:tcPr>
          <w:p w14:paraId="4A01D169">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600" w:type="dxa"/>
            <w:vMerge w:val="continue"/>
            <w:noWrap w:val="0"/>
            <w:vAlign w:val="center"/>
          </w:tcPr>
          <w:p w14:paraId="25D6ED2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1413" w:type="dxa"/>
            <w:noWrap w:val="0"/>
            <w:vAlign w:val="center"/>
          </w:tcPr>
          <w:p w14:paraId="5887136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000000" w:themeColor="text1"/>
                <w:kern w:val="2"/>
                <w:sz w:val="21"/>
                <w:szCs w:val="21"/>
                <w:highlight w:val="none"/>
                <w14:textFill>
                  <w14:solidFill>
                    <w14:schemeClr w14:val="tx1"/>
                  </w14:solidFill>
                </w14:textFill>
              </w:rPr>
              <w:t>项目管理机构人员配置</w:t>
            </w:r>
          </w:p>
        </w:tc>
        <w:tc>
          <w:tcPr>
            <w:tcW w:w="6369" w:type="dxa"/>
            <w:noWrap w:val="0"/>
            <w:vAlign w:val="center"/>
          </w:tcPr>
          <w:p w14:paraId="1626BD0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满足本项目实施需求，拟投入本项目的项目管理机构所配备的不同岗位；项目管理机构人员（造价及财务人员除外）须是“吉林省建筑市场监管公共服务平台”登记并公示的人员，网站公示页打印后加盖投标人公章附在投标文件中。</w:t>
            </w:r>
          </w:p>
        </w:tc>
      </w:tr>
      <w:tr w14:paraId="2C50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782" w:type="dxa"/>
            <w:vMerge w:val="continue"/>
            <w:noWrap w:val="0"/>
            <w:vAlign w:val="center"/>
          </w:tcPr>
          <w:p w14:paraId="038B0F4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600" w:type="dxa"/>
            <w:vMerge w:val="continue"/>
            <w:noWrap w:val="0"/>
            <w:vAlign w:val="center"/>
          </w:tcPr>
          <w:p w14:paraId="76E4FCC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1413" w:type="dxa"/>
            <w:noWrap w:val="0"/>
            <w:vAlign w:val="center"/>
          </w:tcPr>
          <w:p w14:paraId="3747531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外</w:t>
            </w:r>
            <w:r>
              <w:rPr>
                <w:rFonts w:hint="eastAsia" w:ascii="宋体" w:hAnsi="宋体" w:eastAsia="宋体" w:cs="宋体"/>
                <w:b w:val="0"/>
                <w:bCs/>
                <w:color w:val="auto"/>
                <w:kern w:val="2"/>
                <w:sz w:val="21"/>
                <w:szCs w:val="21"/>
                <w:highlight w:val="none"/>
                <w:lang w:val="zh-CN" w:eastAsia="zh-CN"/>
              </w:rPr>
              <w:t>埠</w:t>
            </w:r>
            <w:r>
              <w:rPr>
                <w:rFonts w:hint="eastAsia" w:ascii="宋体" w:hAnsi="宋体" w:eastAsia="宋体" w:cs="宋体"/>
                <w:b w:val="0"/>
                <w:bCs/>
                <w:color w:val="auto"/>
                <w:kern w:val="2"/>
                <w:sz w:val="21"/>
                <w:szCs w:val="21"/>
                <w:highlight w:val="none"/>
                <w:lang w:val="zh-CN"/>
              </w:rPr>
              <w:t>企业</w:t>
            </w:r>
          </w:p>
        </w:tc>
        <w:tc>
          <w:tcPr>
            <w:tcW w:w="6369" w:type="dxa"/>
            <w:noWrap w:val="0"/>
            <w:vAlign w:val="center"/>
          </w:tcPr>
          <w:p w14:paraId="409388D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zh-CN" w:eastAsia="zh-CN"/>
              </w:rPr>
              <w:t>外埠单位在我省承揽项目应执行吉林省关于外企入吉备案相关规定（入吉企业相关信息在“吉林省建筑市场监管公共服务平台”上公布后，方可在我省从事建筑活动；（详见吉建管[2015]50号、吉建管[2016]1号、吉建管[2016]30号、吉建管[2018]12号文件、吉建管[2019]11号、吉建管[2019]28号、吉建管[2019]82号等文件）</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15"/>
                <w:sz w:val="21"/>
                <w:szCs w:val="21"/>
                <w:highlight w:val="none"/>
              </w:rPr>
              <w:t>网站公示页打印后加盖投标人公章附在投标文件中。</w:t>
            </w:r>
          </w:p>
        </w:tc>
      </w:tr>
      <w:tr w14:paraId="1537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trPr>
        <w:tc>
          <w:tcPr>
            <w:tcW w:w="782" w:type="dxa"/>
            <w:vMerge w:val="continue"/>
            <w:noWrap w:val="0"/>
            <w:vAlign w:val="center"/>
          </w:tcPr>
          <w:p w14:paraId="202DFF9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600" w:type="dxa"/>
            <w:vMerge w:val="continue"/>
            <w:noWrap w:val="0"/>
            <w:vAlign w:val="center"/>
          </w:tcPr>
          <w:p w14:paraId="6984DCC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4"/>
                <w:szCs w:val="24"/>
                <w:highlight w:val="none"/>
                <w:lang w:val="zh-CN"/>
              </w:rPr>
            </w:pPr>
          </w:p>
        </w:tc>
        <w:tc>
          <w:tcPr>
            <w:tcW w:w="1413" w:type="dxa"/>
            <w:noWrap w:val="0"/>
            <w:vAlign w:val="center"/>
          </w:tcPr>
          <w:p w14:paraId="2A65A4D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其他要求</w:t>
            </w:r>
          </w:p>
        </w:tc>
        <w:tc>
          <w:tcPr>
            <w:tcW w:w="6369" w:type="dxa"/>
            <w:noWrap w:val="0"/>
            <w:vAlign w:val="center"/>
          </w:tcPr>
          <w:p w14:paraId="6D97335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jc w:val="both"/>
              <w:rPr>
                <w:rFonts w:hint="eastAsia" w:ascii="宋体" w:hAnsi="宋体" w:eastAsia="宋体" w:cs="宋体"/>
                <w:b w:val="0"/>
                <w:bCs/>
                <w:color w:val="auto"/>
                <w:kern w:val="2"/>
                <w:sz w:val="21"/>
                <w:szCs w:val="21"/>
                <w:highlight w:val="none"/>
                <w:lang w:val="zh-CN" w:eastAsia="zh-CN"/>
              </w:rPr>
            </w:pPr>
            <w:r>
              <w:rPr>
                <w:rFonts w:hint="eastAsia" w:ascii="宋体" w:hAnsi="宋体" w:eastAsia="宋体" w:cs="宋体"/>
                <w:b w:val="0"/>
                <w:bCs/>
                <w:color w:val="auto"/>
                <w:kern w:val="2"/>
                <w:sz w:val="21"/>
                <w:szCs w:val="21"/>
                <w:highlight w:val="none"/>
                <w:lang w:val="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tc>
      </w:tr>
      <w:tr w14:paraId="15FF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center"/>
          </w:tcPr>
          <w:p w14:paraId="640BDD2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600" w:type="dxa"/>
            <w:vMerge w:val="continue"/>
            <w:noWrap w:val="0"/>
            <w:vAlign w:val="center"/>
          </w:tcPr>
          <w:p w14:paraId="04F650D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73A40A0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不存在禁止投标的情形</w:t>
            </w:r>
          </w:p>
        </w:tc>
        <w:tc>
          <w:tcPr>
            <w:tcW w:w="6369" w:type="dxa"/>
            <w:noWrap w:val="0"/>
            <w:vAlign w:val="center"/>
          </w:tcPr>
          <w:p w14:paraId="4A499B1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rightChars="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不存在第二章“投标人须知”第1.4.3项规定的任何一种情形，</w:t>
            </w:r>
          </w:p>
          <w:p w14:paraId="608C185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rightChars="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投标文件内附由法定代表人或其委托代理人签字并加盖投标单位公章的承诺书，</w:t>
            </w:r>
          </w:p>
        </w:tc>
      </w:tr>
      <w:tr w14:paraId="00EF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restart"/>
            <w:noWrap w:val="0"/>
            <w:vAlign w:val="center"/>
          </w:tcPr>
          <w:p w14:paraId="3CDAA83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2.1.3</w:t>
            </w:r>
          </w:p>
        </w:tc>
        <w:tc>
          <w:tcPr>
            <w:tcW w:w="600" w:type="dxa"/>
            <w:vMerge w:val="restart"/>
            <w:noWrap w:val="0"/>
            <w:vAlign w:val="center"/>
          </w:tcPr>
          <w:p w14:paraId="3DC40017">
            <w:pPr>
              <w:keepNext w:val="0"/>
              <w:keepLines w:val="0"/>
              <w:pageBreakBefore w:val="0"/>
              <w:widowControl w:val="0"/>
              <w:kinsoku/>
              <w:wordWrap/>
              <w:overflowPunct/>
              <w:topLinePunct w:val="0"/>
              <w:autoSpaceDE w:val="0"/>
              <w:autoSpaceDN w:val="0"/>
              <w:bidi w:val="0"/>
              <w:spacing w:before="48" w:beforeLines="20" w:after="48" w:afterLines="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w:t>
            </w:r>
          </w:p>
          <w:p w14:paraId="470EFCB6">
            <w:pPr>
              <w:keepNext w:val="0"/>
              <w:keepLines w:val="0"/>
              <w:pageBreakBefore w:val="0"/>
              <w:widowControl w:val="0"/>
              <w:kinsoku/>
              <w:wordWrap/>
              <w:overflowPunct/>
              <w:topLinePunct w:val="0"/>
              <w:autoSpaceDE w:val="0"/>
              <w:autoSpaceDN w:val="0"/>
              <w:bidi w:val="0"/>
              <w:spacing w:before="48" w:beforeLines="20" w:after="48" w:afterLines="20"/>
              <w:jc w:val="center"/>
              <w:outlineLvl w:val="9"/>
              <w:rPr>
                <w:rFonts w:hint="eastAsia" w:ascii="宋体" w:hAnsi="宋体" w:eastAsia="宋体" w:cs="宋体"/>
                <w:b w:val="0"/>
                <w:bCs/>
                <w:color w:val="auto"/>
                <w:kern w:val="2"/>
                <w:sz w:val="21"/>
                <w:szCs w:val="21"/>
                <w:highlight w:val="none"/>
                <w:lang w:val="zh-CN"/>
              </w:rPr>
            </w:pPr>
            <w:r>
              <w:rPr>
                <w:rFonts w:hint="eastAsia" w:ascii="宋体" w:hAnsi="宋体" w:eastAsia="宋体" w:cs="宋体"/>
                <w:color w:val="auto"/>
                <w:sz w:val="21"/>
                <w:szCs w:val="21"/>
                <w:highlight w:val="none"/>
              </w:rPr>
              <w:t>审标准</w:t>
            </w:r>
          </w:p>
        </w:tc>
        <w:tc>
          <w:tcPr>
            <w:tcW w:w="1413" w:type="dxa"/>
            <w:noWrap w:val="0"/>
            <w:vAlign w:val="center"/>
          </w:tcPr>
          <w:p w14:paraId="36E43EC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磋商内容</w:t>
            </w:r>
          </w:p>
        </w:tc>
        <w:tc>
          <w:tcPr>
            <w:tcW w:w="6369" w:type="dxa"/>
            <w:noWrap w:val="0"/>
            <w:vAlign w:val="center"/>
          </w:tcPr>
          <w:p w14:paraId="2D7EA61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符合第二章“投标人须知前附表”第1.3.1项规定</w:t>
            </w:r>
          </w:p>
        </w:tc>
      </w:tr>
      <w:tr w14:paraId="10F5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782" w:type="dxa"/>
            <w:vMerge w:val="continue"/>
            <w:noWrap w:val="0"/>
            <w:vAlign w:val="center"/>
          </w:tcPr>
          <w:p w14:paraId="333C272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600" w:type="dxa"/>
            <w:vMerge w:val="continue"/>
            <w:noWrap w:val="0"/>
            <w:vAlign w:val="center"/>
          </w:tcPr>
          <w:p w14:paraId="05B2983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7A2FEE1F">
            <w:pPr>
              <w:pStyle w:val="11"/>
              <w:keepNext w:val="0"/>
              <w:keepLines w:val="0"/>
              <w:pageBreakBefore w:val="0"/>
              <w:widowControl w:val="0"/>
              <w:suppressLineNumbers w:val="0"/>
              <w:tabs>
                <w:tab w:val="clear" w:pos="4153"/>
                <w:tab w:val="clear" w:pos="8306"/>
              </w:tabs>
              <w:kinsoku/>
              <w:wordWrap/>
              <w:overflowPunct/>
              <w:topLinePunct w:val="0"/>
              <w:autoSpaceDE w:val="0"/>
              <w:autoSpaceDN w:val="0"/>
              <w:bidi w:val="0"/>
              <w:adjustRightInd w:val="0"/>
              <w:snapToGrid/>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eastAsia="zh-CN" w:bidi="ar-SA"/>
              </w:rPr>
              <w:t>计划工期</w:t>
            </w:r>
          </w:p>
        </w:tc>
        <w:tc>
          <w:tcPr>
            <w:tcW w:w="6369" w:type="dxa"/>
            <w:noWrap w:val="0"/>
            <w:vAlign w:val="center"/>
          </w:tcPr>
          <w:p w14:paraId="14B58845">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both"/>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自合同签订之日起2个月</w:t>
            </w:r>
          </w:p>
        </w:tc>
      </w:tr>
      <w:tr w14:paraId="6361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top"/>
          </w:tcPr>
          <w:p w14:paraId="24F885C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600" w:type="dxa"/>
            <w:vMerge w:val="continue"/>
            <w:noWrap w:val="0"/>
            <w:vAlign w:val="top"/>
          </w:tcPr>
          <w:p w14:paraId="7DDCE3F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3BA6D6D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zh-CN"/>
              </w:rPr>
              <w:t>质量</w:t>
            </w:r>
            <w:r>
              <w:rPr>
                <w:rFonts w:hint="eastAsia" w:ascii="宋体" w:hAnsi="宋体" w:eastAsia="宋体" w:cs="宋体"/>
                <w:b w:val="0"/>
                <w:bCs/>
                <w:color w:val="auto"/>
                <w:kern w:val="2"/>
                <w:sz w:val="21"/>
                <w:szCs w:val="21"/>
                <w:highlight w:val="none"/>
                <w:lang w:val="en-US" w:eastAsia="zh-CN"/>
              </w:rPr>
              <w:t>要求</w:t>
            </w:r>
          </w:p>
        </w:tc>
        <w:tc>
          <w:tcPr>
            <w:tcW w:w="6369" w:type="dxa"/>
            <w:noWrap w:val="0"/>
            <w:vAlign w:val="center"/>
          </w:tcPr>
          <w:p w14:paraId="0ACFA923">
            <w:pPr>
              <w:pStyle w:val="12"/>
              <w:keepNext w:val="0"/>
              <w:keepLines w:val="0"/>
              <w:pageBreakBefore w:val="0"/>
              <w:widowControl w:val="0"/>
              <w:pBdr>
                <w:bottom w:val="none" w:color="auto" w:sz="0" w:space="0"/>
              </w:pBdr>
              <w:tabs>
                <w:tab w:val="left" w:pos="420"/>
              </w:tabs>
              <w:kinsoku/>
              <w:wordWrap/>
              <w:overflowPunct/>
              <w:topLinePunct w:val="0"/>
              <w:autoSpaceDE w:val="0"/>
              <w:autoSpaceDN w:val="0"/>
              <w:bidi w:val="0"/>
              <w:adjustRightInd w:val="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snapToGrid w:val="0"/>
                <w:color w:val="auto"/>
                <w:kern w:val="2"/>
                <w:sz w:val="21"/>
                <w:szCs w:val="21"/>
                <w:highlight w:val="none"/>
                <w:lang w:val="zh-CN" w:eastAsia="en-US" w:bidi="ar-SA"/>
              </w:rPr>
              <w:t>合格</w:t>
            </w:r>
          </w:p>
        </w:tc>
      </w:tr>
      <w:tr w14:paraId="729B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82" w:type="dxa"/>
            <w:vMerge w:val="continue"/>
            <w:noWrap w:val="0"/>
            <w:vAlign w:val="top"/>
          </w:tcPr>
          <w:p w14:paraId="2A9C528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600" w:type="dxa"/>
            <w:vMerge w:val="continue"/>
            <w:noWrap w:val="0"/>
            <w:vAlign w:val="top"/>
          </w:tcPr>
          <w:p w14:paraId="692ED0A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69742F9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磋商有效期</w:t>
            </w:r>
          </w:p>
        </w:tc>
        <w:tc>
          <w:tcPr>
            <w:tcW w:w="6369" w:type="dxa"/>
            <w:noWrap w:val="0"/>
            <w:vAlign w:val="center"/>
          </w:tcPr>
          <w:p w14:paraId="7BA6A12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zh-CN"/>
              </w:rPr>
              <w:t>投标截止之日起</w:t>
            </w:r>
            <w:r>
              <w:rPr>
                <w:rFonts w:hint="eastAsia" w:ascii="宋体" w:hAnsi="宋体" w:eastAsia="宋体" w:cs="宋体"/>
                <w:b w:val="0"/>
                <w:bCs/>
                <w:color w:val="auto"/>
                <w:kern w:val="2"/>
                <w:sz w:val="21"/>
                <w:szCs w:val="21"/>
                <w:highlight w:val="none"/>
                <w:lang w:val="en-US" w:eastAsia="zh-CN"/>
              </w:rPr>
              <w:t>60</w:t>
            </w:r>
            <w:r>
              <w:rPr>
                <w:rFonts w:hint="eastAsia" w:ascii="宋体" w:hAnsi="宋体" w:eastAsia="宋体" w:cs="宋体"/>
                <w:b w:val="0"/>
                <w:bCs/>
                <w:color w:val="auto"/>
                <w:kern w:val="2"/>
                <w:sz w:val="21"/>
                <w:szCs w:val="21"/>
                <w:highlight w:val="none"/>
                <w:lang w:val="zh-CN"/>
              </w:rPr>
              <w:t>天（日历天）</w:t>
            </w:r>
          </w:p>
        </w:tc>
      </w:tr>
      <w:tr w14:paraId="2680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top"/>
          </w:tcPr>
          <w:p w14:paraId="01EC95A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600" w:type="dxa"/>
            <w:vMerge w:val="continue"/>
            <w:noWrap w:val="0"/>
            <w:vAlign w:val="top"/>
          </w:tcPr>
          <w:p w14:paraId="2E5A934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68195CC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权利义务</w:t>
            </w:r>
          </w:p>
        </w:tc>
        <w:tc>
          <w:tcPr>
            <w:tcW w:w="6369" w:type="dxa"/>
            <w:noWrap w:val="0"/>
            <w:vAlign w:val="center"/>
          </w:tcPr>
          <w:p w14:paraId="6CDCB4B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符合第四章“合同条款及格式”规定</w:t>
            </w:r>
          </w:p>
        </w:tc>
      </w:tr>
      <w:tr w14:paraId="2212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top"/>
          </w:tcPr>
          <w:p w14:paraId="5556A05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600" w:type="dxa"/>
            <w:vMerge w:val="continue"/>
            <w:noWrap w:val="0"/>
            <w:vAlign w:val="top"/>
          </w:tcPr>
          <w:p w14:paraId="18F80B8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00F0987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技术标准和要求</w:t>
            </w:r>
          </w:p>
        </w:tc>
        <w:tc>
          <w:tcPr>
            <w:tcW w:w="6369" w:type="dxa"/>
            <w:noWrap w:val="0"/>
            <w:vAlign w:val="center"/>
          </w:tcPr>
          <w:p w14:paraId="4D4CF3D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符合招标文件“技术标准和要求”规定</w:t>
            </w:r>
          </w:p>
        </w:tc>
      </w:tr>
      <w:tr w14:paraId="2D8A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top"/>
          </w:tcPr>
          <w:p w14:paraId="3CF667C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600" w:type="dxa"/>
            <w:vMerge w:val="continue"/>
            <w:noWrap w:val="0"/>
            <w:vAlign w:val="top"/>
          </w:tcPr>
          <w:p w14:paraId="6756E08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123D57D7">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磋商报价</w:t>
            </w:r>
          </w:p>
        </w:tc>
        <w:tc>
          <w:tcPr>
            <w:tcW w:w="6369" w:type="dxa"/>
            <w:noWrap w:val="0"/>
            <w:vAlign w:val="center"/>
          </w:tcPr>
          <w:p w14:paraId="0AD2B10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leftChars="0" w:right="0" w:rightChars="0"/>
              <w:jc w:val="both"/>
              <w:rPr>
                <w:rFonts w:hint="eastAsia" w:ascii="宋体" w:hAnsi="宋体" w:eastAsia="宋体" w:cs="宋体"/>
                <w:b w:val="0"/>
                <w:bCs/>
                <w:color w:val="auto"/>
                <w:kern w:val="2"/>
                <w:sz w:val="21"/>
                <w:szCs w:val="21"/>
                <w:highlight w:val="none"/>
                <w:lang w:val="zh-CN"/>
              </w:rPr>
            </w:pPr>
            <w:r>
              <w:rPr>
                <w:rFonts w:hint="eastAsia" w:ascii="宋体" w:hAnsi="宋体" w:eastAsia="宋体" w:cs="宋体"/>
                <w:color w:val="auto"/>
                <w:sz w:val="21"/>
                <w:szCs w:val="21"/>
                <w:highlight w:val="none"/>
              </w:rPr>
              <w:t>不得超过</w:t>
            </w:r>
            <w:r>
              <w:rPr>
                <w:rFonts w:hint="eastAsia" w:ascii="宋体" w:hAnsi="宋体" w:eastAsia="宋体" w:cs="宋体"/>
                <w:b/>
                <w:bCs/>
                <w:color w:val="auto"/>
                <w:sz w:val="21"/>
                <w:szCs w:val="21"/>
                <w:highlight w:val="none"/>
                <w:lang w:val="en-US" w:eastAsia="zh-CN"/>
              </w:rPr>
              <w:t>最高投标限价</w:t>
            </w:r>
          </w:p>
        </w:tc>
      </w:tr>
      <w:tr w14:paraId="495C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782" w:type="dxa"/>
            <w:vMerge w:val="continue"/>
            <w:noWrap w:val="0"/>
            <w:vAlign w:val="top"/>
          </w:tcPr>
          <w:p w14:paraId="23B256A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600" w:type="dxa"/>
            <w:vMerge w:val="continue"/>
            <w:noWrap w:val="0"/>
            <w:vAlign w:val="top"/>
          </w:tcPr>
          <w:p w14:paraId="766A533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2A940FF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已标价工程量清单及造价人员</w:t>
            </w:r>
          </w:p>
        </w:tc>
        <w:tc>
          <w:tcPr>
            <w:tcW w:w="6369" w:type="dxa"/>
            <w:noWrap w:val="0"/>
            <w:vAlign w:val="center"/>
          </w:tcPr>
          <w:p w14:paraId="378639D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eastAsia="zh-CN"/>
              </w:rPr>
            </w:pPr>
            <w:r>
              <w:rPr>
                <w:rFonts w:hint="eastAsia" w:ascii="宋体" w:hAnsi="宋体" w:eastAsia="宋体" w:cs="宋体"/>
                <w:b w:val="0"/>
                <w:bCs/>
                <w:color w:val="auto"/>
                <w:kern w:val="2"/>
                <w:sz w:val="21"/>
                <w:szCs w:val="21"/>
                <w:highlight w:val="none"/>
                <w:lang w:val="zh-CN"/>
              </w:rPr>
              <w:t>投标人应按招标人提供的工程量清单填报价格。填写的项目编码、项目名称、项目特征、计量单位、工程量应与招标人提供的一致，符合相关法律法规，报价合理；</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加盖注册造价工程师执业印章并签字。同一单位的造价人员在本招标项目中不能为两个及两个以上的投标单位编制工程量清单。</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非本投标单位的造价人员须附有聘用文件。</w:t>
            </w:r>
          </w:p>
        </w:tc>
      </w:tr>
      <w:tr w14:paraId="0E81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82" w:type="dxa"/>
            <w:vMerge w:val="continue"/>
            <w:noWrap w:val="0"/>
            <w:vAlign w:val="top"/>
          </w:tcPr>
          <w:p w14:paraId="6E519AF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600" w:type="dxa"/>
            <w:vMerge w:val="continue"/>
            <w:noWrap w:val="0"/>
            <w:vAlign w:val="top"/>
          </w:tcPr>
          <w:p w14:paraId="628BF53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 w:val="0"/>
                <w:bCs/>
                <w:color w:val="auto"/>
                <w:kern w:val="2"/>
                <w:sz w:val="21"/>
                <w:szCs w:val="21"/>
                <w:highlight w:val="none"/>
                <w:lang w:val="zh-CN"/>
              </w:rPr>
            </w:pPr>
          </w:p>
        </w:tc>
        <w:tc>
          <w:tcPr>
            <w:tcW w:w="1413" w:type="dxa"/>
            <w:noWrap w:val="0"/>
            <w:vAlign w:val="center"/>
          </w:tcPr>
          <w:p w14:paraId="0659DF4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其他要求</w:t>
            </w:r>
          </w:p>
        </w:tc>
        <w:tc>
          <w:tcPr>
            <w:tcW w:w="6369" w:type="dxa"/>
            <w:noWrap w:val="0"/>
            <w:vAlign w:val="center"/>
          </w:tcPr>
          <w:p w14:paraId="0B8D2F0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left"/>
              <w:rPr>
                <w:rFonts w:hint="eastAsia" w:ascii="宋体" w:hAnsi="宋体" w:eastAsia="宋体" w:cs="宋体"/>
                <w:b w:val="0"/>
                <w:bCs/>
                <w:color w:val="auto"/>
                <w:kern w:val="2"/>
                <w:sz w:val="21"/>
                <w:szCs w:val="21"/>
                <w:highlight w:val="none"/>
                <w:lang w:val="zh-CN"/>
              </w:rPr>
            </w:pPr>
            <w:r>
              <w:rPr>
                <w:rFonts w:hint="eastAsia" w:ascii="宋体" w:hAnsi="宋体" w:eastAsia="宋体" w:cs="宋体"/>
                <w:b w:val="0"/>
                <w:bCs/>
                <w:color w:val="auto"/>
                <w:kern w:val="2"/>
                <w:sz w:val="21"/>
                <w:szCs w:val="21"/>
                <w:highlight w:val="none"/>
                <w:lang w:val="zh-CN"/>
              </w:rPr>
              <w:t>招标文件规定的其它内容</w:t>
            </w:r>
          </w:p>
        </w:tc>
      </w:tr>
      <w:tr w14:paraId="2B53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164" w:type="dxa"/>
            <w:gridSpan w:val="4"/>
            <w:noWrap w:val="0"/>
            <w:vAlign w:val="center"/>
          </w:tcPr>
          <w:p w14:paraId="66ABB79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240" w:lineRule="auto"/>
              <w:ind w:left="0" w:right="0"/>
              <w:jc w:val="center"/>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zh-CN"/>
              </w:rPr>
              <w:t>评审结果（合格</w:t>
            </w:r>
            <w:r>
              <w:rPr>
                <w:rFonts w:hint="eastAsia" w:ascii="宋体" w:hAnsi="宋体" w:eastAsia="宋体" w:cs="宋体"/>
                <w:b w:val="0"/>
                <w:bCs/>
                <w:color w:val="auto"/>
                <w:kern w:val="2"/>
                <w:sz w:val="21"/>
                <w:szCs w:val="21"/>
                <w:highlight w:val="none"/>
                <w:lang w:val="en-US" w:eastAsia="zh-CN"/>
              </w:rPr>
              <w:t>/不合格）</w:t>
            </w:r>
          </w:p>
        </w:tc>
      </w:tr>
    </w:tbl>
    <w:p w14:paraId="71D90547">
      <w:pPr>
        <w:keepNext w:val="0"/>
        <w:keepLines w:val="0"/>
        <w:pageBreakBefore w:val="0"/>
        <w:widowControl w:val="0"/>
        <w:kinsoku/>
        <w:wordWrap/>
        <w:overflowPunct/>
        <w:topLinePunct w:val="0"/>
        <w:autoSpaceDE w:val="0"/>
        <w:autoSpaceDN w:val="0"/>
        <w:bidi w:val="0"/>
        <w:adjustRightInd w:val="0"/>
        <w:snapToGrid w:val="0"/>
        <w:spacing w:before="80" w:line="360" w:lineRule="auto"/>
        <w:jc w:val="both"/>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注：</w:t>
      </w:r>
    </w:p>
    <w:p w14:paraId="702DDA1F">
      <w:pPr>
        <w:keepNext w:val="0"/>
        <w:keepLines w:val="0"/>
        <w:pageBreakBefore w:val="0"/>
        <w:widowControl w:val="0"/>
        <w:kinsoku/>
        <w:wordWrap/>
        <w:overflowPunct/>
        <w:topLinePunct w:val="0"/>
        <w:autoSpaceDE w:val="0"/>
        <w:autoSpaceDN w:val="0"/>
        <w:bidi w:val="0"/>
        <w:adjustRightInd w:val="0"/>
        <w:snapToGrid w:val="0"/>
        <w:spacing w:before="80" w:line="360" w:lineRule="auto"/>
        <w:jc w:val="both"/>
        <w:textAlignment w:val="baseline"/>
        <w:rPr>
          <w:rFonts w:hint="eastAsia" w:eastAsiaTheme="minorEastAsia"/>
          <w:color w:val="auto"/>
          <w:highlight w:val="none"/>
          <w:lang w:val="en-US" w:eastAsia="zh-CN"/>
        </w:rPr>
      </w:pPr>
      <w:r>
        <w:rPr>
          <w:rFonts w:hint="eastAsia" w:asciiTheme="minorEastAsia" w:hAnsiTheme="minorEastAsia" w:eastAsiaTheme="minorEastAsia" w:cstheme="minorEastAsia"/>
          <w:color w:val="auto"/>
          <w:spacing w:val="-5"/>
          <w:sz w:val="24"/>
          <w:szCs w:val="24"/>
          <w:highlight w:val="none"/>
        </w:rPr>
        <w:t>1、供应商审查有一项不合格则视为不符合资格</w:t>
      </w:r>
      <w:r>
        <w:rPr>
          <w:rFonts w:hint="eastAsia" w:asciiTheme="minorEastAsia" w:hAnsiTheme="minorEastAsia" w:eastAsiaTheme="minorEastAsia" w:cstheme="minorEastAsia"/>
          <w:color w:val="auto"/>
          <w:spacing w:val="-6"/>
          <w:sz w:val="24"/>
          <w:szCs w:val="24"/>
          <w:highlight w:val="none"/>
        </w:rPr>
        <w:t>性磋商标准，将不再进入后续磋</w:t>
      </w:r>
      <w:r>
        <w:rPr>
          <w:rFonts w:hint="eastAsia" w:asciiTheme="minorEastAsia" w:hAnsiTheme="minorEastAsia" w:eastAsiaTheme="minorEastAsia" w:cstheme="minorEastAsia"/>
          <w:color w:val="auto"/>
          <w:spacing w:val="-6"/>
          <w:sz w:val="24"/>
          <w:szCs w:val="24"/>
          <w:highlight w:val="none"/>
          <w:lang w:val="en-US" w:eastAsia="zh-CN"/>
        </w:rPr>
        <w:t>商</w:t>
      </w:r>
    </w:p>
    <w:p w14:paraId="74C9DEC8">
      <w:pPr>
        <w:keepNext w:val="0"/>
        <w:keepLines w:val="0"/>
        <w:pageBreakBefore w:val="0"/>
        <w:widowControl w:val="0"/>
        <w:kinsoku/>
        <w:wordWrap/>
        <w:overflowPunct/>
        <w:topLinePunct w:val="0"/>
        <w:autoSpaceDE w:val="0"/>
        <w:autoSpaceDN w:val="0"/>
        <w:bidi w:val="0"/>
        <w:adjustRightInd w:val="0"/>
        <w:snapToGrid w:val="0"/>
        <w:spacing w:before="24" w:line="360" w:lineRule="auto"/>
        <w:ind w:right="8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2、本表由全体评委在共同商议基础上给出结论，意见不一致时，按照少数服从多数的原则确定。</w:t>
      </w:r>
    </w:p>
    <w:p w14:paraId="7210A5CD">
      <w:pPr>
        <w:keepNext w:val="0"/>
        <w:keepLines w:val="0"/>
        <w:pageBreakBefore w:val="0"/>
        <w:widowControl w:val="0"/>
        <w:kinsoku/>
        <w:wordWrap/>
        <w:overflowPunct/>
        <w:topLinePunct w:val="0"/>
        <w:autoSpaceDE w:val="0"/>
        <w:autoSpaceDN w:val="0"/>
        <w:bidi w:val="0"/>
        <w:adjustRightInd w:val="0"/>
        <w:snapToGrid w:val="0"/>
        <w:spacing w:before="23"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3、合格打√,不合格打×,结论为合格或不合格。</w:t>
      </w:r>
    </w:p>
    <w:p w14:paraId="7723F663">
      <w:pPr>
        <w:keepNext w:val="0"/>
        <w:keepLines w:val="0"/>
        <w:pageBreakBefore w:val="0"/>
        <w:widowControl w:val="0"/>
        <w:kinsoku/>
        <w:wordWrap/>
        <w:overflowPunct/>
        <w:topLinePunct w:val="0"/>
        <w:autoSpaceDE w:val="0"/>
        <w:autoSpaceDN w:val="0"/>
        <w:bidi w:val="0"/>
        <w:adjustRightInd w:val="0"/>
        <w:snapToGrid w:val="0"/>
        <w:spacing w:before="29" w:line="360" w:lineRule="auto"/>
        <w:ind w:right="83" w:firstLine="50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磋商小组审查决定响应文件的响应性只根据响应文件本身的内容,而不寻求外部</w:t>
      </w:r>
      <w:r>
        <w:rPr>
          <w:rFonts w:hint="eastAsia" w:asciiTheme="minorEastAsia" w:hAnsiTheme="minorEastAsia" w:eastAsiaTheme="minorEastAsia" w:cstheme="minorEastAsia"/>
          <w:color w:val="auto"/>
          <w:spacing w:val="-8"/>
          <w:sz w:val="24"/>
          <w:szCs w:val="24"/>
          <w:highlight w:val="none"/>
        </w:rPr>
        <w:t>的证据。</w:t>
      </w:r>
    </w:p>
    <w:p w14:paraId="2D5F91D8">
      <w:pPr>
        <w:keepNext w:val="0"/>
        <w:keepLines w:val="0"/>
        <w:pageBreakBefore w:val="0"/>
        <w:widowControl w:val="0"/>
        <w:kinsoku/>
        <w:wordWrap/>
        <w:overflowPunct/>
        <w:topLinePunct w:val="0"/>
        <w:autoSpaceDE w:val="0"/>
        <w:autoSpaceDN w:val="0"/>
        <w:bidi w:val="0"/>
        <w:adjustRightInd w:val="0"/>
        <w:snapToGrid w:val="0"/>
        <w:spacing w:before="23"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4.磋商小组在初审中，对算术错误的修正原则如下:</w:t>
      </w:r>
    </w:p>
    <w:p w14:paraId="7A7EEEC5">
      <w:pPr>
        <w:keepNext w:val="0"/>
        <w:keepLines w:val="0"/>
        <w:pageBreakBefore w:val="0"/>
        <w:widowControl w:val="0"/>
        <w:kinsoku/>
        <w:wordWrap/>
        <w:overflowPunct/>
        <w:topLinePunct w:val="0"/>
        <w:autoSpaceDE w:val="0"/>
        <w:autoSpaceDN w:val="0"/>
        <w:bidi w:val="0"/>
        <w:adjustRightInd w:val="0"/>
        <w:snapToGrid w:val="0"/>
        <w:spacing w:before="26" w:line="360" w:lineRule="auto"/>
        <w:ind w:right="83" w:firstLine="49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响应文件的大写金额和小写金额不一致的，以大写金额为准；总价金额与按单价</w:t>
      </w:r>
      <w:r>
        <w:rPr>
          <w:rFonts w:hint="eastAsia" w:asciiTheme="minorEastAsia" w:hAnsiTheme="minorEastAsia" w:eastAsiaTheme="minorEastAsia" w:cstheme="minorEastAsia"/>
          <w:color w:val="auto"/>
          <w:spacing w:val="2"/>
          <w:sz w:val="24"/>
          <w:szCs w:val="24"/>
          <w:highlight w:val="none"/>
        </w:rPr>
        <w:t>汇总不一致的，以单价金额计算结果为准；单价金额小数点有明显</w:t>
      </w:r>
      <w:r>
        <w:rPr>
          <w:rFonts w:hint="eastAsia" w:asciiTheme="minorEastAsia" w:hAnsiTheme="minorEastAsia" w:eastAsiaTheme="minorEastAsia" w:cstheme="minorEastAsia"/>
          <w:color w:val="auto"/>
          <w:spacing w:val="1"/>
          <w:sz w:val="24"/>
          <w:szCs w:val="24"/>
          <w:highlight w:val="none"/>
        </w:rPr>
        <w:t>错位的，应以总价</w:t>
      </w:r>
      <w:r>
        <w:rPr>
          <w:rFonts w:hint="eastAsia" w:asciiTheme="minorEastAsia" w:hAnsiTheme="minorEastAsia" w:eastAsiaTheme="minorEastAsia" w:cstheme="minorEastAsia"/>
          <w:color w:val="auto"/>
          <w:sz w:val="24"/>
          <w:szCs w:val="24"/>
          <w:highlight w:val="none"/>
        </w:rPr>
        <w:t>为准，并修改单价；对不同文字文本的解释发生异</w:t>
      </w:r>
      <w:r>
        <w:rPr>
          <w:rFonts w:hint="eastAsia" w:asciiTheme="minorEastAsia" w:hAnsiTheme="minorEastAsia" w:eastAsiaTheme="minorEastAsia" w:cstheme="minorEastAsia"/>
          <w:color w:val="auto"/>
          <w:spacing w:val="-1"/>
          <w:sz w:val="24"/>
          <w:szCs w:val="24"/>
          <w:highlight w:val="none"/>
        </w:rPr>
        <w:t>议的，以中文文本为准。</w:t>
      </w:r>
    </w:p>
    <w:p w14:paraId="2EB6D897">
      <w:pPr>
        <w:keepNext w:val="0"/>
        <w:keepLines w:val="0"/>
        <w:pageBreakBefore w:val="0"/>
        <w:widowControl w:val="0"/>
        <w:kinsoku/>
        <w:wordWrap/>
        <w:overflowPunct/>
        <w:topLinePunct w:val="0"/>
        <w:autoSpaceDE w:val="0"/>
        <w:autoSpaceDN w:val="0"/>
        <w:bidi w:val="0"/>
        <w:adjustRightInd w:val="0"/>
        <w:snapToGrid w:val="0"/>
        <w:spacing w:before="25"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5.通过审查的有效供应商不足三家时，采购人另行组织磋商。</w:t>
      </w:r>
    </w:p>
    <w:p w14:paraId="5D1AF82D">
      <w:pPr>
        <w:keepNext w:val="0"/>
        <w:keepLines w:val="0"/>
        <w:pageBreakBefore w:val="0"/>
        <w:widowControl w:val="0"/>
        <w:kinsoku/>
        <w:wordWrap/>
        <w:overflowPunct/>
        <w:topLinePunct w:val="0"/>
        <w:autoSpaceDE w:val="0"/>
        <w:autoSpaceDN w:val="0"/>
        <w:bidi w:val="0"/>
        <w:adjustRightInd w:val="0"/>
        <w:snapToGrid w:val="0"/>
        <w:spacing w:before="28" w:line="360" w:lineRule="auto"/>
        <w:ind w:firstLine="476"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第二步对通过初步评审的供应商进行详细评审</w:t>
      </w:r>
    </w:p>
    <w:p w14:paraId="2C0B13AB">
      <w:pPr>
        <w:keepNext w:val="0"/>
        <w:keepLines w:val="0"/>
        <w:pageBreakBefore w:val="0"/>
        <w:widowControl w:val="0"/>
        <w:kinsoku/>
        <w:wordWrap/>
        <w:overflowPunct/>
        <w:topLinePunct w:val="0"/>
        <w:autoSpaceDE w:val="0"/>
        <w:autoSpaceDN w:val="0"/>
        <w:bidi w:val="0"/>
        <w:adjustRightInd w:val="0"/>
        <w:snapToGrid w:val="0"/>
        <w:spacing w:before="28" w:line="360" w:lineRule="auto"/>
        <w:ind w:right="8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1.磋商小组将按照公开、公平、公正的原则对待所有参与磋商单位。具体工作流</w:t>
      </w:r>
      <w:r>
        <w:rPr>
          <w:rFonts w:hint="eastAsia" w:asciiTheme="minorEastAsia" w:hAnsiTheme="minorEastAsia" w:eastAsiaTheme="minorEastAsia" w:cstheme="minorEastAsia"/>
          <w:color w:val="auto"/>
          <w:spacing w:val="-5"/>
          <w:sz w:val="24"/>
          <w:szCs w:val="24"/>
          <w:highlight w:val="none"/>
        </w:rPr>
        <w:t>程：</w:t>
      </w:r>
    </w:p>
    <w:p w14:paraId="2DCCB9B1">
      <w:pPr>
        <w:keepNext w:val="0"/>
        <w:keepLines w:val="0"/>
        <w:pageBreakBefore w:val="0"/>
        <w:widowControl w:val="0"/>
        <w:kinsoku/>
        <w:wordWrap/>
        <w:overflowPunct/>
        <w:topLinePunct w:val="0"/>
        <w:autoSpaceDE w:val="0"/>
        <w:autoSpaceDN w:val="0"/>
        <w:bidi w:val="0"/>
        <w:adjustRightInd w:val="0"/>
        <w:snapToGrid w:val="0"/>
        <w:spacing w:before="25" w:line="360" w:lineRule="auto"/>
        <w:ind w:left="48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磋商小组讨论、通过磋商工作流程和要点。</w:t>
      </w:r>
    </w:p>
    <w:p w14:paraId="4F6371B9">
      <w:pPr>
        <w:keepNext w:val="0"/>
        <w:keepLines w:val="0"/>
        <w:pageBreakBefore w:val="0"/>
        <w:widowControl w:val="0"/>
        <w:kinsoku/>
        <w:wordWrap/>
        <w:overflowPunct/>
        <w:topLinePunct w:val="0"/>
        <w:autoSpaceDE w:val="0"/>
        <w:autoSpaceDN w:val="0"/>
        <w:bidi w:val="0"/>
        <w:adjustRightInd w:val="0"/>
        <w:snapToGrid w:val="0"/>
        <w:spacing w:before="25" w:line="360" w:lineRule="auto"/>
        <w:ind w:left="48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磋商小组审阅参与磋商的供应商的响应文件。</w:t>
      </w:r>
    </w:p>
    <w:p w14:paraId="531E1D7B">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围绕磋商要点，磋商小组全体成员集中与各有效供应商分别进行磋商。磋商文件</w:t>
      </w:r>
    </w:p>
    <w:p w14:paraId="25390BC5">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有实质性变动的，磋商小组将以书面形式通知所有参加的磋商单位。</w:t>
      </w:r>
    </w:p>
    <w:p w14:paraId="605B9E38">
      <w:pPr>
        <w:keepNext w:val="0"/>
        <w:keepLines w:val="0"/>
        <w:pageBreakBefore w:val="0"/>
        <w:widowControl w:val="0"/>
        <w:kinsoku/>
        <w:wordWrap/>
        <w:overflowPunct/>
        <w:topLinePunct w:val="0"/>
        <w:autoSpaceDE w:val="0"/>
        <w:autoSpaceDN w:val="0"/>
        <w:bidi w:val="0"/>
        <w:adjustRightInd w:val="0"/>
        <w:snapToGrid w:val="0"/>
        <w:spacing w:line="360" w:lineRule="auto"/>
        <w:ind w:firstLine="484" w:firstLineChars="200"/>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磋商结束后，磋商小组将要求所有供应商在规定时间内确定并提交最终报价（第二次报价）。</w:t>
      </w:r>
    </w:p>
    <w:p w14:paraId="1B980545">
      <w:pPr>
        <w:keepNext w:val="0"/>
        <w:keepLines w:val="0"/>
        <w:pageBreakBefore w:val="0"/>
        <w:widowControl w:val="0"/>
        <w:kinsoku/>
        <w:wordWrap/>
        <w:overflowPunct/>
        <w:topLinePunct w:val="0"/>
        <w:autoSpaceDE w:val="0"/>
        <w:autoSpaceDN w:val="0"/>
        <w:bidi w:val="0"/>
        <w:adjustRightInd w:val="0"/>
        <w:snapToGrid w:val="0"/>
        <w:spacing w:line="360" w:lineRule="auto"/>
        <w:ind w:firstLine="484" w:firstLineChars="200"/>
        <w:textAlignment w:val="baseline"/>
        <w:rPr>
          <w:rFonts w:hint="eastAsia" w:asciiTheme="minorEastAsia" w:hAnsiTheme="minorEastAsia" w:eastAsiaTheme="minorEastAsia" w:cstheme="minorEastAsia"/>
          <w:color w:val="auto"/>
          <w:sz w:val="24"/>
          <w:szCs w:val="24"/>
          <w:highlight w:val="none"/>
        </w:rPr>
        <w:sectPr>
          <w:footerReference r:id="rId10" w:type="default"/>
          <w:pgSz w:w="11906" w:h="16839"/>
          <w:pgMar w:top="1440" w:right="1800" w:bottom="1440" w:left="1800" w:header="51" w:footer="1077"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auto"/>
          <w:spacing w:val="1"/>
          <w:sz w:val="24"/>
          <w:szCs w:val="24"/>
          <w:highlight w:val="none"/>
        </w:rPr>
        <w:t>第三步根据各单位最终报价和合格磋商单位的响应文件进行综合打分，按照汇总得分由高到低的顺序推荐候选人。</w:t>
      </w:r>
    </w:p>
    <w:p w14:paraId="37A676A9">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jc w:val="left"/>
        <w:rPr>
          <w:rFonts w:hint="default" w:ascii="仿宋" w:hAnsi="仿宋" w:eastAsia="仿宋" w:cs="仿宋"/>
          <w:b w:val="0"/>
          <w:color w:val="auto"/>
          <w:sz w:val="28"/>
          <w:szCs w:val="28"/>
          <w:highlight w:val="none"/>
          <w:lang w:val="en-US" w:eastAsia="zh-CN"/>
        </w:rPr>
      </w:pPr>
      <w:r>
        <w:rPr>
          <w:rFonts w:hint="eastAsia" w:ascii="宋体" w:hAnsi="宋体" w:eastAsia="宋体" w:cs="宋体"/>
          <w:b w:val="0"/>
          <w:color w:val="auto"/>
          <w:sz w:val="28"/>
          <w:szCs w:val="28"/>
          <w:highlight w:val="none"/>
          <w:lang w:val="zh-CN"/>
        </w:rPr>
        <w:t>评标办法前附表（二）</w:t>
      </w:r>
    </w:p>
    <w:tbl>
      <w:tblPr>
        <w:tblStyle w:val="16"/>
        <w:tblpPr w:leftFromText="180" w:rightFromText="180" w:vertAnchor="text" w:horzAnchor="page" w:tblpX="1348" w:tblpY="885"/>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41"/>
        <w:gridCol w:w="731"/>
        <w:gridCol w:w="1659"/>
        <w:gridCol w:w="5682"/>
      </w:tblGrid>
      <w:tr w14:paraId="0D69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19" w:type="dxa"/>
            <w:gridSpan w:val="3"/>
            <w:noWrap w:val="0"/>
            <w:vAlign w:val="center"/>
          </w:tcPr>
          <w:p w14:paraId="34B45F2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zh-CN"/>
              </w:rPr>
              <w:t>条款号</w:t>
            </w:r>
          </w:p>
        </w:tc>
        <w:tc>
          <w:tcPr>
            <w:tcW w:w="1659" w:type="dxa"/>
            <w:noWrap w:val="0"/>
            <w:vAlign w:val="center"/>
          </w:tcPr>
          <w:p w14:paraId="2754CB4D">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zh-CN"/>
              </w:rPr>
              <w:t>条款内容</w:t>
            </w:r>
          </w:p>
        </w:tc>
        <w:tc>
          <w:tcPr>
            <w:tcW w:w="5682" w:type="dxa"/>
            <w:noWrap w:val="0"/>
            <w:vAlign w:val="center"/>
          </w:tcPr>
          <w:p w14:paraId="63F8259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zh-CN"/>
              </w:rPr>
              <w:t>编列内容</w:t>
            </w:r>
          </w:p>
        </w:tc>
      </w:tr>
      <w:tr w14:paraId="58C0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19" w:type="dxa"/>
            <w:gridSpan w:val="3"/>
            <w:noWrap w:val="0"/>
            <w:vAlign w:val="center"/>
          </w:tcPr>
          <w:p w14:paraId="6D3978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20" w:firstLineChars="200"/>
              <w:jc w:val="both"/>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2.2.1</w:t>
            </w:r>
          </w:p>
        </w:tc>
        <w:tc>
          <w:tcPr>
            <w:tcW w:w="1659" w:type="dxa"/>
            <w:noWrap w:val="0"/>
            <w:vAlign w:val="center"/>
          </w:tcPr>
          <w:p w14:paraId="2BD3AEA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jc w:val="both"/>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分值构成</w:t>
            </w:r>
          </w:p>
          <w:p w14:paraId="371237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jc w:val="both"/>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(总分100分)</w:t>
            </w:r>
          </w:p>
        </w:tc>
        <w:tc>
          <w:tcPr>
            <w:tcW w:w="5682" w:type="dxa"/>
            <w:noWrap w:val="0"/>
            <w:vAlign w:val="center"/>
          </w:tcPr>
          <w:p w14:paraId="28E4A03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both"/>
              <w:rPr>
                <w:rFonts w:hint="eastAsia" w:asciiTheme="minorEastAsia" w:hAnsiTheme="minorEastAsia" w:eastAsiaTheme="minorEastAsia" w:cstheme="minorEastAsia"/>
                <w:b w:val="0"/>
                <w:bCs/>
                <w:color w:val="auto"/>
                <w:kern w:val="2"/>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rPr>
              <w:t>施工组织设计：</w:t>
            </w:r>
            <w:r>
              <w:rPr>
                <w:rFonts w:hint="eastAsia" w:asciiTheme="minorEastAsia" w:hAnsiTheme="minorEastAsia" w:eastAsiaTheme="minorEastAsia" w:cstheme="minorEastAsia"/>
                <w:b w:val="0"/>
                <w:bCs/>
                <w:color w:val="auto"/>
                <w:kern w:val="2"/>
                <w:sz w:val="21"/>
                <w:szCs w:val="21"/>
                <w:highlight w:val="none"/>
                <w:lang w:val="en-US" w:eastAsia="zh-CN"/>
              </w:rPr>
              <w:t>35</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rPr>
              <w:t>项目管理机构：</w:t>
            </w:r>
            <w:r>
              <w:rPr>
                <w:rFonts w:hint="eastAsia" w:asciiTheme="minorEastAsia" w:hAnsiTheme="minorEastAsia" w:eastAsiaTheme="minorEastAsia" w:cstheme="minorEastAsia"/>
                <w:b w:val="0"/>
                <w:bCs/>
                <w:color w:val="auto"/>
                <w:kern w:val="2"/>
                <w:sz w:val="21"/>
                <w:szCs w:val="21"/>
                <w:highlight w:val="none"/>
                <w:lang w:val="en-US" w:eastAsia="zh-CN"/>
              </w:rPr>
              <w:t>8</w:t>
            </w:r>
            <w:r>
              <w:rPr>
                <w:rFonts w:hint="eastAsia" w:asciiTheme="minorEastAsia" w:hAnsiTheme="minorEastAsia" w:eastAsiaTheme="minorEastAsia" w:cstheme="minorEastAsia"/>
                <w:b w:val="0"/>
                <w:bCs/>
                <w:color w:val="auto"/>
                <w:kern w:val="2"/>
                <w:sz w:val="21"/>
                <w:szCs w:val="21"/>
                <w:highlight w:val="none"/>
              </w:rPr>
              <w:t>分</w:t>
            </w:r>
          </w:p>
          <w:p w14:paraId="7DA8A60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both"/>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投标报价：</w:t>
            </w:r>
            <w:r>
              <w:rPr>
                <w:rFonts w:hint="eastAsia" w:asciiTheme="minorEastAsia" w:hAnsiTheme="minorEastAsia" w:eastAsiaTheme="minorEastAsia" w:cstheme="minorEastAsia"/>
                <w:b w:val="0"/>
                <w:bCs/>
                <w:color w:val="auto"/>
                <w:kern w:val="2"/>
                <w:sz w:val="21"/>
                <w:szCs w:val="21"/>
                <w:highlight w:val="none"/>
                <w:lang w:val="en-US" w:eastAsia="zh-CN"/>
              </w:rPr>
              <w:t>50</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rPr>
              <w:t>其他评分因素：</w:t>
            </w:r>
            <w:r>
              <w:rPr>
                <w:rFonts w:hint="eastAsia" w:asciiTheme="minorEastAsia" w:hAnsiTheme="minorEastAsia" w:eastAsiaTheme="minorEastAsia" w:cstheme="minorEastAsia"/>
                <w:b w:val="0"/>
                <w:bCs/>
                <w:color w:val="auto"/>
                <w:kern w:val="2"/>
                <w:sz w:val="21"/>
                <w:szCs w:val="21"/>
                <w:highlight w:val="none"/>
                <w:lang w:val="en-US" w:eastAsia="zh-CN"/>
              </w:rPr>
              <w:t>7</w:t>
            </w:r>
            <w:r>
              <w:rPr>
                <w:rFonts w:hint="eastAsia" w:asciiTheme="minorEastAsia" w:hAnsiTheme="minorEastAsia" w:eastAsiaTheme="minorEastAsia" w:cstheme="minorEastAsia"/>
                <w:b w:val="0"/>
                <w:bCs/>
                <w:color w:val="auto"/>
                <w:kern w:val="2"/>
                <w:sz w:val="21"/>
                <w:szCs w:val="21"/>
                <w:highlight w:val="none"/>
              </w:rPr>
              <w:t>分</w:t>
            </w:r>
          </w:p>
        </w:tc>
      </w:tr>
      <w:tr w14:paraId="2C4D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19" w:type="dxa"/>
            <w:gridSpan w:val="3"/>
            <w:noWrap w:val="0"/>
            <w:vAlign w:val="center"/>
          </w:tcPr>
          <w:p w14:paraId="44BC45E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zh-CN"/>
              </w:rPr>
              <w:t>条款号</w:t>
            </w:r>
          </w:p>
        </w:tc>
        <w:tc>
          <w:tcPr>
            <w:tcW w:w="1659" w:type="dxa"/>
            <w:noWrap w:val="0"/>
            <w:vAlign w:val="center"/>
          </w:tcPr>
          <w:p w14:paraId="537D7C3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zh-CN"/>
              </w:rPr>
              <w:t>评分因素</w:t>
            </w:r>
          </w:p>
        </w:tc>
        <w:tc>
          <w:tcPr>
            <w:tcW w:w="5682" w:type="dxa"/>
            <w:noWrap w:val="0"/>
            <w:vAlign w:val="center"/>
          </w:tcPr>
          <w:p w14:paraId="7676872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b/>
                <w:bCs w:val="0"/>
                <w:color w:val="auto"/>
                <w:kern w:val="2"/>
                <w:sz w:val="24"/>
                <w:szCs w:val="24"/>
                <w:highlight w:val="none"/>
                <w:lang w:val="zh-CN"/>
              </w:rPr>
            </w:pPr>
            <w:r>
              <w:rPr>
                <w:rFonts w:hint="eastAsia" w:asciiTheme="minorEastAsia" w:hAnsiTheme="minorEastAsia" w:eastAsiaTheme="minorEastAsia" w:cstheme="minorEastAsia"/>
                <w:b/>
                <w:bCs w:val="0"/>
                <w:color w:val="auto"/>
                <w:kern w:val="2"/>
                <w:sz w:val="24"/>
                <w:szCs w:val="24"/>
                <w:highlight w:val="none"/>
                <w:lang w:val="zh-CN"/>
              </w:rPr>
              <w:t>评分标准</w:t>
            </w:r>
          </w:p>
        </w:tc>
      </w:tr>
      <w:tr w14:paraId="517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7" w:type="dxa"/>
            <w:vMerge w:val="restart"/>
            <w:noWrap w:val="0"/>
            <w:vAlign w:val="center"/>
          </w:tcPr>
          <w:p w14:paraId="796C380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2.2.</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(1)</w:t>
            </w:r>
          </w:p>
        </w:tc>
        <w:tc>
          <w:tcPr>
            <w:tcW w:w="741" w:type="dxa"/>
            <w:vMerge w:val="restart"/>
            <w:noWrap w:val="0"/>
            <w:vAlign w:val="center"/>
          </w:tcPr>
          <w:p w14:paraId="4DFD6F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技术标部分(</w:t>
            </w:r>
            <w:r>
              <w:rPr>
                <w:rFonts w:hint="eastAsia" w:asciiTheme="minorEastAsia" w:hAnsiTheme="minorEastAsia" w:eastAsiaTheme="minorEastAsia" w:cstheme="minorEastAsia"/>
                <w:b w:val="0"/>
                <w:bCs/>
                <w:color w:val="auto"/>
                <w:kern w:val="2"/>
                <w:sz w:val="21"/>
                <w:szCs w:val="21"/>
                <w:highlight w:val="none"/>
                <w:lang w:val="en-US" w:eastAsia="zh-CN"/>
              </w:rPr>
              <w:t>35</w:t>
            </w:r>
            <w:r>
              <w:rPr>
                <w:rFonts w:hint="eastAsia" w:asciiTheme="minorEastAsia" w:hAnsiTheme="minorEastAsia" w:eastAsiaTheme="minorEastAsia" w:cstheme="minorEastAsia"/>
                <w:b w:val="0"/>
                <w:bCs/>
                <w:color w:val="auto"/>
                <w:kern w:val="2"/>
                <w:sz w:val="21"/>
                <w:szCs w:val="21"/>
                <w:highlight w:val="none"/>
              </w:rPr>
              <w:t>分)</w:t>
            </w:r>
          </w:p>
        </w:tc>
        <w:tc>
          <w:tcPr>
            <w:tcW w:w="731" w:type="dxa"/>
            <w:vMerge w:val="restart"/>
            <w:noWrap w:val="0"/>
            <w:vAlign w:val="center"/>
          </w:tcPr>
          <w:p w14:paraId="1EC4B5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施工</w:t>
            </w:r>
          </w:p>
          <w:p w14:paraId="10B347E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组织</w:t>
            </w:r>
          </w:p>
          <w:p w14:paraId="712F8CD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设计</w:t>
            </w:r>
          </w:p>
          <w:p w14:paraId="5F97E22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评分</w:t>
            </w:r>
          </w:p>
          <w:p w14:paraId="009F0B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标准</w:t>
            </w:r>
          </w:p>
          <w:p w14:paraId="5A3C8EE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w:t>
            </w:r>
            <w:r>
              <w:rPr>
                <w:rFonts w:hint="eastAsia" w:asciiTheme="minorEastAsia" w:hAnsiTheme="minorEastAsia" w:eastAsiaTheme="minorEastAsia" w:cstheme="minorEastAsia"/>
                <w:b w:val="0"/>
                <w:bCs/>
                <w:color w:val="auto"/>
                <w:kern w:val="2"/>
                <w:sz w:val="21"/>
                <w:szCs w:val="21"/>
                <w:highlight w:val="none"/>
                <w:lang w:val="en-US" w:eastAsia="zh-CN"/>
              </w:rPr>
              <w:t>35</w:t>
            </w:r>
            <w:r>
              <w:rPr>
                <w:rFonts w:hint="eastAsia" w:asciiTheme="minorEastAsia" w:hAnsiTheme="minorEastAsia" w:eastAsiaTheme="minorEastAsia" w:cstheme="minorEastAsia"/>
                <w:b w:val="0"/>
                <w:bCs/>
                <w:color w:val="auto"/>
                <w:kern w:val="2"/>
                <w:sz w:val="21"/>
                <w:szCs w:val="21"/>
                <w:highlight w:val="none"/>
              </w:rPr>
              <w:t>分)</w:t>
            </w:r>
          </w:p>
        </w:tc>
        <w:tc>
          <w:tcPr>
            <w:tcW w:w="1659" w:type="dxa"/>
            <w:noWrap w:val="0"/>
            <w:vAlign w:val="center"/>
          </w:tcPr>
          <w:p w14:paraId="441798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内容完整性和编制水平（</w:t>
            </w:r>
            <w:r>
              <w:rPr>
                <w:rFonts w:hint="eastAsia" w:asciiTheme="minorEastAsia" w:hAnsiTheme="minorEastAsia" w:eastAsiaTheme="minorEastAsia" w:cstheme="minorEastAsia"/>
                <w:b w:val="0"/>
                <w:bCs/>
                <w:color w:val="auto"/>
                <w:kern w:val="2"/>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2DF1B58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b/>
                <w:color w:val="auto"/>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rPr>
              <w:t>内容完整性和编制水平进行比较，内容完整、合理、可行；优得</w:t>
            </w:r>
            <w:r>
              <w:rPr>
                <w:rFonts w:hint="eastAsia" w:asciiTheme="minorEastAsia" w:hAnsiTheme="minorEastAsia" w:eastAsiaTheme="minorEastAsia" w:cstheme="minorEastAsia"/>
                <w:b w:val="0"/>
                <w:bCs/>
                <w:color w:val="auto"/>
                <w:kern w:val="2"/>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val="en-US" w:eastAsia="zh-CN"/>
              </w:rPr>
              <w:t>良得2分，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r>
              <w:rPr>
                <w:rFonts w:hint="eastAsia" w:asciiTheme="minorEastAsia" w:hAnsiTheme="minorEastAsia" w:eastAsiaTheme="minorEastAsia" w:cstheme="minorEastAsia"/>
                <w:b w:val="0"/>
                <w:bCs/>
                <w:color w:val="auto"/>
                <w:kern w:val="2"/>
                <w:sz w:val="21"/>
                <w:szCs w:val="21"/>
                <w:highlight w:val="none"/>
                <w:lang w:eastAsia="zh-CN"/>
              </w:rPr>
              <w:t>；</w:t>
            </w:r>
          </w:p>
        </w:tc>
      </w:tr>
      <w:tr w14:paraId="0669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7" w:type="dxa"/>
            <w:vMerge w:val="continue"/>
            <w:noWrap w:val="0"/>
            <w:vAlign w:val="center"/>
          </w:tcPr>
          <w:p w14:paraId="145F7AC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5FD999F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1F68A3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520D048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rPr>
              <w:t>施工方案及技术措施（</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2E7C262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施工方案与技术措施进行比较，内容完整、合理、可行；</w:t>
            </w:r>
            <w:r>
              <w:rPr>
                <w:rFonts w:hint="eastAsia" w:asciiTheme="minorEastAsia" w:hAnsiTheme="minorEastAsia" w:eastAsiaTheme="minorEastAsia" w:cstheme="minorEastAsia"/>
                <w:b w:val="0"/>
                <w:bCs/>
                <w:color w:val="auto"/>
                <w:kern w:val="2"/>
                <w:sz w:val="21"/>
                <w:szCs w:val="21"/>
                <w:highlight w:val="none"/>
              </w:rPr>
              <w:t>优得</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val="en-US" w:eastAsia="zh-CN"/>
              </w:rPr>
              <w:t>良得2分，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r>
              <w:rPr>
                <w:rFonts w:hint="eastAsia" w:asciiTheme="minorEastAsia" w:hAnsiTheme="minorEastAsia" w:eastAsiaTheme="minorEastAsia" w:cstheme="minorEastAsia"/>
                <w:b w:val="0"/>
                <w:bCs/>
                <w:color w:val="auto"/>
                <w:kern w:val="2"/>
                <w:sz w:val="21"/>
                <w:szCs w:val="21"/>
                <w:highlight w:val="none"/>
                <w:lang w:eastAsia="zh-CN"/>
              </w:rPr>
              <w:t>；</w:t>
            </w:r>
          </w:p>
        </w:tc>
      </w:tr>
      <w:tr w14:paraId="144C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7" w:type="dxa"/>
            <w:vMerge w:val="continue"/>
            <w:noWrap w:val="0"/>
            <w:vAlign w:val="center"/>
          </w:tcPr>
          <w:p w14:paraId="59023B8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205E82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2E1636E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2AA2754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质量管理体系与措施（</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28E8038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质量管理体系与措施进行比较，内容完整、合理、可行；优得</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val="en-US" w:eastAsia="zh-CN"/>
              </w:rPr>
              <w:t>良得2分，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r>
              <w:rPr>
                <w:rFonts w:hint="eastAsia" w:asciiTheme="minorEastAsia" w:hAnsiTheme="minorEastAsia" w:eastAsiaTheme="minorEastAsia" w:cstheme="minorEastAsia"/>
                <w:b w:val="0"/>
                <w:bCs/>
                <w:color w:val="auto"/>
                <w:kern w:val="2"/>
                <w:sz w:val="21"/>
                <w:szCs w:val="21"/>
                <w:highlight w:val="none"/>
                <w:lang w:eastAsia="zh-CN"/>
              </w:rPr>
              <w:t>；</w:t>
            </w:r>
          </w:p>
        </w:tc>
      </w:tr>
      <w:tr w14:paraId="1198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7" w:type="dxa"/>
            <w:vMerge w:val="continue"/>
            <w:noWrap w:val="0"/>
            <w:vAlign w:val="center"/>
          </w:tcPr>
          <w:p w14:paraId="7DF1DC5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2437396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56F5E51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top"/>
          </w:tcPr>
          <w:p w14:paraId="5D0F44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安全管理体系与措施（</w:t>
            </w:r>
            <w:r>
              <w:rPr>
                <w:rFonts w:hint="eastAsia" w:asciiTheme="minorEastAsia" w:hAnsiTheme="minorEastAsia" w:eastAsiaTheme="minorEastAsia" w:cstheme="minorEastAsia"/>
                <w:b w:val="0"/>
                <w:bCs/>
                <w:color w:val="auto"/>
                <w:kern w:val="2"/>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104F635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安全管理体系与措施进行比较，内容完整、合理、可行；优得</w:t>
            </w:r>
            <w:r>
              <w:rPr>
                <w:rFonts w:hint="eastAsia" w:asciiTheme="minorEastAsia" w:hAnsiTheme="minorEastAsia" w:eastAsiaTheme="minorEastAsia" w:cstheme="minorEastAsia"/>
                <w:b w:val="0"/>
                <w:bCs/>
                <w:color w:val="auto"/>
                <w:kern w:val="2"/>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val="en-US" w:eastAsia="zh-CN"/>
              </w:rPr>
              <w:t>良得2分，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r>
              <w:rPr>
                <w:rFonts w:hint="eastAsia" w:asciiTheme="minorEastAsia" w:hAnsiTheme="minorEastAsia" w:eastAsiaTheme="minorEastAsia" w:cstheme="minorEastAsia"/>
                <w:b w:val="0"/>
                <w:bCs/>
                <w:color w:val="auto"/>
                <w:kern w:val="2"/>
                <w:sz w:val="21"/>
                <w:szCs w:val="21"/>
                <w:highlight w:val="none"/>
                <w:lang w:eastAsia="zh-CN"/>
              </w:rPr>
              <w:t>；</w:t>
            </w:r>
          </w:p>
        </w:tc>
      </w:tr>
      <w:tr w14:paraId="32CA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7" w:type="dxa"/>
            <w:vMerge w:val="continue"/>
            <w:noWrap w:val="0"/>
            <w:vAlign w:val="center"/>
          </w:tcPr>
          <w:p w14:paraId="193F6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776653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688B460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53DD461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环境保护管理体系与措施</w:t>
            </w:r>
          </w:p>
          <w:p w14:paraId="353CC4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6AF639E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环境保护管理体系与措施进行比较，内容完整、合理、可行；优得</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val="en-US" w:eastAsia="zh-CN"/>
              </w:rPr>
              <w:t>良得2分，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r>
              <w:rPr>
                <w:rFonts w:hint="eastAsia" w:asciiTheme="minorEastAsia" w:hAnsiTheme="minorEastAsia" w:eastAsiaTheme="minorEastAsia" w:cstheme="minorEastAsia"/>
                <w:b w:val="0"/>
                <w:bCs/>
                <w:color w:val="auto"/>
                <w:kern w:val="2"/>
                <w:sz w:val="21"/>
                <w:szCs w:val="21"/>
                <w:highlight w:val="none"/>
                <w:lang w:eastAsia="zh-CN"/>
              </w:rPr>
              <w:t>；</w:t>
            </w:r>
          </w:p>
        </w:tc>
      </w:tr>
      <w:tr w14:paraId="7205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7" w:type="dxa"/>
            <w:vMerge w:val="continue"/>
            <w:noWrap w:val="0"/>
            <w:vAlign w:val="center"/>
          </w:tcPr>
          <w:p w14:paraId="4B5CBB4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11B6E36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085C25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top"/>
          </w:tcPr>
          <w:p w14:paraId="60BA615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工程进度计划与措施（</w:t>
            </w:r>
            <w:r>
              <w:rPr>
                <w:rFonts w:hint="eastAsia" w:asciiTheme="minorEastAsia" w:hAnsiTheme="minorEastAsia" w:eastAsiaTheme="minorEastAsia" w:cstheme="minorEastAsia"/>
                <w:b w:val="0"/>
                <w:bCs/>
                <w:color w:val="auto"/>
                <w:kern w:val="2"/>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30CD6B3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工程进度计划与措施进行比较，内容完整、合理、可行；优得</w:t>
            </w:r>
            <w:r>
              <w:rPr>
                <w:rFonts w:hint="eastAsia" w:asciiTheme="minorEastAsia" w:hAnsiTheme="minorEastAsia" w:eastAsiaTheme="minorEastAsia" w:cstheme="minorEastAsia"/>
                <w:b w:val="0"/>
                <w:bCs/>
                <w:color w:val="auto"/>
                <w:kern w:val="2"/>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val="en-US" w:eastAsia="zh-CN"/>
              </w:rPr>
              <w:t>良得2分，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r>
              <w:rPr>
                <w:rFonts w:hint="eastAsia" w:asciiTheme="minorEastAsia" w:hAnsiTheme="minorEastAsia" w:eastAsiaTheme="minorEastAsia" w:cstheme="minorEastAsia"/>
                <w:b w:val="0"/>
                <w:bCs/>
                <w:color w:val="auto"/>
                <w:kern w:val="2"/>
                <w:sz w:val="21"/>
                <w:szCs w:val="21"/>
                <w:highlight w:val="none"/>
                <w:lang w:eastAsia="zh-CN"/>
              </w:rPr>
              <w:t>；</w:t>
            </w:r>
          </w:p>
        </w:tc>
      </w:tr>
      <w:tr w14:paraId="3123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7" w:type="dxa"/>
            <w:vMerge w:val="continue"/>
            <w:noWrap w:val="0"/>
            <w:vAlign w:val="center"/>
          </w:tcPr>
          <w:p w14:paraId="044C6D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2DF58B8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108C90C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7B6B364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rPr>
                <w:rFonts w:hint="eastAsia" w:asciiTheme="minorEastAsia" w:hAnsiTheme="minorEastAsia" w:eastAsiaTheme="minorEastAsia" w:cstheme="minorEastAsia"/>
                <w:b w:val="0"/>
                <w:bCs/>
                <w:color w:val="auto"/>
                <w:kern w:val="2"/>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rPr>
              <w:t>资源配备计划（</w:t>
            </w:r>
            <w:r>
              <w:rPr>
                <w:rFonts w:hint="eastAsia" w:asciiTheme="minorEastAsia" w:hAnsiTheme="minorEastAsia" w:eastAsiaTheme="minorEastAsia" w:cstheme="minorEastAsia"/>
                <w:b w:val="0"/>
                <w:bCs/>
                <w:color w:val="auto"/>
                <w:kern w:val="2"/>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78BDB67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b w:val="0"/>
                <w:bCs/>
                <w:color w:val="auto"/>
                <w:kern w:val="2"/>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rPr>
              <w:t>资源配备计划进行比较，内容完整、合理、可行；优得</w:t>
            </w:r>
            <w:r>
              <w:rPr>
                <w:rFonts w:hint="eastAsia" w:asciiTheme="minorEastAsia" w:hAnsiTheme="minorEastAsia" w:eastAsiaTheme="minorEastAsia" w:cstheme="minorEastAsia"/>
                <w:b w:val="0"/>
                <w:bCs/>
                <w:color w:val="auto"/>
                <w:kern w:val="2"/>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val="en-US" w:eastAsia="zh-CN"/>
              </w:rPr>
              <w:t>良得2分，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p>
        </w:tc>
      </w:tr>
      <w:tr w14:paraId="7E22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7" w:type="dxa"/>
            <w:vMerge w:val="continue"/>
            <w:noWrap w:val="0"/>
            <w:vAlign w:val="center"/>
          </w:tcPr>
          <w:p w14:paraId="33F55FC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5DB2575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275C0A4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7884B3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rPr>
              <w:t>成品保护和工程保修工作的管理措施和承诺（</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3B8A24B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b w:val="0"/>
                <w:bCs/>
                <w:color w:val="auto"/>
                <w:kern w:val="2"/>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rPr>
              <w:t>成品保护和工程保修工作的管理措施和承诺进行比较，内容完整、合理、可行；优得</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val="en-US" w:eastAsia="zh-CN"/>
              </w:rPr>
              <w:t>良得2分，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p>
        </w:tc>
      </w:tr>
      <w:tr w14:paraId="6199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7" w:type="dxa"/>
            <w:vMerge w:val="continue"/>
            <w:noWrap w:val="0"/>
            <w:vAlign w:val="center"/>
          </w:tcPr>
          <w:p w14:paraId="201F3A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54483B5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2F90D61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5EABB15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rPr>
              <w:t>紧急情况的处理措施、预案以及抵抗风险的措施（</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67FD63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b w:val="0"/>
                <w:bCs/>
                <w:color w:val="auto"/>
                <w:kern w:val="2"/>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rPr>
              <w:t>紧急情况的处理措施、预案以及抵抗风险的措施进行比较，内容完整、合理、可行；优得</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val="en-US" w:eastAsia="zh-CN"/>
              </w:rPr>
              <w:t>良得2分，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p>
        </w:tc>
      </w:tr>
      <w:tr w14:paraId="7238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7" w:type="dxa"/>
            <w:vMerge w:val="continue"/>
            <w:noWrap w:val="0"/>
            <w:vAlign w:val="center"/>
          </w:tcPr>
          <w:p w14:paraId="6E33BF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045CD3E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0EAABB2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0F8B07A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lang w:val="zh-CN"/>
              </w:rPr>
              <w:t>施工现场平面图</w:t>
            </w:r>
            <w:r>
              <w:rPr>
                <w:rFonts w:hint="eastAsia" w:asciiTheme="minorEastAsia" w:hAnsiTheme="minorEastAsia" w:eastAsiaTheme="minorEastAsia" w:cstheme="minorEastAsia"/>
                <w:b w:val="0"/>
                <w:bCs/>
                <w:color w:val="auto"/>
                <w:kern w:val="2"/>
                <w:sz w:val="21"/>
                <w:szCs w:val="21"/>
                <w:highlight w:val="none"/>
              </w:rPr>
              <w:t>（</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699EF4B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b w:val="0"/>
                <w:bCs/>
                <w:color w:val="auto"/>
                <w:kern w:val="2"/>
                <w:sz w:val="21"/>
                <w:szCs w:val="21"/>
                <w:highlight w:val="none"/>
                <w:lang w:val="zh-CN"/>
              </w:rPr>
            </w:pPr>
            <w:r>
              <w:rPr>
                <w:rFonts w:hint="eastAsia" w:asciiTheme="minorEastAsia" w:hAnsiTheme="minorEastAsia" w:eastAsiaTheme="minorEastAsia" w:cstheme="minorEastAsia"/>
                <w:b w:val="0"/>
                <w:bCs/>
                <w:color w:val="auto"/>
                <w:kern w:val="2"/>
                <w:sz w:val="21"/>
                <w:szCs w:val="21"/>
                <w:highlight w:val="none"/>
                <w:lang w:val="zh-CN"/>
              </w:rPr>
              <w:t>施工现场平面图进行比较，内容完整、合理、可行；</w:t>
            </w:r>
            <w:r>
              <w:rPr>
                <w:rFonts w:hint="eastAsia" w:asciiTheme="minorEastAsia" w:hAnsiTheme="minorEastAsia" w:eastAsiaTheme="minorEastAsia" w:cstheme="minorEastAsia"/>
                <w:b w:val="0"/>
                <w:bCs/>
                <w:color w:val="auto"/>
                <w:kern w:val="2"/>
                <w:sz w:val="21"/>
                <w:szCs w:val="21"/>
                <w:highlight w:val="none"/>
              </w:rPr>
              <w:t>优得</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分，一般得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p>
        </w:tc>
      </w:tr>
      <w:tr w14:paraId="5AFC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7" w:type="dxa"/>
            <w:vMerge w:val="continue"/>
            <w:noWrap w:val="0"/>
            <w:vAlign w:val="center"/>
          </w:tcPr>
          <w:p w14:paraId="31C3062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3A795E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09C8B0F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411781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lang w:val="zh-CN"/>
              </w:rPr>
              <w:t>施工进度计划横道图或网络图</w:t>
            </w:r>
            <w:r>
              <w:rPr>
                <w:rFonts w:hint="eastAsia" w:asciiTheme="minorEastAsia" w:hAnsiTheme="minorEastAsia" w:eastAsiaTheme="minorEastAsia" w:cstheme="minorEastAsia"/>
                <w:b w:val="0"/>
                <w:bCs/>
                <w:color w:val="auto"/>
                <w:kern w:val="2"/>
                <w:sz w:val="21"/>
                <w:szCs w:val="21"/>
                <w:highlight w:val="none"/>
              </w:rPr>
              <w:t>（</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14F17D4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b w:val="0"/>
                <w:bCs/>
                <w:color w:val="auto"/>
                <w:kern w:val="2"/>
                <w:sz w:val="21"/>
                <w:szCs w:val="21"/>
                <w:highlight w:val="none"/>
                <w:lang w:val="zh-CN"/>
              </w:rPr>
            </w:pPr>
            <w:r>
              <w:rPr>
                <w:rFonts w:hint="eastAsia" w:asciiTheme="minorEastAsia" w:hAnsiTheme="minorEastAsia" w:eastAsiaTheme="minorEastAsia" w:cstheme="minorEastAsia"/>
                <w:b w:val="0"/>
                <w:bCs/>
                <w:color w:val="auto"/>
                <w:kern w:val="2"/>
                <w:sz w:val="21"/>
                <w:szCs w:val="21"/>
                <w:highlight w:val="none"/>
                <w:lang w:val="zh-CN"/>
              </w:rPr>
              <w:t>施工进度计划横道图或网络图进行比较，内容完整、合理、可行；</w:t>
            </w:r>
            <w:r>
              <w:rPr>
                <w:rFonts w:hint="eastAsia" w:asciiTheme="minorEastAsia" w:hAnsiTheme="minorEastAsia" w:eastAsiaTheme="minorEastAsia" w:cstheme="minorEastAsia"/>
                <w:b w:val="0"/>
                <w:bCs/>
                <w:color w:val="auto"/>
                <w:kern w:val="2"/>
                <w:sz w:val="21"/>
                <w:szCs w:val="21"/>
                <w:highlight w:val="none"/>
              </w:rPr>
              <w:t>优得</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分，一般得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p>
        </w:tc>
      </w:tr>
      <w:tr w14:paraId="453E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647" w:type="dxa"/>
            <w:vMerge w:val="restart"/>
            <w:noWrap w:val="0"/>
            <w:vAlign w:val="center"/>
          </w:tcPr>
          <w:p w14:paraId="31182A8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2.2.</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(2)</w:t>
            </w:r>
          </w:p>
        </w:tc>
        <w:tc>
          <w:tcPr>
            <w:tcW w:w="741" w:type="dxa"/>
            <w:vMerge w:val="restart"/>
            <w:noWrap w:val="0"/>
            <w:vAlign w:val="center"/>
          </w:tcPr>
          <w:p w14:paraId="73E695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商务标部分(</w:t>
            </w:r>
            <w:r>
              <w:rPr>
                <w:rFonts w:hint="eastAsia" w:asciiTheme="minorEastAsia" w:hAnsiTheme="minorEastAsia" w:eastAsiaTheme="minorEastAsia" w:cstheme="minorEastAsia"/>
                <w:b w:val="0"/>
                <w:bCs/>
                <w:color w:val="auto"/>
                <w:kern w:val="2"/>
                <w:sz w:val="21"/>
                <w:szCs w:val="21"/>
                <w:highlight w:val="none"/>
                <w:lang w:val="en-US" w:eastAsia="zh-CN"/>
              </w:rPr>
              <w:t>65</w:t>
            </w:r>
            <w:r>
              <w:rPr>
                <w:rFonts w:hint="eastAsia" w:asciiTheme="minorEastAsia" w:hAnsiTheme="minorEastAsia" w:eastAsiaTheme="minorEastAsia" w:cstheme="minorEastAsia"/>
                <w:b w:val="0"/>
                <w:bCs/>
                <w:color w:val="auto"/>
                <w:kern w:val="2"/>
                <w:sz w:val="21"/>
                <w:szCs w:val="21"/>
                <w:highlight w:val="none"/>
              </w:rPr>
              <w:t>分)</w:t>
            </w:r>
          </w:p>
        </w:tc>
        <w:tc>
          <w:tcPr>
            <w:tcW w:w="731" w:type="dxa"/>
            <w:vMerge w:val="restart"/>
            <w:noWrap w:val="0"/>
            <w:vAlign w:val="center"/>
          </w:tcPr>
          <w:p w14:paraId="1EF2A1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项目管理机构（</w:t>
            </w:r>
            <w:r>
              <w:rPr>
                <w:rFonts w:hint="eastAsia" w:asciiTheme="minorEastAsia" w:hAnsiTheme="minorEastAsia" w:eastAsiaTheme="minorEastAsia" w:cstheme="minorEastAsia"/>
                <w:b w:val="0"/>
                <w:bCs/>
                <w:color w:val="auto"/>
                <w:kern w:val="2"/>
                <w:sz w:val="21"/>
                <w:szCs w:val="21"/>
                <w:highlight w:val="none"/>
                <w:lang w:val="en-US" w:eastAsia="zh-CN"/>
              </w:rPr>
              <w:t>8</w:t>
            </w:r>
            <w:r>
              <w:rPr>
                <w:rFonts w:hint="eastAsia" w:asciiTheme="minorEastAsia" w:hAnsiTheme="minorEastAsia" w:eastAsiaTheme="minorEastAsia" w:cstheme="minorEastAsia"/>
                <w:b w:val="0"/>
                <w:bCs/>
                <w:color w:val="auto"/>
                <w:kern w:val="2"/>
                <w:sz w:val="21"/>
                <w:szCs w:val="21"/>
                <w:highlight w:val="none"/>
              </w:rPr>
              <w:t>分）</w:t>
            </w:r>
          </w:p>
        </w:tc>
        <w:tc>
          <w:tcPr>
            <w:tcW w:w="1659" w:type="dxa"/>
            <w:noWrap w:val="0"/>
            <w:vAlign w:val="center"/>
          </w:tcPr>
          <w:p w14:paraId="66AE7D6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项目管理机构（</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59A3DF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其他主要人员配备齐全，人员有职称证书或岗位证书,满足施工要求，对人员配备情况进行比较，优得</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lang w:val="en-US" w:eastAsia="zh-CN"/>
              </w:rPr>
              <w:t>良2分</w:t>
            </w:r>
            <w:r>
              <w:rPr>
                <w:rFonts w:hint="eastAsia" w:asciiTheme="minorEastAsia" w:hAnsiTheme="minorEastAsia" w:eastAsiaTheme="minorEastAsia" w:cstheme="minorEastAsia"/>
                <w:b w:val="0"/>
                <w:bCs/>
                <w:color w:val="auto"/>
                <w:kern w:val="2"/>
                <w:sz w:val="21"/>
                <w:szCs w:val="21"/>
                <w:highlight w:val="none"/>
              </w:rPr>
              <w:t>，一般得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分，无不得分</w:t>
            </w:r>
          </w:p>
          <w:p w14:paraId="3B1D54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投标文件内附相应人员职称证书或岗位证书复印件加盖投标单位公章</w:t>
            </w:r>
            <w:r>
              <w:rPr>
                <w:rFonts w:hint="eastAsia" w:asciiTheme="minorEastAsia" w:hAnsiTheme="minorEastAsia" w:eastAsiaTheme="minorEastAsia" w:cstheme="minorEastAsia"/>
                <w:b w:val="0"/>
                <w:bCs/>
                <w:color w:val="auto"/>
                <w:kern w:val="2"/>
                <w:sz w:val="21"/>
                <w:szCs w:val="21"/>
                <w:highlight w:val="none"/>
                <w:lang w:eastAsia="zh-CN"/>
              </w:rPr>
              <w:t>；</w:t>
            </w:r>
          </w:p>
        </w:tc>
      </w:tr>
      <w:tr w14:paraId="4013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647" w:type="dxa"/>
            <w:vMerge w:val="continue"/>
            <w:noWrap w:val="0"/>
            <w:vAlign w:val="center"/>
          </w:tcPr>
          <w:p w14:paraId="58D4ADF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6F04D81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20DB3CE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5E300E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项目经理获奖项目业绩(</w:t>
            </w:r>
            <w:r>
              <w:rPr>
                <w:rFonts w:hint="eastAsia" w:asciiTheme="minorEastAsia" w:hAnsiTheme="minorEastAsia" w:eastAsiaTheme="minorEastAsia" w:cstheme="minorEastAsia"/>
                <w:b w:val="0"/>
                <w:bCs/>
                <w:color w:val="auto"/>
                <w:kern w:val="2"/>
                <w:sz w:val="21"/>
                <w:szCs w:val="21"/>
                <w:highlight w:val="none"/>
                <w:lang w:val="en-US" w:eastAsia="zh-CN"/>
              </w:rPr>
              <w:t>5</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33BD104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按照《吉林省房屋建筑和市政基础设施工程“优质优先、优质优价”实施暂行办法》（吉建招〔2020〕8号）、《吉林省房屋建筑和市政基础设施工程招标评标业绩认定暂行规定》（吉建招〔2017〕6号）、《吉林省住房和城乡建设厅关于进一步明确房屋建筑和市政基础设施工程招标投标活动有关问题的通 知》（吉建招〔2017〕15号）、吉林省住房和城乡建设厅关于调整《吉林省房屋建筑和市政基础设施工程“优质优先、优质优价”实施办法》部分条款的通知吉建管【2023】20号文件 规定，下列获奖项目业绩的项目经理在企业投标时予以加分：</w:t>
            </w:r>
          </w:p>
          <w:p w14:paraId="64D258A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(一)获“鲁班奖”的加5分,有效期5年;获“全国建筑工程装饰奖”的加2分，有效期3年</w:t>
            </w:r>
          </w:p>
          <w:p w14:paraId="50C31D5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(二)获吉林省级标准化管理示范工地的加3分，有效期2年;获市级标准化管理示范工地的加1分，有效期2年</w:t>
            </w:r>
          </w:p>
          <w:p w14:paraId="2EB2E4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注:(1)加分时，在有效期内只针对奖项中的一个最高得分奖项计分，一次有效，不累计加</w:t>
            </w:r>
          </w:p>
          <w:p w14:paraId="66EBCEA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(2)获奖工程项目的项目经理调离获奖企业到其他单位执业的，该项目经理投标时在原企业的获奖项目无效，不再参与获奖工程业绩加分</w:t>
            </w:r>
          </w:p>
          <w:p w14:paraId="7C234FF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(3)项目经理获奖工程业绩经使用后，一旦中标，下次投标不得再次使用。项目经理所负责的工程出现质量安全事故且在处罚期内的，则取消获奖工程业绩加分资格</w:t>
            </w:r>
          </w:p>
          <w:p w14:paraId="4D6877E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(4)招标文件规定投标人获奖工程业绩加分的，投标人投标时应当提供以下资料:(投标文件内附复印件加盖投标单位公章)</w:t>
            </w:r>
          </w:p>
          <w:p w14:paraId="6D28E21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①工程项目获奖证书</w:t>
            </w:r>
          </w:p>
          <w:p w14:paraId="2A4EAF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②获奖文件(获奖文件应含有项目经理人员名单)</w:t>
            </w:r>
          </w:p>
          <w:p w14:paraId="7F0F18E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③获奖人员注册执业资格证书</w:t>
            </w:r>
          </w:p>
          <w:p w14:paraId="1B7054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④有关获奖信息以及获奖单位名单查询网址等</w:t>
            </w:r>
          </w:p>
          <w:p w14:paraId="7CFED8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吉林省:吉林省建设信息网</w:t>
            </w:r>
          </w:p>
          <w:p w14:paraId="0ED3122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长春市:长春市城乡建设委员会官网</w:t>
            </w:r>
          </w:p>
          <w:p w14:paraId="05220D2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吉林市:吉林市建设信息网</w:t>
            </w:r>
          </w:p>
          <w:p w14:paraId="19EDCEA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(5)入吉建筑企业投标中使用获奖工程业绩加分时，应由企业工商注册所在地的省级建设行政主管部门出具未曾使用获奖工程业绩加分中标其他工程项目的证明,否则不予加分</w:t>
            </w:r>
          </w:p>
        </w:tc>
      </w:tr>
      <w:tr w14:paraId="31BE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47" w:type="dxa"/>
            <w:vMerge w:val="continue"/>
            <w:noWrap w:val="0"/>
            <w:vAlign w:val="center"/>
          </w:tcPr>
          <w:p w14:paraId="7C13083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1536DF7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lang w:val="en-US" w:eastAsia="zh-CN"/>
              </w:rPr>
            </w:pPr>
          </w:p>
        </w:tc>
        <w:tc>
          <w:tcPr>
            <w:tcW w:w="731" w:type="dxa"/>
            <w:vMerge w:val="restart"/>
            <w:noWrap w:val="0"/>
            <w:vAlign w:val="center"/>
          </w:tcPr>
          <w:p w14:paraId="24EC4D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其他</w:t>
            </w:r>
          </w:p>
          <w:p w14:paraId="209A463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评审</w:t>
            </w:r>
          </w:p>
          <w:p w14:paraId="6944EBE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因素</w:t>
            </w:r>
          </w:p>
          <w:p w14:paraId="6850FB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rPr>
                <w:rFonts w:hint="eastAsia" w:asciiTheme="minorEastAsia" w:hAnsiTheme="minorEastAsia" w:eastAsiaTheme="minorEastAsia" w:cstheme="minorEastAsia"/>
                <w:b w:val="0"/>
                <w:bCs/>
                <w:color w:val="auto"/>
                <w:kern w:val="2"/>
                <w:sz w:val="21"/>
                <w:szCs w:val="21"/>
                <w:highlight w:val="none"/>
                <w:lang w:eastAsia="zh-CN"/>
              </w:rPr>
            </w:pPr>
            <w:r>
              <w:rPr>
                <w:rFonts w:hint="eastAsia" w:asciiTheme="minorEastAsia" w:hAnsiTheme="minorEastAsia" w:eastAsiaTheme="minorEastAsia" w:cstheme="minorEastAsia"/>
                <w:b w:val="0"/>
                <w:bCs/>
                <w:color w:val="auto"/>
                <w:kern w:val="2"/>
                <w:sz w:val="21"/>
                <w:szCs w:val="21"/>
                <w:highlight w:val="none"/>
              </w:rPr>
              <w:t>(</w:t>
            </w:r>
            <w:r>
              <w:rPr>
                <w:rFonts w:hint="eastAsia" w:asciiTheme="minorEastAsia" w:hAnsiTheme="minorEastAsia" w:eastAsiaTheme="minorEastAsia" w:cstheme="minorEastAsia"/>
                <w:b w:val="0"/>
                <w:bCs/>
                <w:color w:val="auto"/>
                <w:kern w:val="2"/>
                <w:sz w:val="21"/>
                <w:szCs w:val="21"/>
                <w:highlight w:val="none"/>
                <w:lang w:val="en-US" w:eastAsia="zh-CN"/>
              </w:rPr>
              <w:t>7</w:t>
            </w:r>
            <w:r>
              <w:rPr>
                <w:rFonts w:hint="eastAsia" w:asciiTheme="minorEastAsia" w:hAnsiTheme="minorEastAsia" w:eastAsiaTheme="minorEastAsia" w:cstheme="minorEastAsia"/>
                <w:b w:val="0"/>
                <w:bCs/>
                <w:color w:val="auto"/>
                <w:kern w:val="2"/>
                <w:sz w:val="21"/>
                <w:szCs w:val="21"/>
                <w:highlight w:val="none"/>
              </w:rPr>
              <w:t>分</w:t>
            </w:r>
            <w:r>
              <w:rPr>
                <w:rFonts w:hint="eastAsia" w:asciiTheme="minorEastAsia" w:hAnsiTheme="minorEastAsia" w:eastAsiaTheme="minorEastAsia" w:cstheme="minorEastAsia"/>
                <w:b w:val="0"/>
                <w:bCs/>
                <w:color w:val="auto"/>
                <w:kern w:val="2"/>
                <w:sz w:val="21"/>
                <w:szCs w:val="21"/>
                <w:highlight w:val="none"/>
                <w:lang w:eastAsia="zh-CN"/>
              </w:rPr>
              <w:t>）</w:t>
            </w:r>
          </w:p>
        </w:tc>
        <w:tc>
          <w:tcPr>
            <w:tcW w:w="1659" w:type="dxa"/>
            <w:noWrap w:val="0"/>
            <w:vAlign w:val="center"/>
          </w:tcPr>
          <w:p w14:paraId="151065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优惠条件（</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03BB7BD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有优惠条件，且优惠条件优得</w:t>
            </w:r>
            <w:r>
              <w:rPr>
                <w:rFonts w:hint="eastAsia" w:asciiTheme="minorEastAsia" w:hAnsiTheme="minorEastAsia" w:eastAsiaTheme="minorEastAsia" w:cstheme="minorEastAsia"/>
                <w:b w:val="0"/>
                <w:bCs/>
                <w:color w:val="auto"/>
                <w:kern w:val="2"/>
                <w:sz w:val="21"/>
                <w:szCs w:val="21"/>
                <w:highlight w:val="none"/>
                <w:lang w:val="en-US" w:eastAsia="zh-CN"/>
              </w:rPr>
              <w:t>3</w:t>
            </w:r>
            <w:r>
              <w:rPr>
                <w:rFonts w:hint="eastAsia" w:asciiTheme="minorEastAsia" w:hAnsiTheme="minorEastAsia" w:eastAsiaTheme="minorEastAsia" w:cstheme="minorEastAsia"/>
                <w:b w:val="0"/>
                <w:bCs/>
                <w:color w:val="auto"/>
                <w:kern w:val="2"/>
                <w:sz w:val="21"/>
                <w:szCs w:val="21"/>
                <w:highlight w:val="none"/>
              </w:rPr>
              <w:t>分，良好者得</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分，一般得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w:t>
            </w:r>
          </w:p>
        </w:tc>
      </w:tr>
      <w:tr w14:paraId="0BF5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47" w:type="dxa"/>
            <w:vMerge w:val="continue"/>
            <w:noWrap w:val="0"/>
            <w:vAlign w:val="center"/>
          </w:tcPr>
          <w:p w14:paraId="1E8910C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4DE2E52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79DAE2E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003383A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服务承诺（</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054A28C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有服务承诺，且服务承诺优得</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分，良好者得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分，一般或较差者得0分。</w:t>
            </w:r>
          </w:p>
        </w:tc>
      </w:tr>
      <w:tr w14:paraId="09AE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47" w:type="dxa"/>
            <w:vMerge w:val="continue"/>
            <w:noWrap w:val="0"/>
            <w:vAlign w:val="center"/>
          </w:tcPr>
          <w:p w14:paraId="3E35D07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41" w:type="dxa"/>
            <w:vMerge w:val="continue"/>
            <w:noWrap w:val="0"/>
            <w:vAlign w:val="center"/>
          </w:tcPr>
          <w:p w14:paraId="5A1F51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731" w:type="dxa"/>
            <w:vMerge w:val="continue"/>
            <w:noWrap w:val="0"/>
            <w:vAlign w:val="center"/>
          </w:tcPr>
          <w:p w14:paraId="0A82D8C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p>
        </w:tc>
        <w:tc>
          <w:tcPr>
            <w:tcW w:w="1659" w:type="dxa"/>
            <w:noWrap w:val="0"/>
            <w:vAlign w:val="center"/>
          </w:tcPr>
          <w:p w14:paraId="748ACF5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rightChars="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rPr>
              <w:t>企业业绩</w:t>
            </w:r>
            <w:r>
              <w:rPr>
                <w:rFonts w:hint="eastAsia" w:asciiTheme="minorEastAsia" w:hAnsiTheme="minorEastAsia" w:eastAsiaTheme="minorEastAsia" w:cstheme="minorEastAsia"/>
                <w:b w:val="0"/>
                <w:bCs/>
                <w:color w:val="auto"/>
                <w:kern w:val="2"/>
                <w:sz w:val="21"/>
                <w:szCs w:val="21"/>
                <w:highlight w:val="none"/>
              </w:rPr>
              <w:t>（</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分）</w:t>
            </w:r>
          </w:p>
        </w:tc>
        <w:tc>
          <w:tcPr>
            <w:tcW w:w="5682" w:type="dxa"/>
            <w:noWrap w:val="0"/>
            <w:vAlign w:val="center"/>
          </w:tcPr>
          <w:p w14:paraId="63E85A0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投标人在20</w:t>
            </w:r>
            <w:r>
              <w:rPr>
                <w:rFonts w:hint="eastAsia" w:asciiTheme="minorEastAsia" w:hAnsiTheme="minorEastAsia" w:eastAsiaTheme="minorEastAsia" w:cstheme="minorEastAsia"/>
                <w:b w:val="0"/>
                <w:bCs/>
                <w:color w:val="auto"/>
                <w:kern w:val="2"/>
                <w:sz w:val="21"/>
                <w:szCs w:val="21"/>
                <w:highlight w:val="none"/>
                <w:lang w:val="en-US" w:eastAsia="zh-CN"/>
              </w:rPr>
              <w:t>22至今</w:t>
            </w:r>
            <w:r>
              <w:rPr>
                <w:rFonts w:hint="eastAsia" w:asciiTheme="minorEastAsia" w:hAnsiTheme="minorEastAsia" w:eastAsiaTheme="minorEastAsia" w:cstheme="minorEastAsia"/>
                <w:b w:val="0"/>
                <w:bCs/>
                <w:color w:val="auto"/>
                <w:kern w:val="2"/>
                <w:sz w:val="21"/>
                <w:szCs w:val="21"/>
                <w:highlight w:val="none"/>
              </w:rPr>
              <w:t>完成过的工程业绩（</w:t>
            </w:r>
            <w:r>
              <w:rPr>
                <w:rFonts w:hint="eastAsia" w:asciiTheme="minorEastAsia" w:hAnsiTheme="minorEastAsia" w:eastAsiaTheme="minorEastAsia" w:cstheme="minorEastAsia"/>
                <w:b w:val="0"/>
                <w:bCs w:val="0"/>
                <w:color w:val="auto"/>
                <w:kern w:val="2"/>
                <w:sz w:val="21"/>
                <w:szCs w:val="21"/>
                <w:highlight w:val="none"/>
                <w:lang w:val="zh-CN"/>
              </w:rPr>
              <w:t>应附中标通知书或合同协议书或竣工验收报告证明复印件</w:t>
            </w:r>
            <w:r>
              <w:rPr>
                <w:rFonts w:hint="eastAsia" w:asciiTheme="minorEastAsia" w:hAnsiTheme="minorEastAsia" w:eastAsiaTheme="minorEastAsia" w:cstheme="minorEastAsia"/>
                <w:b w:val="0"/>
                <w:bCs w:val="0"/>
                <w:color w:val="auto"/>
                <w:kern w:val="2"/>
                <w:sz w:val="21"/>
                <w:szCs w:val="21"/>
                <w:highlight w:val="none"/>
              </w:rPr>
              <w:t>，</w:t>
            </w:r>
            <w:r>
              <w:rPr>
                <w:rFonts w:hint="eastAsia" w:asciiTheme="minorEastAsia" w:hAnsiTheme="minorEastAsia" w:eastAsiaTheme="minorEastAsia" w:cstheme="minorEastAsia"/>
                <w:b w:val="0"/>
                <w:bCs/>
                <w:color w:val="auto"/>
                <w:kern w:val="2"/>
                <w:sz w:val="21"/>
                <w:szCs w:val="21"/>
                <w:highlight w:val="none"/>
              </w:rPr>
              <w:t>每有一项得</w:t>
            </w:r>
            <w:r>
              <w:rPr>
                <w:rFonts w:hint="eastAsia" w:asciiTheme="minorEastAsia" w:hAnsiTheme="minorEastAsia" w:eastAsiaTheme="minorEastAsia" w:cstheme="minorEastAsia"/>
                <w:b w:val="0"/>
                <w:bCs/>
                <w:color w:val="auto"/>
                <w:kern w:val="2"/>
                <w:sz w:val="21"/>
                <w:szCs w:val="21"/>
                <w:highlight w:val="none"/>
                <w:lang w:val="en-US" w:eastAsia="zh-CN"/>
              </w:rPr>
              <w:t>1</w:t>
            </w:r>
            <w:r>
              <w:rPr>
                <w:rFonts w:hint="eastAsia" w:asciiTheme="minorEastAsia" w:hAnsiTheme="minorEastAsia" w:eastAsiaTheme="minorEastAsia" w:cstheme="minorEastAsia"/>
                <w:b w:val="0"/>
                <w:bCs/>
                <w:color w:val="auto"/>
                <w:kern w:val="2"/>
                <w:sz w:val="21"/>
                <w:szCs w:val="21"/>
                <w:highlight w:val="none"/>
              </w:rPr>
              <w:t>分，最多得</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分。</w:t>
            </w:r>
          </w:p>
        </w:tc>
      </w:tr>
      <w:tr w14:paraId="166F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47" w:type="dxa"/>
            <w:noWrap w:val="0"/>
            <w:vAlign w:val="center"/>
          </w:tcPr>
          <w:p w14:paraId="20C319E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2.2.</w:t>
            </w:r>
            <w:r>
              <w:rPr>
                <w:rFonts w:hint="eastAsia" w:asciiTheme="minorEastAsia" w:hAnsiTheme="minorEastAsia" w:eastAsiaTheme="minorEastAsia" w:cstheme="minorEastAsia"/>
                <w:b w:val="0"/>
                <w:bCs/>
                <w:color w:val="auto"/>
                <w:kern w:val="2"/>
                <w:sz w:val="21"/>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rPr>
              <w:t>(2)</w:t>
            </w:r>
          </w:p>
        </w:tc>
        <w:tc>
          <w:tcPr>
            <w:tcW w:w="1472" w:type="dxa"/>
            <w:gridSpan w:val="2"/>
            <w:noWrap w:val="0"/>
            <w:vAlign w:val="center"/>
          </w:tcPr>
          <w:p w14:paraId="7096246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投标报价(</w:t>
            </w:r>
            <w:r>
              <w:rPr>
                <w:rFonts w:hint="eastAsia" w:asciiTheme="minorEastAsia" w:hAnsiTheme="minorEastAsia" w:eastAsiaTheme="minorEastAsia" w:cstheme="minorEastAsia"/>
                <w:b w:val="0"/>
                <w:bCs/>
                <w:color w:val="auto"/>
                <w:kern w:val="2"/>
                <w:sz w:val="21"/>
                <w:szCs w:val="21"/>
                <w:highlight w:val="none"/>
                <w:lang w:val="en-US" w:eastAsia="zh-CN"/>
              </w:rPr>
              <w:t>5</w:t>
            </w:r>
            <w:r>
              <w:rPr>
                <w:rFonts w:hint="eastAsia" w:asciiTheme="minorEastAsia" w:hAnsiTheme="minorEastAsia" w:eastAsiaTheme="minorEastAsia" w:cstheme="minorEastAsia"/>
                <w:b w:val="0"/>
                <w:bCs/>
                <w:color w:val="auto"/>
                <w:kern w:val="2"/>
                <w:sz w:val="21"/>
                <w:szCs w:val="21"/>
                <w:highlight w:val="none"/>
              </w:rPr>
              <w:t>0分)</w:t>
            </w:r>
          </w:p>
        </w:tc>
        <w:tc>
          <w:tcPr>
            <w:tcW w:w="1659" w:type="dxa"/>
            <w:noWrap w:val="0"/>
            <w:vAlign w:val="center"/>
          </w:tcPr>
          <w:p w14:paraId="28B0AB5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lang w:eastAsia="zh-CN"/>
              </w:rPr>
            </w:pPr>
            <w:r>
              <w:rPr>
                <w:rFonts w:hint="eastAsia" w:asciiTheme="minorEastAsia" w:hAnsiTheme="minorEastAsia" w:eastAsiaTheme="minorEastAsia" w:cstheme="minorEastAsia"/>
                <w:b w:val="0"/>
                <w:bCs/>
                <w:color w:val="auto"/>
                <w:kern w:val="2"/>
                <w:sz w:val="21"/>
                <w:szCs w:val="21"/>
                <w:highlight w:val="none"/>
                <w:lang w:eastAsia="zh-CN"/>
              </w:rPr>
              <w:t>投标报价</w:t>
            </w:r>
          </w:p>
          <w:p w14:paraId="1E33460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auto"/>
                <w:kern w:val="2"/>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lang w:val="en-US" w:eastAsia="zh-CN"/>
              </w:rPr>
              <w:t>50分）</w:t>
            </w:r>
          </w:p>
        </w:tc>
        <w:tc>
          <w:tcPr>
            <w:tcW w:w="5682" w:type="dxa"/>
            <w:noWrap w:val="0"/>
            <w:vAlign w:val="center"/>
          </w:tcPr>
          <w:p w14:paraId="6418191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综合评分法中的价格分统一采用低价优先法计算，即满足磋商文件要求且最后报价最低的供应商的价格为磋商基准价，其价格分为满分。其他供应商的价格分统一按照下列公式计算：</w:t>
            </w:r>
          </w:p>
          <w:p w14:paraId="53E398D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磋商报价得分=（磋商基准价/最后磋商报价）×</w:t>
            </w:r>
            <w:r>
              <w:rPr>
                <w:rFonts w:hint="eastAsia" w:ascii="宋体" w:hAnsi="宋体" w:eastAsia="宋体" w:cs="宋体"/>
                <w:bCs/>
                <w:color w:val="auto"/>
                <w:szCs w:val="21"/>
                <w:lang w:val="en-US" w:eastAsia="zh-CN"/>
              </w:rPr>
              <w:t>50</w:t>
            </w:r>
            <w:r>
              <w:rPr>
                <w:rFonts w:hint="eastAsia" w:ascii="宋体" w:hAnsi="宋体" w:eastAsia="宋体" w:cs="宋体"/>
                <w:bCs/>
                <w:color w:val="auto"/>
                <w:szCs w:val="21"/>
                <w:lang w:val="zh-CN"/>
              </w:rPr>
              <w:t>%×100。</w:t>
            </w:r>
          </w:p>
          <w:p w14:paraId="311F4CC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color w:val="auto"/>
                <w:kern w:val="2"/>
                <w:sz w:val="21"/>
                <w:szCs w:val="21"/>
                <w:highlight w:val="none"/>
              </w:rPr>
            </w:pPr>
            <w:r>
              <w:rPr>
                <w:rFonts w:hint="eastAsia" w:ascii="宋体" w:hAnsi="宋体" w:eastAsia="宋体" w:cs="宋体"/>
                <w:bCs/>
                <w:color w:val="auto"/>
                <w:szCs w:val="21"/>
                <w:lang w:val="zh-CN"/>
              </w:rPr>
              <w:t>项目评审过程中，不得去掉最后报价中的最高报价和最低报价。</w:t>
            </w:r>
          </w:p>
        </w:tc>
      </w:tr>
    </w:tbl>
    <w:p w14:paraId="2D43AE6F">
      <w:pPr>
        <w:keepNext w:val="0"/>
        <w:keepLines w:val="0"/>
        <w:pageBreakBefore w:val="0"/>
        <w:widowControl w:val="0"/>
        <w:kinsoku/>
        <w:wordWrap/>
        <w:overflowPunct/>
        <w:topLinePunct w:val="0"/>
        <w:autoSpaceDE w:val="0"/>
        <w:autoSpaceDN w:val="0"/>
        <w:bidi w:val="0"/>
        <w:ind w:firstLine="42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1"/>
          <w:szCs w:val="21"/>
          <w:highlight w:val="none"/>
          <w:lang w:val="zh-CN"/>
        </w:rPr>
        <w:br w:type="page"/>
      </w:r>
    </w:p>
    <w:p w14:paraId="2692B327">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1.评标方法</w:t>
      </w:r>
    </w:p>
    <w:p w14:paraId="11E1B55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本次评标采用综合评估法。评标委员会对满足招标文件实质性要求的投标文件，按照本章第2.2款规定的评分标准进行打分，</w:t>
      </w:r>
      <w:r>
        <w:rPr>
          <w:rFonts w:hint="eastAsia" w:asciiTheme="minorEastAsia" w:hAnsiTheme="minorEastAsia" w:eastAsiaTheme="minorEastAsia" w:cstheme="minorEastAsia"/>
          <w:b w:val="0"/>
          <w:bCs/>
          <w:color w:val="auto"/>
          <w:sz w:val="24"/>
          <w:szCs w:val="24"/>
          <w:highlight w:val="none"/>
        </w:rPr>
        <w:t>推荐综合得分由高到低排名</w:t>
      </w:r>
      <w:r>
        <w:rPr>
          <w:rFonts w:hint="eastAsia" w:asciiTheme="minorEastAsia" w:hAnsiTheme="minorEastAsia" w:eastAsiaTheme="minorEastAsia" w:cstheme="minorEastAsia"/>
          <w:b w:val="0"/>
          <w:bCs/>
          <w:color w:val="auto"/>
          <w:sz w:val="24"/>
          <w:szCs w:val="24"/>
          <w:highlight w:val="none"/>
          <w:lang w:val="en-US" w:eastAsia="zh-CN"/>
        </w:rPr>
        <w:t>前三名</w:t>
      </w:r>
      <w:r>
        <w:rPr>
          <w:rFonts w:hint="eastAsia" w:asciiTheme="minorEastAsia" w:hAnsiTheme="minorEastAsia" w:eastAsiaTheme="minorEastAsia" w:cstheme="minorEastAsia"/>
          <w:b w:val="0"/>
          <w:bCs/>
          <w:color w:val="auto"/>
          <w:sz w:val="24"/>
          <w:szCs w:val="24"/>
          <w:highlight w:val="none"/>
        </w:rPr>
        <w:t>为中标候选人</w:t>
      </w:r>
      <w:r>
        <w:rPr>
          <w:rFonts w:hint="eastAsia" w:asciiTheme="minorEastAsia" w:hAnsiTheme="minorEastAsia" w:eastAsiaTheme="minorEastAsia" w:cstheme="minorEastAsia"/>
          <w:b w:val="0"/>
          <w:bCs/>
          <w:color w:val="auto"/>
          <w:sz w:val="24"/>
          <w:szCs w:val="24"/>
          <w:highlight w:val="none"/>
          <w:lang w:val="zh-CN"/>
        </w:rPr>
        <w:t>，但投标报价经评审不合理的除外。综合评分相等时，以投标报价得分高者优先；报价得分也相等的，由招标人代表随机抽取确定。</w:t>
      </w:r>
    </w:p>
    <w:p w14:paraId="4E2FFCB0">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2.评审标准</w:t>
      </w:r>
    </w:p>
    <w:p w14:paraId="0AF53663">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2.1初步评审标准</w:t>
      </w:r>
    </w:p>
    <w:p w14:paraId="24C87026">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2.1.1形式评审标准：见评标办法前附表。</w:t>
      </w:r>
    </w:p>
    <w:p w14:paraId="09091CBB">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shd w:val="pct10" w:color="auto" w:fill="FFFFFF"/>
          <w:lang w:val="zh-CN"/>
        </w:rPr>
      </w:pPr>
      <w:r>
        <w:rPr>
          <w:rFonts w:hint="eastAsia" w:asciiTheme="minorEastAsia" w:hAnsiTheme="minorEastAsia" w:eastAsiaTheme="minorEastAsia" w:cstheme="minorEastAsia"/>
          <w:b w:val="0"/>
          <w:bCs/>
          <w:color w:val="auto"/>
          <w:sz w:val="24"/>
          <w:szCs w:val="24"/>
          <w:highlight w:val="none"/>
          <w:lang w:val="zh-CN"/>
        </w:rPr>
        <w:t>2.1.2资格评审标准：见评标办法前附表。</w:t>
      </w:r>
    </w:p>
    <w:p w14:paraId="70F897EE">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2.1.2响应性评审标准：见评标办法前附表。</w:t>
      </w:r>
    </w:p>
    <w:p w14:paraId="74987425">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2.2分值构成与评分标准</w:t>
      </w:r>
    </w:p>
    <w:p w14:paraId="17253489">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2.2.1分值构成</w:t>
      </w:r>
    </w:p>
    <w:p w14:paraId="65146B25">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(1)施工组织设计：见评标办法前附表；</w:t>
      </w:r>
    </w:p>
    <w:p w14:paraId="1E6E40B6">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(2)投标报价：见评标办法前附表（四舍五入保留小数点后</w:t>
      </w:r>
      <w:r>
        <w:rPr>
          <w:rFonts w:hint="eastAsia" w:asciiTheme="minorEastAsia" w:hAnsiTheme="minorEastAsia" w:eastAsiaTheme="minorEastAsia" w:cstheme="minorEastAsia"/>
          <w:b w:val="0"/>
          <w:bCs/>
          <w:color w:val="auto"/>
          <w:sz w:val="24"/>
          <w:szCs w:val="24"/>
          <w:highlight w:val="none"/>
          <w:lang w:val="en-US" w:eastAsia="zh-CN"/>
        </w:rPr>
        <w:t>四</w:t>
      </w:r>
      <w:r>
        <w:rPr>
          <w:rFonts w:hint="eastAsia" w:asciiTheme="minorEastAsia" w:hAnsiTheme="minorEastAsia" w:eastAsiaTheme="minorEastAsia" w:cstheme="minorEastAsia"/>
          <w:b w:val="0"/>
          <w:bCs/>
          <w:color w:val="auto"/>
          <w:sz w:val="24"/>
          <w:szCs w:val="24"/>
          <w:highlight w:val="none"/>
          <w:lang w:val="zh-CN"/>
        </w:rPr>
        <w:t>位有效数字）；</w:t>
      </w:r>
    </w:p>
    <w:p w14:paraId="4CA455A4">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(3)企业实力：见评标办法前附表；</w:t>
      </w:r>
    </w:p>
    <w:p w14:paraId="51B62755">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2.2.</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zh-CN"/>
        </w:rPr>
        <w:t>评分标准</w:t>
      </w:r>
    </w:p>
    <w:p w14:paraId="39C33B25">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(1)施工组织设计评分标准：见评标办法前附表；</w:t>
      </w:r>
    </w:p>
    <w:p w14:paraId="4C2B0C53">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(2)投标报价评分标准：见评标办法前附表（四舍五入保留小数点后两位有效数字）</w:t>
      </w:r>
    </w:p>
    <w:p w14:paraId="1A54FD3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(3)企业实力评分标准：见评标办法前附表；</w:t>
      </w:r>
    </w:p>
    <w:p w14:paraId="4F637909">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3.评标程序</w:t>
      </w:r>
    </w:p>
    <w:p w14:paraId="2DB66CDC">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3.1初步评审</w:t>
      </w:r>
    </w:p>
    <w:p w14:paraId="0757100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shd w:val="pct10" w:color="auto" w:fill="FFFFFF"/>
          <w:lang w:val="zh-CN"/>
        </w:rPr>
      </w:pPr>
      <w:r>
        <w:rPr>
          <w:rFonts w:hint="eastAsia" w:asciiTheme="minorEastAsia" w:hAnsiTheme="minorEastAsia" w:eastAsiaTheme="minorEastAsia" w:cstheme="minorEastAsia"/>
          <w:b w:val="0"/>
          <w:bCs/>
          <w:color w:val="auto"/>
          <w:sz w:val="24"/>
          <w:szCs w:val="24"/>
          <w:highlight w:val="none"/>
          <w:lang w:val="zh-CN"/>
        </w:rPr>
        <w:t>3.1.1评标委员会依据本章第2.1款规定的标准对投标文件进行初步评审。有一项不符合评审标准的，作废标处理。</w:t>
      </w:r>
    </w:p>
    <w:p w14:paraId="01A20698">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3.1.2投标人有以下情形之一的，其投标作废标处理：</w:t>
      </w:r>
    </w:p>
    <w:p w14:paraId="6A4F3B34">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(1)第二章“投标人须知”第1.4.3项规定的任何一种情形的；</w:t>
      </w:r>
    </w:p>
    <w:p w14:paraId="597C9BA2">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(2)不按评标委员会要求澄清、说明或补正的。</w:t>
      </w:r>
    </w:p>
    <w:p w14:paraId="33DA4EC4">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(3)串通投标或弄虚作假或有其他违法行为的。</w:t>
      </w:r>
    </w:p>
    <w:p w14:paraId="2056F79E">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有下列情形之一的，经评标委员会集体表决认定后，视作串通投标，其投标作废标处理：</w:t>
      </w:r>
    </w:p>
    <w:p w14:paraId="4417BD8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①不同投标人的投标文件内容存在非正常一致的；</w:t>
      </w:r>
    </w:p>
    <w:p w14:paraId="3445426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②不同投标人的投标文件错漏之处一致的；</w:t>
      </w:r>
    </w:p>
    <w:p w14:paraId="01C5226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③不同投标人的投标报价或者报价组成异常一致或者呈规律性变化的；</w:t>
      </w:r>
    </w:p>
    <w:p w14:paraId="4E3F22A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④不同投标人的投标文件由同一单位或者同一个人编制的；</w:t>
      </w:r>
    </w:p>
    <w:p w14:paraId="17E5E2E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⑤不同投标人投标文件载明的项目管理班子成员出现同一人的；</w:t>
      </w:r>
    </w:p>
    <w:p w14:paraId="21B75ED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⑥不同投标人的投标文件相互混装的；</w:t>
      </w:r>
    </w:p>
    <w:p w14:paraId="3056F60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⑦不同投标人的投标文件由同一台电脑编制或者同一台附属设备打印的；</w:t>
      </w:r>
    </w:p>
    <w:p w14:paraId="6C35C87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⑧不同投标人委托同一人投标的；</w:t>
      </w:r>
    </w:p>
    <w:p w14:paraId="36E9B57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⑨不同投标人聘请同一人为其投标提供技术或者经济咨询服务的（招标工程本身要求采用专有技术的除外）；</w:t>
      </w:r>
    </w:p>
    <w:p w14:paraId="36E681E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⑩评标委员会认定的其他串通投标情形。</w:t>
      </w:r>
    </w:p>
    <w:p w14:paraId="66E06676">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3.2详细评审</w:t>
      </w:r>
    </w:p>
    <w:p w14:paraId="08DE9F41">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3.2.1评标委员会按本章第2.2.4款规定的量化因素和分值进行打分，并计算出综合评估得分。</w:t>
      </w:r>
    </w:p>
    <w:p w14:paraId="79791744">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(1)按本章第2.2.4(1)规定的评审因素和分值对施工组织设计计算出得分A；</w:t>
      </w:r>
    </w:p>
    <w:p w14:paraId="44DB5E8C">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(2)按本章第2.2.4(2)规定的评审因素和分值对投标报价计算出得分B；</w:t>
      </w:r>
    </w:p>
    <w:p w14:paraId="54FBE14B">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(3)按本章第2.2.4(3)规定的评审因素和分值对投标报价计算出得分C；</w:t>
      </w:r>
    </w:p>
    <w:p w14:paraId="41CAC061">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3.2.2评分分值计算保留小数点后</w:t>
      </w:r>
      <w:r>
        <w:rPr>
          <w:rFonts w:hint="eastAsia" w:asciiTheme="minorEastAsia" w:hAnsiTheme="minorEastAsia" w:eastAsiaTheme="minorEastAsia" w:cstheme="minorEastAsia"/>
          <w:b w:val="0"/>
          <w:bCs/>
          <w:color w:val="auto"/>
          <w:sz w:val="24"/>
          <w:szCs w:val="24"/>
          <w:highlight w:val="none"/>
          <w:lang w:val="en-US" w:eastAsia="zh-CN"/>
        </w:rPr>
        <w:t>两</w:t>
      </w:r>
      <w:r>
        <w:rPr>
          <w:rFonts w:hint="eastAsia" w:asciiTheme="minorEastAsia" w:hAnsiTheme="minorEastAsia" w:eastAsiaTheme="minorEastAsia" w:cstheme="minorEastAsia"/>
          <w:b w:val="0"/>
          <w:bCs/>
          <w:color w:val="auto"/>
          <w:sz w:val="24"/>
          <w:szCs w:val="24"/>
          <w:highlight w:val="none"/>
          <w:lang w:val="zh-CN"/>
        </w:rPr>
        <w:t>位，小数点后第</w:t>
      </w:r>
      <w:r>
        <w:rPr>
          <w:rFonts w:hint="eastAsia" w:asciiTheme="minorEastAsia" w:hAnsiTheme="minorEastAsia" w:eastAsiaTheme="minorEastAsia" w:cstheme="minorEastAsia"/>
          <w:b w:val="0"/>
          <w:bCs/>
          <w:color w:val="auto"/>
          <w:sz w:val="24"/>
          <w:szCs w:val="24"/>
          <w:highlight w:val="none"/>
          <w:lang w:val="en-US" w:eastAsia="zh-CN"/>
        </w:rPr>
        <w:t>三</w:t>
      </w:r>
      <w:r>
        <w:rPr>
          <w:rFonts w:hint="eastAsia" w:asciiTheme="minorEastAsia" w:hAnsiTheme="minorEastAsia" w:eastAsiaTheme="minorEastAsia" w:cstheme="minorEastAsia"/>
          <w:b w:val="0"/>
          <w:bCs/>
          <w:color w:val="auto"/>
          <w:sz w:val="24"/>
          <w:szCs w:val="24"/>
          <w:highlight w:val="none"/>
          <w:lang w:val="zh-CN"/>
        </w:rPr>
        <w:t>位“四舍五入”。</w:t>
      </w:r>
    </w:p>
    <w:p w14:paraId="4EED77A2">
      <w:pPr>
        <w:keepNext w:val="0"/>
        <w:keepLines w:val="0"/>
        <w:pageBreakBefore w:val="0"/>
        <w:widowControl w:val="0"/>
        <w:kinsoku/>
        <w:wordWrap/>
        <w:overflowPunct/>
        <w:topLinePunct w:val="0"/>
        <w:autoSpaceDE w:val="0"/>
        <w:autoSpaceDN w:val="0"/>
        <w:bidi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3.2.3投标人得分=A+B+C。</w:t>
      </w:r>
    </w:p>
    <w:p w14:paraId="05E99967">
      <w:pPr>
        <w:keepNext w:val="0"/>
        <w:keepLines w:val="0"/>
        <w:pageBreakBefore w:val="0"/>
        <w:widowControl w:val="0"/>
        <w:kinsoku/>
        <w:wordWrap/>
        <w:overflowPunct/>
        <w:topLinePunct w:val="0"/>
        <w:autoSpaceDE w:val="0"/>
        <w:autoSpaceDN w:val="0"/>
        <w:bidi w:val="0"/>
        <w:spacing w:line="360" w:lineRule="auto"/>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color w:val="auto"/>
          <w:sz w:val="24"/>
          <w:szCs w:val="24"/>
          <w:highlight w:val="none"/>
        </w:rPr>
        <w:t>3.2.4报价评审</w:t>
      </w:r>
    </w:p>
    <w:p w14:paraId="78A51CD4">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评标委员会对投标人投标文件中的投标报价进行评审，评审内容包括：</w:t>
      </w:r>
    </w:p>
    <w:p w14:paraId="3A9A9B4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投标报价有算术错误的，评标委员会按以下原则对投标报价进行修正，修正的价格经投标人书面确认后具有约束力。修正后的价格为投标人最终报价，如果中标就是中标价。投标人不接受修正价格的，其投标作废标处理。</w:t>
      </w:r>
    </w:p>
    <w:p w14:paraId="3990E13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(1)投标文件中的大写金额与小写金额不一致的，以大写金额为准：</w:t>
      </w:r>
    </w:p>
    <w:p w14:paraId="703242F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(2)总价金额与依据单价计算出的结果不一致的，以单价金额为准修正总价，但单价金额小数点有明显错误的除外。</w:t>
      </w:r>
    </w:p>
    <w:p w14:paraId="24278FB9">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zh-CN"/>
        </w:rPr>
        <w:t>(3)</w:t>
      </w:r>
      <w:r>
        <w:rPr>
          <w:rFonts w:hint="eastAsia" w:asciiTheme="minorEastAsia" w:hAnsiTheme="minorEastAsia" w:eastAsiaTheme="minorEastAsia" w:cstheme="minorEastAsia"/>
          <w:b w:val="0"/>
          <w:color w:val="auto"/>
          <w:sz w:val="24"/>
          <w:szCs w:val="24"/>
          <w:highlight w:val="none"/>
        </w:rPr>
        <w:t>投标报价评审标准</w:t>
      </w:r>
    </w:p>
    <w:p w14:paraId="41AFCEC5">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1）有下列情况之一视为报价评审不合格。</w:t>
      </w:r>
    </w:p>
    <w:p w14:paraId="09C57F04">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a投标报价高于最高限价或低于</w:t>
      </w:r>
      <w:r>
        <w:rPr>
          <w:rFonts w:hint="eastAsia" w:asciiTheme="minorEastAsia" w:hAnsiTheme="minorEastAsia" w:eastAsiaTheme="minorEastAsia" w:cstheme="minorEastAsia"/>
          <w:b w:val="0"/>
          <w:bCs/>
          <w:color w:val="auto"/>
          <w:sz w:val="24"/>
          <w:szCs w:val="24"/>
          <w:highlight w:val="none"/>
          <w:lang w:val="zh-CN"/>
        </w:rPr>
        <w:t>建筑工程质量安全成本</w:t>
      </w:r>
      <w:r>
        <w:rPr>
          <w:rFonts w:hint="eastAsia" w:asciiTheme="minorEastAsia" w:hAnsiTheme="minorEastAsia" w:eastAsiaTheme="minorEastAsia" w:cstheme="minorEastAsia"/>
          <w:b w:val="0"/>
          <w:color w:val="auto"/>
          <w:sz w:val="24"/>
          <w:szCs w:val="24"/>
          <w:highlight w:val="none"/>
        </w:rPr>
        <w:t>；</w:t>
      </w:r>
    </w:p>
    <w:p w14:paraId="1AAC4EED">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b投标报价的利润为零；</w:t>
      </w:r>
    </w:p>
    <w:p w14:paraId="6DD9BA06">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c分部分项工程和单价措施项目清单综合单价分析表组成缺项；</w:t>
      </w:r>
    </w:p>
    <w:p w14:paraId="1A5F7BA8">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d</w:t>
      </w:r>
      <w:r>
        <w:rPr>
          <w:rFonts w:hint="eastAsia" w:asciiTheme="minorEastAsia" w:hAnsiTheme="minorEastAsia" w:eastAsiaTheme="minorEastAsia" w:cstheme="minorEastAsia"/>
          <w:b w:val="0"/>
          <w:bCs/>
          <w:color w:val="auto"/>
          <w:sz w:val="24"/>
          <w:szCs w:val="24"/>
          <w:highlight w:val="none"/>
        </w:rPr>
        <w:t>主要材料和工程设备一览表</w:t>
      </w:r>
      <w:r>
        <w:rPr>
          <w:rFonts w:hint="eastAsia" w:asciiTheme="minorEastAsia" w:hAnsiTheme="minorEastAsia" w:eastAsiaTheme="minorEastAsia" w:cstheme="minorEastAsia"/>
          <w:b w:val="0"/>
          <w:color w:val="auto"/>
          <w:sz w:val="24"/>
          <w:szCs w:val="24"/>
          <w:highlight w:val="none"/>
        </w:rPr>
        <w:t>单价与分部分项工程和单价措施项目清单综合单价分析表中单价不符。</w:t>
      </w:r>
    </w:p>
    <w:p w14:paraId="73484F93">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2）有以下情况视为低于成本，投标报价低于成本视为投标报价不合格。</w:t>
      </w:r>
    </w:p>
    <w:p w14:paraId="2BE45872">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a投标人的分部分项工程和单价措施项目清单报价，如果漏项金额超过其利润金额；</w:t>
      </w:r>
    </w:p>
    <w:p w14:paraId="161BFC34">
      <w:pPr>
        <w:pStyle w:val="10"/>
        <w:keepNext w:val="0"/>
        <w:keepLines w:val="0"/>
        <w:pageBreakBefore w:val="0"/>
        <w:widowControl w:val="0"/>
        <w:kinsoku/>
        <w:wordWrap/>
        <w:overflowPunct/>
        <w:topLinePunct w:val="0"/>
        <w:autoSpaceDE w:val="0"/>
        <w:autoSpaceDN w:val="0"/>
        <w:bidi w:val="0"/>
        <w:spacing w:line="360" w:lineRule="auto"/>
        <w:ind w:firstLine="528"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b</w:t>
      </w:r>
      <w:r>
        <w:rPr>
          <w:rFonts w:hint="eastAsia" w:asciiTheme="minorEastAsia" w:hAnsiTheme="minorEastAsia" w:eastAsiaTheme="minorEastAsia" w:cstheme="minorEastAsia"/>
          <w:b w:val="0"/>
          <w:bCs/>
          <w:color w:val="auto"/>
          <w:sz w:val="24"/>
          <w:szCs w:val="24"/>
          <w:highlight w:val="none"/>
        </w:rPr>
        <w:t>主要材料和工程设备</w:t>
      </w:r>
      <w:r>
        <w:rPr>
          <w:rFonts w:hint="eastAsia" w:asciiTheme="minorEastAsia" w:hAnsiTheme="minorEastAsia" w:eastAsiaTheme="minorEastAsia" w:cstheme="minorEastAsia"/>
          <w:b w:val="0"/>
          <w:color w:val="auto"/>
          <w:sz w:val="24"/>
          <w:szCs w:val="24"/>
          <w:highlight w:val="none"/>
        </w:rPr>
        <w:t>价格的报价明显低于市场价格，金额超过其利润金额。</w:t>
      </w:r>
    </w:p>
    <w:p w14:paraId="6AE9E1A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3.3投标文件的澄清和补正</w:t>
      </w:r>
    </w:p>
    <w:p w14:paraId="0B48D60E">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3.3.1在评标过程中，评标委员会可以书面形式要求投标人对所提交投标文件中不明确的内容进行书面澄清或说明，或者对细微偏差进行补正。评标委员会不接受投标人主动提出的澄清、说明或补正。</w:t>
      </w:r>
    </w:p>
    <w:p w14:paraId="16DC5212">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3.3.2澄清、说明和补正不得改变投标文件的实质性内容(算术性错误修正的除外)。投标人的书面澄清、说明和补正属于投标文件的组成部分。</w:t>
      </w:r>
    </w:p>
    <w:p w14:paraId="590B296A">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3.3.3评标委员会对投标人提交的澄清、说明或补正有疑问的，可以要求投标人进一步澄清、说明或补正，直至满足评标委员会的要求。</w:t>
      </w:r>
    </w:p>
    <w:p w14:paraId="7A220661">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color w:val="auto"/>
          <w:sz w:val="24"/>
          <w:szCs w:val="24"/>
          <w:highlight w:val="none"/>
          <w:lang w:val="zh-CN"/>
        </w:rPr>
        <w:t>3.4评标结果</w:t>
      </w:r>
    </w:p>
    <w:p w14:paraId="100303DF">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3.4.1</w:t>
      </w:r>
      <w:r>
        <w:rPr>
          <w:rFonts w:hint="eastAsia" w:asciiTheme="minorEastAsia" w:hAnsiTheme="minorEastAsia" w:eastAsiaTheme="minorEastAsia" w:cstheme="minorEastAsia"/>
          <w:b w:val="0"/>
          <w:color w:val="auto"/>
          <w:sz w:val="24"/>
          <w:szCs w:val="24"/>
          <w:highlight w:val="none"/>
        </w:rPr>
        <w:t>评标委员会</w:t>
      </w:r>
      <w:r>
        <w:rPr>
          <w:rFonts w:hint="eastAsia" w:asciiTheme="minorEastAsia" w:hAnsiTheme="minorEastAsia" w:eastAsiaTheme="minorEastAsia" w:cstheme="minorEastAsia"/>
          <w:b w:val="0"/>
          <w:bCs/>
          <w:color w:val="auto"/>
          <w:sz w:val="24"/>
          <w:szCs w:val="24"/>
          <w:highlight w:val="none"/>
        </w:rPr>
        <w:t>推荐综合得分由高到低排名</w:t>
      </w:r>
      <w:r>
        <w:rPr>
          <w:rFonts w:hint="eastAsia" w:asciiTheme="minorEastAsia" w:hAnsiTheme="minorEastAsia" w:eastAsiaTheme="minorEastAsia" w:cstheme="minorEastAsia"/>
          <w:b w:val="0"/>
          <w:bCs/>
          <w:color w:val="auto"/>
          <w:sz w:val="24"/>
          <w:szCs w:val="24"/>
          <w:highlight w:val="none"/>
          <w:lang w:val="en-US" w:eastAsia="zh-CN"/>
        </w:rPr>
        <w:t>前三名</w:t>
      </w:r>
      <w:r>
        <w:rPr>
          <w:rFonts w:hint="eastAsia" w:asciiTheme="minorEastAsia" w:hAnsiTheme="minorEastAsia" w:eastAsiaTheme="minorEastAsia" w:cstheme="minorEastAsia"/>
          <w:b w:val="0"/>
          <w:bCs/>
          <w:color w:val="auto"/>
          <w:sz w:val="24"/>
          <w:szCs w:val="24"/>
          <w:highlight w:val="none"/>
        </w:rPr>
        <w:t>为中标候选人</w:t>
      </w:r>
      <w:r>
        <w:rPr>
          <w:rFonts w:hint="eastAsia" w:asciiTheme="minorEastAsia" w:hAnsiTheme="minorEastAsia" w:eastAsiaTheme="minorEastAsia" w:cstheme="minorEastAsia"/>
          <w:b w:val="0"/>
          <w:color w:val="auto"/>
          <w:sz w:val="24"/>
          <w:szCs w:val="24"/>
          <w:highlight w:val="none"/>
        </w:rPr>
        <w:t>。</w:t>
      </w:r>
    </w:p>
    <w:p w14:paraId="70EE6A06">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3.4.2评标委员会完成评标后，应当向招标人提交书面评标报告。</w:t>
      </w:r>
    </w:p>
    <w:p w14:paraId="2B90A078">
      <w:pPr>
        <w:keepNext w:val="0"/>
        <w:keepLines w:val="0"/>
        <w:pageBreakBefore w:val="0"/>
        <w:widowControl w:val="0"/>
        <w:kinsoku/>
        <w:wordWrap/>
        <w:overflowPunct/>
        <w:topLinePunct w:val="0"/>
        <w:autoSpaceDE w:val="0"/>
        <w:autoSpaceDN w:val="0"/>
        <w:bidi w:val="0"/>
        <w:spacing w:before="114" w:line="225" w:lineRule="auto"/>
        <w:jc w:val="both"/>
        <w:outlineLvl w:val="0"/>
        <w:rPr>
          <w:rFonts w:hint="eastAsia" w:ascii="宋体" w:hAnsi="宋体" w:eastAsia="宋体" w:cs="宋体"/>
          <w:color w:val="auto"/>
          <w:spacing w:val="8"/>
          <w:sz w:val="35"/>
          <w:szCs w:val="35"/>
          <w:highlight w:val="none"/>
          <w:lang w:val="en-US" w:eastAsia="zh-CN"/>
        </w:rPr>
      </w:pPr>
      <w:bookmarkStart w:id="31" w:name="_Toc5521"/>
      <w:bookmarkStart w:id="32" w:name="_Toc23179"/>
    </w:p>
    <w:p w14:paraId="19794B45">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32049421">
      <w:pPr>
        <w:keepNext w:val="0"/>
        <w:keepLines w:val="0"/>
        <w:pageBreakBefore w:val="0"/>
        <w:widowControl w:val="0"/>
        <w:kinsoku/>
        <w:wordWrap/>
        <w:overflowPunct/>
        <w:topLinePunct w:val="0"/>
        <w:autoSpaceDE w:val="0"/>
        <w:autoSpaceDN w:val="0"/>
        <w:bidi w:val="0"/>
        <w:spacing w:before="114" w:line="225" w:lineRule="auto"/>
        <w:jc w:val="both"/>
        <w:outlineLvl w:val="0"/>
        <w:rPr>
          <w:rFonts w:hint="eastAsia" w:ascii="宋体" w:hAnsi="宋体" w:eastAsia="宋体" w:cs="宋体"/>
          <w:color w:val="auto"/>
          <w:spacing w:val="8"/>
          <w:sz w:val="35"/>
          <w:szCs w:val="35"/>
          <w:highlight w:val="none"/>
          <w:lang w:val="en-US" w:eastAsia="zh-CN"/>
        </w:rPr>
      </w:pPr>
    </w:p>
    <w:p w14:paraId="35FB2871">
      <w:pPr>
        <w:rPr>
          <w:rFonts w:hint="eastAsia" w:ascii="宋体" w:hAnsi="宋体" w:eastAsia="宋体" w:cs="宋体"/>
          <w:color w:val="auto"/>
          <w:spacing w:val="8"/>
          <w:sz w:val="28"/>
          <w:szCs w:val="28"/>
          <w:highlight w:val="none"/>
          <w:lang w:val="en-US" w:eastAsia="zh-CN"/>
        </w:rPr>
      </w:pPr>
      <w:r>
        <w:rPr>
          <w:rFonts w:hint="eastAsia" w:ascii="宋体" w:hAnsi="宋体" w:eastAsia="宋体" w:cs="宋体"/>
          <w:color w:val="auto"/>
          <w:spacing w:val="8"/>
          <w:sz w:val="28"/>
          <w:szCs w:val="28"/>
          <w:highlight w:val="none"/>
          <w:lang w:val="en-US" w:eastAsia="zh-CN"/>
        </w:rPr>
        <w:br w:type="page"/>
      </w:r>
    </w:p>
    <w:p w14:paraId="597D5A72">
      <w:pPr>
        <w:pStyle w:val="2"/>
        <w:rPr>
          <w:rFonts w:hint="eastAsia"/>
          <w:lang w:val="en-US" w:eastAsia="zh-CN"/>
        </w:rPr>
      </w:pPr>
    </w:p>
    <w:p w14:paraId="5230A3A7">
      <w:pPr>
        <w:keepNext w:val="0"/>
        <w:keepLines w:val="0"/>
        <w:pageBreakBefore w:val="0"/>
        <w:widowControl w:val="0"/>
        <w:kinsoku/>
        <w:wordWrap/>
        <w:overflowPunct/>
        <w:topLinePunct w:val="0"/>
        <w:autoSpaceDE w:val="0"/>
        <w:autoSpaceDN w:val="0"/>
        <w:bidi w:val="0"/>
        <w:spacing w:before="114" w:line="225" w:lineRule="auto"/>
        <w:ind w:firstLine="675" w:firstLineChars="200"/>
        <w:jc w:val="center"/>
        <w:outlineLvl w:val="0"/>
        <w:rPr>
          <w:rFonts w:hint="eastAsia" w:ascii="宋体" w:hAnsi="宋体" w:eastAsia="宋体" w:cs="宋体"/>
          <w:b/>
          <w:bCs/>
          <w:color w:val="auto"/>
          <w:spacing w:val="8"/>
          <w:sz w:val="32"/>
          <w:szCs w:val="32"/>
          <w:highlight w:val="none"/>
          <w:lang w:val="en-US" w:eastAsia="zh-CN"/>
        </w:rPr>
      </w:pPr>
      <w:r>
        <w:rPr>
          <w:rFonts w:hint="eastAsia" w:ascii="宋体" w:hAnsi="宋体" w:eastAsia="宋体" w:cs="宋体"/>
          <w:b/>
          <w:bCs/>
          <w:color w:val="auto"/>
          <w:spacing w:val="8"/>
          <w:sz w:val="32"/>
          <w:szCs w:val="32"/>
          <w:highlight w:val="none"/>
          <w:lang w:val="en-US" w:eastAsia="zh-CN"/>
        </w:rPr>
        <w:t>第四章合同条款及格式</w:t>
      </w:r>
      <w:bookmarkEnd w:id="31"/>
      <w:bookmarkEnd w:id="32"/>
    </w:p>
    <w:p w14:paraId="255A7F40">
      <w:pPr>
        <w:pStyle w:val="2"/>
        <w:rPr>
          <w:rFonts w:hint="eastAsia"/>
          <w:lang w:val="en-US" w:eastAsia="zh-CN"/>
        </w:rPr>
      </w:pPr>
    </w:p>
    <w:p w14:paraId="36CB97F1">
      <w:pPr>
        <w:keepNext w:val="0"/>
        <w:keepLines w:val="0"/>
        <w:pageBreakBefore w:val="0"/>
        <w:widowControl w:val="0"/>
        <w:kinsoku/>
        <w:wordWrap/>
        <w:overflowPunct/>
        <w:topLinePunct w:val="0"/>
        <w:autoSpaceDE w:val="0"/>
        <w:autoSpaceDN w:val="0"/>
        <w:bidi w:val="0"/>
        <w:ind w:firstLine="420" w:firstLineChars="200"/>
        <w:jc w:val="center"/>
        <w:rPr>
          <w:rFonts w:hint="eastAsia" w:ascii="宋体" w:hAnsi="宋体" w:eastAsia="宋体" w:cs="宋体"/>
          <w:b w:val="0"/>
          <w:color w:val="auto"/>
          <w:sz w:val="28"/>
          <w:szCs w:val="28"/>
          <w:highlight w:val="none"/>
          <w:lang w:val="en-US" w:eastAsia="zh-CN"/>
        </w:rPr>
      </w:pPr>
      <w:bookmarkStart w:id="33" w:name="_Toc12637"/>
      <w:r>
        <w:rPr>
          <w:rFonts w:hint="eastAsia" w:ascii="宋体" w:hAnsi="宋体" w:cs="宋体"/>
          <w:b/>
          <w:bCs/>
          <w:color w:val="auto"/>
          <w:sz w:val="21"/>
          <w:szCs w:val="21"/>
          <w:highlight w:val="none"/>
        </w:rPr>
        <w:t>参照现行国家标准合同示范文本，由甲</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采购人</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乙</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中标人</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双方协商签订</w:t>
      </w:r>
      <w:r>
        <w:rPr>
          <w:rFonts w:hint="eastAsia" w:ascii="宋体" w:hAnsi="宋体" w:cs="宋体"/>
          <w:b/>
          <w:bCs/>
          <w:color w:val="auto"/>
          <w:sz w:val="21"/>
          <w:szCs w:val="21"/>
          <w:highlight w:val="none"/>
          <w:lang w:eastAsia="zh-CN"/>
        </w:rPr>
        <w:t>。</w:t>
      </w:r>
      <w:bookmarkEnd w:id="33"/>
    </w:p>
    <w:p w14:paraId="6D779AC8">
      <w:pPr>
        <w:keepNext w:val="0"/>
        <w:keepLines w:val="0"/>
        <w:pageBreakBefore w:val="0"/>
        <w:widowControl w:val="0"/>
        <w:kinsoku/>
        <w:wordWrap/>
        <w:overflowPunct/>
        <w:topLinePunct w:val="0"/>
        <w:autoSpaceDE w:val="0"/>
        <w:autoSpaceDN w:val="0"/>
        <w:bidi w:val="0"/>
        <w:spacing w:before="114" w:line="225" w:lineRule="auto"/>
        <w:ind w:firstLine="592" w:firstLineChars="200"/>
        <w:jc w:val="center"/>
        <w:outlineLvl w:val="0"/>
        <w:rPr>
          <w:rFonts w:hint="eastAsia" w:ascii="宋体" w:hAnsi="宋体" w:eastAsia="宋体" w:cs="宋体"/>
          <w:color w:val="auto"/>
          <w:spacing w:val="8"/>
          <w:sz w:val="28"/>
          <w:szCs w:val="28"/>
          <w:highlight w:val="none"/>
          <w:lang w:val="en-US" w:eastAsia="zh-CN"/>
        </w:rPr>
      </w:pPr>
      <w:bookmarkStart w:id="34" w:name="_Toc3457"/>
      <w:bookmarkStart w:id="35" w:name="_Toc16177"/>
    </w:p>
    <w:p w14:paraId="638766B8">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5B714FFE">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6D46B916">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31128B42">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0922C877">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4C6ED228">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3BF54964">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00F4F33B">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5FEE3C5E">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4CB03416">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4516C270">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08A91B4C">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5A602ABE">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36DE6757">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47DA2D6E">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37B6C2D7">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35C6FF93">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24B7575F">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61DC74DE">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4DB214F7">
      <w:pPr>
        <w:keepNext w:val="0"/>
        <w:keepLines w:val="0"/>
        <w:pageBreakBefore w:val="0"/>
        <w:widowControl w:val="0"/>
        <w:kinsoku/>
        <w:wordWrap/>
        <w:overflowPunct/>
        <w:topLinePunct w:val="0"/>
        <w:autoSpaceDE w:val="0"/>
        <w:autoSpaceDN w:val="0"/>
        <w:bidi w:val="0"/>
        <w:spacing w:before="114" w:line="225" w:lineRule="auto"/>
        <w:jc w:val="both"/>
        <w:outlineLvl w:val="0"/>
        <w:rPr>
          <w:rFonts w:hint="eastAsia" w:ascii="宋体" w:hAnsi="宋体" w:eastAsia="宋体" w:cs="宋体"/>
          <w:color w:val="auto"/>
          <w:spacing w:val="8"/>
          <w:sz w:val="35"/>
          <w:szCs w:val="35"/>
          <w:highlight w:val="none"/>
          <w:lang w:val="en-US" w:eastAsia="zh-CN"/>
        </w:rPr>
      </w:pPr>
    </w:p>
    <w:p w14:paraId="43995CB9">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33C18442">
      <w:pPr>
        <w:keepNext w:val="0"/>
        <w:keepLines w:val="0"/>
        <w:pageBreakBefore w:val="0"/>
        <w:widowControl w:val="0"/>
        <w:kinsoku/>
        <w:wordWrap/>
        <w:overflowPunct/>
        <w:topLinePunct w:val="0"/>
        <w:autoSpaceDE w:val="0"/>
        <w:autoSpaceDN w:val="0"/>
        <w:bidi w:val="0"/>
        <w:spacing w:before="114" w:line="225" w:lineRule="auto"/>
        <w:ind w:firstLine="592" w:firstLineChars="200"/>
        <w:jc w:val="center"/>
        <w:outlineLvl w:val="0"/>
        <w:rPr>
          <w:rFonts w:hint="eastAsia" w:ascii="宋体" w:hAnsi="宋体" w:eastAsia="宋体" w:cs="宋体"/>
          <w:color w:val="auto"/>
          <w:spacing w:val="8"/>
          <w:sz w:val="28"/>
          <w:szCs w:val="28"/>
          <w:highlight w:val="none"/>
          <w:lang w:val="en-US" w:eastAsia="zh-CN"/>
        </w:rPr>
      </w:pPr>
    </w:p>
    <w:p w14:paraId="1EAAEF75">
      <w:pPr>
        <w:keepNext w:val="0"/>
        <w:keepLines w:val="0"/>
        <w:pageBreakBefore w:val="0"/>
        <w:widowControl w:val="0"/>
        <w:kinsoku/>
        <w:wordWrap/>
        <w:overflowPunct/>
        <w:topLinePunct w:val="0"/>
        <w:autoSpaceDE w:val="0"/>
        <w:autoSpaceDN w:val="0"/>
        <w:bidi w:val="0"/>
        <w:spacing w:before="114" w:line="225" w:lineRule="auto"/>
        <w:ind w:firstLine="592" w:firstLineChars="200"/>
        <w:jc w:val="center"/>
        <w:outlineLvl w:val="0"/>
        <w:rPr>
          <w:rFonts w:hint="eastAsia" w:ascii="宋体" w:hAnsi="宋体" w:eastAsia="宋体" w:cs="宋体"/>
          <w:color w:val="auto"/>
          <w:spacing w:val="8"/>
          <w:sz w:val="28"/>
          <w:szCs w:val="28"/>
          <w:highlight w:val="none"/>
          <w:lang w:val="en-US" w:eastAsia="zh-CN"/>
        </w:rPr>
      </w:pPr>
    </w:p>
    <w:p w14:paraId="035727C3">
      <w:pPr>
        <w:keepNext w:val="0"/>
        <w:keepLines w:val="0"/>
        <w:pageBreakBefore w:val="0"/>
        <w:widowControl w:val="0"/>
        <w:kinsoku/>
        <w:wordWrap/>
        <w:overflowPunct/>
        <w:topLinePunct w:val="0"/>
        <w:autoSpaceDE w:val="0"/>
        <w:autoSpaceDN w:val="0"/>
        <w:bidi w:val="0"/>
        <w:spacing w:before="114" w:line="225" w:lineRule="auto"/>
        <w:ind w:firstLine="675" w:firstLineChars="200"/>
        <w:jc w:val="center"/>
        <w:outlineLvl w:val="0"/>
        <w:rPr>
          <w:rFonts w:hint="eastAsia" w:ascii="宋体" w:hAnsi="宋体" w:eastAsia="宋体" w:cs="宋体"/>
          <w:b/>
          <w:bCs/>
          <w:color w:val="auto"/>
          <w:spacing w:val="8"/>
          <w:sz w:val="32"/>
          <w:szCs w:val="32"/>
          <w:highlight w:val="none"/>
          <w:lang w:val="en-US" w:eastAsia="zh-CN"/>
        </w:rPr>
      </w:pPr>
      <w:r>
        <w:rPr>
          <w:rFonts w:hint="eastAsia" w:ascii="宋体" w:hAnsi="宋体" w:eastAsia="宋体" w:cs="宋体"/>
          <w:b/>
          <w:bCs/>
          <w:color w:val="auto"/>
          <w:spacing w:val="8"/>
          <w:sz w:val="32"/>
          <w:szCs w:val="32"/>
          <w:highlight w:val="none"/>
          <w:lang w:val="en-US" w:eastAsia="zh-CN"/>
        </w:rPr>
        <w:t>第五章工程量清单</w:t>
      </w:r>
      <w:bookmarkEnd w:id="34"/>
      <w:r>
        <w:rPr>
          <w:rFonts w:hint="eastAsia" w:ascii="宋体" w:hAnsi="宋体" w:eastAsia="宋体" w:cs="宋体"/>
          <w:b/>
          <w:bCs/>
          <w:color w:val="auto"/>
          <w:spacing w:val="8"/>
          <w:sz w:val="32"/>
          <w:szCs w:val="32"/>
          <w:highlight w:val="none"/>
          <w:lang w:val="en-US" w:eastAsia="zh-CN"/>
        </w:rPr>
        <w:t>(另册）</w:t>
      </w:r>
      <w:bookmarkEnd w:id="35"/>
    </w:p>
    <w:p w14:paraId="1A7FE873">
      <w:pPr>
        <w:keepNext w:val="0"/>
        <w:keepLines w:val="0"/>
        <w:pageBreakBefore w:val="0"/>
        <w:widowControl w:val="0"/>
        <w:kinsoku/>
        <w:wordWrap/>
        <w:overflowPunct/>
        <w:topLinePunct w:val="0"/>
        <w:autoSpaceDE w:val="0"/>
        <w:autoSpaceDN w:val="0"/>
        <w:bidi w:val="0"/>
        <w:spacing w:line="520" w:lineRule="atLeast"/>
        <w:jc w:val="left"/>
        <w:rPr>
          <w:rFonts w:hint="eastAsia" w:asciiTheme="minorEastAsia" w:hAnsiTheme="minorEastAsia" w:eastAsiaTheme="minorEastAsia" w:cstheme="minorEastAsia"/>
          <w:b w:val="0"/>
          <w:bCs/>
          <w:color w:val="auto"/>
          <w:sz w:val="24"/>
          <w:szCs w:val="24"/>
          <w:highlight w:val="none"/>
        </w:rPr>
      </w:pPr>
      <w:bookmarkStart w:id="36" w:name="_Toc22205"/>
      <w:r>
        <w:rPr>
          <w:rFonts w:hint="eastAsia" w:asciiTheme="minorEastAsia" w:hAnsiTheme="minorEastAsia" w:eastAsiaTheme="minorEastAsia" w:cstheme="minorEastAsia"/>
          <w:b w:val="0"/>
          <w:bCs/>
          <w:color w:val="auto"/>
          <w:sz w:val="24"/>
          <w:szCs w:val="24"/>
          <w:highlight w:val="none"/>
        </w:rPr>
        <w:t>1.工程量清单说明</w:t>
      </w:r>
    </w:p>
    <w:p w14:paraId="651EC201">
      <w:pPr>
        <w:keepNext w:val="0"/>
        <w:keepLines w:val="0"/>
        <w:pageBreakBefore w:val="0"/>
        <w:widowControl w:val="0"/>
        <w:kinsoku/>
        <w:wordWrap/>
        <w:overflowPunct/>
        <w:topLinePunct w:val="0"/>
        <w:autoSpaceDE w:val="0"/>
        <w:autoSpaceDN w:val="0"/>
        <w:bidi w:val="0"/>
        <w:spacing w:line="520" w:lineRule="atLeast"/>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本工程量清单是依据国家规定编制的。工程量清单为招标文件的组成部分，一经中标且签订合同，即成为合同的组成部分。</w:t>
      </w:r>
    </w:p>
    <w:p w14:paraId="21498FBE">
      <w:pPr>
        <w:keepNext w:val="0"/>
        <w:keepLines w:val="0"/>
        <w:pageBreakBefore w:val="0"/>
        <w:widowControl w:val="0"/>
        <w:kinsoku/>
        <w:wordWrap/>
        <w:overflowPunct/>
        <w:topLinePunct w:val="0"/>
        <w:autoSpaceDE w:val="0"/>
        <w:autoSpaceDN w:val="0"/>
        <w:bidi w:val="0"/>
        <w:spacing w:line="520" w:lineRule="atLeast"/>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本工程量清单由招标人提供，作为投标人计算投标报价的基础。</w:t>
      </w:r>
    </w:p>
    <w:p w14:paraId="58AEE058">
      <w:pPr>
        <w:keepNext w:val="0"/>
        <w:keepLines w:val="0"/>
        <w:pageBreakBefore w:val="0"/>
        <w:widowControl w:val="0"/>
        <w:kinsoku/>
        <w:wordWrap/>
        <w:overflowPunct/>
        <w:topLinePunct w:val="0"/>
        <w:autoSpaceDE w:val="0"/>
        <w:autoSpaceDN w:val="0"/>
        <w:bidi w:val="0"/>
        <w:spacing w:line="520" w:lineRule="atLeast"/>
        <w:jc w:val="left"/>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2.工程量清单（另册）</w:t>
      </w:r>
    </w:p>
    <w:p w14:paraId="78ACDE59">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60B2AE43">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139C67CC">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6BFCECE3">
      <w:pPr>
        <w:keepNext w:val="0"/>
        <w:keepLines w:val="0"/>
        <w:pageBreakBefore w:val="0"/>
        <w:widowControl w:val="0"/>
        <w:kinsoku/>
        <w:wordWrap/>
        <w:overflowPunct/>
        <w:topLinePunct w:val="0"/>
        <w:autoSpaceDE w:val="0"/>
        <w:autoSpaceDN w:val="0"/>
        <w:bidi w:val="0"/>
        <w:spacing w:before="114" w:line="225" w:lineRule="auto"/>
        <w:ind w:firstLine="732" w:firstLineChars="200"/>
        <w:jc w:val="center"/>
        <w:outlineLvl w:val="0"/>
        <w:rPr>
          <w:rFonts w:hint="eastAsia" w:ascii="宋体" w:hAnsi="宋体" w:eastAsia="宋体" w:cs="宋体"/>
          <w:color w:val="auto"/>
          <w:spacing w:val="8"/>
          <w:sz w:val="35"/>
          <w:szCs w:val="35"/>
          <w:highlight w:val="none"/>
          <w:lang w:val="en-US" w:eastAsia="zh-CN"/>
        </w:rPr>
      </w:pPr>
    </w:p>
    <w:p w14:paraId="6218B9FC">
      <w:pPr>
        <w:keepNext w:val="0"/>
        <w:keepLines w:val="0"/>
        <w:pageBreakBefore w:val="0"/>
        <w:widowControl w:val="0"/>
        <w:kinsoku/>
        <w:wordWrap/>
        <w:overflowPunct/>
        <w:topLinePunct w:val="0"/>
        <w:autoSpaceDE w:val="0"/>
        <w:autoSpaceDN w:val="0"/>
        <w:bidi w:val="0"/>
        <w:spacing w:before="114" w:line="225" w:lineRule="auto"/>
        <w:jc w:val="center"/>
        <w:outlineLvl w:val="0"/>
        <w:rPr>
          <w:rFonts w:hint="eastAsia" w:ascii="宋体" w:hAnsi="宋体" w:eastAsia="宋体" w:cs="宋体"/>
          <w:color w:val="auto"/>
          <w:spacing w:val="8"/>
          <w:sz w:val="28"/>
          <w:szCs w:val="28"/>
          <w:highlight w:val="none"/>
          <w:lang w:val="en-US" w:eastAsia="zh-CN"/>
        </w:rPr>
      </w:pPr>
    </w:p>
    <w:p w14:paraId="4ED22D95">
      <w:pPr>
        <w:keepNext w:val="0"/>
        <w:keepLines w:val="0"/>
        <w:pageBreakBefore w:val="0"/>
        <w:widowControl w:val="0"/>
        <w:kinsoku/>
        <w:wordWrap/>
        <w:overflowPunct/>
        <w:topLinePunct w:val="0"/>
        <w:autoSpaceDE w:val="0"/>
        <w:autoSpaceDN w:val="0"/>
        <w:bidi w:val="0"/>
        <w:spacing w:before="114" w:line="225" w:lineRule="auto"/>
        <w:jc w:val="center"/>
        <w:outlineLvl w:val="0"/>
        <w:rPr>
          <w:rFonts w:hint="eastAsia" w:ascii="宋体" w:hAnsi="宋体" w:eastAsia="宋体" w:cs="宋体"/>
          <w:color w:val="auto"/>
          <w:spacing w:val="8"/>
          <w:sz w:val="28"/>
          <w:szCs w:val="28"/>
          <w:highlight w:val="none"/>
          <w:lang w:val="en-US" w:eastAsia="zh-CN"/>
        </w:rPr>
      </w:pPr>
    </w:p>
    <w:p w14:paraId="6A87DCC7">
      <w:pPr>
        <w:keepNext w:val="0"/>
        <w:keepLines w:val="0"/>
        <w:pageBreakBefore w:val="0"/>
        <w:widowControl w:val="0"/>
        <w:kinsoku/>
        <w:wordWrap/>
        <w:overflowPunct/>
        <w:topLinePunct w:val="0"/>
        <w:autoSpaceDE w:val="0"/>
        <w:autoSpaceDN w:val="0"/>
        <w:bidi w:val="0"/>
        <w:spacing w:before="114" w:line="225" w:lineRule="auto"/>
        <w:jc w:val="center"/>
        <w:outlineLvl w:val="0"/>
        <w:rPr>
          <w:rFonts w:hint="eastAsia" w:ascii="宋体" w:hAnsi="宋体" w:eastAsia="宋体" w:cs="宋体"/>
          <w:color w:val="auto"/>
          <w:spacing w:val="8"/>
          <w:sz w:val="28"/>
          <w:szCs w:val="28"/>
          <w:highlight w:val="none"/>
          <w:lang w:val="en-US" w:eastAsia="zh-CN"/>
        </w:rPr>
      </w:pPr>
    </w:p>
    <w:p w14:paraId="29478724">
      <w:pPr>
        <w:keepNext w:val="0"/>
        <w:keepLines w:val="0"/>
        <w:pageBreakBefore w:val="0"/>
        <w:widowControl w:val="0"/>
        <w:kinsoku/>
        <w:wordWrap/>
        <w:overflowPunct/>
        <w:topLinePunct w:val="0"/>
        <w:autoSpaceDE w:val="0"/>
        <w:autoSpaceDN w:val="0"/>
        <w:bidi w:val="0"/>
        <w:spacing w:before="114" w:line="225" w:lineRule="auto"/>
        <w:jc w:val="center"/>
        <w:outlineLvl w:val="0"/>
        <w:rPr>
          <w:rFonts w:hint="eastAsia" w:ascii="宋体" w:hAnsi="宋体" w:eastAsia="宋体" w:cs="宋体"/>
          <w:color w:val="auto"/>
          <w:spacing w:val="8"/>
          <w:sz w:val="28"/>
          <w:szCs w:val="28"/>
          <w:highlight w:val="none"/>
          <w:lang w:val="en-US" w:eastAsia="zh-CN"/>
        </w:rPr>
      </w:pPr>
    </w:p>
    <w:p w14:paraId="46EFC225">
      <w:pPr>
        <w:keepNext w:val="0"/>
        <w:keepLines w:val="0"/>
        <w:pageBreakBefore w:val="0"/>
        <w:widowControl w:val="0"/>
        <w:kinsoku/>
        <w:wordWrap/>
        <w:overflowPunct/>
        <w:topLinePunct w:val="0"/>
        <w:autoSpaceDE w:val="0"/>
        <w:autoSpaceDN w:val="0"/>
        <w:bidi w:val="0"/>
        <w:spacing w:before="114" w:line="225" w:lineRule="auto"/>
        <w:jc w:val="center"/>
        <w:outlineLvl w:val="0"/>
        <w:rPr>
          <w:rFonts w:hint="eastAsia" w:ascii="宋体" w:hAnsi="宋体" w:eastAsia="宋体" w:cs="宋体"/>
          <w:color w:val="auto"/>
          <w:spacing w:val="8"/>
          <w:sz w:val="28"/>
          <w:szCs w:val="28"/>
          <w:highlight w:val="none"/>
          <w:lang w:val="en-US" w:eastAsia="zh-CN"/>
        </w:rPr>
      </w:pPr>
    </w:p>
    <w:p w14:paraId="74888443">
      <w:pPr>
        <w:keepNext w:val="0"/>
        <w:keepLines w:val="0"/>
        <w:pageBreakBefore w:val="0"/>
        <w:widowControl w:val="0"/>
        <w:kinsoku/>
        <w:wordWrap/>
        <w:overflowPunct/>
        <w:topLinePunct w:val="0"/>
        <w:autoSpaceDE w:val="0"/>
        <w:autoSpaceDN w:val="0"/>
        <w:bidi w:val="0"/>
        <w:spacing w:before="114" w:line="225" w:lineRule="auto"/>
        <w:jc w:val="center"/>
        <w:outlineLvl w:val="0"/>
        <w:rPr>
          <w:rFonts w:hint="eastAsia" w:ascii="宋体" w:hAnsi="宋体" w:eastAsia="宋体" w:cs="宋体"/>
          <w:color w:val="auto"/>
          <w:spacing w:val="8"/>
          <w:sz w:val="28"/>
          <w:szCs w:val="28"/>
          <w:highlight w:val="none"/>
          <w:lang w:val="en-US" w:eastAsia="zh-CN"/>
        </w:rPr>
      </w:pPr>
    </w:p>
    <w:p w14:paraId="1AECA3F3">
      <w:pPr>
        <w:rPr>
          <w:rFonts w:hint="eastAsia" w:ascii="宋体" w:hAnsi="宋体" w:eastAsia="宋体" w:cs="宋体"/>
          <w:color w:val="auto"/>
          <w:spacing w:val="8"/>
          <w:sz w:val="28"/>
          <w:szCs w:val="28"/>
          <w:highlight w:val="none"/>
          <w:lang w:val="en-US" w:eastAsia="zh-CN"/>
        </w:rPr>
      </w:pPr>
      <w:r>
        <w:rPr>
          <w:rFonts w:hint="eastAsia" w:ascii="宋体" w:hAnsi="宋体" w:eastAsia="宋体" w:cs="宋体"/>
          <w:color w:val="auto"/>
          <w:spacing w:val="8"/>
          <w:sz w:val="28"/>
          <w:szCs w:val="28"/>
          <w:highlight w:val="none"/>
          <w:lang w:val="en-US" w:eastAsia="zh-CN"/>
        </w:rPr>
        <w:br w:type="page"/>
      </w:r>
    </w:p>
    <w:p w14:paraId="1BB310E4">
      <w:pPr>
        <w:pStyle w:val="2"/>
        <w:ind w:left="0" w:leftChars="0" w:right="0" w:rightChars="0" w:firstLine="0" w:firstLineChars="0"/>
        <w:jc w:val="center"/>
        <w:rPr>
          <w:rFonts w:hint="eastAsia"/>
          <w:lang w:val="en-US" w:eastAsia="zh-CN"/>
        </w:rPr>
      </w:pPr>
      <w:r>
        <w:rPr>
          <w:rFonts w:hint="eastAsia" w:ascii="宋体" w:hAnsi="宋体" w:eastAsia="宋体" w:cs="宋体"/>
          <w:b/>
          <w:bCs/>
          <w:color w:val="auto"/>
          <w:spacing w:val="8"/>
          <w:sz w:val="32"/>
          <w:szCs w:val="32"/>
          <w:highlight w:val="none"/>
          <w:lang w:val="en-US" w:eastAsia="zh-CN"/>
        </w:rPr>
        <w:t>第六章图纸(另册）</w:t>
      </w:r>
    </w:p>
    <w:bookmarkEnd w:id="36"/>
    <w:p w14:paraId="01019C40">
      <w:pPr>
        <w:keepNext w:val="0"/>
        <w:keepLines w:val="0"/>
        <w:pageBreakBefore w:val="0"/>
        <w:widowControl w:val="0"/>
        <w:kinsoku/>
        <w:wordWrap/>
        <w:overflowPunct/>
        <w:topLinePunct w:val="0"/>
        <w:autoSpaceDE w:val="0"/>
        <w:autoSpaceDN w:val="0"/>
        <w:bidi w:val="0"/>
        <w:rPr>
          <w:rFonts w:hint="eastAsia" w:ascii="宋体" w:hAnsi="宋体" w:eastAsia="宋体" w:cs="宋体"/>
          <w:color w:val="auto"/>
          <w:spacing w:val="8"/>
          <w:sz w:val="28"/>
          <w:szCs w:val="28"/>
          <w:highlight w:val="none"/>
          <w:lang w:val="en-US" w:eastAsia="zh-CN"/>
        </w:rPr>
      </w:pPr>
      <w:r>
        <w:rPr>
          <w:rFonts w:hint="eastAsia" w:ascii="仿宋" w:hAnsi="仿宋" w:eastAsia="仿宋" w:cs="仿宋"/>
          <w:b w:val="0"/>
          <w:color w:val="auto"/>
          <w:sz w:val="21"/>
          <w:szCs w:val="21"/>
          <w:highlight w:val="none"/>
        </w:rPr>
        <w:br w:type="page"/>
      </w:r>
      <w:bookmarkStart w:id="37" w:name="_Toc8908"/>
      <w:bookmarkStart w:id="38" w:name="_Toc23055"/>
    </w:p>
    <w:p w14:paraId="6FF57A76">
      <w:pPr>
        <w:keepNext w:val="0"/>
        <w:keepLines w:val="0"/>
        <w:pageBreakBefore w:val="0"/>
        <w:widowControl w:val="0"/>
        <w:kinsoku/>
        <w:wordWrap/>
        <w:overflowPunct/>
        <w:topLinePunct w:val="0"/>
        <w:autoSpaceDE w:val="0"/>
        <w:autoSpaceDN w:val="0"/>
        <w:bidi w:val="0"/>
        <w:spacing w:before="114" w:line="225" w:lineRule="auto"/>
        <w:ind w:firstLine="675" w:firstLineChars="200"/>
        <w:jc w:val="center"/>
        <w:outlineLvl w:val="0"/>
        <w:rPr>
          <w:rFonts w:hint="eastAsia" w:asciiTheme="minorEastAsia" w:hAnsiTheme="minorEastAsia" w:eastAsiaTheme="minorEastAsia" w:cstheme="minorEastAsia"/>
          <w:b/>
          <w:bCs/>
          <w:color w:val="auto"/>
          <w:spacing w:val="8"/>
          <w:sz w:val="32"/>
          <w:szCs w:val="32"/>
          <w:highlight w:val="none"/>
          <w:lang w:val="en-US" w:eastAsia="zh-CN"/>
        </w:rPr>
      </w:pPr>
      <w:r>
        <w:rPr>
          <w:rFonts w:hint="eastAsia" w:asciiTheme="minorEastAsia" w:hAnsiTheme="minorEastAsia" w:eastAsiaTheme="minorEastAsia" w:cstheme="minorEastAsia"/>
          <w:b/>
          <w:bCs/>
          <w:color w:val="auto"/>
          <w:spacing w:val="8"/>
          <w:sz w:val="32"/>
          <w:szCs w:val="32"/>
          <w:highlight w:val="none"/>
          <w:lang w:val="en-US" w:eastAsia="zh-CN"/>
        </w:rPr>
        <w:t>第七章技术标准和要求</w:t>
      </w:r>
      <w:bookmarkEnd w:id="37"/>
      <w:bookmarkEnd w:id="38"/>
    </w:p>
    <w:p w14:paraId="4460CCC2">
      <w:pPr>
        <w:keepNext w:val="0"/>
        <w:keepLines w:val="0"/>
        <w:pageBreakBefore w:val="0"/>
        <w:widowControl w:val="0"/>
        <w:kinsoku/>
        <w:wordWrap/>
        <w:overflowPunct/>
        <w:topLinePunct w:val="0"/>
        <w:autoSpaceDE w:val="0"/>
        <w:autoSpaceDN w:val="0"/>
        <w:bidi w:val="0"/>
        <w:spacing w:line="360" w:lineRule="auto"/>
        <w:ind w:firstLine="1540" w:firstLineChars="700"/>
        <w:jc w:val="left"/>
        <w:rPr>
          <w:rFonts w:hint="eastAsia" w:ascii="仿宋" w:hAnsi="仿宋" w:eastAsia="仿宋" w:cs="仿宋"/>
          <w:b w:val="0"/>
          <w:color w:val="auto"/>
          <w:sz w:val="22"/>
          <w:szCs w:val="22"/>
          <w:highlight w:val="none"/>
        </w:rPr>
      </w:pPr>
    </w:p>
    <w:p w14:paraId="7C311D96">
      <w:pPr>
        <w:spacing w:before="65" w:line="369" w:lineRule="auto"/>
        <w:ind w:firstLine="528" w:firstLineChars="200"/>
        <w:jc w:val="both"/>
        <w:rPr>
          <w:rFonts w:ascii="宋体" w:hAnsi="宋体" w:eastAsia="宋体" w:cs="宋体"/>
          <w:sz w:val="24"/>
          <w:szCs w:val="24"/>
        </w:rPr>
      </w:pPr>
      <w:r>
        <w:rPr>
          <w:rFonts w:ascii="宋体" w:hAnsi="宋体" w:eastAsia="宋体" w:cs="宋体"/>
          <w:spacing w:val="12"/>
          <w:sz w:val="24"/>
          <w:szCs w:val="24"/>
        </w:rPr>
        <w:t>执行的国家规范及验收规范投标方应完成工程量清单或图</w:t>
      </w:r>
      <w:r>
        <w:rPr>
          <w:rFonts w:ascii="宋体" w:hAnsi="宋体" w:eastAsia="宋体" w:cs="宋体"/>
          <w:spacing w:val="11"/>
          <w:sz w:val="24"/>
          <w:szCs w:val="24"/>
        </w:rPr>
        <w:t>纸中描述的分包工程的施工。施工应依照招</w:t>
      </w:r>
      <w:r>
        <w:rPr>
          <w:rFonts w:ascii="宋体" w:hAnsi="宋体" w:eastAsia="宋体" w:cs="宋体"/>
          <w:spacing w:val="12"/>
          <w:sz w:val="24"/>
          <w:szCs w:val="24"/>
        </w:rPr>
        <w:t>标方的要求，还应遵循中国国家及地方（行业）的</w:t>
      </w:r>
      <w:r>
        <w:rPr>
          <w:rFonts w:ascii="宋体" w:hAnsi="宋体" w:eastAsia="宋体" w:cs="宋体"/>
          <w:spacing w:val="11"/>
          <w:sz w:val="24"/>
          <w:szCs w:val="24"/>
        </w:rPr>
        <w:t>施工规范、标准、法律、法规和条例。施工中应严格按</w:t>
      </w:r>
      <w:r>
        <w:rPr>
          <w:rFonts w:ascii="宋体" w:hAnsi="宋体" w:eastAsia="宋体" w:cs="宋体"/>
          <w:spacing w:val="12"/>
          <w:sz w:val="24"/>
          <w:szCs w:val="24"/>
        </w:rPr>
        <w:t>照施工图纸及国家现行有关技术、质量标准和设计</w:t>
      </w:r>
      <w:r>
        <w:rPr>
          <w:rFonts w:ascii="宋体" w:hAnsi="宋体" w:eastAsia="宋体" w:cs="宋体"/>
          <w:spacing w:val="11"/>
          <w:sz w:val="24"/>
          <w:szCs w:val="24"/>
        </w:rPr>
        <w:t>、施工验收规范执行。本工程及使用的材料均须符合中</w:t>
      </w:r>
      <w:r>
        <w:rPr>
          <w:rFonts w:ascii="宋体" w:hAnsi="宋体" w:eastAsia="宋体" w:cs="宋体"/>
          <w:spacing w:val="9"/>
          <w:sz w:val="24"/>
          <w:szCs w:val="24"/>
        </w:rPr>
        <w:t>华人民共和国现行法规及标准。当中国标准未规定时，采用招标人提供的行业标准。</w:t>
      </w:r>
    </w:p>
    <w:p w14:paraId="067188A3">
      <w:pPr>
        <w:spacing w:before="32" w:line="228" w:lineRule="auto"/>
        <w:ind w:left="418"/>
        <w:rPr>
          <w:rFonts w:ascii="宋体" w:hAnsi="宋体" w:eastAsia="宋体" w:cs="宋体"/>
          <w:sz w:val="24"/>
          <w:szCs w:val="24"/>
        </w:rPr>
      </w:pPr>
      <w:r>
        <w:rPr>
          <w:rFonts w:ascii="Times New Roman" w:hAnsi="Times New Roman" w:eastAsia="Times New Roman" w:cs="Times New Roman"/>
          <w:sz w:val="24"/>
          <w:szCs w:val="24"/>
        </w:rPr>
        <w:t>GB</w:t>
      </w:r>
      <w:r>
        <w:rPr>
          <w:rFonts w:ascii="Times New Roman" w:hAnsi="Times New Roman" w:eastAsia="Times New Roman" w:cs="Times New Roman"/>
          <w:spacing w:val="10"/>
          <w:sz w:val="24"/>
          <w:szCs w:val="24"/>
        </w:rPr>
        <w:t>—</w:t>
      </w:r>
      <w:r>
        <w:rPr>
          <w:rFonts w:ascii="宋体" w:hAnsi="宋体" w:eastAsia="宋体" w:cs="宋体"/>
          <w:spacing w:val="10"/>
          <w:sz w:val="24"/>
          <w:szCs w:val="24"/>
        </w:rPr>
        <w:t>中华人民共和国标准</w:t>
      </w:r>
    </w:p>
    <w:p w14:paraId="4FAEB678">
      <w:pPr>
        <w:spacing w:before="160" w:line="228" w:lineRule="auto"/>
        <w:ind w:left="415"/>
        <w:rPr>
          <w:rFonts w:ascii="宋体" w:hAnsi="宋体" w:eastAsia="宋体" w:cs="宋体"/>
          <w:sz w:val="24"/>
          <w:szCs w:val="24"/>
        </w:rPr>
      </w:pPr>
      <w:r>
        <w:rPr>
          <w:rFonts w:ascii="Times New Roman" w:hAnsi="Times New Roman" w:eastAsia="Times New Roman" w:cs="Times New Roman"/>
          <w:sz w:val="24"/>
          <w:szCs w:val="24"/>
        </w:rPr>
        <w:t>JGJ</w:t>
      </w:r>
      <w:r>
        <w:rPr>
          <w:rFonts w:ascii="Times New Roman" w:hAnsi="Times New Roman" w:eastAsia="Times New Roman" w:cs="Times New Roman"/>
          <w:spacing w:val="10"/>
          <w:sz w:val="24"/>
          <w:szCs w:val="24"/>
        </w:rPr>
        <w:t>—</w:t>
      </w:r>
      <w:r>
        <w:rPr>
          <w:rFonts w:ascii="宋体" w:hAnsi="宋体" w:eastAsia="宋体" w:cs="宋体"/>
          <w:spacing w:val="10"/>
          <w:sz w:val="24"/>
          <w:szCs w:val="24"/>
        </w:rPr>
        <w:t>中华人民共和国建设标准</w:t>
      </w:r>
    </w:p>
    <w:p w14:paraId="6DE0317C">
      <w:pPr>
        <w:keepNext w:val="0"/>
        <w:keepLines w:val="0"/>
        <w:pageBreakBefore w:val="0"/>
        <w:widowControl w:val="0"/>
        <w:kinsoku/>
        <w:wordWrap/>
        <w:overflowPunct/>
        <w:topLinePunct w:val="0"/>
        <w:autoSpaceDE w:val="0"/>
        <w:autoSpaceDN w:val="0"/>
        <w:bidi w:val="0"/>
        <w:spacing w:line="360" w:lineRule="auto"/>
        <w:ind w:firstLine="241" w:firstLineChars="100"/>
        <w:jc w:val="left"/>
        <w:rPr>
          <w:rFonts w:hint="eastAsia" w:ascii="宋体" w:hAnsi="宋体" w:eastAsia="宋体" w:cs="宋体"/>
          <w:b/>
          <w:bCs/>
          <w:color w:val="auto"/>
          <w:sz w:val="24"/>
          <w:szCs w:val="24"/>
          <w:highlight w:val="none"/>
        </w:rPr>
      </w:pPr>
    </w:p>
    <w:p w14:paraId="5CEF1BCA">
      <w:pPr>
        <w:keepNext w:val="0"/>
        <w:keepLines w:val="0"/>
        <w:pageBreakBefore w:val="0"/>
        <w:widowControl w:val="0"/>
        <w:kinsoku/>
        <w:wordWrap/>
        <w:overflowPunct/>
        <w:topLinePunct w:val="0"/>
        <w:autoSpaceDE w:val="0"/>
        <w:autoSpaceDN w:val="0"/>
        <w:bidi w:val="0"/>
        <w:spacing w:line="360" w:lineRule="auto"/>
        <w:ind w:firstLine="420" w:firstLineChars="200"/>
        <w:jc w:val="both"/>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br w:type="page"/>
      </w:r>
    </w:p>
    <w:p w14:paraId="7041B1FA">
      <w:pPr>
        <w:keepNext w:val="0"/>
        <w:keepLines w:val="0"/>
        <w:pageBreakBefore w:val="0"/>
        <w:widowControl w:val="0"/>
        <w:kinsoku/>
        <w:wordWrap/>
        <w:overflowPunct/>
        <w:topLinePunct w:val="0"/>
        <w:autoSpaceDE w:val="0"/>
        <w:autoSpaceDN w:val="0"/>
        <w:bidi w:val="0"/>
        <w:spacing w:before="114" w:line="225" w:lineRule="auto"/>
        <w:ind w:left="0" w:leftChars="0" w:right="0" w:rightChars="0" w:firstLine="0" w:firstLineChars="0"/>
        <w:jc w:val="center"/>
        <w:outlineLvl w:val="0"/>
        <w:rPr>
          <w:rFonts w:hint="eastAsia" w:ascii="宋体" w:hAnsi="宋体" w:eastAsia="宋体" w:cs="宋体"/>
          <w:b/>
          <w:bCs/>
          <w:color w:val="auto"/>
          <w:spacing w:val="8"/>
          <w:sz w:val="32"/>
          <w:szCs w:val="32"/>
          <w:highlight w:val="none"/>
          <w:lang w:val="en-US" w:eastAsia="zh-CN"/>
        </w:rPr>
      </w:pPr>
      <w:bookmarkStart w:id="39" w:name="_Toc777"/>
      <w:bookmarkStart w:id="40" w:name="_Toc7415"/>
      <w:r>
        <w:rPr>
          <w:rFonts w:hint="eastAsia" w:ascii="宋体" w:hAnsi="宋体" w:eastAsia="宋体" w:cs="宋体"/>
          <w:b/>
          <w:bCs/>
          <w:color w:val="auto"/>
          <w:spacing w:val="8"/>
          <w:sz w:val="32"/>
          <w:szCs w:val="32"/>
          <w:highlight w:val="none"/>
          <w:lang w:val="en-US" w:eastAsia="zh-CN"/>
        </w:rPr>
        <w:t>第八章</w:t>
      </w:r>
      <w:bookmarkEnd w:id="39"/>
      <w:r>
        <w:rPr>
          <w:rFonts w:hint="eastAsia" w:ascii="宋体" w:hAnsi="宋体" w:eastAsia="宋体" w:cs="宋体"/>
          <w:b/>
          <w:bCs/>
          <w:color w:val="auto"/>
          <w:spacing w:val="8"/>
          <w:sz w:val="32"/>
          <w:szCs w:val="32"/>
          <w:highlight w:val="none"/>
          <w:lang w:val="en-US" w:eastAsia="en-US"/>
        </w:rPr>
        <w:t>竞争性磋商响应文件格式</w:t>
      </w:r>
      <w:bookmarkEnd w:id="40"/>
    </w:p>
    <w:p w14:paraId="539A90C3">
      <w:pPr>
        <w:keepNext w:val="0"/>
        <w:keepLines w:val="0"/>
        <w:pageBreakBefore w:val="0"/>
        <w:widowControl w:val="0"/>
        <w:kinsoku/>
        <w:wordWrap/>
        <w:overflowPunct/>
        <w:topLinePunct w:val="0"/>
        <w:autoSpaceDE w:val="0"/>
        <w:autoSpaceDN w:val="0"/>
        <w:bidi w:val="0"/>
        <w:ind w:firstLine="560" w:firstLineChars="200"/>
        <w:jc w:val="both"/>
        <w:rPr>
          <w:rFonts w:hint="eastAsia" w:ascii="仿宋" w:hAnsi="仿宋" w:eastAsia="仿宋" w:cs="仿宋"/>
          <w:b w:val="0"/>
          <w:color w:val="auto"/>
          <w:sz w:val="21"/>
          <w:szCs w:val="21"/>
          <w:highlight w:val="none"/>
        </w:rPr>
      </w:pPr>
      <w:r>
        <w:rPr>
          <w:rFonts w:hint="eastAsia" w:ascii="仿宋" w:hAnsi="仿宋" w:eastAsia="仿宋" w:cs="仿宋"/>
          <w:b w:val="0"/>
          <w:color w:val="auto"/>
          <w:sz w:val="28"/>
          <w:szCs w:val="28"/>
          <w:highlight w:val="none"/>
        </w:rPr>
        <w:br w:type="page"/>
      </w:r>
    </w:p>
    <w:p w14:paraId="0785F00F">
      <w:pPr>
        <w:keepNext w:val="0"/>
        <w:keepLines w:val="0"/>
        <w:pageBreakBefore w:val="0"/>
        <w:widowControl w:val="0"/>
        <w:kinsoku/>
        <w:wordWrap/>
        <w:overflowPunct/>
        <w:topLinePunct w:val="0"/>
        <w:autoSpaceDE w:val="0"/>
        <w:autoSpaceDN w:val="0"/>
        <w:bidi w:val="0"/>
        <w:spacing w:line="360" w:lineRule="auto"/>
        <w:jc w:val="both"/>
        <w:outlineLvl w:val="0"/>
        <w:rPr>
          <w:rFonts w:hint="eastAsia" w:ascii="仿宋" w:hAnsi="仿宋" w:eastAsia="仿宋" w:cs="仿宋"/>
          <w:b/>
          <w:bCs/>
          <w:color w:val="auto"/>
          <w:sz w:val="52"/>
          <w:szCs w:val="52"/>
          <w:highlight w:val="none"/>
          <w:u w:val="single"/>
        </w:rPr>
      </w:pPr>
      <w:bookmarkStart w:id="41" w:name="_Toc4129"/>
      <w:bookmarkStart w:id="42" w:name="_Toc7113_WPSOffice_Level1"/>
      <w:bookmarkStart w:id="43" w:name="_Toc26964"/>
      <w:bookmarkStart w:id="44" w:name="_Toc8888"/>
    </w:p>
    <w:p w14:paraId="5DBC0F4B">
      <w:pPr>
        <w:keepNext w:val="0"/>
        <w:keepLines w:val="0"/>
        <w:pageBreakBefore w:val="0"/>
        <w:widowControl w:val="0"/>
        <w:kinsoku/>
        <w:wordWrap/>
        <w:overflowPunct/>
        <w:topLinePunct w:val="0"/>
        <w:autoSpaceDE w:val="0"/>
        <w:autoSpaceDN w:val="0"/>
        <w:bidi w:val="0"/>
        <w:spacing w:line="360" w:lineRule="auto"/>
        <w:ind w:firstLine="1044" w:firstLineChars="200"/>
        <w:jc w:val="center"/>
        <w:outlineLvl w:val="0"/>
        <w:rPr>
          <w:rFonts w:hint="eastAsia" w:ascii="宋体" w:hAnsi="宋体" w:eastAsia="宋体" w:cs="宋体"/>
          <w:b/>
          <w:bCs/>
          <w:color w:val="auto"/>
          <w:sz w:val="52"/>
          <w:szCs w:val="52"/>
          <w:highlight w:val="none"/>
          <w:u w:val="single"/>
        </w:rPr>
      </w:pPr>
      <w:r>
        <w:rPr>
          <w:rFonts w:hint="eastAsia" w:ascii="宋体" w:hAnsi="宋体" w:eastAsia="宋体" w:cs="宋体"/>
          <w:b/>
          <w:bCs/>
          <w:color w:val="auto"/>
          <w:sz w:val="52"/>
          <w:szCs w:val="52"/>
          <w:highlight w:val="none"/>
          <w:u w:val="single"/>
        </w:rPr>
        <w:t>（工程名称）</w:t>
      </w:r>
      <w:bookmarkEnd w:id="41"/>
      <w:bookmarkEnd w:id="42"/>
    </w:p>
    <w:p w14:paraId="40BA3096">
      <w:pPr>
        <w:keepNext w:val="0"/>
        <w:keepLines w:val="0"/>
        <w:pageBreakBefore w:val="0"/>
        <w:widowControl w:val="0"/>
        <w:kinsoku/>
        <w:wordWrap/>
        <w:overflowPunct/>
        <w:topLinePunct w:val="0"/>
        <w:autoSpaceDE w:val="0"/>
        <w:autoSpaceDN w:val="0"/>
        <w:bidi w:val="0"/>
        <w:spacing w:line="360" w:lineRule="auto"/>
        <w:jc w:val="both"/>
        <w:outlineLvl w:val="0"/>
        <w:rPr>
          <w:rFonts w:hint="eastAsia" w:ascii="仿宋" w:hAnsi="仿宋" w:eastAsia="仿宋" w:cs="仿宋"/>
          <w:b/>
          <w:bCs/>
          <w:color w:val="auto"/>
          <w:sz w:val="72"/>
          <w:szCs w:val="72"/>
          <w:highlight w:val="none"/>
        </w:rPr>
      </w:pPr>
      <w:bookmarkStart w:id="45" w:name="_Toc22684_WPSOffice_Level1"/>
      <w:bookmarkStart w:id="46" w:name="_Toc23445"/>
    </w:p>
    <w:p w14:paraId="718EE008">
      <w:pPr>
        <w:keepNext w:val="0"/>
        <w:keepLines w:val="0"/>
        <w:pageBreakBefore w:val="0"/>
        <w:widowControl w:val="0"/>
        <w:kinsoku/>
        <w:wordWrap/>
        <w:overflowPunct/>
        <w:topLinePunct w:val="0"/>
        <w:autoSpaceDE w:val="0"/>
        <w:autoSpaceDN w:val="0"/>
        <w:bidi w:val="0"/>
        <w:spacing w:line="360" w:lineRule="auto"/>
        <w:jc w:val="center"/>
        <w:outlineLvl w:val="0"/>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w:t>
      </w:r>
      <w:r>
        <w:rPr>
          <w:rFonts w:hint="eastAsia" w:ascii="宋体" w:hAnsi="宋体" w:eastAsia="宋体" w:cs="宋体"/>
          <w:b/>
          <w:bCs/>
          <w:color w:val="auto"/>
          <w:sz w:val="72"/>
          <w:szCs w:val="72"/>
          <w:highlight w:val="none"/>
          <w:lang w:eastAsia="zh-CN"/>
        </w:rPr>
        <w:t>磋商</w:t>
      </w:r>
      <w:r>
        <w:rPr>
          <w:rFonts w:hint="eastAsia" w:ascii="宋体" w:hAnsi="宋体" w:eastAsia="宋体" w:cs="宋体"/>
          <w:b/>
          <w:bCs/>
          <w:color w:val="auto"/>
          <w:sz w:val="72"/>
          <w:szCs w:val="72"/>
          <w:highlight w:val="none"/>
        </w:rPr>
        <w:t>响应文件</w:t>
      </w:r>
      <w:bookmarkEnd w:id="45"/>
      <w:bookmarkEnd w:id="46"/>
    </w:p>
    <w:p w14:paraId="77F4DE5C">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仿宋" w:hAnsi="仿宋" w:eastAsia="仿宋" w:cs="仿宋"/>
          <w:color w:val="auto"/>
          <w:sz w:val="28"/>
          <w:szCs w:val="28"/>
          <w:highlight w:val="none"/>
          <w:lang w:val="en-US" w:eastAsia="zh-CN"/>
        </w:rPr>
      </w:pPr>
      <w:bookmarkStart w:id="47" w:name="_Toc15517_WPSOffice_Level1"/>
    </w:p>
    <w:p w14:paraId="3487089C">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仿宋" w:hAnsi="仿宋" w:eastAsia="仿宋" w:cs="仿宋"/>
          <w:color w:val="auto"/>
          <w:sz w:val="28"/>
          <w:szCs w:val="28"/>
          <w:highlight w:val="none"/>
          <w:lang w:val="en-US" w:eastAsia="zh-CN"/>
        </w:rPr>
      </w:pPr>
    </w:p>
    <w:p w14:paraId="61F463EF">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仿宋" w:hAnsi="仿宋" w:eastAsia="仿宋" w:cs="仿宋"/>
          <w:color w:val="auto"/>
          <w:sz w:val="28"/>
          <w:szCs w:val="28"/>
          <w:highlight w:val="none"/>
          <w:lang w:val="en-US" w:eastAsia="zh-CN"/>
        </w:rPr>
      </w:pPr>
    </w:p>
    <w:p w14:paraId="483782AE">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仿宋" w:hAnsi="仿宋" w:eastAsia="仿宋" w:cs="仿宋"/>
          <w:color w:val="auto"/>
          <w:sz w:val="28"/>
          <w:szCs w:val="28"/>
          <w:highlight w:val="none"/>
          <w:lang w:val="en-US" w:eastAsia="zh-CN"/>
        </w:rPr>
      </w:pPr>
    </w:p>
    <w:p w14:paraId="5C0C5866">
      <w:pPr>
        <w:keepNext w:val="0"/>
        <w:keepLines w:val="0"/>
        <w:pageBreakBefore w:val="0"/>
        <w:widowControl w:val="0"/>
        <w:kinsoku/>
        <w:wordWrap/>
        <w:overflowPunct/>
        <w:topLinePunct w:val="0"/>
        <w:autoSpaceDE w:val="0"/>
        <w:autoSpaceDN w:val="0"/>
        <w:bidi w:val="0"/>
        <w:spacing w:line="360" w:lineRule="auto"/>
        <w:jc w:val="both"/>
        <w:outlineLvl w:val="1"/>
        <w:rPr>
          <w:rFonts w:hint="eastAsia" w:ascii="仿宋" w:hAnsi="仿宋" w:eastAsia="仿宋" w:cs="仿宋"/>
          <w:color w:val="auto"/>
          <w:sz w:val="28"/>
          <w:szCs w:val="28"/>
          <w:highlight w:val="none"/>
        </w:rPr>
      </w:pPr>
    </w:p>
    <w:p w14:paraId="3DF105B1">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仿宋" w:hAnsi="仿宋" w:eastAsia="仿宋" w:cs="仿宋"/>
          <w:color w:val="auto"/>
          <w:sz w:val="28"/>
          <w:szCs w:val="28"/>
          <w:highlight w:val="none"/>
        </w:rPr>
      </w:pPr>
    </w:p>
    <w:p w14:paraId="6FCDBFD4">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宋体" w:hAnsi="宋体" w:eastAsia="宋体" w:cs="宋体"/>
          <w:color w:val="auto"/>
          <w:sz w:val="28"/>
          <w:szCs w:val="28"/>
          <w:highlight w:val="none"/>
        </w:rPr>
      </w:pPr>
    </w:p>
    <w:p w14:paraId="5FF524E4">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供应商：（盖单位</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rPr>
        <w:t>章）</w:t>
      </w:r>
      <w:bookmarkEnd w:id="47"/>
      <w:bookmarkStart w:id="48" w:name="_Toc15898_WPSOffice_Level1"/>
    </w:p>
    <w:p w14:paraId="7E2BBD3E">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宋体" w:hAnsi="宋体" w:eastAsia="宋体" w:cs="宋体"/>
          <w:color w:val="auto"/>
          <w:sz w:val="28"/>
          <w:szCs w:val="28"/>
          <w:highlight w:val="none"/>
        </w:rPr>
      </w:pPr>
    </w:p>
    <w:p w14:paraId="33BE1CFF">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w:t>
      </w:r>
      <w:bookmarkEnd w:id="48"/>
    </w:p>
    <w:p w14:paraId="33FC44BC">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宋体" w:hAnsi="宋体" w:eastAsia="宋体" w:cs="宋体"/>
          <w:color w:val="auto"/>
          <w:sz w:val="28"/>
          <w:szCs w:val="28"/>
          <w:highlight w:val="none"/>
        </w:rPr>
      </w:pPr>
      <w:bookmarkStart w:id="49" w:name="_Toc31315_WPSOffice_Level1"/>
    </w:p>
    <w:p w14:paraId="054F92F6">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宋体" w:hAnsi="宋体" w:eastAsia="宋体" w:cs="宋体"/>
          <w:color w:val="auto"/>
          <w:sz w:val="28"/>
          <w:szCs w:val="28"/>
          <w:highlight w:val="none"/>
        </w:rPr>
      </w:pPr>
    </w:p>
    <w:p w14:paraId="0AE87358">
      <w:pPr>
        <w:keepNext w:val="0"/>
        <w:keepLines w:val="0"/>
        <w:pageBreakBefore w:val="0"/>
        <w:widowControl w:val="0"/>
        <w:kinsoku/>
        <w:wordWrap/>
        <w:overflowPunct/>
        <w:topLinePunct w:val="0"/>
        <w:autoSpaceDE w:val="0"/>
        <w:autoSpaceDN w:val="0"/>
        <w:bidi w:val="0"/>
        <w:spacing w:line="360" w:lineRule="auto"/>
        <w:ind w:firstLine="560" w:firstLineChars="200"/>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年月日</w:t>
      </w:r>
      <w:bookmarkEnd w:id="49"/>
    </w:p>
    <w:p w14:paraId="4ED4641B">
      <w:pPr>
        <w:keepNext w:val="0"/>
        <w:keepLines w:val="0"/>
        <w:pageBreakBefore w:val="0"/>
        <w:widowControl w:val="0"/>
        <w:kinsoku/>
        <w:wordWrap/>
        <w:overflowPunct/>
        <w:topLinePunct w:val="0"/>
        <w:autoSpaceDE w:val="0"/>
        <w:autoSpaceDN w:val="0"/>
        <w:bidi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EE8D0C9">
      <w:pPr>
        <w:pStyle w:val="4"/>
        <w:keepNext w:val="0"/>
        <w:keepLines w:val="0"/>
        <w:pageBreakBefore w:val="0"/>
        <w:widowControl w:val="0"/>
        <w:kinsoku/>
        <w:wordWrap/>
        <w:overflowPunct/>
        <w:topLinePunct w:val="0"/>
        <w:autoSpaceDE w:val="0"/>
        <w:autoSpaceDN w:val="0"/>
        <w:bidi w:val="0"/>
        <w:spacing w:line="360" w:lineRule="auto"/>
        <w:ind w:firstLine="640" w:firstLineChars="200"/>
        <w:rPr>
          <w:rFonts w:hint="eastAsia" w:ascii="宋体" w:hAnsi="宋体" w:eastAsia="宋体" w:cs="宋体"/>
          <w:color w:val="auto"/>
          <w:highlight w:val="none"/>
        </w:rPr>
      </w:pPr>
      <w:bookmarkStart w:id="50" w:name="_Toc268198643"/>
      <w:bookmarkStart w:id="51" w:name="_Toc31226"/>
      <w:bookmarkStart w:id="52" w:name="_Toc8973"/>
      <w:bookmarkStart w:id="53" w:name="_Toc421787056"/>
      <w:bookmarkStart w:id="54" w:name="_Toc421698327"/>
      <w:r>
        <w:rPr>
          <w:rFonts w:hint="eastAsia" w:ascii="宋体" w:hAnsi="宋体" w:eastAsia="宋体" w:cs="宋体"/>
          <w:color w:val="auto"/>
          <w:highlight w:val="none"/>
        </w:rPr>
        <w:t>目录</w:t>
      </w:r>
      <w:bookmarkEnd w:id="50"/>
      <w:bookmarkEnd w:id="51"/>
      <w:bookmarkEnd w:id="52"/>
      <w:bookmarkEnd w:id="53"/>
      <w:bookmarkEnd w:id="54"/>
    </w:p>
    <w:p w14:paraId="37E1078D">
      <w:pPr>
        <w:keepNext w:val="0"/>
        <w:keepLines w:val="0"/>
        <w:pageBreakBefore w:val="0"/>
        <w:widowControl w:val="0"/>
        <w:kinsoku/>
        <w:wordWrap/>
        <w:overflowPunct/>
        <w:topLinePunct w:val="0"/>
        <w:autoSpaceDE w:val="0"/>
        <w:autoSpaceDN w:val="0"/>
        <w:bidi w:val="0"/>
        <w:spacing w:line="360" w:lineRule="auto"/>
        <w:ind w:firstLine="562" w:firstLineChars="200"/>
        <w:jc w:val="center"/>
        <w:rPr>
          <w:rFonts w:hint="eastAsia" w:ascii="仿宋" w:hAnsi="仿宋" w:eastAsia="仿宋" w:cs="仿宋"/>
          <w:color w:val="auto"/>
          <w:sz w:val="24"/>
          <w:szCs w:val="24"/>
          <w:highlight w:val="none"/>
          <w:lang w:eastAsia="zh-CN"/>
        </w:rPr>
      </w:pPr>
      <w:r>
        <w:rPr>
          <w:rFonts w:hint="eastAsia" w:ascii="宋体" w:hAnsi="宋体" w:eastAsia="宋体" w:cs="宋体"/>
          <w:b/>
          <w:bCs/>
          <w:color w:val="auto"/>
          <w:sz w:val="28"/>
          <w:szCs w:val="28"/>
          <w:highlight w:val="none"/>
          <w:lang w:eastAsia="zh-CN"/>
        </w:rPr>
        <w:t>格式自拟</w:t>
      </w:r>
    </w:p>
    <w:p w14:paraId="2B0F6EAE">
      <w:pPr>
        <w:keepNext w:val="0"/>
        <w:keepLines w:val="0"/>
        <w:pageBreakBefore w:val="0"/>
        <w:widowControl w:val="0"/>
        <w:kinsoku/>
        <w:wordWrap/>
        <w:overflowPunct/>
        <w:topLinePunct w:val="0"/>
        <w:autoSpaceDE w:val="0"/>
        <w:autoSpaceDN w:val="0"/>
        <w:bidi w:val="0"/>
        <w:ind w:firstLine="422" w:firstLineChars="200"/>
        <w:rPr>
          <w:rFonts w:hint="eastAsia" w:ascii="仿宋" w:hAnsi="仿宋" w:eastAsia="仿宋" w:cs="仿宋"/>
          <w:b/>
          <w:bCs/>
          <w:color w:val="auto"/>
          <w:highlight w:val="none"/>
        </w:rPr>
      </w:pPr>
      <w:bookmarkStart w:id="55" w:name="_Toc268198644"/>
      <w:bookmarkStart w:id="56" w:name="_Toc23993"/>
      <w:bookmarkStart w:id="57" w:name="_Toc4071_WPSOffice_Level1"/>
      <w:r>
        <w:rPr>
          <w:rFonts w:hint="eastAsia" w:ascii="仿宋" w:hAnsi="仿宋" w:eastAsia="仿宋" w:cs="仿宋"/>
          <w:b/>
          <w:bCs/>
          <w:color w:val="auto"/>
          <w:highlight w:val="none"/>
        </w:rPr>
        <w:br w:type="page"/>
      </w:r>
    </w:p>
    <w:p w14:paraId="07351F65">
      <w:pPr>
        <w:pStyle w:val="4"/>
        <w:keepNext w:val="0"/>
        <w:keepLines w:val="0"/>
        <w:pageBreakBefore w:val="0"/>
        <w:widowControl w:val="0"/>
        <w:kinsoku/>
        <w:wordWrap/>
        <w:overflowPunct/>
        <w:topLinePunct w:val="0"/>
        <w:autoSpaceDE w:val="0"/>
        <w:autoSpaceDN w:val="0"/>
        <w:bidi w:val="0"/>
        <w:spacing w:line="360" w:lineRule="auto"/>
        <w:ind w:firstLine="562" w:firstLineChars="200"/>
        <w:jc w:val="center"/>
        <w:outlineLvl w:val="0"/>
        <w:rPr>
          <w:rFonts w:hint="eastAsia" w:ascii="宋体" w:hAnsi="宋体" w:eastAsia="宋体" w:cs="宋体"/>
          <w:b/>
          <w:bCs/>
          <w:color w:val="auto"/>
          <w:sz w:val="28"/>
          <w:szCs w:val="28"/>
          <w:highlight w:val="none"/>
        </w:rPr>
      </w:pPr>
      <w:bookmarkStart w:id="58" w:name="_Toc27792"/>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磋商</w:t>
      </w:r>
      <w:r>
        <w:rPr>
          <w:rFonts w:hint="eastAsia" w:ascii="宋体" w:hAnsi="宋体" w:eastAsia="宋体" w:cs="宋体"/>
          <w:b/>
          <w:bCs/>
          <w:color w:val="auto"/>
          <w:sz w:val="28"/>
          <w:szCs w:val="28"/>
          <w:highlight w:val="none"/>
        </w:rPr>
        <w:t>函及</w:t>
      </w:r>
      <w:r>
        <w:rPr>
          <w:rFonts w:hint="eastAsia" w:ascii="宋体" w:hAnsi="宋体" w:eastAsia="宋体" w:cs="宋体"/>
          <w:b/>
          <w:bCs/>
          <w:color w:val="auto"/>
          <w:sz w:val="28"/>
          <w:szCs w:val="28"/>
          <w:highlight w:val="none"/>
          <w:lang w:eastAsia="zh-CN"/>
        </w:rPr>
        <w:t>磋商</w:t>
      </w:r>
      <w:r>
        <w:rPr>
          <w:rFonts w:hint="eastAsia" w:ascii="宋体" w:hAnsi="宋体" w:eastAsia="宋体" w:cs="宋体"/>
          <w:b/>
          <w:bCs/>
          <w:color w:val="auto"/>
          <w:sz w:val="28"/>
          <w:szCs w:val="28"/>
          <w:highlight w:val="none"/>
        </w:rPr>
        <w:t>函附录</w:t>
      </w:r>
      <w:bookmarkEnd w:id="55"/>
      <w:bookmarkEnd w:id="56"/>
      <w:bookmarkEnd w:id="57"/>
      <w:bookmarkEnd w:id="58"/>
    </w:p>
    <w:p w14:paraId="1F07AEE6">
      <w:pPr>
        <w:pStyle w:val="5"/>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color w:val="auto"/>
          <w:sz w:val="24"/>
          <w:szCs w:val="24"/>
          <w:highlight w:val="none"/>
        </w:rPr>
      </w:pPr>
      <w:bookmarkStart w:id="59" w:name="_Toc26819864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函</w:t>
      </w:r>
      <w:bookmarkEnd w:id="59"/>
    </w:p>
    <w:p w14:paraId="1C831503">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36713698">
      <w:pPr>
        <w:keepNext w:val="0"/>
        <w:keepLines w:val="0"/>
        <w:pageBreakBefore w:val="0"/>
        <w:widowControl w:val="0"/>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（项目名称）竞</w:t>
      </w:r>
      <w:r>
        <w:rPr>
          <w:rFonts w:hint="eastAsia" w:ascii="宋体" w:hAnsi="宋体" w:eastAsia="宋体" w:cs="宋体"/>
          <w:color w:val="auto"/>
          <w:sz w:val="24"/>
          <w:szCs w:val="24"/>
          <w:highlight w:val="none"/>
        </w:rPr>
        <w:t>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文件的全部内容，我们愿意以人民币（大写）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总报价，工期,按合同约定实施和完成该项目的承包工程，修补工程中的任何缺陷，工程质量达到</w:t>
      </w:r>
      <w:r>
        <w:rPr>
          <w:rFonts w:hint="eastAsia" w:ascii="宋体" w:hAnsi="宋体" w:eastAsia="宋体" w:cs="宋体"/>
          <w:color w:val="auto"/>
          <w:sz w:val="24"/>
          <w:szCs w:val="24"/>
          <w:highlight w:val="none"/>
          <w:u w:val="single"/>
          <w:lang w:val="en-US" w:eastAsia="zh-CN"/>
        </w:rPr>
        <w:t xml:space="preserve">     。</w:t>
      </w:r>
    </w:p>
    <w:p w14:paraId="28F80250">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有效期内不修改、撤销竞争性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w:t>
      </w:r>
    </w:p>
    <w:p w14:paraId="77258E75">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．如我方成交：</w:t>
      </w:r>
    </w:p>
    <w:p w14:paraId="4BD9DD18">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（1）我方承诺在收到成交通知书后，在成交通知书规定的期限内与你方签订合同。</w:t>
      </w:r>
    </w:p>
    <w:p w14:paraId="503908E0">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函递交的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函附录属于合同文件的组成部分。</w:t>
      </w:r>
    </w:p>
    <w:p w14:paraId="4A8916D8">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（3）我方承诺在合同约定的期限内完成并移交全部合同工程。</w:t>
      </w:r>
    </w:p>
    <w:p w14:paraId="31AAF790">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．我方在此声明，所递交的竞争性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响应文件及有关资料内容完整、真实和准确。</w:t>
      </w:r>
    </w:p>
    <w:p w14:paraId="0FA96B76">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．（其他补充说明）。</w:t>
      </w:r>
    </w:p>
    <w:p w14:paraId="7EE032E4">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p>
    <w:p w14:paraId="51AA49FC">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14:paraId="1245DF71">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p>
    <w:p w14:paraId="0426CA8F">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w:t>
      </w:r>
    </w:p>
    <w:p w14:paraId="6133B1C9">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p>
    <w:p w14:paraId="02DF1710">
      <w:pPr>
        <w:keepNext w:val="0"/>
        <w:keepLines w:val="0"/>
        <w:pageBreakBefore w:val="0"/>
        <w:widowControl w:val="0"/>
        <w:kinsoku/>
        <w:wordWrap/>
        <w:overflowPunct/>
        <w:topLinePunct w:val="0"/>
        <w:autoSpaceDE w:val="0"/>
        <w:autoSpaceDN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32B53ED">
      <w:pPr>
        <w:keepNext w:val="0"/>
        <w:keepLines w:val="0"/>
        <w:pageBreakBefore w:val="0"/>
        <w:widowControl w:val="0"/>
        <w:kinsoku/>
        <w:wordWrap/>
        <w:overflowPunct/>
        <w:topLinePunct w:val="0"/>
        <w:autoSpaceDE w:val="0"/>
        <w:autoSpaceDN w:val="0"/>
        <w:bidi w:val="0"/>
        <w:ind w:firstLine="480" w:firstLineChars="200"/>
        <w:rPr>
          <w:rFonts w:hint="eastAsia" w:ascii="宋体" w:hAnsi="宋体" w:eastAsia="宋体" w:cs="宋体"/>
          <w:color w:val="auto"/>
          <w:sz w:val="24"/>
          <w:szCs w:val="24"/>
          <w:highlight w:val="none"/>
        </w:rPr>
      </w:pPr>
      <w:bookmarkStart w:id="60" w:name="_Toc268198646"/>
      <w:r>
        <w:rPr>
          <w:rFonts w:hint="eastAsia" w:ascii="宋体" w:hAnsi="宋体" w:eastAsia="宋体" w:cs="宋体"/>
          <w:color w:val="auto"/>
          <w:sz w:val="24"/>
          <w:szCs w:val="24"/>
          <w:highlight w:val="none"/>
        </w:rPr>
        <w:br w:type="page"/>
      </w:r>
    </w:p>
    <w:p w14:paraId="5273DDFF">
      <w:pPr>
        <w:pStyle w:val="5"/>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函附录</w:t>
      </w:r>
      <w:bookmarkEnd w:id="60"/>
    </w:p>
    <w:tbl>
      <w:tblPr>
        <w:tblStyle w:val="16"/>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580"/>
        <w:gridCol w:w="3328"/>
        <w:gridCol w:w="1968"/>
      </w:tblGrid>
      <w:tr w14:paraId="26FD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37" w:type="dxa"/>
            <w:vAlign w:val="center"/>
          </w:tcPr>
          <w:p w14:paraId="398B3118">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580" w:type="dxa"/>
            <w:vAlign w:val="center"/>
          </w:tcPr>
          <w:p w14:paraId="369D2985">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3328" w:type="dxa"/>
            <w:vAlign w:val="center"/>
          </w:tcPr>
          <w:p w14:paraId="5C2BA98D">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1968" w:type="dxa"/>
            <w:vAlign w:val="center"/>
          </w:tcPr>
          <w:p w14:paraId="647A9F7E">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r>
      <w:tr w14:paraId="55E7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7" w:type="dxa"/>
            <w:vAlign w:val="center"/>
          </w:tcPr>
          <w:p w14:paraId="032686C4">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80" w:type="dxa"/>
            <w:vAlign w:val="center"/>
          </w:tcPr>
          <w:p w14:paraId="7AD32E30">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项目经理</w:t>
            </w:r>
          </w:p>
        </w:tc>
        <w:tc>
          <w:tcPr>
            <w:tcW w:w="3328" w:type="dxa"/>
            <w:vAlign w:val="center"/>
          </w:tcPr>
          <w:p w14:paraId="29EB1A26">
            <w:pPr>
              <w:keepNext w:val="0"/>
              <w:keepLines w:val="0"/>
              <w:pageBreakBefore w:val="0"/>
              <w:widowControl w:val="0"/>
              <w:kinsoku/>
              <w:wordWrap/>
              <w:overflowPunct/>
              <w:topLinePunct w:val="0"/>
              <w:autoSpaceDE w:val="0"/>
              <w:autoSpaceDN w:val="0"/>
              <w:bidi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r>
              <w:rPr>
                <w:rFonts w:hint="eastAsia" w:ascii="宋体" w:hAnsi="宋体" w:eastAsia="宋体" w:cs="宋体"/>
                <w:color w:val="auto"/>
                <w:sz w:val="24"/>
                <w:szCs w:val="24"/>
                <w:highlight w:val="none"/>
                <w:u w:val="single"/>
                <w:lang w:val="en-US" w:eastAsia="zh-CN"/>
              </w:rPr>
              <w:t xml:space="preserve">           </w:t>
            </w:r>
          </w:p>
        </w:tc>
        <w:tc>
          <w:tcPr>
            <w:tcW w:w="1968" w:type="dxa"/>
            <w:vAlign w:val="center"/>
          </w:tcPr>
          <w:p w14:paraId="4639A90A">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r>
      <w:tr w14:paraId="4792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7" w:type="dxa"/>
            <w:vAlign w:val="center"/>
          </w:tcPr>
          <w:p w14:paraId="0615D4E0">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80" w:type="dxa"/>
            <w:vAlign w:val="center"/>
          </w:tcPr>
          <w:p w14:paraId="6BD035AB">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3328" w:type="dxa"/>
            <w:vAlign w:val="center"/>
          </w:tcPr>
          <w:p w14:paraId="33674198">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c>
          <w:tcPr>
            <w:tcW w:w="1968" w:type="dxa"/>
            <w:vAlign w:val="center"/>
          </w:tcPr>
          <w:p w14:paraId="33B054B0">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r>
      <w:tr w14:paraId="0D6B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7" w:type="dxa"/>
            <w:vAlign w:val="center"/>
          </w:tcPr>
          <w:p w14:paraId="0358D314">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80" w:type="dxa"/>
            <w:vAlign w:val="center"/>
          </w:tcPr>
          <w:p w14:paraId="1E788FC5">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328" w:type="dxa"/>
            <w:vAlign w:val="center"/>
          </w:tcPr>
          <w:p w14:paraId="2C426ECC">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u w:val="single"/>
              </w:rPr>
            </w:pPr>
          </w:p>
        </w:tc>
        <w:tc>
          <w:tcPr>
            <w:tcW w:w="1968" w:type="dxa"/>
            <w:vAlign w:val="center"/>
          </w:tcPr>
          <w:p w14:paraId="2FAF700A">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r>
      <w:tr w14:paraId="6B52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7" w:type="dxa"/>
            <w:vAlign w:val="center"/>
          </w:tcPr>
          <w:p w14:paraId="673FA845">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580" w:type="dxa"/>
            <w:vAlign w:val="center"/>
          </w:tcPr>
          <w:p w14:paraId="390B574A">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w:t>
            </w:r>
          </w:p>
        </w:tc>
        <w:tc>
          <w:tcPr>
            <w:tcW w:w="3328" w:type="dxa"/>
            <w:vAlign w:val="center"/>
          </w:tcPr>
          <w:p w14:paraId="0F243889">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u w:val="single"/>
              </w:rPr>
            </w:pPr>
          </w:p>
        </w:tc>
        <w:tc>
          <w:tcPr>
            <w:tcW w:w="1968" w:type="dxa"/>
            <w:vAlign w:val="center"/>
          </w:tcPr>
          <w:p w14:paraId="7997DC58">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r>
      <w:tr w14:paraId="3702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7" w:type="dxa"/>
            <w:vAlign w:val="center"/>
          </w:tcPr>
          <w:p w14:paraId="6817E85B">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580" w:type="dxa"/>
            <w:vAlign w:val="center"/>
          </w:tcPr>
          <w:p w14:paraId="065AFFB5">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磋商有效期</w:t>
            </w:r>
          </w:p>
        </w:tc>
        <w:tc>
          <w:tcPr>
            <w:tcW w:w="3328" w:type="dxa"/>
            <w:vAlign w:val="center"/>
          </w:tcPr>
          <w:p w14:paraId="4DAD286E">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u w:val="single"/>
              </w:rPr>
            </w:pPr>
          </w:p>
        </w:tc>
        <w:tc>
          <w:tcPr>
            <w:tcW w:w="1968" w:type="dxa"/>
            <w:vAlign w:val="center"/>
          </w:tcPr>
          <w:p w14:paraId="0CC0B9CD">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r>
      <w:tr w14:paraId="4DA2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7" w:type="dxa"/>
            <w:vAlign w:val="center"/>
          </w:tcPr>
          <w:p w14:paraId="2249C220">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80" w:type="dxa"/>
            <w:vAlign w:val="center"/>
          </w:tcPr>
          <w:p w14:paraId="4AA26068">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p>
        </w:tc>
        <w:tc>
          <w:tcPr>
            <w:tcW w:w="3328" w:type="dxa"/>
            <w:vAlign w:val="center"/>
          </w:tcPr>
          <w:p w14:paraId="33F19976">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u w:val="single"/>
              </w:rPr>
            </w:pPr>
          </w:p>
        </w:tc>
        <w:tc>
          <w:tcPr>
            <w:tcW w:w="1968" w:type="dxa"/>
            <w:vAlign w:val="center"/>
          </w:tcPr>
          <w:p w14:paraId="53AEACCA">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r>
      <w:tr w14:paraId="6B6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7" w:type="dxa"/>
            <w:vAlign w:val="center"/>
          </w:tcPr>
          <w:p w14:paraId="7AD3465A">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580" w:type="dxa"/>
            <w:vAlign w:val="center"/>
          </w:tcPr>
          <w:p w14:paraId="273AF27A">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tc>
        <w:tc>
          <w:tcPr>
            <w:tcW w:w="3328" w:type="dxa"/>
            <w:vAlign w:val="center"/>
          </w:tcPr>
          <w:p w14:paraId="38C34E4F">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u w:val="single"/>
              </w:rPr>
            </w:pPr>
          </w:p>
        </w:tc>
        <w:tc>
          <w:tcPr>
            <w:tcW w:w="1968" w:type="dxa"/>
            <w:vAlign w:val="center"/>
          </w:tcPr>
          <w:p w14:paraId="38999CAC">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r>
      <w:tr w14:paraId="7E1C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7" w:type="dxa"/>
            <w:vAlign w:val="center"/>
          </w:tcPr>
          <w:p w14:paraId="5246DE5D">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580" w:type="dxa"/>
            <w:vAlign w:val="center"/>
          </w:tcPr>
          <w:p w14:paraId="43C0B6C9">
            <w:pPr>
              <w:keepNext w:val="0"/>
              <w:keepLines w:val="0"/>
              <w:pageBreakBefore w:val="0"/>
              <w:widowControl w:val="0"/>
              <w:kinsoku/>
              <w:wordWrap/>
              <w:overflowPunct/>
              <w:topLinePunct w:val="0"/>
              <w:autoSpaceDE w:val="0"/>
              <w:autoSpaceDN w:val="0"/>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优惠条件</w:t>
            </w:r>
          </w:p>
        </w:tc>
        <w:tc>
          <w:tcPr>
            <w:tcW w:w="3328" w:type="dxa"/>
            <w:vAlign w:val="center"/>
          </w:tcPr>
          <w:p w14:paraId="46035D90">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u w:val="single"/>
              </w:rPr>
            </w:pPr>
          </w:p>
        </w:tc>
        <w:tc>
          <w:tcPr>
            <w:tcW w:w="1968" w:type="dxa"/>
            <w:vAlign w:val="center"/>
          </w:tcPr>
          <w:p w14:paraId="0C119403">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r>
      <w:tr w14:paraId="0CB1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7" w:type="dxa"/>
            <w:vAlign w:val="center"/>
          </w:tcPr>
          <w:p w14:paraId="338C9CB1">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580" w:type="dxa"/>
            <w:vAlign w:val="center"/>
          </w:tcPr>
          <w:p w14:paraId="7F52C2F4">
            <w:pPr>
              <w:keepNext w:val="0"/>
              <w:keepLines w:val="0"/>
              <w:pageBreakBefore w:val="0"/>
              <w:widowControl w:val="0"/>
              <w:kinsoku/>
              <w:wordWrap/>
              <w:overflowPunct/>
              <w:topLinePunct w:val="0"/>
              <w:autoSpaceDE w:val="0"/>
              <w:autoSpaceDN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3328" w:type="dxa"/>
            <w:vAlign w:val="center"/>
          </w:tcPr>
          <w:p w14:paraId="6B6F3B51">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u w:val="single"/>
              </w:rPr>
            </w:pPr>
          </w:p>
        </w:tc>
        <w:tc>
          <w:tcPr>
            <w:tcW w:w="1968" w:type="dxa"/>
            <w:vAlign w:val="center"/>
          </w:tcPr>
          <w:p w14:paraId="1BD21B52">
            <w:pPr>
              <w:keepNext w:val="0"/>
              <w:keepLines w:val="0"/>
              <w:pageBreakBefore w:val="0"/>
              <w:widowControl w:val="0"/>
              <w:kinsoku/>
              <w:wordWrap/>
              <w:overflowPunct/>
              <w:topLinePunct w:val="0"/>
              <w:autoSpaceDE w:val="0"/>
              <w:autoSpaceDN w:val="0"/>
              <w:bidi w:val="0"/>
              <w:spacing w:line="360" w:lineRule="auto"/>
              <w:rPr>
                <w:rFonts w:hint="eastAsia" w:ascii="宋体" w:hAnsi="宋体" w:eastAsia="宋体" w:cs="宋体"/>
                <w:color w:val="auto"/>
                <w:sz w:val="24"/>
                <w:szCs w:val="24"/>
                <w:highlight w:val="none"/>
              </w:rPr>
            </w:pPr>
          </w:p>
        </w:tc>
      </w:tr>
    </w:tbl>
    <w:p w14:paraId="2CE94B47">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6164C0AB">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084E588B">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09894BF1">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3EA20709">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73720CEE">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29720615">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329BAE30">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4B540894">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052607F2">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7D71E211">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val="0"/>
          <w:bCs/>
          <w:color w:val="auto"/>
          <w:sz w:val="24"/>
          <w:szCs w:val="24"/>
          <w:highlight w:val="none"/>
        </w:rPr>
      </w:pPr>
    </w:p>
    <w:p w14:paraId="54489D3E">
      <w:pPr>
        <w:keepNext w:val="0"/>
        <w:keepLines w:val="0"/>
        <w:pageBreakBefore w:val="0"/>
        <w:widowControl w:val="0"/>
        <w:kinsoku/>
        <w:wordWrap/>
        <w:overflowPunct/>
        <w:topLinePunct w:val="0"/>
        <w:autoSpaceDE w:val="0"/>
        <w:autoSpaceDN w:val="0"/>
        <w:bidi w:val="0"/>
        <w:spacing w:line="360" w:lineRule="auto"/>
        <w:jc w:val="both"/>
        <w:outlineLvl w:val="1"/>
        <w:rPr>
          <w:rFonts w:hint="eastAsia" w:ascii="宋体" w:hAnsi="宋体" w:eastAsia="宋体" w:cs="宋体"/>
          <w:b w:val="0"/>
          <w:bCs/>
          <w:color w:val="auto"/>
          <w:sz w:val="24"/>
          <w:szCs w:val="24"/>
          <w:highlight w:val="none"/>
        </w:rPr>
      </w:pPr>
    </w:p>
    <w:bookmarkEnd w:id="43"/>
    <w:bookmarkEnd w:id="44"/>
    <w:p w14:paraId="3C75093C">
      <w:pPr>
        <w:keepNext w:val="0"/>
        <w:keepLines w:val="0"/>
        <w:pageBreakBefore w:val="0"/>
        <w:widowControl w:val="0"/>
        <w:kinsoku/>
        <w:wordWrap/>
        <w:overflowPunct/>
        <w:topLinePunct w:val="0"/>
        <w:autoSpaceDE w:val="0"/>
        <w:autoSpaceDN w:val="0"/>
        <w:bidi w:val="0"/>
        <w:spacing w:line="360" w:lineRule="auto"/>
        <w:ind w:firstLine="562" w:firstLineChars="200"/>
        <w:jc w:val="center"/>
        <w:outlineLvl w:val="1"/>
        <w:rPr>
          <w:rFonts w:hint="eastAsia" w:ascii="宋体" w:hAnsi="宋体" w:eastAsia="宋体" w:cs="宋体"/>
          <w:b/>
          <w:bCs w:val="0"/>
          <w:color w:val="auto"/>
          <w:sz w:val="28"/>
          <w:szCs w:val="28"/>
          <w:highlight w:val="none"/>
        </w:rPr>
      </w:pPr>
      <w:bookmarkStart w:id="61" w:name="_Toc24572"/>
      <w:bookmarkStart w:id="62" w:name="_Toc414891993"/>
      <w:bookmarkStart w:id="63" w:name="_Toc428007706"/>
      <w:bookmarkStart w:id="64" w:name="_Toc418712182"/>
      <w:bookmarkStart w:id="65" w:name="_Toc13766"/>
      <w:bookmarkStart w:id="66" w:name="_Toc453756960"/>
      <w:r>
        <w:rPr>
          <w:rFonts w:hint="eastAsia" w:ascii="宋体" w:hAnsi="宋体" w:eastAsia="宋体" w:cs="宋体"/>
          <w:b/>
          <w:bCs w:val="0"/>
          <w:color w:val="auto"/>
          <w:sz w:val="28"/>
          <w:szCs w:val="28"/>
          <w:highlight w:val="none"/>
        </w:rPr>
        <w:t>二、法定代表人身份证明</w:t>
      </w:r>
    </w:p>
    <w:p w14:paraId="206AEE62">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投标人名称：</w:t>
      </w:r>
      <w:r>
        <w:rPr>
          <w:rFonts w:hint="eastAsia" w:ascii="宋体" w:hAnsi="宋体" w:eastAsia="宋体" w:cs="宋体"/>
          <w:b w:val="0"/>
          <w:color w:val="auto"/>
          <w:sz w:val="24"/>
          <w:szCs w:val="24"/>
          <w:highlight w:val="none"/>
          <w:u w:val="single"/>
        </w:rPr>
        <w:t xml:space="preserve">                                                     </w:t>
      </w:r>
    </w:p>
    <w:p w14:paraId="12BE60BE">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单  位 性 质：</w:t>
      </w:r>
      <w:r>
        <w:rPr>
          <w:rFonts w:hint="eastAsia" w:ascii="宋体" w:hAnsi="宋体" w:eastAsia="宋体" w:cs="宋体"/>
          <w:b w:val="0"/>
          <w:color w:val="auto"/>
          <w:sz w:val="24"/>
          <w:szCs w:val="24"/>
          <w:highlight w:val="none"/>
          <w:u w:val="single"/>
        </w:rPr>
        <w:t xml:space="preserve">                                                     </w:t>
      </w:r>
    </w:p>
    <w:p w14:paraId="73EEFA3F">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地        址：</w:t>
      </w:r>
      <w:r>
        <w:rPr>
          <w:rFonts w:hint="eastAsia" w:ascii="宋体" w:hAnsi="宋体" w:eastAsia="宋体" w:cs="宋体"/>
          <w:b w:val="0"/>
          <w:color w:val="auto"/>
          <w:sz w:val="24"/>
          <w:szCs w:val="24"/>
          <w:highlight w:val="none"/>
          <w:u w:val="single"/>
        </w:rPr>
        <w:t xml:space="preserve">                                                     </w:t>
      </w:r>
    </w:p>
    <w:p w14:paraId="7C209763">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 立 时  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p>
    <w:p w14:paraId="54D7E9FC">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经 营 期  限：</w:t>
      </w:r>
      <w:r>
        <w:rPr>
          <w:rFonts w:hint="eastAsia" w:ascii="宋体" w:hAnsi="宋体" w:eastAsia="宋体" w:cs="宋体"/>
          <w:b w:val="0"/>
          <w:color w:val="auto"/>
          <w:sz w:val="24"/>
          <w:szCs w:val="24"/>
          <w:highlight w:val="none"/>
          <w:u w:val="single"/>
        </w:rPr>
        <w:t xml:space="preserve">                                                     </w:t>
      </w:r>
    </w:p>
    <w:p w14:paraId="69C4248B">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姓名：</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 xml:space="preserve"> 性别：</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年龄：</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职务：</w:t>
      </w:r>
      <w:r>
        <w:rPr>
          <w:rFonts w:hint="eastAsia" w:ascii="宋体" w:hAnsi="宋体" w:eastAsia="宋体" w:cs="宋体"/>
          <w:b w:val="0"/>
          <w:color w:val="auto"/>
          <w:sz w:val="24"/>
          <w:szCs w:val="24"/>
          <w:highlight w:val="none"/>
          <w:u w:val="single"/>
        </w:rPr>
        <w:t xml:space="preserve">          </w:t>
      </w:r>
    </w:p>
    <w:p w14:paraId="3F420596">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系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（投标人名称）的法定代表人。</w:t>
      </w:r>
    </w:p>
    <w:p w14:paraId="0A3FB35B">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特此证明。</w:t>
      </w:r>
    </w:p>
    <w:p w14:paraId="313D5F21">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附：法定代表人身份证明</w:t>
      </w:r>
    </w:p>
    <w:p w14:paraId="0399FEB1">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投标人：</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盖单位公章</w:t>
      </w:r>
      <w:r>
        <w:rPr>
          <w:rFonts w:hint="eastAsia" w:ascii="宋体" w:hAnsi="宋体" w:eastAsia="宋体" w:cs="宋体"/>
          <w:b w:val="0"/>
          <w:color w:val="auto"/>
          <w:sz w:val="24"/>
          <w:szCs w:val="24"/>
          <w:highlight w:val="none"/>
          <w:lang w:eastAsia="zh-CN"/>
        </w:rPr>
        <w:t>）</w:t>
      </w:r>
    </w:p>
    <w:p w14:paraId="34FD1B90">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p>
    <w:p w14:paraId="6717BD12">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eastAsia" w:ascii="宋体" w:hAnsi="宋体" w:eastAsia="宋体" w:cs="宋体"/>
          <w:b/>
          <w:bCs w:val="0"/>
          <w:color w:val="auto"/>
          <w:sz w:val="28"/>
          <w:szCs w:val="28"/>
          <w:highlight w:val="none"/>
        </w:rPr>
      </w:pPr>
      <w:r>
        <w:rPr>
          <w:rFonts w:hint="eastAsia" w:ascii="宋体" w:hAnsi="宋体" w:eastAsia="宋体" w:cs="宋体"/>
          <w:b w:val="0"/>
          <w:color w:val="auto"/>
          <w:sz w:val="24"/>
          <w:szCs w:val="24"/>
          <w:highlight w:val="none"/>
        </w:rPr>
        <w:br w:type="page"/>
      </w:r>
      <w:bookmarkStart w:id="67" w:name="_Toc24059"/>
      <w:bookmarkStart w:id="68" w:name="_Toc214"/>
      <w:r>
        <w:rPr>
          <w:rFonts w:hint="eastAsia" w:ascii="宋体" w:hAnsi="宋体" w:eastAsia="宋体" w:cs="宋体"/>
          <w:b/>
          <w:bCs w:val="0"/>
          <w:color w:val="auto"/>
          <w:sz w:val="28"/>
          <w:szCs w:val="28"/>
          <w:highlight w:val="none"/>
        </w:rPr>
        <w:t>三、授权委托书</w:t>
      </w:r>
      <w:bookmarkEnd w:id="67"/>
      <w:bookmarkEnd w:id="68"/>
    </w:p>
    <w:p w14:paraId="3710D4DE">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本人</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（姓名）系</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（投标人名称）的法定代表人，现委托</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（姓名）为我方代理人。代理人根据授权，以我方名义签署、澄清、说明、补正、递交、撤回、修改</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（项目名称）施工投标文件、签订合同和处理有关事宜，其法律后果由我方承担。</w:t>
      </w:r>
    </w:p>
    <w:p w14:paraId="768D4717">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委托期限：</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w:t>
      </w:r>
    </w:p>
    <w:p w14:paraId="513EF9D2">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代理人无转委托权。</w:t>
      </w:r>
    </w:p>
    <w:p w14:paraId="695A8038">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附：被授权人身份证明</w:t>
      </w:r>
    </w:p>
    <w:p w14:paraId="3969E64B">
      <w:pPr>
        <w:keepNext w:val="0"/>
        <w:keepLines w:val="0"/>
        <w:pageBreakBefore w:val="0"/>
        <w:widowControl w:val="0"/>
        <w:kinsoku/>
        <w:wordWrap/>
        <w:overflowPunct/>
        <w:topLinePunct w:val="0"/>
        <w:autoSpaceDE w:val="0"/>
        <w:autoSpaceDN w:val="0"/>
        <w:bidi w:val="0"/>
        <w:spacing w:line="360" w:lineRule="auto"/>
        <w:ind w:leftChars="1100"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  标  人：</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盖单位公章</w:t>
      </w:r>
      <w:r>
        <w:rPr>
          <w:rFonts w:hint="eastAsia" w:ascii="宋体" w:hAnsi="宋体" w:eastAsia="宋体" w:cs="宋体"/>
          <w:b w:val="0"/>
          <w:color w:val="auto"/>
          <w:sz w:val="24"/>
          <w:szCs w:val="24"/>
          <w:highlight w:val="none"/>
        </w:rPr>
        <w:t>）</w:t>
      </w:r>
    </w:p>
    <w:p w14:paraId="3C979192">
      <w:pPr>
        <w:keepNext w:val="0"/>
        <w:keepLines w:val="0"/>
        <w:pageBreakBefore w:val="0"/>
        <w:widowControl w:val="0"/>
        <w:kinsoku/>
        <w:wordWrap/>
        <w:overflowPunct/>
        <w:topLinePunct w:val="0"/>
        <w:autoSpaceDE w:val="0"/>
        <w:autoSpaceDN w:val="0"/>
        <w:bidi w:val="0"/>
        <w:spacing w:line="360" w:lineRule="auto"/>
        <w:ind w:leftChars="1100"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法定代表人：</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签字或盖章</w:t>
      </w:r>
      <w:r>
        <w:rPr>
          <w:rFonts w:hint="eastAsia" w:ascii="宋体" w:hAnsi="宋体" w:eastAsia="宋体" w:cs="宋体"/>
          <w:b w:val="0"/>
          <w:color w:val="auto"/>
          <w:sz w:val="24"/>
          <w:szCs w:val="24"/>
          <w:highlight w:val="none"/>
        </w:rPr>
        <w:t>）</w:t>
      </w:r>
    </w:p>
    <w:p w14:paraId="0C613867">
      <w:pPr>
        <w:keepNext w:val="0"/>
        <w:keepLines w:val="0"/>
        <w:pageBreakBefore w:val="0"/>
        <w:widowControl w:val="0"/>
        <w:kinsoku/>
        <w:wordWrap/>
        <w:overflowPunct/>
        <w:topLinePunct w:val="0"/>
        <w:autoSpaceDE w:val="0"/>
        <w:autoSpaceDN w:val="0"/>
        <w:bidi w:val="0"/>
        <w:spacing w:line="360" w:lineRule="auto"/>
        <w:ind w:leftChars="1100" w:firstLine="480" w:firstLineChars="200"/>
        <w:jc w:val="both"/>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身份证号码：</w:t>
      </w:r>
      <w:r>
        <w:rPr>
          <w:rFonts w:hint="eastAsia" w:ascii="宋体" w:hAnsi="宋体" w:eastAsia="宋体" w:cs="宋体"/>
          <w:b w:val="0"/>
          <w:color w:val="auto"/>
          <w:sz w:val="24"/>
          <w:szCs w:val="24"/>
          <w:highlight w:val="none"/>
          <w:u w:val="single"/>
        </w:rPr>
        <w:t xml:space="preserve">                        </w:t>
      </w:r>
    </w:p>
    <w:p w14:paraId="1C2D9172">
      <w:pPr>
        <w:keepNext w:val="0"/>
        <w:keepLines w:val="0"/>
        <w:pageBreakBefore w:val="0"/>
        <w:widowControl w:val="0"/>
        <w:kinsoku/>
        <w:wordWrap/>
        <w:overflowPunct/>
        <w:topLinePunct w:val="0"/>
        <w:autoSpaceDE w:val="0"/>
        <w:autoSpaceDN w:val="0"/>
        <w:bidi w:val="0"/>
        <w:spacing w:line="360" w:lineRule="auto"/>
        <w:ind w:leftChars="1100"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委托代理人：</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签字或盖章</w:t>
      </w:r>
      <w:r>
        <w:rPr>
          <w:rFonts w:hint="eastAsia" w:ascii="宋体" w:hAnsi="宋体" w:eastAsia="宋体" w:cs="宋体"/>
          <w:b w:val="0"/>
          <w:color w:val="auto"/>
          <w:sz w:val="24"/>
          <w:szCs w:val="24"/>
          <w:highlight w:val="none"/>
        </w:rPr>
        <w:t>）</w:t>
      </w:r>
    </w:p>
    <w:p w14:paraId="28906A84">
      <w:pPr>
        <w:keepNext w:val="0"/>
        <w:keepLines w:val="0"/>
        <w:pageBreakBefore w:val="0"/>
        <w:widowControl w:val="0"/>
        <w:kinsoku/>
        <w:wordWrap/>
        <w:overflowPunct/>
        <w:topLinePunct w:val="0"/>
        <w:autoSpaceDE w:val="0"/>
        <w:autoSpaceDN w:val="0"/>
        <w:bidi w:val="0"/>
        <w:spacing w:line="360" w:lineRule="auto"/>
        <w:ind w:leftChars="1100" w:firstLine="480" w:firstLineChars="200"/>
        <w:jc w:val="both"/>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身份证号码：</w:t>
      </w:r>
      <w:r>
        <w:rPr>
          <w:rFonts w:hint="eastAsia" w:ascii="宋体" w:hAnsi="宋体" w:eastAsia="宋体" w:cs="宋体"/>
          <w:b w:val="0"/>
          <w:color w:val="auto"/>
          <w:sz w:val="24"/>
          <w:szCs w:val="24"/>
          <w:highlight w:val="none"/>
          <w:u w:val="single"/>
        </w:rPr>
        <w:t xml:space="preserve">                         </w:t>
      </w:r>
    </w:p>
    <w:p w14:paraId="4AE9064F">
      <w:pPr>
        <w:keepNext w:val="0"/>
        <w:keepLines w:val="0"/>
        <w:pageBreakBefore w:val="0"/>
        <w:widowControl w:val="0"/>
        <w:kinsoku/>
        <w:wordWrap/>
        <w:overflowPunct/>
        <w:topLinePunct w:val="0"/>
        <w:autoSpaceDE w:val="0"/>
        <w:autoSpaceDN w:val="0"/>
        <w:bidi w:val="0"/>
        <w:spacing w:line="360" w:lineRule="auto"/>
        <w:ind w:firstLine="2880" w:firstLineChars="1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p>
    <w:p w14:paraId="462C27BB">
      <w:pPr>
        <w:keepNext w:val="0"/>
        <w:keepLines w:val="0"/>
        <w:pageBreakBefore w:val="0"/>
        <w:widowControl w:val="0"/>
        <w:kinsoku/>
        <w:wordWrap/>
        <w:overflowPunct/>
        <w:topLinePunct w:val="0"/>
        <w:autoSpaceDE w:val="0"/>
        <w:autoSpaceDN w:val="0"/>
        <w:bidi w:val="0"/>
        <w:spacing w:line="360" w:lineRule="auto"/>
        <w:ind w:firstLine="480" w:firstLineChars="200"/>
        <w:jc w:val="center"/>
        <w:outlineLvl w:val="1"/>
        <w:rPr>
          <w:rFonts w:hint="default" w:ascii="宋体" w:hAnsi="宋体" w:eastAsia="宋体" w:cs="宋体"/>
          <w:b/>
          <w:bCs w:val="0"/>
          <w:color w:val="auto"/>
          <w:sz w:val="28"/>
          <w:szCs w:val="28"/>
          <w:highlight w:val="none"/>
          <w:lang w:val="en-US" w:eastAsia="zh-CN"/>
        </w:rPr>
      </w:pPr>
      <w:r>
        <w:rPr>
          <w:rFonts w:hint="eastAsia" w:ascii="宋体" w:hAnsi="宋体" w:eastAsia="宋体" w:cs="宋体"/>
          <w:b w:val="0"/>
          <w:color w:val="auto"/>
          <w:sz w:val="24"/>
          <w:szCs w:val="24"/>
          <w:highlight w:val="none"/>
        </w:rPr>
        <w:br w:type="page"/>
      </w:r>
      <w:bookmarkEnd w:id="61"/>
      <w:bookmarkEnd w:id="62"/>
      <w:bookmarkEnd w:id="63"/>
      <w:bookmarkEnd w:id="64"/>
      <w:bookmarkEnd w:id="65"/>
      <w:bookmarkEnd w:id="66"/>
      <w:bookmarkStart w:id="69" w:name="_Toc13274"/>
      <w:bookmarkStart w:id="70" w:name="_Toc3545"/>
      <w:bookmarkStart w:id="71" w:name="_Toc23037"/>
      <w:bookmarkStart w:id="72" w:name="_Toc453756961"/>
      <w:bookmarkStart w:id="73" w:name="_Toc23060"/>
      <w:r>
        <w:rPr>
          <w:rFonts w:hint="eastAsia" w:ascii="宋体" w:hAnsi="宋体" w:eastAsia="宋体" w:cs="宋体"/>
          <w:b/>
          <w:bCs w:val="0"/>
          <w:color w:val="auto"/>
          <w:sz w:val="28"/>
          <w:szCs w:val="28"/>
          <w:highlight w:val="none"/>
          <w:lang w:val="zh-CN"/>
        </w:rPr>
        <w:t>四、</w:t>
      </w:r>
      <w:bookmarkEnd w:id="69"/>
      <w:r>
        <w:rPr>
          <w:rFonts w:hint="eastAsia" w:ascii="宋体" w:hAnsi="宋体" w:eastAsia="宋体" w:cs="宋体"/>
          <w:b/>
          <w:bCs w:val="0"/>
          <w:color w:val="auto"/>
          <w:sz w:val="28"/>
          <w:szCs w:val="28"/>
          <w:highlight w:val="none"/>
          <w:lang w:val="en-US" w:eastAsia="zh-CN"/>
        </w:rPr>
        <w:t>开标一览表</w:t>
      </w:r>
      <w:bookmarkEnd w:id="70"/>
    </w:p>
    <w:p w14:paraId="57852A2C">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p>
    <w:p w14:paraId="792499C1">
      <w:pPr>
        <w:keepNext w:val="0"/>
        <w:keepLines w:val="0"/>
        <w:pageBreakBefore w:val="0"/>
        <w:widowControl w:val="0"/>
        <w:kinsoku/>
        <w:wordWrap/>
        <w:overflowPunct/>
        <w:topLinePunct w:val="0"/>
        <w:autoSpaceDE w:val="0"/>
        <w:autoSpaceDN w:val="0"/>
        <w:bidi w:val="0"/>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项 目 名 称：</w:t>
      </w:r>
    </w:p>
    <w:p w14:paraId="557CE3FC">
      <w:pPr>
        <w:keepNext w:val="0"/>
        <w:keepLines w:val="0"/>
        <w:pageBreakBefore w:val="0"/>
        <w:widowControl w:val="0"/>
        <w:kinsoku/>
        <w:wordWrap/>
        <w:overflowPunct/>
        <w:topLinePunct w:val="0"/>
        <w:autoSpaceDE w:val="0"/>
        <w:autoSpaceDN w:val="0"/>
        <w:bidi w:val="0"/>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项 目 编 号：</w:t>
      </w:r>
    </w:p>
    <w:tbl>
      <w:tblPr>
        <w:tblStyle w:val="16"/>
        <w:tblW w:w="92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539"/>
      </w:tblGrid>
      <w:tr w14:paraId="0FE98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14:paraId="3EA96D0E">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w:t>
            </w:r>
          </w:p>
        </w:tc>
        <w:tc>
          <w:tcPr>
            <w:tcW w:w="7539" w:type="dxa"/>
            <w:tcBorders>
              <w:top w:val="single" w:color="auto" w:sz="4" w:space="0"/>
              <w:left w:val="single" w:color="auto" w:sz="4" w:space="0"/>
              <w:bottom w:val="single" w:color="auto" w:sz="4" w:space="0"/>
              <w:right w:val="single" w:color="auto" w:sz="4" w:space="0"/>
            </w:tcBorders>
            <w:noWrap/>
            <w:vAlign w:val="center"/>
          </w:tcPr>
          <w:p w14:paraId="1E42A920">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p>
        </w:tc>
      </w:tr>
      <w:tr w14:paraId="432E3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14:paraId="34904AE7">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企业资质</w:t>
            </w:r>
          </w:p>
        </w:tc>
        <w:tc>
          <w:tcPr>
            <w:tcW w:w="7539" w:type="dxa"/>
            <w:tcBorders>
              <w:top w:val="single" w:color="auto" w:sz="4" w:space="0"/>
              <w:left w:val="single" w:color="auto" w:sz="4" w:space="0"/>
              <w:bottom w:val="single" w:color="auto" w:sz="4" w:space="0"/>
              <w:right w:val="single" w:color="auto" w:sz="4" w:space="0"/>
            </w:tcBorders>
            <w:noWrap/>
            <w:vAlign w:val="center"/>
          </w:tcPr>
          <w:p w14:paraId="52BF3B39">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p>
        </w:tc>
      </w:tr>
      <w:tr w14:paraId="5CD1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14:paraId="3DCE2559">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磋商报价</w:t>
            </w:r>
          </w:p>
          <w:p w14:paraId="452DEF65">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（万元）</w:t>
            </w:r>
          </w:p>
        </w:tc>
        <w:tc>
          <w:tcPr>
            <w:tcW w:w="7539" w:type="dxa"/>
            <w:tcBorders>
              <w:top w:val="single" w:color="auto" w:sz="4" w:space="0"/>
              <w:left w:val="single" w:color="auto" w:sz="4" w:space="0"/>
              <w:bottom w:val="single" w:color="auto" w:sz="4" w:space="0"/>
              <w:right w:val="single" w:color="auto" w:sz="4" w:space="0"/>
            </w:tcBorders>
            <w:noWrap/>
            <w:vAlign w:val="center"/>
          </w:tcPr>
          <w:p w14:paraId="364DD7D9">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p>
        </w:tc>
      </w:tr>
      <w:tr w14:paraId="43076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14:paraId="78CBF35C">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计划工期</w:t>
            </w:r>
          </w:p>
        </w:tc>
        <w:tc>
          <w:tcPr>
            <w:tcW w:w="7539" w:type="dxa"/>
            <w:tcBorders>
              <w:top w:val="single" w:color="auto" w:sz="4" w:space="0"/>
              <w:left w:val="single" w:color="auto" w:sz="4" w:space="0"/>
              <w:bottom w:val="single" w:color="auto" w:sz="4" w:space="0"/>
              <w:right w:val="single" w:color="auto" w:sz="4" w:space="0"/>
            </w:tcBorders>
            <w:noWrap/>
            <w:vAlign w:val="center"/>
          </w:tcPr>
          <w:p w14:paraId="575CF4E7">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p>
        </w:tc>
      </w:tr>
      <w:tr w14:paraId="6DAE5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14:paraId="7CBD3CF3">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优惠条件</w:t>
            </w:r>
          </w:p>
          <w:p w14:paraId="48842358">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及服务承诺</w:t>
            </w:r>
          </w:p>
        </w:tc>
        <w:tc>
          <w:tcPr>
            <w:tcW w:w="7539" w:type="dxa"/>
            <w:tcBorders>
              <w:top w:val="single" w:color="auto" w:sz="4" w:space="0"/>
              <w:left w:val="single" w:color="auto" w:sz="4" w:space="0"/>
              <w:bottom w:val="single" w:color="auto" w:sz="4" w:space="0"/>
              <w:right w:val="single" w:color="auto" w:sz="4" w:space="0"/>
            </w:tcBorders>
            <w:noWrap/>
            <w:vAlign w:val="center"/>
          </w:tcPr>
          <w:p w14:paraId="0E4CEE5E">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见标书</w:t>
            </w:r>
          </w:p>
        </w:tc>
      </w:tr>
      <w:tr w14:paraId="4E927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14:paraId="5D979AB6">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备注</w:t>
            </w:r>
          </w:p>
        </w:tc>
        <w:tc>
          <w:tcPr>
            <w:tcW w:w="7539" w:type="dxa"/>
            <w:tcBorders>
              <w:top w:val="single" w:color="auto" w:sz="4" w:space="0"/>
              <w:left w:val="single" w:color="auto" w:sz="4" w:space="0"/>
              <w:bottom w:val="single" w:color="auto" w:sz="4" w:space="0"/>
              <w:right w:val="single" w:color="auto" w:sz="4" w:space="0"/>
            </w:tcBorders>
            <w:noWrap/>
            <w:vAlign w:val="center"/>
          </w:tcPr>
          <w:p w14:paraId="67DC90B8">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填报的内容必须和响应文件及</w:t>
            </w:r>
            <w:r>
              <w:rPr>
                <w:rFonts w:hint="eastAsia" w:ascii="宋体" w:hAnsi="宋体" w:eastAsia="宋体" w:cs="宋体"/>
                <w:b w:val="0"/>
                <w:color w:val="auto"/>
                <w:sz w:val="24"/>
                <w:szCs w:val="24"/>
                <w:highlight w:val="none"/>
                <w:lang w:eastAsia="zh-CN"/>
              </w:rPr>
              <w:t>磋商函及磋商函附录</w:t>
            </w:r>
            <w:r>
              <w:rPr>
                <w:rFonts w:hint="eastAsia" w:ascii="宋体" w:hAnsi="宋体" w:eastAsia="宋体" w:cs="宋体"/>
                <w:b w:val="0"/>
                <w:color w:val="auto"/>
                <w:sz w:val="24"/>
                <w:szCs w:val="24"/>
                <w:highlight w:val="none"/>
              </w:rPr>
              <w:t>中的内容一致。</w:t>
            </w:r>
          </w:p>
        </w:tc>
      </w:tr>
      <w:tr w14:paraId="621E9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9239" w:type="dxa"/>
            <w:gridSpan w:val="2"/>
            <w:tcBorders>
              <w:top w:val="single" w:color="auto" w:sz="4" w:space="0"/>
              <w:left w:val="single" w:color="auto" w:sz="4" w:space="0"/>
              <w:bottom w:val="single" w:color="auto" w:sz="4" w:space="0"/>
              <w:right w:val="single" w:color="auto" w:sz="4" w:space="0"/>
            </w:tcBorders>
            <w:noWrap/>
            <w:vAlign w:val="center"/>
          </w:tcPr>
          <w:p w14:paraId="65AF90E1">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p>
          <w:p w14:paraId="2B2EC231">
            <w:pPr>
              <w:keepNext w:val="0"/>
              <w:keepLines w:val="0"/>
              <w:pageBreakBefore w:val="0"/>
              <w:widowControl w:val="0"/>
              <w:kinsoku/>
              <w:wordWrap/>
              <w:overflowPunct/>
              <w:topLinePunct w:val="0"/>
              <w:autoSpaceDE w:val="0"/>
              <w:autoSpaceDN w:val="0"/>
              <w:bidi w:val="0"/>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（盖章）</w:t>
            </w: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委托代理人：</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（签字或盖章）</w:t>
            </w:r>
          </w:p>
          <w:p w14:paraId="4CBAB08F">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sz w:val="24"/>
                <w:szCs w:val="24"/>
                <w:highlight w:val="none"/>
              </w:rPr>
            </w:pPr>
          </w:p>
        </w:tc>
      </w:tr>
    </w:tbl>
    <w:p w14:paraId="6D6E1537">
      <w:pP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br w:type="page"/>
      </w:r>
    </w:p>
    <w:p w14:paraId="773F80BC">
      <w:pPr>
        <w:rPr>
          <w:rFonts w:hint="eastAsia"/>
          <w:lang w:val="en-US" w:eastAsia="zh-CN"/>
        </w:rPr>
      </w:pPr>
    </w:p>
    <w:p w14:paraId="5781A3D4">
      <w:pPr>
        <w:pStyle w:val="4"/>
        <w:keepNext w:val="0"/>
        <w:keepLines w:val="0"/>
        <w:pageBreakBefore w:val="0"/>
        <w:widowControl w:val="0"/>
        <w:kinsoku/>
        <w:wordWrap/>
        <w:overflowPunct/>
        <w:topLinePunct w:val="0"/>
        <w:autoSpaceDE w:val="0"/>
        <w:autoSpaceDN w:val="0"/>
        <w:bidi w:val="0"/>
        <w:ind w:firstLine="2530" w:firstLineChars="900"/>
        <w:jc w:val="both"/>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五、已标价工程量清单</w:t>
      </w:r>
      <w:bookmarkEnd w:id="71"/>
      <w:bookmarkEnd w:id="72"/>
      <w:bookmarkEnd w:id="73"/>
    </w:p>
    <w:p w14:paraId="1C2A14AC">
      <w:pPr>
        <w:keepNext w:val="0"/>
        <w:keepLines w:val="0"/>
        <w:pageBreakBefore w:val="0"/>
        <w:widowControl w:val="0"/>
        <w:kinsoku/>
        <w:wordWrap/>
        <w:overflowPunct/>
        <w:topLinePunct w:val="0"/>
        <w:autoSpaceDE w:val="0"/>
        <w:autoSpaceDN w:val="0"/>
        <w:bidi w:val="0"/>
        <w:spacing w:line="460" w:lineRule="exact"/>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说明：已标价工程量清单按第五章“工程量清单”中的相关清单表格式填写。构成合同文件的已标价工程量清单包括第五章“工程量清单”有关工程量清单、投标报价以及其他说明的内容。</w:t>
      </w:r>
    </w:p>
    <w:p w14:paraId="08DD26E7">
      <w:pPr>
        <w:keepNext w:val="0"/>
        <w:keepLines w:val="0"/>
        <w:pageBreakBefore w:val="0"/>
        <w:widowControl w:val="0"/>
        <w:kinsoku/>
        <w:wordWrap/>
        <w:overflowPunct/>
        <w:topLinePunct w:val="0"/>
        <w:autoSpaceDE w:val="0"/>
        <w:autoSpaceDN w:val="0"/>
        <w:bidi w:val="0"/>
        <w:spacing w:line="440" w:lineRule="exact"/>
        <w:ind w:firstLine="480" w:firstLineChars="200"/>
        <w:jc w:val="center"/>
        <w:outlineLvl w:val="1"/>
        <w:rPr>
          <w:rFonts w:hint="eastAsia" w:ascii="宋体" w:hAnsi="宋体" w:eastAsia="宋体" w:cs="宋体"/>
          <w:b/>
          <w:bCs/>
          <w:color w:val="auto"/>
          <w:kern w:val="2"/>
          <w:sz w:val="28"/>
          <w:szCs w:val="28"/>
          <w:highlight w:val="none"/>
        </w:rPr>
      </w:pPr>
      <w:r>
        <w:rPr>
          <w:rFonts w:hint="eastAsia" w:ascii="宋体" w:hAnsi="宋体" w:eastAsia="宋体" w:cs="宋体"/>
          <w:bCs/>
          <w:color w:val="auto"/>
          <w:kern w:val="2"/>
          <w:sz w:val="24"/>
          <w:szCs w:val="24"/>
          <w:highlight w:val="none"/>
        </w:rPr>
        <w:br w:type="page"/>
      </w:r>
      <w:bookmarkStart w:id="74" w:name="_Toc6606"/>
      <w:bookmarkStart w:id="75" w:name="_Toc15881"/>
      <w:r>
        <w:rPr>
          <w:rFonts w:hint="eastAsia" w:ascii="宋体" w:hAnsi="宋体" w:eastAsia="宋体" w:cs="宋体"/>
          <w:b/>
          <w:bCs/>
          <w:snapToGrid w:val="0"/>
          <w:color w:val="auto"/>
          <w:kern w:val="2"/>
          <w:sz w:val="28"/>
          <w:szCs w:val="28"/>
          <w:highlight w:val="none"/>
          <w:lang w:val="en-US" w:eastAsia="zh-CN" w:bidi="ar-SA"/>
        </w:rPr>
        <w:t>六、施工组织设计</w:t>
      </w:r>
      <w:bookmarkEnd w:id="74"/>
      <w:bookmarkEnd w:id="75"/>
    </w:p>
    <w:p w14:paraId="6A593A89">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bookmarkStart w:id="76" w:name="_Toc246997112"/>
      <w:bookmarkStart w:id="77" w:name="_Toc152042592"/>
      <w:bookmarkStart w:id="78" w:name="_Toc247085887"/>
      <w:bookmarkStart w:id="79" w:name="_Toc246996369"/>
      <w:bookmarkStart w:id="80" w:name="_Toc179632823"/>
      <w:bookmarkStart w:id="81" w:name="_Toc144974871"/>
      <w:bookmarkStart w:id="82" w:name="_Toc152045803"/>
      <w:bookmarkStart w:id="83" w:name="_Toc453756966"/>
      <w:r>
        <w:rPr>
          <w:rFonts w:hint="eastAsia" w:ascii="宋体" w:hAnsi="宋体" w:eastAsia="宋体" w:cs="宋体"/>
          <w:b w:val="0"/>
          <w:color w:val="auto"/>
          <w:kern w:val="2"/>
          <w:sz w:val="24"/>
          <w:szCs w:val="24"/>
          <w:highlight w:val="none"/>
        </w:rPr>
        <w:t>1．投标人应根据招标文件和对现场的勘察情况，采用文字并结合图表形式，参考以下要点编制本工程的施工组织设计：</w:t>
      </w:r>
    </w:p>
    <w:p w14:paraId="6B5BC21A">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（1）施工方案及技术措施；</w:t>
      </w:r>
    </w:p>
    <w:p w14:paraId="0253735C">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（2）质量保证措施和创优计划；</w:t>
      </w:r>
    </w:p>
    <w:p w14:paraId="1060CB46">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37839D41">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（4）施工安全措施计划；</w:t>
      </w:r>
    </w:p>
    <w:p w14:paraId="501B4D24">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（5）文明施工措施计划；</w:t>
      </w:r>
    </w:p>
    <w:p w14:paraId="50EDD5D6">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（6）施工场地治安保卫管理计划；</w:t>
      </w:r>
    </w:p>
    <w:p w14:paraId="05F89B6E">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（7）施工环保措施计划；</w:t>
      </w:r>
    </w:p>
    <w:p w14:paraId="70790D5F">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（8）冬季和雨季施工方案；</w:t>
      </w:r>
    </w:p>
    <w:p w14:paraId="7FC897B9">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9）施工现场总平面布置（投标人应递交一份施工总平面图，绘出现场临时设施布置图表并附文字说明，说明临时设施、加工车间、现场办公、设备及仓储、供电、供水、卫生、生活、道路、消防等设施的情况和布置）；</w:t>
      </w:r>
    </w:p>
    <w:p w14:paraId="3C266EEF">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（10）项目组织管理机构（若施工组织设计采用“暗标”方式评审，则在任何情况下，项目管理机构不得涉及人员姓名、简历、公司名称等暴露投标人身份的内容）；</w:t>
      </w:r>
    </w:p>
    <w:p w14:paraId="293291C6">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（11）承包人自行施工范围内拟分包的非主体和非关键性工作（按第二章“投标人须知”第1.11款的规定）、材料计划和劳动力计划；</w:t>
      </w:r>
    </w:p>
    <w:p w14:paraId="5F327BC5">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（12）成品保护和工程保修工作的管理措施和承诺；</w:t>
      </w:r>
    </w:p>
    <w:p w14:paraId="03409AE9">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（13）任何可能的紧急情况的处理措施、预案以及抵抗风险（包括工程施工过程中可能遇到的各种风险）的措施；</w:t>
      </w:r>
    </w:p>
    <w:p w14:paraId="3FA7848D">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（14）对总包管理的认识以及对专业分包工程的配合、协调、管理、服务方案；</w:t>
      </w:r>
    </w:p>
    <w:p w14:paraId="6F0E7482">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（15）与发包人、监理及设计人的配合；</w:t>
      </w:r>
    </w:p>
    <w:p w14:paraId="6A9CBC9D">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（16）招标文件规定的其他内容。</w:t>
      </w:r>
    </w:p>
    <w:p w14:paraId="37157C04">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．施工组织设计除采用文字表述外可附下列图表，图表及格式要求附后。若采用技术暗标评审，则下述表格应按照章节内容，严格按给定的格式附在相应的章节中。</w:t>
      </w:r>
    </w:p>
    <w:p w14:paraId="2B57DCD9">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附表一拟投入本工程的主要施工设备表</w:t>
      </w:r>
    </w:p>
    <w:p w14:paraId="32A2CF14">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附表二拟配备本工程的试验和检测仪器设备表</w:t>
      </w:r>
    </w:p>
    <w:p w14:paraId="43599AF0">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附表三劳动力计划表</w:t>
      </w:r>
    </w:p>
    <w:p w14:paraId="3DC33DB7">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附表四计划开</w:t>
      </w:r>
      <w:r>
        <w:rPr>
          <w:rFonts w:hint="eastAsia" w:ascii="宋体" w:hAnsi="宋体" w:eastAsia="宋体" w:cs="宋体"/>
          <w:b w:val="0"/>
          <w:color w:val="auto"/>
          <w:kern w:val="2"/>
          <w:sz w:val="24"/>
          <w:szCs w:val="24"/>
          <w:highlight w:val="none"/>
          <w:lang w:val="en-US" w:eastAsia="zh-CN"/>
        </w:rPr>
        <w:t>工</w:t>
      </w:r>
      <w:r>
        <w:rPr>
          <w:rFonts w:hint="eastAsia" w:ascii="宋体" w:hAnsi="宋体" w:eastAsia="宋体" w:cs="宋体"/>
          <w:b w:val="0"/>
          <w:color w:val="auto"/>
          <w:kern w:val="2"/>
          <w:sz w:val="24"/>
          <w:szCs w:val="24"/>
          <w:highlight w:val="none"/>
        </w:rPr>
        <w:t>、竣工日期和施工进度网络图</w:t>
      </w:r>
    </w:p>
    <w:p w14:paraId="7FA615F5">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附表五施工总平面图</w:t>
      </w:r>
    </w:p>
    <w:p w14:paraId="20533467">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附表六临时用地表</w:t>
      </w:r>
    </w:p>
    <w:p w14:paraId="5E7FF29F">
      <w:pPr>
        <w:keepNext w:val="0"/>
        <w:keepLines w:val="0"/>
        <w:pageBreakBefore w:val="0"/>
        <w:widowControl w:val="0"/>
        <w:kinsoku/>
        <w:wordWrap/>
        <w:overflowPunct/>
        <w:topLinePunct w:val="0"/>
        <w:autoSpaceDE w:val="0"/>
        <w:autoSpaceDN w:val="0"/>
        <w:bidi w:val="0"/>
        <w:spacing w:before="156" w:beforeLines="50" w:after="312" w:afterLines="100" w:line="420" w:lineRule="exact"/>
        <w:jc w:val="both"/>
        <w:rPr>
          <w:rFonts w:hint="eastAsia" w:ascii="宋体" w:hAnsi="宋体" w:eastAsia="宋体" w:cs="宋体"/>
          <w:b w:val="0"/>
          <w:color w:val="auto"/>
          <w:kern w:val="2"/>
          <w:sz w:val="24"/>
          <w:szCs w:val="24"/>
          <w:highlight w:val="none"/>
        </w:rPr>
      </w:pPr>
    </w:p>
    <w:p w14:paraId="7858361B">
      <w:pPr>
        <w:keepNext w:val="0"/>
        <w:keepLines w:val="0"/>
        <w:pageBreakBefore w:val="0"/>
        <w:widowControl w:val="0"/>
        <w:kinsoku/>
        <w:wordWrap/>
        <w:overflowPunct/>
        <w:topLinePunct w:val="0"/>
        <w:autoSpaceDE w:val="0"/>
        <w:autoSpaceDN w:val="0"/>
        <w:bidi w:val="0"/>
        <w:spacing w:before="156" w:beforeLines="50" w:after="312" w:afterLines="100" w:line="420" w:lineRule="exact"/>
        <w:jc w:val="both"/>
        <w:rPr>
          <w:rFonts w:hint="eastAsia" w:ascii="宋体" w:hAnsi="宋体" w:eastAsia="宋体" w:cs="宋体"/>
          <w:b w:val="0"/>
          <w:color w:val="auto"/>
          <w:kern w:val="2"/>
          <w:sz w:val="24"/>
          <w:szCs w:val="24"/>
          <w:highlight w:val="none"/>
        </w:rPr>
      </w:pPr>
    </w:p>
    <w:p w14:paraId="71C71FDA">
      <w:pPr>
        <w:keepNext w:val="0"/>
        <w:keepLines w:val="0"/>
        <w:pageBreakBefore w:val="0"/>
        <w:widowControl w:val="0"/>
        <w:kinsoku/>
        <w:wordWrap/>
        <w:overflowPunct/>
        <w:topLinePunct w:val="0"/>
        <w:autoSpaceDE w:val="0"/>
        <w:autoSpaceDN w:val="0"/>
        <w:bidi w:val="0"/>
        <w:spacing w:before="156" w:beforeLines="50" w:after="312" w:afterLines="100" w:line="42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br w:type="page"/>
      </w:r>
      <w:r>
        <w:rPr>
          <w:rFonts w:hint="eastAsia" w:ascii="宋体" w:hAnsi="宋体" w:eastAsia="宋体" w:cs="宋体"/>
          <w:b w:val="0"/>
          <w:color w:val="auto"/>
          <w:kern w:val="2"/>
          <w:sz w:val="24"/>
          <w:szCs w:val="24"/>
          <w:highlight w:val="none"/>
        </w:rPr>
        <w:t>附表一：拟投入本工程的主要施工设备表</w:t>
      </w:r>
    </w:p>
    <w:tbl>
      <w:tblPr>
        <w:tblStyle w:val="16"/>
        <w:tblpPr w:leftFromText="180" w:rightFromText="180" w:vertAnchor="text" w:horzAnchor="page" w:tblpX="1361" w:tblpY="322"/>
        <w:tblOverlap w:val="never"/>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50"/>
        <w:gridCol w:w="726"/>
        <w:gridCol w:w="1105"/>
        <w:gridCol w:w="766"/>
        <w:gridCol w:w="766"/>
        <w:gridCol w:w="1272"/>
        <w:gridCol w:w="943"/>
        <w:gridCol w:w="943"/>
        <w:gridCol w:w="827"/>
      </w:tblGrid>
      <w:tr w14:paraId="1AE5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6" w:type="dxa"/>
            <w:noWrap w:val="0"/>
            <w:vAlign w:val="center"/>
          </w:tcPr>
          <w:p w14:paraId="2F80F3E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序号</w:t>
            </w:r>
          </w:p>
        </w:tc>
        <w:tc>
          <w:tcPr>
            <w:tcW w:w="1150" w:type="dxa"/>
            <w:noWrap w:val="0"/>
            <w:vAlign w:val="center"/>
          </w:tcPr>
          <w:p w14:paraId="40F79DC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设备</w:t>
            </w:r>
          </w:p>
          <w:p w14:paraId="4999BD1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名称</w:t>
            </w:r>
          </w:p>
        </w:tc>
        <w:tc>
          <w:tcPr>
            <w:tcW w:w="726" w:type="dxa"/>
            <w:noWrap w:val="0"/>
            <w:vAlign w:val="center"/>
          </w:tcPr>
          <w:p w14:paraId="2C9337F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型号</w:t>
            </w:r>
          </w:p>
          <w:p w14:paraId="4BBD8D8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规格</w:t>
            </w:r>
          </w:p>
        </w:tc>
        <w:tc>
          <w:tcPr>
            <w:tcW w:w="1105" w:type="dxa"/>
            <w:noWrap w:val="0"/>
            <w:vAlign w:val="center"/>
          </w:tcPr>
          <w:p w14:paraId="173E87D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数量</w:t>
            </w:r>
          </w:p>
        </w:tc>
        <w:tc>
          <w:tcPr>
            <w:tcW w:w="766" w:type="dxa"/>
            <w:noWrap w:val="0"/>
            <w:vAlign w:val="center"/>
          </w:tcPr>
          <w:p w14:paraId="0F154B4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国别</w:t>
            </w:r>
          </w:p>
          <w:p w14:paraId="750B144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产地</w:t>
            </w:r>
          </w:p>
        </w:tc>
        <w:tc>
          <w:tcPr>
            <w:tcW w:w="766" w:type="dxa"/>
            <w:noWrap w:val="0"/>
            <w:vAlign w:val="center"/>
          </w:tcPr>
          <w:p w14:paraId="6997F47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制造</w:t>
            </w:r>
          </w:p>
          <w:p w14:paraId="4FF985D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年份</w:t>
            </w:r>
          </w:p>
        </w:tc>
        <w:tc>
          <w:tcPr>
            <w:tcW w:w="1272" w:type="dxa"/>
            <w:noWrap w:val="0"/>
            <w:vAlign w:val="center"/>
          </w:tcPr>
          <w:p w14:paraId="286B6A4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额定功率</w:t>
            </w:r>
          </w:p>
          <w:p w14:paraId="056260A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（KW）</w:t>
            </w:r>
          </w:p>
        </w:tc>
        <w:tc>
          <w:tcPr>
            <w:tcW w:w="943" w:type="dxa"/>
            <w:noWrap w:val="0"/>
            <w:vAlign w:val="center"/>
          </w:tcPr>
          <w:p w14:paraId="250AEA0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生产</w:t>
            </w:r>
          </w:p>
          <w:p w14:paraId="086D467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能力</w:t>
            </w:r>
          </w:p>
        </w:tc>
        <w:tc>
          <w:tcPr>
            <w:tcW w:w="943" w:type="dxa"/>
            <w:noWrap w:val="0"/>
            <w:vAlign w:val="center"/>
          </w:tcPr>
          <w:p w14:paraId="1884F39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用于施</w:t>
            </w:r>
          </w:p>
          <w:p w14:paraId="6763891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工部位</w:t>
            </w:r>
          </w:p>
        </w:tc>
        <w:tc>
          <w:tcPr>
            <w:tcW w:w="827" w:type="dxa"/>
            <w:noWrap w:val="0"/>
            <w:vAlign w:val="center"/>
          </w:tcPr>
          <w:p w14:paraId="2239724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w:t>
            </w:r>
          </w:p>
        </w:tc>
      </w:tr>
      <w:tr w14:paraId="7F8B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77F9667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1599EF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2EE1E36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1B7CD62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25F10A9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19B2476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47171D3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2CF693E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2991BF2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1DC0182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524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078C710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7CC8D76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2469AF5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02D46F8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2E0A221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3DE9356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6C93676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3692304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5A811C1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7E6C8A9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055C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29AB2D2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65DD947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0F271EB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4F927C1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5C0C8CD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63F7720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613EA52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08AA68C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72B36C7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100AC65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DE8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37CFB22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09271F0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494CA26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3FEFF43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3CED6A4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6C6D989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025FD36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0EBAF3C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72535CA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6BA2F17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1EC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617E216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284A11C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62BB7D9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21E5B64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538E57F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77F42CB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3C411A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2E5480B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1EF0805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395AD1E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8BC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472555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0B5E219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46D3AEA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0D6D224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3AAA912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704A764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2308F7E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6E0FCDB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2339E96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5340480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033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1D723AB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3F52D11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311132B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3F9AF63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2AF2A4F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78DA1E6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495CEE2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1CE71B1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4BADA46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1A80F3E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66EC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7724CE9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3C159E9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4A95C96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2FE5FA2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6AB27E0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077D1D1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72B6F4C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0035816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146755B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29F8B98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330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748B003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24E6730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26609A7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323936D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10EB5B2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140B7F0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1B7BE09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2A7084C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19FF582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6F1DE7B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4AE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7D4EB6A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6454588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5E3178C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11CFA64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4032BB1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07E2D6A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6060CFB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42BCB92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4AD8A76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518DA97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647A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693085B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0EFD717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47FC28D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6900624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4A0E245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3D27A53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2A03BF5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1A33285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3798455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08CF0C7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C6C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4F54556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0763BC0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4472813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3FF5A72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533BB24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7578652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2E76948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741FE40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79FAA28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7B6BFFD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38E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3AFE2AC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4947014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4FFB442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497DC72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23413CE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4561336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0EC99E6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0F3759E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69530DD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56352C4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02EA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2BC0270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7B9D213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6FE69EB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2B6F81D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5AA1D76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2D29DB4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1736906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779329F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3F5C94D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0E0CBD4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022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6380FB8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2DBAE2A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2CF8215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4EB5BC2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0943BA9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0E6ED5D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6838581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623BDCD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3AF5446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015DCA2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657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12AF1DC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784924B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387E55C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0D20DDC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1A67B96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47EBD43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7CA9F72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13BCB9F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56EEE0B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5BFAB77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F2D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6BBB4EC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2ECF223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1470FD0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3AD67B5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3A846FB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3910828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792D80F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2F142F9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1547132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17BA22F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E38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3695C90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0104516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7266B01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474B6E7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3094472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7AB973E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3087CED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24283CE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27B7CC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138987F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656F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43774EC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24B5D8F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56A82DA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53AA230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1C4B3F1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2892DBC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0DC68FB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7F78F00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6CFA48B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3021864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C32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689277B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05B0D1E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06C84B4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730C9F3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58B8462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0E679FC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528C606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50A1743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58C7500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44D0467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6BAC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6" w:type="dxa"/>
            <w:noWrap w:val="0"/>
            <w:vAlign w:val="center"/>
          </w:tcPr>
          <w:p w14:paraId="5D5FF3E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178E294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390FA97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37A3098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799CF36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13A9068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1933621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44FA411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06C02BF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6FD4197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1FA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696" w:type="dxa"/>
            <w:noWrap w:val="0"/>
            <w:vAlign w:val="center"/>
          </w:tcPr>
          <w:p w14:paraId="6BEE107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0CBCB86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7D5C805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1CBB632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002118D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2D7948D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7E83989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36E6DE2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5E4A996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3023E4A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602E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96" w:type="dxa"/>
            <w:noWrap w:val="0"/>
            <w:vAlign w:val="center"/>
          </w:tcPr>
          <w:p w14:paraId="651A6C8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50" w:type="dxa"/>
            <w:noWrap w:val="0"/>
            <w:vAlign w:val="center"/>
          </w:tcPr>
          <w:p w14:paraId="5659DC2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26" w:type="dxa"/>
            <w:noWrap w:val="0"/>
            <w:vAlign w:val="center"/>
          </w:tcPr>
          <w:p w14:paraId="38F61F5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05" w:type="dxa"/>
            <w:noWrap w:val="0"/>
            <w:vAlign w:val="center"/>
          </w:tcPr>
          <w:p w14:paraId="3BC4B07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75AA2D9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66" w:type="dxa"/>
            <w:noWrap w:val="0"/>
            <w:vAlign w:val="center"/>
          </w:tcPr>
          <w:p w14:paraId="4C0C0F6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72" w:type="dxa"/>
            <w:noWrap w:val="0"/>
            <w:vAlign w:val="center"/>
          </w:tcPr>
          <w:p w14:paraId="1B6E3F0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649CECC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943" w:type="dxa"/>
            <w:noWrap w:val="0"/>
            <w:vAlign w:val="center"/>
          </w:tcPr>
          <w:p w14:paraId="17DD57F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27" w:type="dxa"/>
            <w:noWrap w:val="0"/>
            <w:vAlign w:val="center"/>
          </w:tcPr>
          <w:p w14:paraId="397AC80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bl>
    <w:p w14:paraId="63B8A918">
      <w:pPr>
        <w:keepNext w:val="0"/>
        <w:keepLines w:val="0"/>
        <w:pageBreakBefore w:val="0"/>
        <w:widowControl w:val="0"/>
        <w:kinsoku/>
        <w:wordWrap/>
        <w:overflowPunct/>
        <w:topLinePunct w:val="0"/>
        <w:autoSpaceDE w:val="0"/>
        <w:autoSpaceDN w:val="0"/>
        <w:bidi w:val="0"/>
        <w:spacing w:before="156" w:beforeLines="50" w:after="312" w:afterLines="100" w:line="420" w:lineRule="exact"/>
        <w:jc w:val="both"/>
        <w:rPr>
          <w:rFonts w:hint="eastAsia" w:ascii="宋体" w:hAnsi="宋体" w:eastAsia="宋体" w:cs="宋体"/>
          <w:b w:val="0"/>
          <w:color w:val="auto"/>
          <w:kern w:val="2"/>
          <w:sz w:val="24"/>
          <w:szCs w:val="24"/>
          <w:highlight w:val="none"/>
        </w:rPr>
      </w:pPr>
    </w:p>
    <w:p w14:paraId="5836FE29">
      <w:pPr>
        <w:keepNext w:val="0"/>
        <w:keepLines w:val="0"/>
        <w:pageBreakBefore w:val="0"/>
        <w:widowControl w:val="0"/>
        <w:kinsoku/>
        <w:wordWrap/>
        <w:overflowPunct/>
        <w:topLinePunct w:val="0"/>
        <w:autoSpaceDE w:val="0"/>
        <w:autoSpaceDN w:val="0"/>
        <w:bidi w:val="0"/>
        <w:spacing w:before="156" w:beforeLines="50" w:after="312" w:afterLines="100" w:line="420" w:lineRule="exact"/>
        <w:jc w:val="both"/>
        <w:rPr>
          <w:rFonts w:hint="eastAsia" w:ascii="宋体" w:hAnsi="宋体" w:eastAsia="宋体" w:cs="宋体"/>
          <w:b w:val="0"/>
          <w:color w:val="auto"/>
          <w:kern w:val="2"/>
          <w:sz w:val="24"/>
          <w:szCs w:val="24"/>
          <w:highlight w:val="none"/>
        </w:rPr>
      </w:pPr>
    </w:p>
    <w:p w14:paraId="1F188B4E">
      <w:pPr>
        <w:keepNext/>
        <w:keepLines w:val="0"/>
        <w:pageBreakBefore w:val="0"/>
        <w:widowControl w:val="0"/>
        <w:kinsoku w:val="0"/>
        <w:wordWrap/>
        <w:overflowPunct w:val="0"/>
        <w:topLinePunct w:val="0"/>
        <w:autoSpaceDE w:val="0"/>
        <w:autoSpaceDN w:val="0"/>
        <w:bidi w:val="0"/>
        <w:spacing w:before="156" w:beforeLines="50" w:after="312" w:afterLines="100" w:line="42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附表二：拟配备本工程的试验和检测仪器设备表</w:t>
      </w:r>
    </w:p>
    <w:tbl>
      <w:tblPr>
        <w:tblStyle w:val="16"/>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13"/>
        <w:gridCol w:w="703"/>
        <w:gridCol w:w="1069"/>
        <w:gridCol w:w="741"/>
        <w:gridCol w:w="741"/>
        <w:gridCol w:w="1230"/>
        <w:gridCol w:w="1736"/>
        <w:gridCol w:w="889"/>
      </w:tblGrid>
      <w:tr w14:paraId="6383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3" w:type="dxa"/>
            <w:noWrap w:val="0"/>
            <w:vAlign w:val="center"/>
          </w:tcPr>
          <w:p w14:paraId="370AC3F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序号</w:t>
            </w:r>
          </w:p>
        </w:tc>
        <w:tc>
          <w:tcPr>
            <w:tcW w:w="1113" w:type="dxa"/>
            <w:noWrap w:val="0"/>
            <w:vAlign w:val="center"/>
          </w:tcPr>
          <w:p w14:paraId="40AC0ED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仪器设备名称</w:t>
            </w:r>
          </w:p>
        </w:tc>
        <w:tc>
          <w:tcPr>
            <w:tcW w:w="703" w:type="dxa"/>
            <w:noWrap w:val="0"/>
            <w:vAlign w:val="center"/>
          </w:tcPr>
          <w:p w14:paraId="6018D10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型号</w:t>
            </w:r>
          </w:p>
          <w:p w14:paraId="782070B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规格</w:t>
            </w:r>
          </w:p>
        </w:tc>
        <w:tc>
          <w:tcPr>
            <w:tcW w:w="1069" w:type="dxa"/>
            <w:noWrap w:val="0"/>
            <w:vAlign w:val="center"/>
          </w:tcPr>
          <w:p w14:paraId="5D69262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数  量</w:t>
            </w:r>
          </w:p>
        </w:tc>
        <w:tc>
          <w:tcPr>
            <w:tcW w:w="741" w:type="dxa"/>
            <w:noWrap w:val="0"/>
            <w:vAlign w:val="center"/>
          </w:tcPr>
          <w:p w14:paraId="6ECC8D5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国别</w:t>
            </w:r>
          </w:p>
          <w:p w14:paraId="409E882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产地</w:t>
            </w:r>
          </w:p>
        </w:tc>
        <w:tc>
          <w:tcPr>
            <w:tcW w:w="741" w:type="dxa"/>
            <w:noWrap w:val="0"/>
            <w:vAlign w:val="center"/>
          </w:tcPr>
          <w:p w14:paraId="7C69D35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制造</w:t>
            </w:r>
          </w:p>
          <w:p w14:paraId="5145A32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年份</w:t>
            </w:r>
          </w:p>
        </w:tc>
        <w:tc>
          <w:tcPr>
            <w:tcW w:w="1230" w:type="dxa"/>
            <w:noWrap w:val="0"/>
            <w:vAlign w:val="center"/>
          </w:tcPr>
          <w:p w14:paraId="36FC61B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已使用台</w:t>
            </w:r>
          </w:p>
          <w:p w14:paraId="77F65099">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时    数</w:t>
            </w:r>
          </w:p>
        </w:tc>
        <w:tc>
          <w:tcPr>
            <w:tcW w:w="1736" w:type="dxa"/>
            <w:noWrap w:val="0"/>
            <w:vAlign w:val="center"/>
          </w:tcPr>
          <w:p w14:paraId="63185C0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用  途</w:t>
            </w:r>
          </w:p>
        </w:tc>
        <w:tc>
          <w:tcPr>
            <w:tcW w:w="889" w:type="dxa"/>
            <w:noWrap w:val="0"/>
            <w:vAlign w:val="center"/>
          </w:tcPr>
          <w:p w14:paraId="2027064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w:t>
            </w:r>
          </w:p>
        </w:tc>
      </w:tr>
      <w:tr w14:paraId="21E2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3421C20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47A6674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7FE1E9A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6F09F38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11DFFF69">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7B2BE29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77EE37C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0B0A176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11963BC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6061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5BDAF58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4134CC2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39F170F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22A1693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7788003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2439785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7277BE2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52447ED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0890492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1CB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7E298A1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7213DF6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4AF8574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37B3F91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59627AC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3537213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5E2E49D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60C7854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4E2947D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48C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57C0BAE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2082AF3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407AF6D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2A8544F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5B1C7A1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169C7C09">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3B69014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61E5139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3B668F0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270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0D651289">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5F47816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4313524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4DCB2A4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70842FC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0337B73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5AEB4C0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0DE516A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6EEB5FA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0C59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2951D5F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2021DAE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6F4730A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370DE33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6C51A47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29D1FEF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0C89A54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15C5B71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2274BA5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B23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4BE650B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071215F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5D1E9BB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172FF3D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76A2B0E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1554515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7D50C12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77170E4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5246273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3CF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75F4683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755BCEB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0765357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2396DDA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711DEAF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590B0C5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28D755D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1AB25C3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1BFB71E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04E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5D9CDA8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387847C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3C6FBF8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285F74E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17E8AA5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379D6E3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7A858A4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50EC035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2DC7EC5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3E5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3F0C8DA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502CB1D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482377C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2E80064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4664459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19D074E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75A43DF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4A2305E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7C92888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0994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527C48C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74F3B6C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5CB7A37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3057C93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1023DB6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442E749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6B1F1C6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2B3F596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48F403C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82A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5B039C2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713F64C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4B7FBFA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6B83820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2874B14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1C2CF1F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3EA1CC1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38CB025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1D2D15B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4AB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129951A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78BE4CC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159DF05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2DF5104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5F4E7B9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66D16BF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31385649">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19B615F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14011ED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C3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17A9141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65BCDAF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3151AE6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6936ED5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50DFB71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6C76218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1F7293D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7C3386F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076B830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26C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45615E1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46A23B9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74476F4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7CF60E2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1591A0E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495F8C1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14F6A919">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4EC7202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2F473C0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A6A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0CAC5AE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6A392E9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54C5B9D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18A4EB1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304BA77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39359D0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3501A89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61326EC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38A98F5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E32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24EF4FC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3907974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7A13DD2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7B70A0D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6E993CC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0E878B6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634D0D69">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3241EC1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0EB0190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6F7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29543DE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03CC753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4984B5A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2BC4E9A9">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3105271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320D5DF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02B4585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20DBD0D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2469D5A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A40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017EFA6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45175039">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097BE9F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6966993C">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2A0BA15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25350D6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45FA331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0EC7A82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1B749A7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60C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5B5D68A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46E3926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2EB69A9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78D3908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7A89FB1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202C5E8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541CA60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6FB89AC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516C163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080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3022DC9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357B4AA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5700106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0C68A43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0FEB44C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1311BB0A">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1D926E6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662CB8E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2D42F50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D13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3" w:type="dxa"/>
            <w:noWrap w:val="0"/>
            <w:vAlign w:val="center"/>
          </w:tcPr>
          <w:p w14:paraId="5C703D3F">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553E4C9E">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6DBDA1B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4912606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206DC596">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53B8DC60">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46BEF7B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6F430CB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63A6575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5D5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3" w:type="dxa"/>
            <w:noWrap w:val="0"/>
            <w:vAlign w:val="center"/>
          </w:tcPr>
          <w:p w14:paraId="72030EA2">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13" w:type="dxa"/>
            <w:noWrap w:val="0"/>
            <w:vAlign w:val="center"/>
          </w:tcPr>
          <w:p w14:paraId="676E9913">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03" w:type="dxa"/>
            <w:noWrap w:val="0"/>
            <w:vAlign w:val="center"/>
          </w:tcPr>
          <w:p w14:paraId="43A7C014">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9" w:type="dxa"/>
            <w:noWrap w:val="0"/>
            <w:vAlign w:val="center"/>
          </w:tcPr>
          <w:p w14:paraId="12BB0657">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22F25448">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741" w:type="dxa"/>
            <w:noWrap w:val="0"/>
            <w:vAlign w:val="center"/>
          </w:tcPr>
          <w:p w14:paraId="5801937D">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30" w:type="dxa"/>
            <w:noWrap w:val="0"/>
            <w:vAlign w:val="center"/>
          </w:tcPr>
          <w:p w14:paraId="045966B5">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36" w:type="dxa"/>
            <w:noWrap w:val="0"/>
            <w:vAlign w:val="center"/>
          </w:tcPr>
          <w:p w14:paraId="63091371">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889" w:type="dxa"/>
            <w:noWrap w:val="0"/>
            <w:vAlign w:val="center"/>
          </w:tcPr>
          <w:p w14:paraId="4C9A6FDB">
            <w:pPr>
              <w:keepNext/>
              <w:keepLines w:val="0"/>
              <w:pageBreakBefore w:val="0"/>
              <w:widowControl w:val="0"/>
              <w:suppressLineNumbers w:val="0"/>
              <w:kinsoku w:val="0"/>
              <w:wordWrap/>
              <w:overflowPunct w:val="0"/>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bl>
    <w:p w14:paraId="3684E9E2">
      <w:pPr>
        <w:keepNext/>
        <w:keepLines w:val="0"/>
        <w:pageBreakBefore w:val="0"/>
        <w:widowControl w:val="0"/>
        <w:kinsoku w:val="0"/>
        <w:wordWrap/>
        <w:overflowPunct w:val="0"/>
        <w:topLinePunct w:val="0"/>
        <w:autoSpaceDE w:val="0"/>
        <w:autoSpaceDN w:val="0"/>
        <w:bidi w:val="0"/>
        <w:spacing w:before="156" w:beforeLines="50" w:after="156" w:afterLines="50"/>
        <w:ind w:firstLine="480" w:firstLineChars="200"/>
        <w:jc w:val="both"/>
        <w:rPr>
          <w:rFonts w:hint="eastAsia" w:ascii="宋体" w:hAnsi="宋体" w:eastAsia="宋体" w:cs="宋体"/>
          <w:b w:val="0"/>
          <w:color w:val="auto"/>
          <w:kern w:val="2"/>
          <w:sz w:val="24"/>
          <w:szCs w:val="24"/>
          <w:highlight w:val="none"/>
        </w:rPr>
      </w:pPr>
    </w:p>
    <w:p w14:paraId="683D169A">
      <w:pPr>
        <w:pStyle w:val="4"/>
        <w:rPr>
          <w:rFonts w:hint="eastAsia"/>
        </w:rPr>
      </w:pPr>
    </w:p>
    <w:p w14:paraId="152616D0">
      <w:pPr>
        <w:rPr>
          <w:rFonts w:hint="eastAsia"/>
        </w:rPr>
      </w:pPr>
    </w:p>
    <w:p w14:paraId="7F979A11">
      <w:pPr>
        <w:pStyle w:val="2"/>
        <w:rPr>
          <w:rFonts w:hint="eastAsia"/>
        </w:rPr>
      </w:pPr>
    </w:p>
    <w:p w14:paraId="0F73FF87">
      <w:pPr>
        <w:keepNext w:val="0"/>
        <w:keepLines w:val="0"/>
        <w:pageBreakBefore w:val="0"/>
        <w:widowControl w:val="0"/>
        <w:kinsoku/>
        <w:wordWrap/>
        <w:overflowPunct/>
        <w:topLinePunct w:val="0"/>
        <w:autoSpaceDE w:val="0"/>
        <w:autoSpaceDN w:val="0"/>
        <w:bidi w:val="0"/>
        <w:spacing w:before="156" w:beforeLines="50" w:after="156" w:afterLines="5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附表三：劳动力计划表</w:t>
      </w:r>
    </w:p>
    <w:p w14:paraId="01880A40">
      <w:pPr>
        <w:keepNext w:val="0"/>
        <w:keepLines w:val="0"/>
        <w:pageBreakBefore w:val="0"/>
        <w:widowControl w:val="0"/>
        <w:kinsoku/>
        <w:wordWrap/>
        <w:overflowPunct/>
        <w:topLinePunct w:val="0"/>
        <w:autoSpaceDE w:val="0"/>
        <w:autoSpaceDN w:val="0"/>
        <w:bidi w:val="0"/>
        <w:spacing w:line="420" w:lineRule="exact"/>
        <w:ind w:firstLine="480" w:firstLineChars="200"/>
        <w:jc w:val="righ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单位：人</w:t>
      </w:r>
    </w:p>
    <w:tbl>
      <w:tblPr>
        <w:tblStyle w:val="1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7E4A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noWrap w:val="0"/>
            <w:vAlign w:val="center"/>
          </w:tcPr>
          <w:p w14:paraId="2BD5278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工种</w:t>
            </w:r>
          </w:p>
        </w:tc>
        <w:tc>
          <w:tcPr>
            <w:tcW w:w="7796" w:type="dxa"/>
            <w:gridSpan w:val="7"/>
            <w:noWrap w:val="0"/>
            <w:vAlign w:val="center"/>
          </w:tcPr>
          <w:p w14:paraId="3829F7D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按工程施工阶段投入劳动力情况</w:t>
            </w:r>
          </w:p>
        </w:tc>
      </w:tr>
      <w:tr w14:paraId="396B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5E9F85D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63B078D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7E4385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BC8836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8C39BA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417D5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BF48D8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9AF328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0D61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44931C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645075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C84204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1D6EDC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2DB116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94C12C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73F9ED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0BACDA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6484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026A0A2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3783404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8E7CC7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5524EC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43E2C0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DAF6A2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63164F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1A2866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6A9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561E5AE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51B6769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CBA48F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0C3F55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17DAE3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0CE423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378D06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F39552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B99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7C39187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016F7D4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D21EE6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598CFB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DE2AAF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58F17C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0D7E1C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E91F3B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052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3CFE039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1D3F246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6D4357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09D7C3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61A916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A72034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28BC31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9EDA08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6E3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699ED6C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2398CCD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510E7D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ACCAF7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4F3959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3974B3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3766B7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65C64E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886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5E220B8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1F0B75A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B3D8D7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66FB72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C1F872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6E4267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361C4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4A725C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3E1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69AFC1B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50F786A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A89C06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841A6E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CD6AE7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CE1454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3E6FE8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667649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482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5C7BE34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262E01B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8DBFB9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E21DD7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BC56D2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2B5198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24F6F3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659619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747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55D3689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4D7B01B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E7589F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1B503D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8479B9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40C9C0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CF9720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8AA665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32F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757064E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00E6D53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8227E8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F5BDA5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F4F3AD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67B82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5C1033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A0310C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60AA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616E667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1DD8E6C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697143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40D242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B139AF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B6D8BD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F09DB2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8C91E0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A81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2C46FDC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7B726E4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94CC76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A915DC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AC507F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B45D7D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3BCE9D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09DB2A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1C1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6510DB8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0CA7E68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DCE0B2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B65B36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68F75C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87BE30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2517CE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79105B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958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63C9A6F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382D67A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641354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546BEE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B562B0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932BAF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12B9DA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0EE55E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080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2FB4C3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7ED69AF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3A37AF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AAA40B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A7854B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9FECDD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6B03CD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0BFB9F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CCB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3C6050E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5814B3B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FB2206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70EE15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A74557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965C2C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7FF4F8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2575A5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395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3696358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687CB40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CAF7EA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B3DDAA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C730F0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2C12CF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826618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E03BDA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032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1266211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5CAAFEE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68B067C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CDD543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B0491D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7A6ABC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B40A3A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47A881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4DA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76337D8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136FB26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AE9D32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5E46C6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8399CC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8A1C09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A0968C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5EBA7F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F30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44DC7E9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76855D3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F5D132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F87479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8E3ECD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4B5AD2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20573C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6F3728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0B0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096E8D5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1B4613E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936615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855A2E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FF902C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0E1E20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E07024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72FC0C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C12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77A4638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046492E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4BADED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BFEA77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33CC271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5EFDEC9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207E479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4513D2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8D6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vAlign w:val="center"/>
          </w:tcPr>
          <w:p w14:paraId="4449DD0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418" w:type="dxa"/>
            <w:noWrap w:val="0"/>
            <w:vAlign w:val="center"/>
          </w:tcPr>
          <w:p w14:paraId="3845989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4723577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009E3FF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0DB9B4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8971B1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74E933B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063" w:type="dxa"/>
            <w:noWrap w:val="0"/>
            <w:vAlign w:val="center"/>
          </w:tcPr>
          <w:p w14:paraId="1062246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bl>
    <w:p w14:paraId="409F8DF0">
      <w:pPr>
        <w:keepNext w:val="0"/>
        <w:keepLines w:val="0"/>
        <w:pageBreakBefore w:val="0"/>
        <w:widowControl w:val="0"/>
        <w:kinsoku/>
        <w:wordWrap/>
        <w:overflowPunct/>
        <w:topLinePunct w:val="0"/>
        <w:autoSpaceDE w:val="0"/>
        <w:autoSpaceDN w:val="0"/>
        <w:bidi w:val="0"/>
        <w:spacing w:before="156" w:beforeLines="50" w:after="312" w:afterLines="100" w:line="420" w:lineRule="exact"/>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br w:type="page"/>
      </w:r>
      <w:r>
        <w:rPr>
          <w:rFonts w:hint="eastAsia" w:ascii="宋体" w:hAnsi="宋体" w:eastAsia="宋体" w:cs="宋体"/>
          <w:b w:val="0"/>
          <w:color w:val="auto"/>
          <w:kern w:val="2"/>
          <w:sz w:val="24"/>
          <w:szCs w:val="24"/>
          <w:highlight w:val="none"/>
        </w:rPr>
        <w:t>附表四：计划开</w:t>
      </w:r>
      <w:r>
        <w:rPr>
          <w:rFonts w:hint="eastAsia" w:ascii="宋体" w:hAnsi="宋体" w:eastAsia="宋体" w:cs="宋体"/>
          <w:b w:val="0"/>
          <w:color w:val="auto"/>
          <w:kern w:val="2"/>
          <w:sz w:val="24"/>
          <w:szCs w:val="24"/>
          <w:highlight w:val="none"/>
          <w:lang w:val="en-US" w:eastAsia="zh-CN"/>
        </w:rPr>
        <w:t>工</w:t>
      </w:r>
      <w:r>
        <w:rPr>
          <w:rFonts w:hint="eastAsia" w:ascii="宋体" w:hAnsi="宋体" w:eastAsia="宋体" w:cs="宋体"/>
          <w:b w:val="0"/>
          <w:color w:val="auto"/>
          <w:kern w:val="2"/>
          <w:sz w:val="24"/>
          <w:szCs w:val="24"/>
          <w:highlight w:val="none"/>
        </w:rPr>
        <w:t>、竣工日期和施工进度网络图</w:t>
      </w:r>
    </w:p>
    <w:p w14:paraId="58C6E91D">
      <w:pPr>
        <w:keepNext w:val="0"/>
        <w:keepLines w:val="0"/>
        <w:pageBreakBefore w:val="0"/>
        <w:widowControl w:val="0"/>
        <w:kinsoku/>
        <w:wordWrap/>
        <w:overflowPunct/>
        <w:topLinePunct w:val="0"/>
        <w:autoSpaceDE w:val="0"/>
        <w:autoSpaceDN w:val="0"/>
        <w:bidi w:val="0"/>
        <w:spacing w:line="420" w:lineRule="exact"/>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1．投标人应递交施工进度网络图或施工进度表，说明按招标文件要求的计划工期进行施工的各个关键日期。</w:t>
      </w:r>
    </w:p>
    <w:p w14:paraId="7FDBC32E">
      <w:pPr>
        <w:keepNext w:val="0"/>
        <w:keepLines w:val="0"/>
        <w:pageBreakBefore w:val="0"/>
        <w:widowControl w:val="0"/>
        <w:kinsoku/>
        <w:wordWrap/>
        <w:overflowPunct/>
        <w:topLinePunct w:val="0"/>
        <w:autoSpaceDE w:val="0"/>
        <w:autoSpaceDN w:val="0"/>
        <w:bidi w:val="0"/>
        <w:spacing w:line="420" w:lineRule="exact"/>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2．施工进度表可采用网络图和（或）横道图表示。</w:t>
      </w:r>
    </w:p>
    <w:p w14:paraId="1DBC3E97">
      <w:pPr>
        <w:keepNext w:val="0"/>
        <w:keepLines w:val="0"/>
        <w:pageBreakBefore w:val="0"/>
        <w:widowControl w:val="0"/>
        <w:kinsoku/>
        <w:wordWrap/>
        <w:overflowPunct/>
        <w:topLinePunct w:val="0"/>
        <w:autoSpaceDE w:val="0"/>
        <w:autoSpaceDN w:val="0"/>
        <w:bidi w:val="0"/>
        <w:spacing w:before="156" w:beforeLines="50" w:after="312" w:afterLines="100" w:line="420" w:lineRule="exact"/>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br w:type="page"/>
      </w:r>
      <w:r>
        <w:rPr>
          <w:rFonts w:hint="eastAsia" w:ascii="宋体" w:hAnsi="宋体" w:eastAsia="宋体" w:cs="宋体"/>
          <w:b w:val="0"/>
          <w:color w:val="auto"/>
          <w:kern w:val="2"/>
          <w:sz w:val="24"/>
          <w:szCs w:val="24"/>
          <w:highlight w:val="none"/>
        </w:rPr>
        <w:t>附表五：施工总平面图</w:t>
      </w:r>
    </w:p>
    <w:p w14:paraId="48D3A27B">
      <w:pPr>
        <w:keepNext w:val="0"/>
        <w:keepLines w:val="0"/>
        <w:pageBreakBefore w:val="0"/>
        <w:widowControl w:val="0"/>
        <w:kinsoku/>
        <w:wordWrap/>
        <w:overflowPunct/>
        <w:topLinePunct w:val="0"/>
        <w:autoSpaceDE w:val="0"/>
        <w:autoSpaceDN w:val="0"/>
        <w:bidi w:val="0"/>
        <w:spacing w:line="420" w:lineRule="exact"/>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14:paraId="0F12F320">
      <w:pPr>
        <w:keepNext w:val="0"/>
        <w:keepLines w:val="0"/>
        <w:pageBreakBefore w:val="0"/>
        <w:widowControl w:val="0"/>
        <w:kinsoku/>
        <w:wordWrap/>
        <w:overflowPunct/>
        <w:topLinePunct w:val="0"/>
        <w:autoSpaceDE w:val="0"/>
        <w:autoSpaceDN w:val="0"/>
        <w:bidi w:val="0"/>
        <w:spacing w:before="156" w:beforeLines="50" w:after="312" w:afterLines="100" w:line="420" w:lineRule="exact"/>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br w:type="page"/>
      </w:r>
      <w:r>
        <w:rPr>
          <w:rFonts w:hint="eastAsia" w:ascii="宋体" w:hAnsi="宋体" w:eastAsia="宋体" w:cs="宋体"/>
          <w:b w:val="0"/>
          <w:color w:val="auto"/>
          <w:kern w:val="2"/>
          <w:sz w:val="24"/>
          <w:szCs w:val="24"/>
          <w:highlight w:val="none"/>
        </w:rPr>
        <w:t>附表六：临时用地表</w:t>
      </w:r>
    </w:p>
    <w:tbl>
      <w:tblPr>
        <w:tblStyle w:val="1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3934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68" w:type="dxa"/>
            <w:noWrap w:val="0"/>
            <w:vAlign w:val="center"/>
          </w:tcPr>
          <w:p w14:paraId="71569D1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用途</w:t>
            </w:r>
          </w:p>
        </w:tc>
        <w:tc>
          <w:tcPr>
            <w:tcW w:w="2079" w:type="dxa"/>
            <w:noWrap w:val="0"/>
            <w:vAlign w:val="center"/>
          </w:tcPr>
          <w:p w14:paraId="052B73A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面积（平方米）</w:t>
            </w:r>
          </w:p>
        </w:tc>
        <w:tc>
          <w:tcPr>
            <w:tcW w:w="2079" w:type="dxa"/>
            <w:noWrap w:val="0"/>
            <w:vAlign w:val="center"/>
          </w:tcPr>
          <w:p w14:paraId="7A7925D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位置</w:t>
            </w:r>
          </w:p>
        </w:tc>
        <w:tc>
          <w:tcPr>
            <w:tcW w:w="2079" w:type="dxa"/>
            <w:noWrap w:val="0"/>
            <w:vAlign w:val="center"/>
          </w:tcPr>
          <w:p w14:paraId="7F6D521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需用时间</w:t>
            </w:r>
          </w:p>
        </w:tc>
      </w:tr>
      <w:tr w14:paraId="1CF7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7F19B85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60E1AF5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4DE76F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EF3540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6B95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41DE05F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FD668B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667060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3263127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5644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06B141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817795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20D393B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2FF2EC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296D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7C2CEA1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66CE4DC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746143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B597D3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3CC6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3D313D8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CBCE41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9B5AA5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6A96695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3B1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5A9792D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5E5E1A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35A023D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2C1DD98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7E53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5B3C850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375E139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41EDAE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2929A0F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12A4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779F4F6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A23333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C745C8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B837C6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708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643867E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36D7B55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6F59B75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8DFE85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0DFF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49ED1B9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29BA4C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6558A91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DA93EB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2FEE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2824071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0D47FC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BF8E08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51078E2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51BD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2A24318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D1F0DF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2769D80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BEC98E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672A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0CEE049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57D2A19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519E020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D2AACA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74C8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21F2CF2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EA0B39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5405950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EE90DE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4738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59D5CA6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830952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CFDBAA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594E599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1FBA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2FD8A03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DB1DB1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3981099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7D1515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23CB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0302651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FD6C23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39EB25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33C6D54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6749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2DDB5E6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3EE2F7A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BB59CC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3D2EE1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5355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6451A9F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B41A20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F04699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718189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29AB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69F9C63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514F909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771A02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88A7EA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4F2E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0E10751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2CD102C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040DF5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694D699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021B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0A9221F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7B0ACE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4B75D1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0226EF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2B89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1D0BBA1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5F347AA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650E087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832668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74F7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03F8407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1F0849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5EA2EE1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2FBA419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2162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21F9A38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4C9D95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B59B52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2199B5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2C3D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2749933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3B8C68F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1F4BB82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536C01C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44EA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3CB90CE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29670FB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431A818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3E76C7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311D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14:paraId="16DAC34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2E05F67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05EBD68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2079" w:type="dxa"/>
            <w:noWrap w:val="0"/>
            <w:vAlign w:val="top"/>
          </w:tcPr>
          <w:p w14:paraId="75372B3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bl>
    <w:p w14:paraId="16F99DE2">
      <w:pPr>
        <w:keepNext w:val="0"/>
        <w:keepLines w:val="0"/>
        <w:pageBreakBefore w:val="0"/>
        <w:widowControl w:val="0"/>
        <w:kinsoku/>
        <w:wordWrap/>
        <w:overflowPunct/>
        <w:topLinePunct w:val="0"/>
        <w:autoSpaceDE w:val="0"/>
        <w:autoSpaceDN w:val="0"/>
        <w:bidi w:val="0"/>
        <w:spacing w:line="440" w:lineRule="exact"/>
        <w:ind w:firstLine="482" w:firstLineChars="200"/>
        <w:jc w:val="center"/>
        <w:outlineLvl w:val="1"/>
        <w:rPr>
          <w:rFonts w:hint="eastAsia" w:ascii="宋体" w:hAnsi="宋体" w:eastAsia="宋体" w:cs="宋体"/>
          <w:b/>
          <w:bCs/>
          <w:snapToGrid w:val="0"/>
          <w:color w:val="auto"/>
          <w:kern w:val="2"/>
          <w:sz w:val="24"/>
          <w:szCs w:val="24"/>
          <w:highlight w:val="none"/>
          <w:lang w:val="en-US" w:eastAsia="zh-CN" w:bidi="ar-SA"/>
        </w:rPr>
      </w:pPr>
      <w:bookmarkStart w:id="84" w:name="_Toc8400"/>
      <w:bookmarkStart w:id="85" w:name="_Toc19450"/>
    </w:p>
    <w:p w14:paraId="3FCE635B">
      <w:pPr>
        <w:keepNext w:val="0"/>
        <w:keepLines w:val="0"/>
        <w:pageBreakBefore w:val="0"/>
        <w:widowControl w:val="0"/>
        <w:kinsoku/>
        <w:wordWrap/>
        <w:overflowPunct/>
        <w:topLinePunct w:val="0"/>
        <w:autoSpaceDE w:val="0"/>
        <w:autoSpaceDN w:val="0"/>
        <w:bidi w:val="0"/>
        <w:spacing w:line="440" w:lineRule="exact"/>
        <w:ind w:firstLine="482" w:firstLineChars="200"/>
        <w:jc w:val="center"/>
        <w:outlineLvl w:val="1"/>
        <w:rPr>
          <w:rFonts w:hint="eastAsia" w:ascii="宋体" w:hAnsi="宋体" w:eastAsia="宋体" w:cs="宋体"/>
          <w:b/>
          <w:bCs/>
          <w:snapToGrid w:val="0"/>
          <w:color w:val="auto"/>
          <w:kern w:val="2"/>
          <w:sz w:val="24"/>
          <w:szCs w:val="24"/>
          <w:highlight w:val="none"/>
          <w:lang w:val="en-US" w:eastAsia="zh-CN" w:bidi="ar-SA"/>
        </w:rPr>
      </w:pPr>
    </w:p>
    <w:p w14:paraId="7B61A6DB">
      <w:pPr>
        <w:keepNext w:val="0"/>
        <w:keepLines w:val="0"/>
        <w:pageBreakBefore w:val="0"/>
        <w:widowControl w:val="0"/>
        <w:kinsoku/>
        <w:wordWrap/>
        <w:overflowPunct/>
        <w:topLinePunct w:val="0"/>
        <w:autoSpaceDE w:val="0"/>
        <w:autoSpaceDN w:val="0"/>
        <w:bidi w:val="0"/>
        <w:spacing w:line="440" w:lineRule="exact"/>
        <w:ind w:firstLine="482" w:firstLineChars="200"/>
        <w:jc w:val="center"/>
        <w:outlineLvl w:val="1"/>
        <w:rPr>
          <w:rFonts w:hint="eastAsia" w:ascii="宋体" w:hAnsi="宋体" w:eastAsia="宋体" w:cs="宋体"/>
          <w:b/>
          <w:bCs/>
          <w:snapToGrid w:val="0"/>
          <w:color w:val="auto"/>
          <w:kern w:val="2"/>
          <w:sz w:val="24"/>
          <w:szCs w:val="24"/>
          <w:highlight w:val="none"/>
          <w:lang w:val="en-US" w:eastAsia="zh-CN" w:bidi="ar-SA"/>
        </w:rPr>
      </w:pPr>
    </w:p>
    <w:p w14:paraId="632DB4AD">
      <w:pPr>
        <w:keepNext w:val="0"/>
        <w:keepLines w:val="0"/>
        <w:pageBreakBefore w:val="0"/>
        <w:widowControl w:val="0"/>
        <w:kinsoku/>
        <w:wordWrap/>
        <w:overflowPunct/>
        <w:topLinePunct w:val="0"/>
        <w:autoSpaceDE w:val="0"/>
        <w:autoSpaceDN w:val="0"/>
        <w:bidi w:val="0"/>
        <w:spacing w:line="440" w:lineRule="exact"/>
        <w:ind w:firstLine="562" w:firstLineChars="200"/>
        <w:jc w:val="center"/>
        <w:outlineLvl w:val="1"/>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bCs/>
          <w:snapToGrid w:val="0"/>
          <w:color w:val="auto"/>
          <w:kern w:val="2"/>
          <w:sz w:val="28"/>
          <w:szCs w:val="28"/>
          <w:highlight w:val="none"/>
          <w:lang w:val="en-US" w:eastAsia="zh-CN" w:bidi="ar-SA"/>
        </w:rPr>
        <w:t>七、项目管理机构</w:t>
      </w:r>
      <w:bookmarkEnd w:id="76"/>
      <w:bookmarkEnd w:id="77"/>
      <w:bookmarkEnd w:id="78"/>
      <w:bookmarkEnd w:id="79"/>
      <w:bookmarkEnd w:id="80"/>
      <w:bookmarkEnd w:id="81"/>
      <w:bookmarkEnd w:id="82"/>
      <w:bookmarkEnd w:id="83"/>
      <w:bookmarkEnd w:id="84"/>
      <w:bookmarkEnd w:id="85"/>
    </w:p>
    <w:p w14:paraId="35FB0F9A">
      <w:pPr>
        <w:keepNext w:val="0"/>
        <w:keepLines w:val="0"/>
        <w:pageBreakBefore w:val="0"/>
        <w:widowControl w:val="0"/>
        <w:kinsoku/>
        <w:wordWrap/>
        <w:overflowPunct/>
        <w:topLinePunct w:val="0"/>
        <w:autoSpaceDE w:val="0"/>
        <w:autoSpaceDN w:val="0"/>
        <w:bidi w:val="0"/>
        <w:spacing w:before="156" w:beforeLines="50" w:after="312" w:afterLines="100" w:line="420" w:lineRule="exact"/>
        <w:ind w:firstLine="562" w:firstLineChars="200"/>
        <w:jc w:val="center"/>
        <w:rPr>
          <w:rFonts w:hint="eastAsia" w:ascii="宋体" w:hAnsi="宋体" w:eastAsia="宋体" w:cs="宋体"/>
          <w:b/>
          <w:bCs/>
          <w:color w:val="auto"/>
          <w:kern w:val="2"/>
          <w:sz w:val="28"/>
          <w:szCs w:val="28"/>
          <w:highlight w:val="none"/>
        </w:rPr>
      </w:pPr>
      <w:bookmarkStart w:id="86" w:name="_Toc152042593"/>
      <w:bookmarkStart w:id="87" w:name="_Toc144974872"/>
      <w:bookmarkStart w:id="88" w:name="_Toc247085888"/>
      <w:bookmarkStart w:id="89" w:name="_Toc152045804"/>
      <w:bookmarkStart w:id="90" w:name="_Toc246996370"/>
      <w:bookmarkStart w:id="91" w:name="_Toc246997113"/>
      <w:bookmarkStart w:id="92" w:name="_Toc179632824"/>
      <w:bookmarkStart w:id="93" w:name="_Toc453756967"/>
      <w:r>
        <w:rPr>
          <w:rFonts w:hint="eastAsia" w:ascii="宋体" w:hAnsi="宋体" w:eastAsia="宋体" w:cs="宋体"/>
          <w:b/>
          <w:bCs/>
          <w:color w:val="auto"/>
          <w:kern w:val="2"/>
          <w:sz w:val="28"/>
          <w:szCs w:val="28"/>
          <w:highlight w:val="none"/>
        </w:rPr>
        <w:t>（一）项目管理机构组成表</w:t>
      </w:r>
      <w:bookmarkEnd w:id="86"/>
      <w:bookmarkEnd w:id="87"/>
      <w:bookmarkEnd w:id="88"/>
      <w:bookmarkEnd w:id="89"/>
      <w:bookmarkEnd w:id="90"/>
      <w:bookmarkEnd w:id="91"/>
      <w:bookmarkEnd w:id="92"/>
      <w:bookmarkEnd w:id="93"/>
    </w:p>
    <w:tbl>
      <w:tblPr>
        <w:tblStyle w:val="1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765"/>
        <w:gridCol w:w="763"/>
        <w:gridCol w:w="1313"/>
        <w:gridCol w:w="777"/>
        <w:gridCol w:w="873"/>
        <w:gridCol w:w="709"/>
        <w:gridCol w:w="2456"/>
        <w:gridCol w:w="714"/>
      </w:tblGrid>
      <w:tr w14:paraId="115D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687" w:type="dxa"/>
            <w:vMerge w:val="restart"/>
            <w:noWrap w:val="0"/>
            <w:vAlign w:val="center"/>
          </w:tcPr>
          <w:p w14:paraId="2F791D1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职务</w:t>
            </w:r>
          </w:p>
        </w:tc>
        <w:tc>
          <w:tcPr>
            <w:tcW w:w="765" w:type="dxa"/>
            <w:vMerge w:val="restart"/>
            <w:noWrap w:val="0"/>
            <w:vAlign w:val="center"/>
          </w:tcPr>
          <w:p w14:paraId="37937EC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姓名</w:t>
            </w:r>
          </w:p>
        </w:tc>
        <w:tc>
          <w:tcPr>
            <w:tcW w:w="763" w:type="dxa"/>
            <w:vMerge w:val="restart"/>
            <w:noWrap w:val="0"/>
            <w:vAlign w:val="center"/>
          </w:tcPr>
          <w:p w14:paraId="39CC25F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职称</w:t>
            </w:r>
          </w:p>
        </w:tc>
        <w:tc>
          <w:tcPr>
            <w:tcW w:w="6128" w:type="dxa"/>
            <w:gridSpan w:val="5"/>
            <w:noWrap w:val="0"/>
            <w:vAlign w:val="center"/>
          </w:tcPr>
          <w:p w14:paraId="733A6BB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执业或职业资格证明</w:t>
            </w:r>
          </w:p>
        </w:tc>
        <w:tc>
          <w:tcPr>
            <w:tcW w:w="714" w:type="dxa"/>
            <w:noWrap w:val="0"/>
            <w:vAlign w:val="center"/>
          </w:tcPr>
          <w:p w14:paraId="32933B5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w:t>
            </w:r>
          </w:p>
        </w:tc>
      </w:tr>
      <w:tr w14:paraId="34E6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687" w:type="dxa"/>
            <w:vMerge w:val="continue"/>
            <w:noWrap w:val="0"/>
            <w:vAlign w:val="center"/>
          </w:tcPr>
          <w:p w14:paraId="5C4D896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vMerge w:val="continue"/>
            <w:noWrap w:val="0"/>
            <w:vAlign w:val="center"/>
          </w:tcPr>
          <w:p w14:paraId="09B9CF5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vMerge w:val="continue"/>
            <w:noWrap w:val="0"/>
            <w:vAlign w:val="center"/>
          </w:tcPr>
          <w:p w14:paraId="4E9D26A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center"/>
          </w:tcPr>
          <w:p w14:paraId="3E3B606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证书名称</w:t>
            </w:r>
          </w:p>
        </w:tc>
        <w:tc>
          <w:tcPr>
            <w:tcW w:w="777" w:type="dxa"/>
            <w:noWrap w:val="0"/>
            <w:vAlign w:val="center"/>
          </w:tcPr>
          <w:p w14:paraId="325BB36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级别</w:t>
            </w:r>
          </w:p>
        </w:tc>
        <w:tc>
          <w:tcPr>
            <w:tcW w:w="873" w:type="dxa"/>
            <w:noWrap w:val="0"/>
            <w:vAlign w:val="center"/>
          </w:tcPr>
          <w:p w14:paraId="1013F01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证号</w:t>
            </w:r>
          </w:p>
        </w:tc>
        <w:tc>
          <w:tcPr>
            <w:tcW w:w="709" w:type="dxa"/>
            <w:noWrap w:val="0"/>
            <w:vAlign w:val="center"/>
          </w:tcPr>
          <w:p w14:paraId="38F1E0F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专业</w:t>
            </w:r>
          </w:p>
        </w:tc>
        <w:tc>
          <w:tcPr>
            <w:tcW w:w="2456" w:type="dxa"/>
            <w:noWrap w:val="0"/>
            <w:vAlign w:val="center"/>
          </w:tcPr>
          <w:p w14:paraId="01A5758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养老保险</w:t>
            </w:r>
          </w:p>
        </w:tc>
        <w:tc>
          <w:tcPr>
            <w:tcW w:w="714" w:type="dxa"/>
            <w:noWrap w:val="0"/>
            <w:vAlign w:val="center"/>
          </w:tcPr>
          <w:p w14:paraId="6BA5902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20C0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noWrap w:val="0"/>
            <w:vAlign w:val="center"/>
          </w:tcPr>
          <w:p w14:paraId="2DF2470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noWrap w:val="0"/>
            <w:vAlign w:val="center"/>
          </w:tcPr>
          <w:p w14:paraId="613C2CF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noWrap w:val="0"/>
            <w:vAlign w:val="center"/>
          </w:tcPr>
          <w:p w14:paraId="33592DC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center"/>
          </w:tcPr>
          <w:p w14:paraId="0EA657E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noWrap w:val="0"/>
            <w:vAlign w:val="center"/>
          </w:tcPr>
          <w:p w14:paraId="22C108F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noWrap w:val="0"/>
            <w:vAlign w:val="center"/>
          </w:tcPr>
          <w:p w14:paraId="5220196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noWrap w:val="0"/>
            <w:vAlign w:val="center"/>
          </w:tcPr>
          <w:p w14:paraId="3CD8988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noWrap w:val="0"/>
            <w:vAlign w:val="center"/>
          </w:tcPr>
          <w:p w14:paraId="642F945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noWrap w:val="0"/>
            <w:vAlign w:val="center"/>
          </w:tcPr>
          <w:p w14:paraId="692779A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0AD3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noWrap w:val="0"/>
            <w:vAlign w:val="top"/>
          </w:tcPr>
          <w:p w14:paraId="5E76607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noWrap w:val="0"/>
            <w:vAlign w:val="top"/>
          </w:tcPr>
          <w:p w14:paraId="532E72C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noWrap w:val="0"/>
            <w:vAlign w:val="top"/>
          </w:tcPr>
          <w:p w14:paraId="6BD3D98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top"/>
          </w:tcPr>
          <w:p w14:paraId="39B6CEE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noWrap w:val="0"/>
            <w:vAlign w:val="top"/>
          </w:tcPr>
          <w:p w14:paraId="1C39771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noWrap w:val="0"/>
            <w:vAlign w:val="top"/>
          </w:tcPr>
          <w:p w14:paraId="312F0F3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noWrap w:val="0"/>
            <w:vAlign w:val="top"/>
          </w:tcPr>
          <w:p w14:paraId="35B6691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noWrap w:val="0"/>
            <w:vAlign w:val="top"/>
          </w:tcPr>
          <w:p w14:paraId="3FD2C15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noWrap w:val="0"/>
            <w:vAlign w:val="top"/>
          </w:tcPr>
          <w:p w14:paraId="1AC5995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24B8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noWrap w:val="0"/>
            <w:vAlign w:val="top"/>
          </w:tcPr>
          <w:p w14:paraId="3566BF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noWrap w:val="0"/>
            <w:vAlign w:val="top"/>
          </w:tcPr>
          <w:p w14:paraId="72DF9E8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noWrap w:val="0"/>
            <w:vAlign w:val="top"/>
          </w:tcPr>
          <w:p w14:paraId="5691849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top"/>
          </w:tcPr>
          <w:p w14:paraId="0C74650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noWrap w:val="0"/>
            <w:vAlign w:val="top"/>
          </w:tcPr>
          <w:p w14:paraId="2B6BF24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noWrap w:val="0"/>
            <w:vAlign w:val="top"/>
          </w:tcPr>
          <w:p w14:paraId="3D71B00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noWrap w:val="0"/>
            <w:vAlign w:val="top"/>
          </w:tcPr>
          <w:p w14:paraId="376E1FA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noWrap w:val="0"/>
            <w:vAlign w:val="top"/>
          </w:tcPr>
          <w:p w14:paraId="0FF7E13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noWrap w:val="0"/>
            <w:vAlign w:val="top"/>
          </w:tcPr>
          <w:p w14:paraId="2A5D750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0A70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noWrap w:val="0"/>
            <w:vAlign w:val="top"/>
          </w:tcPr>
          <w:p w14:paraId="1D88FD9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noWrap w:val="0"/>
            <w:vAlign w:val="top"/>
          </w:tcPr>
          <w:p w14:paraId="7073D63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noWrap w:val="0"/>
            <w:vAlign w:val="top"/>
          </w:tcPr>
          <w:p w14:paraId="2847796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top"/>
          </w:tcPr>
          <w:p w14:paraId="49FE14B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noWrap w:val="0"/>
            <w:vAlign w:val="top"/>
          </w:tcPr>
          <w:p w14:paraId="21F3D73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noWrap w:val="0"/>
            <w:vAlign w:val="top"/>
          </w:tcPr>
          <w:p w14:paraId="18649DA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noWrap w:val="0"/>
            <w:vAlign w:val="top"/>
          </w:tcPr>
          <w:p w14:paraId="6DBB83C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noWrap w:val="0"/>
            <w:vAlign w:val="top"/>
          </w:tcPr>
          <w:p w14:paraId="5E687BB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noWrap w:val="0"/>
            <w:vAlign w:val="top"/>
          </w:tcPr>
          <w:p w14:paraId="0D57C83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6242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noWrap w:val="0"/>
            <w:vAlign w:val="top"/>
          </w:tcPr>
          <w:p w14:paraId="4FDE054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noWrap w:val="0"/>
            <w:vAlign w:val="top"/>
          </w:tcPr>
          <w:p w14:paraId="656A1CC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noWrap w:val="0"/>
            <w:vAlign w:val="top"/>
          </w:tcPr>
          <w:p w14:paraId="75CF4E1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top"/>
          </w:tcPr>
          <w:p w14:paraId="655965D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noWrap w:val="0"/>
            <w:vAlign w:val="top"/>
          </w:tcPr>
          <w:p w14:paraId="0DB43BD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noWrap w:val="0"/>
            <w:vAlign w:val="top"/>
          </w:tcPr>
          <w:p w14:paraId="334E368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noWrap w:val="0"/>
            <w:vAlign w:val="top"/>
          </w:tcPr>
          <w:p w14:paraId="0F0B0D2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noWrap w:val="0"/>
            <w:vAlign w:val="top"/>
          </w:tcPr>
          <w:p w14:paraId="7E72B21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noWrap w:val="0"/>
            <w:vAlign w:val="top"/>
          </w:tcPr>
          <w:p w14:paraId="2548EA8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5390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noWrap w:val="0"/>
            <w:vAlign w:val="top"/>
          </w:tcPr>
          <w:p w14:paraId="56D7ADE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noWrap w:val="0"/>
            <w:vAlign w:val="top"/>
          </w:tcPr>
          <w:p w14:paraId="1A64F1F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noWrap w:val="0"/>
            <w:vAlign w:val="top"/>
          </w:tcPr>
          <w:p w14:paraId="01344F8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top"/>
          </w:tcPr>
          <w:p w14:paraId="7480E30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noWrap w:val="0"/>
            <w:vAlign w:val="top"/>
          </w:tcPr>
          <w:p w14:paraId="6BA4323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noWrap w:val="0"/>
            <w:vAlign w:val="top"/>
          </w:tcPr>
          <w:p w14:paraId="371BB21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noWrap w:val="0"/>
            <w:vAlign w:val="top"/>
          </w:tcPr>
          <w:p w14:paraId="00E1C60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noWrap w:val="0"/>
            <w:vAlign w:val="top"/>
          </w:tcPr>
          <w:p w14:paraId="0742841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noWrap w:val="0"/>
            <w:vAlign w:val="top"/>
          </w:tcPr>
          <w:p w14:paraId="6BE4418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3F7E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noWrap w:val="0"/>
            <w:vAlign w:val="top"/>
          </w:tcPr>
          <w:p w14:paraId="5978313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noWrap w:val="0"/>
            <w:vAlign w:val="top"/>
          </w:tcPr>
          <w:p w14:paraId="109A133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noWrap w:val="0"/>
            <w:vAlign w:val="top"/>
          </w:tcPr>
          <w:p w14:paraId="6F8B4E0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top"/>
          </w:tcPr>
          <w:p w14:paraId="23ABFB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noWrap w:val="0"/>
            <w:vAlign w:val="top"/>
          </w:tcPr>
          <w:p w14:paraId="5626DD2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noWrap w:val="0"/>
            <w:vAlign w:val="top"/>
          </w:tcPr>
          <w:p w14:paraId="51487BF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noWrap w:val="0"/>
            <w:vAlign w:val="top"/>
          </w:tcPr>
          <w:p w14:paraId="4E9993B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noWrap w:val="0"/>
            <w:vAlign w:val="top"/>
          </w:tcPr>
          <w:p w14:paraId="5B4E184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noWrap w:val="0"/>
            <w:vAlign w:val="top"/>
          </w:tcPr>
          <w:p w14:paraId="19BFD8F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1F55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noWrap w:val="0"/>
            <w:vAlign w:val="top"/>
          </w:tcPr>
          <w:p w14:paraId="04221CF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noWrap w:val="0"/>
            <w:vAlign w:val="top"/>
          </w:tcPr>
          <w:p w14:paraId="06BF47F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noWrap w:val="0"/>
            <w:vAlign w:val="top"/>
          </w:tcPr>
          <w:p w14:paraId="372AEEF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top"/>
          </w:tcPr>
          <w:p w14:paraId="057EBF4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noWrap w:val="0"/>
            <w:vAlign w:val="top"/>
          </w:tcPr>
          <w:p w14:paraId="5DB0682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noWrap w:val="0"/>
            <w:vAlign w:val="top"/>
          </w:tcPr>
          <w:p w14:paraId="1C2C6E3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noWrap w:val="0"/>
            <w:vAlign w:val="top"/>
          </w:tcPr>
          <w:p w14:paraId="23C344C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noWrap w:val="0"/>
            <w:vAlign w:val="top"/>
          </w:tcPr>
          <w:p w14:paraId="067C5F5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noWrap w:val="0"/>
            <w:vAlign w:val="top"/>
          </w:tcPr>
          <w:p w14:paraId="6A7C6DC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77E3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noWrap w:val="0"/>
            <w:vAlign w:val="top"/>
          </w:tcPr>
          <w:p w14:paraId="5653B6F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noWrap w:val="0"/>
            <w:vAlign w:val="top"/>
          </w:tcPr>
          <w:p w14:paraId="311CE6D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noWrap w:val="0"/>
            <w:vAlign w:val="top"/>
          </w:tcPr>
          <w:p w14:paraId="075E178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noWrap w:val="0"/>
            <w:vAlign w:val="top"/>
          </w:tcPr>
          <w:p w14:paraId="5454354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noWrap w:val="0"/>
            <w:vAlign w:val="top"/>
          </w:tcPr>
          <w:p w14:paraId="2CC9929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noWrap w:val="0"/>
            <w:vAlign w:val="top"/>
          </w:tcPr>
          <w:p w14:paraId="193EC7A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noWrap w:val="0"/>
            <w:vAlign w:val="top"/>
          </w:tcPr>
          <w:p w14:paraId="4C92AEB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noWrap w:val="0"/>
            <w:vAlign w:val="top"/>
          </w:tcPr>
          <w:p w14:paraId="0BDF411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noWrap w:val="0"/>
            <w:vAlign w:val="top"/>
          </w:tcPr>
          <w:p w14:paraId="04AFF01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4529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3930C24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44B71C1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06AB4EA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098E272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4028FA5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4AE09E0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328CD8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26C2FAB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55D82D3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686C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0E98FA2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A56000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17F3AC8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10F5625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658A161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02CFE4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5A5C3E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2F172BE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7E0ACC9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7666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58B6FC4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3791D60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1A8B85E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36F54A0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3F918B3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45C076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007131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39DA032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2406240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6EBB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3B1B4D6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2A3B6B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015BF5B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1AABD39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5A56B32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DA975D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9D0AC0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1025B0E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6E56A79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23E1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73CF39C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60F66E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6FB057B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25F09F0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43C12A6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7EF86F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170263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7D1F1A9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656CBA2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2915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5B58CB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5D92430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4805E3E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7064A26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1C129CD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7E80A3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7985C16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0CCDEC5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3D565BE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1795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1C2966F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1B6F862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6A16735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15C2476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411A4E7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34C037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38BCC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3F3F81D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3C0325B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60BE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348120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14C871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61B7DF2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7CB43DD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68495A0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155CE7C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7417BF0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0D0C8A2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4A8C386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614B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41C9AB3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06EF463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6AB1E81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1F5542F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53CA38A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563F07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3ABC1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53C6278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2585A80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56A2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top"/>
          </w:tcPr>
          <w:p w14:paraId="2B2279D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top"/>
          </w:tcPr>
          <w:p w14:paraId="2A3EEF0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42BE58F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313" w:type="dxa"/>
            <w:tcBorders>
              <w:top w:val="single" w:color="auto" w:sz="4" w:space="0"/>
              <w:left w:val="single" w:color="auto" w:sz="4" w:space="0"/>
              <w:bottom w:val="single" w:color="auto" w:sz="4" w:space="0"/>
              <w:right w:val="single" w:color="auto" w:sz="4" w:space="0"/>
            </w:tcBorders>
            <w:noWrap w:val="0"/>
            <w:vAlign w:val="top"/>
          </w:tcPr>
          <w:p w14:paraId="264FD51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77" w:type="dxa"/>
            <w:tcBorders>
              <w:top w:val="single" w:color="auto" w:sz="4" w:space="0"/>
              <w:left w:val="single" w:color="auto" w:sz="4" w:space="0"/>
              <w:bottom w:val="single" w:color="auto" w:sz="4" w:space="0"/>
              <w:right w:val="single" w:color="auto" w:sz="4" w:space="0"/>
            </w:tcBorders>
            <w:noWrap w:val="0"/>
            <w:vAlign w:val="top"/>
          </w:tcPr>
          <w:p w14:paraId="3B5875D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5441C9E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1E5B1A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41A07BC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top"/>
          </w:tcPr>
          <w:p w14:paraId="021E788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bl>
    <w:p w14:paraId="4AEAB270">
      <w:pPr>
        <w:keepNext w:val="0"/>
        <w:keepLines w:val="0"/>
        <w:pageBreakBefore w:val="0"/>
        <w:widowControl w:val="0"/>
        <w:kinsoku/>
        <w:wordWrap/>
        <w:overflowPunct/>
        <w:topLinePunct w:val="0"/>
        <w:autoSpaceDE w:val="0"/>
        <w:autoSpaceDN w:val="0"/>
        <w:bidi w:val="0"/>
        <w:spacing w:line="440" w:lineRule="exact"/>
        <w:ind w:firstLine="480" w:firstLineChars="20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br w:type="page"/>
      </w:r>
      <w:r>
        <w:rPr>
          <w:rFonts w:hint="eastAsia" w:ascii="宋体" w:hAnsi="宋体" w:eastAsia="宋体" w:cs="宋体"/>
          <w:b/>
          <w:bCs/>
          <w:color w:val="auto"/>
          <w:kern w:val="2"/>
          <w:sz w:val="28"/>
          <w:szCs w:val="28"/>
          <w:highlight w:val="none"/>
        </w:rPr>
        <w:t>（二）主要人员简历表</w:t>
      </w:r>
    </w:p>
    <w:p w14:paraId="2671D7FA">
      <w:pPr>
        <w:keepNext w:val="0"/>
        <w:keepLines w:val="0"/>
        <w:pageBreakBefore w:val="0"/>
        <w:widowControl w:val="0"/>
        <w:kinsoku/>
        <w:wordWrap/>
        <w:overflowPunct/>
        <w:topLinePunct w:val="0"/>
        <w:autoSpaceDE w:val="0"/>
        <w:autoSpaceDN w:val="0"/>
        <w:bidi w:val="0"/>
        <w:spacing w:line="42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附1：项目经理简历表</w:t>
      </w:r>
    </w:p>
    <w:p w14:paraId="5AC3A877">
      <w:pPr>
        <w:keepNext w:val="0"/>
        <w:keepLines w:val="0"/>
        <w:pageBreakBefore w:val="0"/>
        <w:widowControl w:val="0"/>
        <w:kinsoku/>
        <w:wordWrap/>
        <w:overflowPunct/>
        <w:topLinePunct w:val="0"/>
        <w:autoSpaceDE w:val="0"/>
        <w:autoSpaceDN w:val="0"/>
        <w:bidi w:val="0"/>
        <w:spacing w:line="420" w:lineRule="exact"/>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经理应附建造师注册证书、安全生产考核合格证书、身份证、学历证、养老保险复印件及未担任其他在施建设工程项目项目经理的承诺书，管理过的项目业绩须附中标通知书和合同协议书复印件。类似项目限于以项目经理身份参与的项目。</w:t>
      </w:r>
    </w:p>
    <w:tbl>
      <w:tblPr>
        <w:tblStyle w:val="16"/>
        <w:tblW w:w="90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810"/>
        <w:gridCol w:w="1143"/>
        <w:gridCol w:w="1285"/>
        <w:gridCol w:w="1858"/>
        <w:gridCol w:w="1555"/>
      </w:tblGrid>
      <w:tr w14:paraId="4A37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77" w:type="dxa"/>
            <w:noWrap w:val="0"/>
            <w:vAlign w:val="center"/>
          </w:tcPr>
          <w:p w14:paraId="36BFFA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姓名</w:t>
            </w:r>
          </w:p>
        </w:tc>
        <w:tc>
          <w:tcPr>
            <w:tcW w:w="1810" w:type="dxa"/>
            <w:noWrap w:val="0"/>
            <w:vAlign w:val="center"/>
          </w:tcPr>
          <w:p w14:paraId="4BCCE89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c>
          <w:tcPr>
            <w:tcW w:w="1143" w:type="dxa"/>
            <w:noWrap w:val="0"/>
            <w:vAlign w:val="center"/>
          </w:tcPr>
          <w:p w14:paraId="6D23C55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年龄</w:t>
            </w:r>
          </w:p>
        </w:tc>
        <w:tc>
          <w:tcPr>
            <w:tcW w:w="1285" w:type="dxa"/>
            <w:noWrap w:val="0"/>
            <w:vAlign w:val="center"/>
          </w:tcPr>
          <w:p w14:paraId="6A71DEB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c>
          <w:tcPr>
            <w:tcW w:w="1858" w:type="dxa"/>
            <w:noWrap w:val="0"/>
            <w:vAlign w:val="center"/>
          </w:tcPr>
          <w:p w14:paraId="2E70776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学历</w:t>
            </w:r>
          </w:p>
        </w:tc>
        <w:tc>
          <w:tcPr>
            <w:tcW w:w="1555" w:type="dxa"/>
            <w:noWrap w:val="0"/>
            <w:vAlign w:val="center"/>
          </w:tcPr>
          <w:p w14:paraId="01D13FD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r>
      <w:tr w14:paraId="5EF6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77" w:type="dxa"/>
            <w:noWrap w:val="0"/>
            <w:vAlign w:val="center"/>
          </w:tcPr>
          <w:p w14:paraId="2A26EDB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职称</w:t>
            </w:r>
          </w:p>
        </w:tc>
        <w:tc>
          <w:tcPr>
            <w:tcW w:w="1810" w:type="dxa"/>
            <w:noWrap w:val="0"/>
            <w:vAlign w:val="center"/>
          </w:tcPr>
          <w:p w14:paraId="1321202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c>
          <w:tcPr>
            <w:tcW w:w="1143" w:type="dxa"/>
            <w:noWrap w:val="0"/>
            <w:vAlign w:val="center"/>
          </w:tcPr>
          <w:p w14:paraId="1B5423D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职务</w:t>
            </w:r>
          </w:p>
        </w:tc>
        <w:tc>
          <w:tcPr>
            <w:tcW w:w="1285" w:type="dxa"/>
            <w:noWrap w:val="0"/>
            <w:vAlign w:val="center"/>
          </w:tcPr>
          <w:p w14:paraId="66DB3D3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c>
          <w:tcPr>
            <w:tcW w:w="1858" w:type="dxa"/>
            <w:noWrap w:val="0"/>
            <w:vAlign w:val="center"/>
          </w:tcPr>
          <w:p w14:paraId="4B96FCA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拟在本工程任职</w:t>
            </w:r>
          </w:p>
        </w:tc>
        <w:tc>
          <w:tcPr>
            <w:tcW w:w="1555" w:type="dxa"/>
            <w:noWrap w:val="0"/>
            <w:vAlign w:val="center"/>
          </w:tcPr>
          <w:p w14:paraId="5730289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项目经理</w:t>
            </w:r>
          </w:p>
        </w:tc>
      </w:tr>
      <w:tr w14:paraId="15B6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330" w:type="dxa"/>
            <w:gridSpan w:val="3"/>
            <w:noWrap w:val="0"/>
            <w:vAlign w:val="center"/>
          </w:tcPr>
          <w:p w14:paraId="68AFD11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注册建造师执业资格等级</w:t>
            </w:r>
          </w:p>
        </w:tc>
        <w:tc>
          <w:tcPr>
            <w:tcW w:w="1285" w:type="dxa"/>
            <w:noWrap w:val="0"/>
            <w:vAlign w:val="center"/>
          </w:tcPr>
          <w:p w14:paraId="0BAC673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righ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级</w:t>
            </w:r>
          </w:p>
        </w:tc>
        <w:tc>
          <w:tcPr>
            <w:tcW w:w="1858" w:type="dxa"/>
            <w:noWrap w:val="0"/>
            <w:vAlign w:val="center"/>
          </w:tcPr>
          <w:p w14:paraId="32E42A2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建造师专业</w:t>
            </w:r>
          </w:p>
        </w:tc>
        <w:tc>
          <w:tcPr>
            <w:tcW w:w="1555" w:type="dxa"/>
            <w:noWrap w:val="0"/>
            <w:vAlign w:val="center"/>
          </w:tcPr>
          <w:p w14:paraId="756822F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r>
      <w:tr w14:paraId="4DAE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330" w:type="dxa"/>
            <w:gridSpan w:val="3"/>
            <w:noWrap w:val="0"/>
            <w:vAlign w:val="center"/>
          </w:tcPr>
          <w:p w14:paraId="300A5B1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安全生产考核合格证书</w:t>
            </w:r>
          </w:p>
        </w:tc>
        <w:tc>
          <w:tcPr>
            <w:tcW w:w="4698" w:type="dxa"/>
            <w:gridSpan w:val="3"/>
            <w:noWrap w:val="0"/>
            <w:vAlign w:val="center"/>
          </w:tcPr>
          <w:p w14:paraId="2919538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r>
      <w:tr w14:paraId="4495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77" w:type="dxa"/>
            <w:noWrap w:val="0"/>
            <w:vAlign w:val="center"/>
          </w:tcPr>
          <w:p w14:paraId="75128B2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毕业学校</w:t>
            </w:r>
          </w:p>
        </w:tc>
        <w:tc>
          <w:tcPr>
            <w:tcW w:w="7651" w:type="dxa"/>
            <w:gridSpan w:val="5"/>
            <w:noWrap w:val="0"/>
            <w:vAlign w:val="center"/>
          </w:tcPr>
          <w:p w14:paraId="25FADD8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2160" w:firstLineChars="9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年毕业于学校专业</w:t>
            </w:r>
          </w:p>
        </w:tc>
      </w:tr>
      <w:tr w14:paraId="2496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028" w:type="dxa"/>
            <w:gridSpan w:val="6"/>
            <w:noWrap w:val="0"/>
            <w:vAlign w:val="center"/>
          </w:tcPr>
          <w:p w14:paraId="5D330E7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主要工作经历</w:t>
            </w:r>
          </w:p>
        </w:tc>
      </w:tr>
      <w:tr w14:paraId="36A3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77" w:type="dxa"/>
            <w:noWrap w:val="0"/>
            <w:vAlign w:val="center"/>
          </w:tcPr>
          <w:p w14:paraId="26AD5DF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时间</w:t>
            </w:r>
          </w:p>
        </w:tc>
        <w:tc>
          <w:tcPr>
            <w:tcW w:w="4238" w:type="dxa"/>
            <w:gridSpan w:val="3"/>
            <w:noWrap w:val="0"/>
            <w:vAlign w:val="center"/>
          </w:tcPr>
          <w:p w14:paraId="21E6A11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参加过的类似项目名称</w:t>
            </w:r>
          </w:p>
        </w:tc>
        <w:tc>
          <w:tcPr>
            <w:tcW w:w="1858" w:type="dxa"/>
            <w:noWrap w:val="0"/>
            <w:vAlign w:val="center"/>
          </w:tcPr>
          <w:p w14:paraId="73D3547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工程概况说明</w:t>
            </w:r>
          </w:p>
        </w:tc>
        <w:tc>
          <w:tcPr>
            <w:tcW w:w="1555" w:type="dxa"/>
            <w:noWrap w:val="0"/>
            <w:vAlign w:val="center"/>
          </w:tcPr>
          <w:p w14:paraId="365599D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发包人及联系电话</w:t>
            </w:r>
          </w:p>
        </w:tc>
      </w:tr>
      <w:tr w14:paraId="4060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77" w:type="dxa"/>
            <w:noWrap w:val="0"/>
            <w:vAlign w:val="center"/>
          </w:tcPr>
          <w:p w14:paraId="1C8F0D2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759A03B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39FC392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2B317A6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384644D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28BCBEC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368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77" w:type="dxa"/>
            <w:noWrap w:val="0"/>
            <w:vAlign w:val="center"/>
          </w:tcPr>
          <w:p w14:paraId="44C649E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4E03D86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69DC18E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1094F5A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1F3ADC8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4C7F912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EB6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77" w:type="dxa"/>
            <w:noWrap w:val="0"/>
            <w:vAlign w:val="center"/>
          </w:tcPr>
          <w:p w14:paraId="6C72299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3F64DD6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7CC3B37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4325847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55663F1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7823309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76E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77" w:type="dxa"/>
            <w:noWrap w:val="0"/>
            <w:vAlign w:val="center"/>
          </w:tcPr>
          <w:p w14:paraId="42FFC98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66FB7DD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7AA4E54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52479B5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38A38F1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04BD5D0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072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77" w:type="dxa"/>
            <w:noWrap w:val="0"/>
            <w:vAlign w:val="center"/>
          </w:tcPr>
          <w:p w14:paraId="22AD767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4CA73D5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08E09EE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6B53BB0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4F07B07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613E08E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E2C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77" w:type="dxa"/>
            <w:noWrap w:val="0"/>
            <w:vAlign w:val="center"/>
          </w:tcPr>
          <w:p w14:paraId="2D111E2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1FC3097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189F612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69C5E89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70051DF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7774AEB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E77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77" w:type="dxa"/>
            <w:noWrap w:val="0"/>
            <w:vAlign w:val="center"/>
          </w:tcPr>
          <w:p w14:paraId="3BF3712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3F07789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69B85C3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7DBC4A7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6C6A74F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64F992D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0DAC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77" w:type="dxa"/>
            <w:noWrap w:val="0"/>
            <w:vAlign w:val="center"/>
          </w:tcPr>
          <w:p w14:paraId="1431B8F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4A87C3E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53288EE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21426B4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7A86814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59D9218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B7D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77" w:type="dxa"/>
            <w:noWrap w:val="0"/>
            <w:vAlign w:val="center"/>
          </w:tcPr>
          <w:p w14:paraId="3818D89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2095E78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36F327C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50DDDF4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085B3E0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37D800F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779C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77" w:type="dxa"/>
            <w:noWrap w:val="0"/>
            <w:vAlign w:val="center"/>
          </w:tcPr>
          <w:p w14:paraId="6835EAD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10" w:type="dxa"/>
            <w:noWrap w:val="0"/>
            <w:vAlign w:val="center"/>
          </w:tcPr>
          <w:p w14:paraId="2CE986F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43" w:type="dxa"/>
            <w:noWrap w:val="0"/>
            <w:vAlign w:val="center"/>
          </w:tcPr>
          <w:p w14:paraId="2251848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285" w:type="dxa"/>
            <w:noWrap w:val="0"/>
            <w:vAlign w:val="center"/>
          </w:tcPr>
          <w:p w14:paraId="495558A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8" w:type="dxa"/>
            <w:noWrap w:val="0"/>
            <w:vAlign w:val="center"/>
          </w:tcPr>
          <w:p w14:paraId="34A0F9E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555" w:type="dxa"/>
            <w:noWrap w:val="0"/>
            <w:vAlign w:val="center"/>
          </w:tcPr>
          <w:p w14:paraId="118158D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bl>
    <w:p w14:paraId="2FB1A2A5">
      <w:pPr>
        <w:keepNext w:val="0"/>
        <w:keepLines w:val="0"/>
        <w:pageBreakBefore w:val="0"/>
        <w:widowControl w:val="0"/>
        <w:kinsoku/>
        <w:wordWrap/>
        <w:overflowPunct/>
        <w:topLinePunct w:val="0"/>
        <w:autoSpaceDE w:val="0"/>
        <w:autoSpaceDN w:val="0"/>
        <w:bidi w:val="0"/>
        <w:spacing w:line="42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br w:type="page"/>
      </w:r>
      <w:r>
        <w:rPr>
          <w:rFonts w:hint="eastAsia" w:ascii="宋体" w:hAnsi="宋体" w:eastAsia="宋体" w:cs="宋体"/>
          <w:b w:val="0"/>
          <w:color w:val="auto"/>
          <w:kern w:val="2"/>
          <w:sz w:val="24"/>
          <w:szCs w:val="24"/>
          <w:highlight w:val="none"/>
        </w:rPr>
        <w:t>附2：主要项目管理人员简历表</w:t>
      </w:r>
    </w:p>
    <w:p w14:paraId="4DD748A6">
      <w:pPr>
        <w:keepNext w:val="0"/>
        <w:keepLines w:val="0"/>
        <w:pageBreakBefore w:val="0"/>
        <w:widowControl w:val="0"/>
        <w:kinsoku/>
        <w:wordWrap/>
        <w:overflowPunct/>
        <w:topLinePunct w:val="0"/>
        <w:autoSpaceDE w:val="0"/>
        <w:autoSpaceDN w:val="0"/>
        <w:bidi w:val="0"/>
        <w:spacing w:line="360" w:lineRule="auto"/>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主要项目管理人员指技术负责人、专职安全生产管理人员等岗位人员。应附注册资格证书、身份证、养老保险复印件，专职安全生产管理人员应附安全生产考核合格证书，主要业绩须附合同协议书。</w:t>
      </w:r>
    </w:p>
    <w:tbl>
      <w:tblPr>
        <w:tblStyle w:val="16"/>
        <w:tblW w:w="92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784"/>
        <w:gridCol w:w="1163"/>
        <w:gridCol w:w="1308"/>
        <w:gridCol w:w="1891"/>
        <w:gridCol w:w="1852"/>
      </w:tblGrid>
      <w:tr w14:paraId="7BF4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0" w:type="dxa"/>
            <w:noWrap w:val="0"/>
            <w:vAlign w:val="center"/>
          </w:tcPr>
          <w:p w14:paraId="3993DA9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姓名</w:t>
            </w:r>
          </w:p>
        </w:tc>
        <w:tc>
          <w:tcPr>
            <w:tcW w:w="1784" w:type="dxa"/>
            <w:noWrap w:val="0"/>
            <w:vAlign w:val="center"/>
          </w:tcPr>
          <w:p w14:paraId="4AEEBE1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c>
          <w:tcPr>
            <w:tcW w:w="1163" w:type="dxa"/>
            <w:noWrap w:val="0"/>
            <w:vAlign w:val="center"/>
          </w:tcPr>
          <w:p w14:paraId="567CE08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年龄</w:t>
            </w:r>
          </w:p>
        </w:tc>
        <w:tc>
          <w:tcPr>
            <w:tcW w:w="1308" w:type="dxa"/>
            <w:noWrap w:val="0"/>
            <w:vAlign w:val="center"/>
          </w:tcPr>
          <w:p w14:paraId="76019DD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c>
          <w:tcPr>
            <w:tcW w:w="1891" w:type="dxa"/>
            <w:noWrap w:val="0"/>
            <w:vAlign w:val="center"/>
          </w:tcPr>
          <w:p w14:paraId="28C3AD4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学历</w:t>
            </w:r>
          </w:p>
        </w:tc>
        <w:tc>
          <w:tcPr>
            <w:tcW w:w="1852" w:type="dxa"/>
            <w:noWrap w:val="0"/>
            <w:vAlign w:val="center"/>
          </w:tcPr>
          <w:p w14:paraId="7039D4F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r>
      <w:tr w14:paraId="60B6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0" w:type="dxa"/>
            <w:noWrap w:val="0"/>
            <w:vAlign w:val="center"/>
          </w:tcPr>
          <w:p w14:paraId="10EFB13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职称</w:t>
            </w:r>
          </w:p>
        </w:tc>
        <w:tc>
          <w:tcPr>
            <w:tcW w:w="1784" w:type="dxa"/>
            <w:noWrap w:val="0"/>
            <w:vAlign w:val="center"/>
          </w:tcPr>
          <w:p w14:paraId="7182FC5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c>
          <w:tcPr>
            <w:tcW w:w="1163" w:type="dxa"/>
            <w:noWrap w:val="0"/>
            <w:vAlign w:val="center"/>
          </w:tcPr>
          <w:p w14:paraId="021BE54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职务</w:t>
            </w:r>
          </w:p>
        </w:tc>
        <w:tc>
          <w:tcPr>
            <w:tcW w:w="1308" w:type="dxa"/>
            <w:noWrap w:val="0"/>
            <w:vAlign w:val="center"/>
          </w:tcPr>
          <w:p w14:paraId="256B14E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c>
          <w:tcPr>
            <w:tcW w:w="1891" w:type="dxa"/>
            <w:noWrap w:val="0"/>
            <w:vAlign w:val="center"/>
          </w:tcPr>
          <w:p w14:paraId="26D4D8B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拟在本工程任职</w:t>
            </w:r>
          </w:p>
        </w:tc>
        <w:tc>
          <w:tcPr>
            <w:tcW w:w="1852" w:type="dxa"/>
            <w:noWrap w:val="0"/>
            <w:vAlign w:val="center"/>
          </w:tcPr>
          <w:p w14:paraId="4A010AF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r>
      <w:tr w14:paraId="644B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17" w:type="dxa"/>
            <w:gridSpan w:val="3"/>
            <w:noWrap w:val="0"/>
            <w:vAlign w:val="center"/>
          </w:tcPr>
          <w:p w14:paraId="7EC2324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执业资格等级</w:t>
            </w:r>
          </w:p>
        </w:tc>
        <w:tc>
          <w:tcPr>
            <w:tcW w:w="1308" w:type="dxa"/>
            <w:noWrap w:val="0"/>
            <w:vAlign w:val="center"/>
          </w:tcPr>
          <w:p w14:paraId="0CE281B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righ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级</w:t>
            </w:r>
          </w:p>
        </w:tc>
        <w:tc>
          <w:tcPr>
            <w:tcW w:w="1891" w:type="dxa"/>
            <w:noWrap w:val="0"/>
            <w:vAlign w:val="center"/>
          </w:tcPr>
          <w:p w14:paraId="7608CC3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建造师专业</w:t>
            </w:r>
          </w:p>
        </w:tc>
        <w:tc>
          <w:tcPr>
            <w:tcW w:w="1852" w:type="dxa"/>
            <w:noWrap w:val="0"/>
            <w:vAlign w:val="center"/>
          </w:tcPr>
          <w:p w14:paraId="6A1AD0F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r>
      <w:tr w14:paraId="54FB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17" w:type="dxa"/>
            <w:gridSpan w:val="3"/>
            <w:noWrap w:val="0"/>
            <w:vAlign w:val="center"/>
          </w:tcPr>
          <w:p w14:paraId="37CBF5F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安全生产考核合格证书</w:t>
            </w:r>
          </w:p>
        </w:tc>
        <w:tc>
          <w:tcPr>
            <w:tcW w:w="5051" w:type="dxa"/>
            <w:gridSpan w:val="3"/>
            <w:noWrap w:val="0"/>
            <w:vAlign w:val="center"/>
          </w:tcPr>
          <w:p w14:paraId="583FA0A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p>
        </w:tc>
      </w:tr>
      <w:tr w14:paraId="1272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0" w:type="dxa"/>
            <w:noWrap w:val="0"/>
            <w:vAlign w:val="center"/>
          </w:tcPr>
          <w:p w14:paraId="59C69B6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毕业学校</w:t>
            </w:r>
          </w:p>
        </w:tc>
        <w:tc>
          <w:tcPr>
            <w:tcW w:w="7998" w:type="dxa"/>
            <w:gridSpan w:val="5"/>
            <w:noWrap w:val="0"/>
            <w:vAlign w:val="center"/>
          </w:tcPr>
          <w:p w14:paraId="0093764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2400" w:firstLineChars="10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年毕业于学校专业</w:t>
            </w:r>
          </w:p>
        </w:tc>
      </w:tr>
      <w:tr w14:paraId="71D6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68" w:type="dxa"/>
            <w:gridSpan w:val="6"/>
            <w:noWrap w:val="0"/>
            <w:vAlign w:val="center"/>
          </w:tcPr>
          <w:p w14:paraId="14F6C0A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主要工作经历</w:t>
            </w:r>
          </w:p>
        </w:tc>
      </w:tr>
      <w:tr w14:paraId="50BE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0" w:type="dxa"/>
            <w:noWrap w:val="0"/>
            <w:vAlign w:val="center"/>
          </w:tcPr>
          <w:p w14:paraId="0593CB1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时间</w:t>
            </w:r>
          </w:p>
        </w:tc>
        <w:tc>
          <w:tcPr>
            <w:tcW w:w="4255" w:type="dxa"/>
            <w:gridSpan w:val="3"/>
            <w:noWrap w:val="0"/>
            <w:vAlign w:val="center"/>
          </w:tcPr>
          <w:p w14:paraId="260CB45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参加过的类似项目名称</w:t>
            </w:r>
          </w:p>
        </w:tc>
        <w:tc>
          <w:tcPr>
            <w:tcW w:w="1891" w:type="dxa"/>
            <w:noWrap w:val="0"/>
            <w:vAlign w:val="center"/>
          </w:tcPr>
          <w:p w14:paraId="1137A7E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工程概况说明</w:t>
            </w:r>
          </w:p>
        </w:tc>
        <w:tc>
          <w:tcPr>
            <w:tcW w:w="1852" w:type="dxa"/>
            <w:noWrap w:val="0"/>
            <w:vAlign w:val="center"/>
          </w:tcPr>
          <w:p w14:paraId="646F671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leftChars="0" w:right="0" w:rightChars="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发包人及联系电话</w:t>
            </w:r>
          </w:p>
        </w:tc>
      </w:tr>
      <w:tr w14:paraId="7269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0" w:type="dxa"/>
            <w:noWrap w:val="0"/>
            <w:vAlign w:val="center"/>
          </w:tcPr>
          <w:p w14:paraId="7EC5F9D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1C0DFA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2E98038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4C71209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627FB1D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44B3F0D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C3C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0" w:type="dxa"/>
            <w:noWrap w:val="0"/>
            <w:vAlign w:val="center"/>
          </w:tcPr>
          <w:p w14:paraId="67ED6A9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5D6AAC5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3635AFF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2507C37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1218F86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743EF52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6EE6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0" w:type="dxa"/>
            <w:noWrap w:val="0"/>
            <w:vAlign w:val="center"/>
          </w:tcPr>
          <w:p w14:paraId="6BDAFD3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7B7AB97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53DF0B6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580D26E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00CB238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5A2FE30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F3A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0" w:type="dxa"/>
            <w:noWrap w:val="0"/>
            <w:vAlign w:val="center"/>
          </w:tcPr>
          <w:p w14:paraId="2376F85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58CB4A7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71EC199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2B07401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33F31C5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5C19086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53BE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0" w:type="dxa"/>
            <w:noWrap w:val="0"/>
            <w:vAlign w:val="center"/>
          </w:tcPr>
          <w:p w14:paraId="7375513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4E59125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6F25233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3870368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7711750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20D7AF1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22A4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0" w:type="dxa"/>
            <w:noWrap w:val="0"/>
            <w:vAlign w:val="center"/>
          </w:tcPr>
          <w:p w14:paraId="62B0516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1C14BF1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79499FA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174AEBB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6280E14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1EA180C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3996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0" w:type="dxa"/>
            <w:noWrap w:val="0"/>
            <w:vAlign w:val="center"/>
          </w:tcPr>
          <w:p w14:paraId="6254BB8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3E793A5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61124EF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3622EF3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2BFDC85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4443C1D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0854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0" w:type="dxa"/>
            <w:noWrap w:val="0"/>
            <w:vAlign w:val="center"/>
          </w:tcPr>
          <w:p w14:paraId="4A7B41D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0249899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1C50B8A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038FBAF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49196F6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123D0C5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4644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0" w:type="dxa"/>
            <w:noWrap w:val="0"/>
            <w:vAlign w:val="center"/>
          </w:tcPr>
          <w:p w14:paraId="311B8C5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6E6DC03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454BD2A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118E5B6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2AC07AD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061A6E6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r w14:paraId="16E3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70" w:type="dxa"/>
            <w:noWrap w:val="0"/>
            <w:vAlign w:val="center"/>
          </w:tcPr>
          <w:p w14:paraId="5D79F47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784" w:type="dxa"/>
            <w:noWrap w:val="0"/>
            <w:vAlign w:val="center"/>
          </w:tcPr>
          <w:p w14:paraId="3891C41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163" w:type="dxa"/>
            <w:noWrap w:val="0"/>
            <w:vAlign w:val="center"/>
          </w:tcPr>
          <w:p w14:paraId="2F45F6C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308" w:type="dxa"/>
            <w:noWrap w:val="0"/>
            <w:vAlign w:val="center"/>
          </w:tcPr>
          <w:p w14:paraId="0B03B58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91" w:type="dxa"/>
            <w:noWrap w:val="0"/>
            <w:vAlign w:val="center"/>
          </w:tcPr>
          <w:p w14:paraId="31037BB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c>
          <w:tcPr>
            <w:tcW w:w="1852" w:type="dxa"/>
            <w:noWrap w:val="0"/>
            <w:vAlign w:val="center"/>
          </w:tcPr>
          <w:p w14:paraId="123853C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b w:val="0"/>
                <w:color w:val="auto"/>
                <w:kern w:val="2"/>
                <w:sz w:val="24"/>
                <w:szCs w:val="24"/>
                <w:highlight w:val="none"/>
              </w:rPr>
            </w:pPr>
          </w:p>
        </w:tc>
      </w:tr>
    </w:tbl>
    <w:p w14:paraId="6598EE35">
      <w:pPr>
        <w:keepNext w:val="0"/>
        <w:keepLines w:val="0"/>
        <w:pageBreakBefore w:val="0"/>
        <w:widowControl w:val="0"/>
        <w:kinsoku/>
        <w:wordWrap/>
        <w:overflowPunct/>
        <w:topLinePunct w:val="0"/>
        <w:autoSpaceDE w:val="0"/>
        <w:autoSpaceDN w:val="0"/>
        <w:bidi w:val="0"/>
        <w:ind w:firstLine="480" w:firstLineChars="200"/>
        <w:jc w:val="both"/>
        <w:rPr>
          <w:rFonts w:hint="eastAsia" w:ascii="宋体" w:hAnsi="宋体" w:eastAsia="宋体" w:cs="宋体"/>
          <w:b/>
          <w:bCs/>
          <w:snapToGrid w:val="0"/>
          <w:color w:val="auto"/>
          <w:kern w:val="2"/>
          <w:sz w:val="28"/>
          <w:szCs w:val="28"/>
          <w:highlight w:val="none"/>
          <w:lang w:val="en-US" w:eastAsia="zh-CN" w:bidi="ar-SA"/>
        </w:rPr>
      </w:pPr>
      <w:r>
        <w:rPr>
          <w:rFonts w:hint="eastAsia" w:ascii="宋体" w:hAnsi="宋体" w:eastAsia="宋体" w:cs="宋体"/>
          <w:b w:val="0"/>
          <w:color w:val="auto"/>
          <w:kern w:val="2"/>
          <w:sz w:val="24"/>
          <w:szCs w:val="24"/>
          <w:highlight w:val="none"/>
        </w:rPr>
        <w:br w:type="page"/>
      </w:r>
      <w:bookmarkStart w:id="94" w:name="_Toc152042596"/>
      <w:bookmarkStart w:id="95" w:name="_Toc144974875"/>
      <w:bookmarkStart w:id="96" w:name="_Toc246996372"/>
      <w:bookmarkStart w:id="97" w:name="_Toc179632827"/>
      <w:bookmarkStart w:id="98" w:name="_Toc453756969"/>
      <w:bookmarkStart w:id="99" w:name="_Toc246997115"/>
      <w:bookmarkStart w:id="100" w:name="_Toc247085890"/>
      <w:bookmarkStart w:id="101" w:name="_Toc152045807"/>
      <w:r>
        <w:rPr>
          <w:rFonts w:hint="eastAsia" w:ascii="宋体" w:hAnsi="宋体" w:eastAsia="宋体" w:cs="宋体"/>
          <w:b w:val="0"/>
          <w:color w:val="auto"/>
          <w:kern w:val="2"/>
          <w:sz w:val="24"/>
          <w:szCs w:val="24"/>
          <w:highlight w:val="none"/>
          <w:lang w:val="en-US" w:eastAsia="zh-CN"/>
        </w:rPr>
        <w:t xml:space="preserve">                      </w:t>
      </w:r>
      <w:r>
        <w:rPr>
          <w:rFonts w:hint="eastAsia" w:ascii="宋体" w:hAnsi="宋体" w:eastAsia="宋体" w:cs="宋体"/>
          <w:b/>
          <w:bCs/>
          <w:snapToGrid w:val="0"/>
          <w:color w:val="auto"/>
          <w:kern w:val="2"/>
          <w:sz w:val="28"/>
          <w:szCs w:val="28"/>
          <w:highlight w:val="none"/>
          <w:lang w:val="en-US" w:eastAsia="zh-CN" w:bidi="ar-SA"/>
        </w:rPr>
        <w:t>八、资格审查资料</w:t>
      </w:r>
      <w:bookmarkEnd w:id="94"/>
      <w:bookmarkEnd w:id="95"/>
      <w:bookmarkEnd w:id="96"/>
      <w:bookmarkEnd w:id="97"/>
      <w:bookmarkEnd w:id="98"/>
      <w:bookmarkEnd w:id="99"/>
      <w:bookmarkEnd w:id="100"/>
      <w:bookmarkEnd w:id="101"/>
    </w:p>
    <w:p w14:paraId="73EF7B5C">
      <w:pPr>
        <w:keepNext w:val="0"/>
        <w:keepLines w:val="0"/>
        <w:pageBreakBefore w:val="0"/>
        <w:widowControl w:val="0"/>
        <w:kinsoku/>
        <w:wordWrap/>
        <w:overflowPunct/>
        <w:topLinePunct w:val="0"/>
        <w:autoSpaceDE w:val="0"/>
        <w:autoSpaceDN w:val="0"/>
        <w:bidi w:val="0"/>
        <w:spacing w:before="260" w:after="260" w:line="415" w:lineRule="auto"/>
        <w:ind w:firstLine="562" w:firstLineChars="200"/>
        <w:jc w:val="center"/>
        <w:outlineLvl w:val="2"/>
        <w:rPr>
          <w:rFonts w:hint="eastAsia" w:ascii="宋体" w:hAnsi="宋体" w:eastAsia="宋体" w:cs="宋体"/>
          <w:b/>
          <w:bCs/>
          <w:color w:val="auto"/>
          <w:kern w:val="2"/>
          <w:sz w:val="28"/>
          <w:szCs w:val="28"/>
          <w:highlight w:val="none"/>
        </w:rPr>
      </w:pPr>
      <w:bookmarkStart w:id="102" w:name="_Toc247085891"/>
      <w:bookmarkStart w:id="103" w:name="_Toc453756970"/>
      <w:bookmarkStart w:id="104" w:name="_Toc246997116"/>
      <w:bookmarkStart w:id="105" w:name="_Toc12137"/>
      <w:bookmarkStart w:id="106" w:name="_Toc152045808"/>
      <w:bookmarkStart w:id="107" w:name="_Toc152042597"/>
      <w:bookmarkStart w:id="108" w:name="_Toc246996373"/>
      <w:bookmarkStart w:id="109" w:name="_Toc2201"/>
      <w:bookmarkStart w:id="110" w:name="_Toc144974876"/>
      <w:bookmarkStart w:id="111" w:name="_Toc179632828"/>
      <w:r>
        <w:rPr>
          <w:rFonts w:hint="eastAsia" w:ascii="宋体" w:hAnsi="宋体" w:eastAsia="宋体" w:cs="宋体"/>
          <w:b/>
          <w:bCs/>
          <w:color w:val="auto"/>
          <w:kern w:val="2"/>
          <w:sz w:val="28"/>
          <w:szCs w:val="28"/>
          <w:highlight w:val="none"/>
        </w:rPr>
        <w:t>（一）投标人基本情况表</w:t>
      </w:r>
      <w:bookmarkEnd w:id="102"/>
      <w:bookmarkEnd w:id="103"/>
      <w:bookmarkEnd w:id="104"/>
      <w:bookmarkEnd w:id="105"/>
      <w:bookmarkEnd w:id="106"/>
      <w:bookmarkEnd w:id="107"/>
      <w:bookmarkEnd w:id="108"/>
      <w:bookmarkEnd w:id="109"/>
      <w:bookmarkEnd w:id="110"/>
      <w:bookmarkEnd w:id="111"/>
    </w:p>
    <w:tbl>
      <w:tblPr>
        <w:tblStyle w:val="16"/>
        <w:tblW w:w="93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29"/>
        <w:gridCol w:w="1089"/>
        <w:gridCol w:w="962"/>
        <w:gridCol w:w="482"/>
        <w:gridCol w:w="357"/>
        <w:gridCol w:w="831"/>
        <w:gridCol w:w="1146"/>
        <w:gridCol w:w="1458"/>
      </w:tblGrid>
      <w:tr w14:paraId="132E9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50C83B5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投标人名称</w:t>
            </w:r>
          </w:p>
        </w:tc>
        <w:tc>
          <w:tcPr>
            <w:tcW w:w="7354" w:type="dxa"/>
            <w:gridSpan w:val="8"/>
            <w:tcBorders>
              <w:top w:val="single" w:color="auto" w:sz="4" w:space="0"/>
              <w:left w:val="single" w:color="auto" w:sz="4" w:space="0"/>
              <w:bottom w:val="single" w:color="auto" w:sz="4" w:space="0"/>
              <w:right w:val="single" w:color="auto" w:sz="4" w:space="0"/>
            </w:tcBorders>
            <w:noWrap w:val="0"/>
            <w:vAlign w:val="center"/>
          </w:tcPr>
          <w:p w14:paraId="475B0B4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6421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4A488A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注册地址</w:t>
            </w:r>
          </w:p>
        </w:tc>
        <w:tc>
          <w:tcPr>
            <w:tcW w:w="3919" w:type="dxa"/>
            <w:gridSpan w:val="5"/>
            <w:tcBorders>
              <w:top w:val="single" w:color="auto" w:sz="4" w:space="0"/>
              <w:left w:val="single" w:color="auto" w:sz="4" w:space="0"/>
              <w:bottom w:val="single" w:color="auto" w:sz="4" w:space="0"/>
              <w:right w:val="single" w:color="auto" w:sz="4" w:space="0"/>
            </w:tcBorders>
            <w:noWrap w:val="0"/>
            <w:vAlign w:val="center"/>
          </w:tcPr>
          <w:p w14:paraId="65426FE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7C9E83A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邮政编码</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14:paraId="11FC627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295B1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8" w:hRule="atLeast"/>
        </w:trPr>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14:paraId="30D1AD3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联系方式</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25E0E4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联系人</w:t>
            </w:r>
          </w:p>
        </w:tc>
        <w:tc>
          <w:tcPr>
            <w:tcW w:w="2890" w:type="dxa"/>
            <w:gridSpan w:val="4"/>
            <w:tcBorders>
              <w:top w:val="single" w:color="auto" w:sz="4" w:space="0"/>
              <w:left w:val="single" w:color="auto" w:sz="4" w:space="0"/>
              <w:bottom w:val="single" w:color="auto" w:sz="4" w:space="0"/>
              <w:right w:val="single" w:color="auto" w:sz="4" w:space="0"/>
            </w:tcBorders>
            <w:noWrap w:val="0"/>
            <w:vAlign w:val="center"/>
          </w:tcPr>
          <w:p w14:paraId="3F17941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57E9DF2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电话</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14:paraId="73DD419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2DD5C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8" w:hRule="atLeast"/>
        </w:trPr>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14:paraId="3625D0A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A9F61E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传真</w:t>
            </w:r>
          </w:p>
        </w:tc>
        <w:tc>
          <w:tcPr>
            <w:tcW w:w="2890" w:type="dxa"/>
            <w:gridSpan w:val="4"/>
            <w:tcBorders>
              <w:top w:val="single" w:color="auto" w:sz="4" w:space="0"/>
              <w:left w:val="single" w:color="auto" w:sz="4" w:space="0"/>
              <w:bottom w:val="single" w:color="auto" w:sz="4" w:space="0"/>
              <w:right w:val="single" w:color="auto" w:sz="4" w:space="0"/>
            </w:tcBorders>
            <w:noWrap w:val="0"/>
            <w:vAlign w:val="center"/>
          </w:tcPr>
          <w:p w14:paraId="3096D89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79B338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网址</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14:paraId="4FFB67E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024DB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CC78F5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组织结构</w:t>
            </w:r>
          </w:p>
        </w:tc>
        <w:tc>
          <w:tcPr>
            <w:tcW w:w="7354" w:type="dxa"/>
            <w:gridSpan w:val="8"/>
            <w:tcBorders>
              <w:top w:val="single" w:color="auto" w:sz="4" w:space="0"/>
              <w:left w:val="single" w:color="auto" w:sz="4" w:space="0"/>
              <w:bottom w:val="single" w:color="auto" w:sz="4" w:space="0"/>
              <w:right w:val="single" w:color="auto" w:sz="4" w:space="0"/>
            </w:tcBorders>
            <w:noWrap w:val="0"/>
            <w:vAlign w:val="center"/>
          </w:tcPr>
          <w:p w14:paraId="7F41361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6FB6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1198A42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法定代表人</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3D10C5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姓名</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4DA84DE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444" w:type="dxa"/>
            <w:gridSpan w:val="2"/>
            <w:tcBorders>
              <w:top w:val="single" w:color="auto" w:sz="4" w:space="0"/>
              <w:left w:val="single" w:color="auto" w:sz="4" w:space="0"/>
              <w:bottom w:val="single" w:color="auto" w:sz="4" w:space="0"/>
              <w:right w:val="single" w:color="auto" w:sz="4" w:space="0"/>
            </w:tcBorders>
            <w:noWrap w:val="0"/>
            <w:vAlign w:val="center"/>
          </w:tcPr>
          <w:p w14:paraId="5A01B71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技术职称</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14:paraId="66A1782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31997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电话</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1411528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65982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8FE87A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技术负责人</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C02C15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姓名</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08F7A76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444" w:type="dxa"/>
            <w:gridSpan w:val="2"/>
            <w:tcBorders>
              <w:top w:val="single" w:color="auto" w:sz="4" w:space="0"/>
              <w:left w:val="single" w:color="auto" w:sz="4" w:space="0"/>
              <w:bottom w:val="single" w:color="auto" w:sz="4" w:space="0"/>
              <w:right w:val="single" w:color="auto" w:sz="4" w:space="0"/>
            </w:tcBorders>
            <w:noWrap w:val="0"/>
            <w:vAlign w:val="center"/>
          </w:tcPr>
          <w:p w14:paraId="73D6481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技术职称</w:t>
            </w:r>
          </w:p>
        </w:tc>
        <w:tc>
          <w:tcPr>
            <w:tcW w:w="1188" w:type="dxa"/>
            <w:gridSpan w:val="2"/>
            <w:tcBorders>
              <w:top w:val="single" w:color="auto" w:sz="4" w:space="0"/>
              <w:left w:val="single" w:color="auto" w:sz="4" w:space="0"/>
              <w:bottom w:val="single" w:color="auto" w:sz="4" w:space="0"/>
              <w:right w:val="single" w:color="auto" w:sz="4" w:space="0"/>
            </w:tcBorders>
            <w:noWrap w:val="0"/>
            <w:vAlign w:val="center"/>
          </w:tcPr>
          <w:p w14:paraId="585FE49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98BF6C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电话</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60F3BA8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06B21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86CE35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成立时间</w:t>
            </w:r>
          </w:p>
        </w:tc>
        <w:tc>
          <w:tcPr>
            <w:tcW w:w="2118" w:type="dxa"/>
            <w:gridSpan w:val="2"/>
            <w:tcBorders>
              <w:top w:val="single" w:color="auto" w:sz="4" w:space="0"/>
              <w:left w:val="single" w:color="auto" w:sz="4" w:space="0"/>
              <w:bottom w:val="single" w:color="auto" w:sz="4" w:space="0"/>
              <w:right w:val="single" w:color="auto" w:sz="4" w:space="0"/>
            </w:tcBorders>
            <w:noWrap w:val="0"/>
            <w:vAlign w:val="center"/>
          </w:tcPr>
          <w:p w14:paraId="3EFC5F6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5236" w:type="dxa"/>
            <w:gridSpan w:val="6"/>
            <w:tcBorders>
              <w:top w:val="single" w:color="auto" w:sz="4" w:space="0"/>
              <w:left w:val="single" w:color="auto" w:sz="4" w:space="0"/>
              <w:bottom w:val="single" w:color="auto" w:sz="4" w:space="0"/>
              <w:right w:val="single" w:color="auto" w:sz="4" w:space="0"/>
            </w:tcBorders>
            <w:noWrap w:val="0"/>
            <w:vAlign w:val="center"/>
          </w:tcPr>
          <w:p w14:paraId="109329F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firstLine="120" w:firstLineChars="5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员工总人数：</w:t>
            </w:r>
          </w:p>
        </w:tc>
      </w:tr>
      <w:tr w14:paraId="7878A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75CF097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企业资质等级</w:t>
            </w:r>
          </w:p>
        </w:tc>
        <w:tc>
          <w:tcPr>
            <w:tcW w:w="2118" w:type="dxa"/>
            <w:gridSpan w:val="2"/>
            <w:tcBorders>
              <w:top w:val="single" w:color="auto" w:sz="4" w:space="0"/>
              <w:left w:val="single" w:color="auto" w:sz="4" w:space="0"/>
              <w:bottom w:val="single" w:color="auto" w:sz="4" w:space="0"/>
              <w:right w:val="single" w:color="auto" w:sz="4" w:space="0"/>
            </w:tcBorders>
            <w:noWrap w:val="0"/>
            <w:vAlign w:val="center"/>
          </w:tcPr>
          <w:p w14:paraId="24678E3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962" w:type="dxa"/>
            <w:vMerge w:val="restart"/>
            <w:tcBorders>
              <w:top w:val="single" w:color="auto" w:sz="4" w:space="0"/>
              <w:left w:val="single" w:color="auto" w:sz="4" w:space="0"/>
              <w:bottom w:val="single" w:color="auto" w:sz="4" w:space="0"/>
              <w:right w:val="single" w:color="auto" w:sz="4" w:space="0"/>
            </w:tcBorders>
            <w:noWrap w:val="0"/>
            <w:vAlign w:val="center"/>
          </w:tcPr>
          <w:p w14:paraId="5E8A345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其中</w:t>
            </w:r>
          </w:p>
        </w:tc>
        <w:tc>
          <w:tcPr>
            <w:tcW w:w="1670" w:type="dxa"/>
            <w:gridSpan w:val="3"/>
            <w:tcBorders>
              <w:top w:val="single" w:color="auto" w:sz="4" w:space="0"/>
              <w:left w:val="single" w:color="auto" w:sz="4" w:space="0"/>
              <w:bottom w:val="single" w:color="auto" w:sz="4" w:space="0"/>
              <w:right w:val="single" w:color="auto" w:sz="4" w:space="0"/>
            </w:tcBorders>
            <w:noWrap w:val="0"/>
            <w:vAlign w:val="center"/>
          </w:tcPr>
          <w:p w14:paraId="59ACDE7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项目经理</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14:paraId="65F8249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2BAFE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4415A1E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营业执照号</w:t>
            </w:r>
          </w:p>
        </w:tc>
        <w:tc>
          <w:tcPr>
            <w:tcW w:w="2118" w:type="dxa"/>
            <w:gridSpan w:val="2"/>
            <w:tcBorders>
              <w:top w:val="single" w:color="auto" w:sz="4" w:space="0"/>
              <w:left w:val="single" w:color="auto" w:sz="4" w:space="0"/>
              <w:bottom w:val="single" w:color="auto" w:sz="4" w:space="0"/>
              <w:right w:val="single" w:color="auto" w:sz="4" w:space="0"/>
            </w:tcBorders>
            <w:noWrap w:val="0"/>
            <w:vAlign w:val="center"/>
          </w:tcPr>
          <w:p w14:paraId="5D3A2BE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14:paraId="7AF641D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670" w:type="dxa"/>
            <w:gridSpan w:val="3"/>
            <w:tcBorders>
              <w:top w:val="single" w:color="auto" w:sz="4" w:space="0"/>
              <w:left w:val="single" w:color="auto" w:sz="4" w:space="0"/>
              <w:bottom w:val="single" w:color="auto" w:sz="4" w:space="0"/>
              <w:right w:val="single" w:color="auto" w:sz="4" w:space="0"/>
            </w:tcBorders>
            <w:noWrap w:val="0"/>
            <w:vAlign w:val="center"/>
          </w:tcPr>
          <w:p w14:paraId="0997856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高级职称人员</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14:paraId="41B0712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15441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2D9BEC2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注册资金</w:t>
            </w:r>
          </w:p>
        </w:tc>
        <w:tc>
          <w:tcPr>
            <w:tcW w:w="2118" w:type="dxa"/>
            <w:gridSpan w:val="2"/>
            <w:tcBorders>
              <w:top w:val="single" w:color="auto" w:sz="4" w:space="0"/>
              <w:left w:val="single" w:color="auto" w:sz="4" w:space="0"/>
              <w:bottom w:val="single" w:color="auto" w:sz="4" w:space="0"/>
              <w:right w:val="single" w:color="auto" w:sz="4" w:space="0"/>
            </w:tcBorders>
            <w:noWrap w:val="0"/>
            <w:vAlign w:val="center"/>
          </w:tcPr>
          <w:p w14:paraId="0E376B0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14:paraId="59101CC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670" w:type="dxa"/>
            <w:gridSpan w:val="3"/>
            <w:tcBorders>
              <w:top w:val="single" w:color="auto" w:sz="4" w:space="0"/>
              <w:left w:val="single" w:color="auto" w:sz="4" w:space="0"/>
              <w:bottom w:val="single" w:color="auto" w:sz="4" w:space="0"/>
              <w:right w:val="single" w:color="auto" w:sz="4" w:space="0"/>
            </w:tcBorders>
            <w:noWrap w:val="0"/>
            <w:vAlign w:val="center"/>
          </w:tcPr>
          <w:p w14:paraId="4C7ABEC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中级职称人员</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14:paraId="42AA4EE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1C653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4"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5A49CB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开户银行</w:t>
            </w:r>
          </w:p>
        </w:tc>
        <w:tc>
          <w:tcPr>
            <w:tcW w:w="2118" w:type="dxa"/>
            <w:gridSpan w:val="2"/>
            <w:tcBorders>
              <w:top w:val="single" w:color="auto" w:sz="4" w:space="0"/>
              <w:left w:val="single" w:color="auto" w:sz="4" w:space="0"/>
              <w:bottom w:val="single" w:color="auto" w:sz="4" w:space="0"/>
              <w:right w:val="single" w:color="auto" w:sz="4" w:space="0"/>
            </w:tcBorders>
            <w:noWrap w:val="0"/>
            <w:vAlign w:val="center"/>
          </w:tcPr>
          <w:p w14:paraId="762BEB0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14:paraId="36C1D1A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670" w:type="dxa"/>
            <w:gridSpan w:val="3"/>
            <w:tcBorders>
              <w:top w:val="single" w:color="auto" w:sz="4" w:space="0"/>
              <w:left w:val="single" w:color="auto" w:sz="4" w:space="0"/>
              <w:bottom w:val="single" w:color="auto" w:sz="4" w:space="0"/>
              <w:right w:val="single" w:color="auto" w:sz="4" w:space="0"/>
            </w:tcBorders>
            <w:noWrap w:val="0"/>
            <w:vAlign w:val="center"/>
          </w:tcPr>
          <w:p w14:paraId="07AE5AC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初级职称人员</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14:paraId="0A001FF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742A7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5387B61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账号</w:t>
            </w:r>
          </w:p>
        </w:tc>
        <w:tc>
          <w:tcPr>
            <w:tcW w:w="2118" w:type="dxa"/>
            <w:gridSpan w:val="2"/>
            <w:tcBorders>
              <w:top w:val="single" w:color="auto" w:sz="4" w:space="0"/>
              <w:left w:val="single" w:color="auto" w:sz="4" w:space="0"/>
              <w:bottom w:val="single" w:color="auto" w:sz="4" w:space="0"/>
              <w:right w:val="single" w:color="auto" w:sz="4" w:space="0"/>
            </w:tcBorders>
            <w:noWrap w:val="0"/>
            <w:vAlign w:val="center"/>
          </w:tcPr>
          <w:p w14:paraId="54B38BC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14:paraId="022A6CC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c>
          <w:tcPr>
            <w:tcW w:w="1670" w:type="dxa"/>
            <w:gridSpan w:val="3"/>
            <w:tcBorders>
              <w:top w:val="single" w:color="auto" w:sz="4" w:space="0"/>
              <w:left w:val="single" w:color="auto" w:sz="4" w:space="0"/>
              <w:bottom w:val="single" w:color="auto" w:sz="4" w:space="0"/>
              <w:right w:val="single" w:color="auto" w:sz="4" w:space="0"/>
            </w:tcBorders>
            <w:noWrap w:val="0"/>
            <w:vAlign w:val="center"/>
          </w:tcPr>
          <w:p w14:paraId="552B86B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技工</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14:paraId="3D93B1A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r w14:paraId="6219D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1980" w:type="dxa"/>
            <w:tcBorders>
              <w:top w:val="single" w:color="auto" w:sz="4" w:space="0"/>
              <w:left w:val="single" w:color="auto" w:sz="4" w:space="0"/>
              <w:right w:val="single" w:color="auto" w:sz="4" w:space="0"/>
            </w:tcBorders>
            <w:noWrap w:val="0"/>
            <w:vAlign w:val="center"/>
          </w:tcPr>
          <w:p w14:paraId="4E22F90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firstLine="240" w:firstLineChars="10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经营范围</w:t>
            </w:r>
          </w:p>
        </w:tc>
        <w:tc>
          <w:tcPr>
            <w:tcW w:w="7354" w:type="dxa"/>
            <w:gridSpan w:val="8"/>
            <w:tcBorders>
              <w:top w:val="single" w:color="auto" w:sz="4" w:space="0"/>
              <w:left w:val="single" w:color="auto" w:sz="4" w:space="0"/>
              <w:right w:val="single" w:color="auto" w:sz="4" w:space="0"/>
            </w:tcBorders>
            <w:noWrap w:val="0"/>
            <w:vAlign w:val="center"/>
          </w:tcPr>
          <w:p w14:paraId="679A29F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49007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67DEC8F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w:t>
            </w:r>
          </w:p>
        </w:tc>
        <w:tc>
          <w:tcPr>
            <w:tcW w:w="7354" w:type="dxa"/>
            <w:gridSpan w:val="8"/>
            <w:tcBorders>
              <w:top w:val="single" w:color="auto" w:sz="4" w:space="0"/>
              <w:left w:val="single" w:color="auto" w:sz="4" w:space="0"/>
              <w:bottom w:val="single" w:color="auto" w:sz="4" w:space="0"/>
              <w:right w:val="single" w:color="auto" w:sz="4" w:space="0"/>
            </w:tcBorders>
            <w:noWrap w:val="0"/>
            <w:vAlign w:val="center"/>
          </w:tcPr>
          <w:p w14:paraId="03AF9F7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p>
        </w:tc>
      </w:tr>
    </w:tbl>
    <w:p w14:paraId="5B1AEF98">
      <w:pPr>
        <w:keepNext w:val="0"/>
        <w:keepLines w:val="0"/>
        <w:pageBreakBefore w:val="0"/>
        <w:widowControl w:val="0"/>
        <w:kinsoku/>
        <w:wordWrap/>
        <w:overflowPunct/>
        <w:topLinePunct w:val="0"/>
        <w:autoSpaceDE w:val="0"/>
        <w:autoSpaceDN w:val="0"/>
        <w:bidi w:val="0"/>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备注：本表后应附企业法人营业执照及其年检合格的证明材料、企业资质证书副本、安全生产许可证等材料的复印件。</w:t>
      </w:r>
    </w:p>
    <w:p w14:paraId="15C56A4B">
      <w:pPr>
        <w:keepNext w:val="0"/>
        <w:keepLines w:val="0"/>
        <w:pageBreakBefore w:val="0"/>
        <w:widowControl w:val="0"/>
        <w:kinsoku/>
        <w:wordWrap/>
        <w:overflowPunct/>
        <w:topLinePunct w:val="0"/>
        <w:autoSpaceDE w:val="0"/>
        <w:autoSpaceDN w:val="0"/>
        <w:bidi w:val="0"/>
        <w:spacing w:line="440" w:lineRule="exact"/>
        <w:ind w:firstLine="480" w:firstLineChars="200"/>
        <w:jc w:val="center"/>
        <w:outlineLvl w:val="2"/>
        <w:rPr>
          <w:rFonts w:hint="eastAsia" w:ascii="宋体" w:hAnsi="宋体" w:eastAsia="宋体" w:cs="宋体"/>
          <w:bCs/>
          <w:color w:val="auto"/>
          <w:kern w:val="2"/>
          <w:sz w:val="24"/>
          <w:szCs w:val="24"/>
          <w:highlight w:val="none"/>
        </w:rPr>
      </w:pPr>
      <w:r>
        <w:rPr>
          <w:rFonts w:hint="eastAsia" w:ascii="宋体" w:hAnsi="宋体" w:eastAsia="宋体" w:cs="宋体"/>
          <w:b w:val="0"/>
          <w:color w:val="auto"/>
          <w:kern w:val="2"/>
          <w:sz w:val="24"/>
          <w:szCs w:val="24"/>
          <w:highlight w:val="none"/>
        </w:rPr>
        <w:br w:type="page"/>
      </w:r>
      <w:bookmarkStart w:id="112" w:name="_Toc265953295"/>
      <w:bookmarkStart w:id="113" w:name="_Toc27972"/>
      <w:bookmarkStart w:id="114" w:name="_Toc152045809"/>
      <w:bookmarkStart w:id="115" w:name="_Toc144974877"/>
      <w:bookmarkStart w:id="116" w:name="_Toc247527849"/>
      <w:bookmarkStart w:id="117" w:name="_Toc453756971"/>
      <w:bookmarkStart w:id="118" w:name="_Toc152042598"/>
      <w:bookmarkStart w:id="119" w:name="_Toc10821"/>
      <w:bookmarkStart w:id="120" w:name="_Toc247514301"/>
      <w:bookmarkStart w:id="121" w:name="_Toc152045813"/>
      <w:bookmarkStart w:id="122" w:name="_Toc152042602"/>
      <w:bookmarkStart w:id="123" w:name="_Toc179632833"/>
      <w:bookmarkStart w:id="124" w:name="_Toc144974881"/>
      <w:r>
        <w:rPr>
          <w:rFonts w:hint="eastAsia" w:ascii="宋体" w:hAnsi="宋体" w:eastAsia="宋体" w:cs="宋体"/>
          <w:b/>
          <w:bCs w:val="0"/>
          <w:color w:val="auto"/>
          <w:kern w:val="2"/>
          <w:sz w:val="28"/>
          <w:szCs w:val="28"/>
          <w:highlight w:val="none"/>
        </w:rPr>
        <w:t>（二）近年财务状况表</w:t>
      </w:r>
      <w:bookmarkEnd w:id="112"/>
      <w:bookmarkEnd w:id="113"/>
      <w:bookmarkEnd w:id="114"/>
      <w:bookmarkEnd w:id="115"/>
      <w:bookmarkEnd w:id="116"/>
      <w:bookmarkEnd w:id="117"/>
      <w:bookmarkEnd w:id="118"/>
      <w:bookmarkEnd w:id="119"/>
      <w:bookmarkEnd w:id="120"/>
    </w:p>
    <w:p w14:paraId="719B97D2">
      <w:pPr>
        <w:keepNext w:val="0"/>
        <w:keepLines w:val="0"/>
        <w:pageBreakBefore w:val="0"/>
        <w:widowControl w:val="0"/>
        <w:kinsoku/>
        <w:wordWrap/>
        <w:overflowPunct/>
        <w:topLinePunct w:val="0"/>
        <w:autoSpaceDE w:val="0"/>
        <w:autoSpaceDN w:val="0"/>
        <w:bidi w:val="0"/>
        <w:spacing w:after="120"/>
        <w:ind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eastAsia="zh-CN"/>
        </w:rPr>
        <w:t>一</w:t>
      </w:r>
      <w:r>
        <w:rPr>
          <w:rFonts w:hint="eastAsia" w:ascii="宋体" w:hAnsi="宋体" w:eastAsia="宋体" w:cs="宋体"/>
          <w:b w:val="0"/>
          <w:color w:val="auto"/>
          <w:kern w:val="2"/>
          <w:sz w:val="24"/>
          <w:szCs w:val="24"/>
          <w:highlight w:val="none"/>
        </w:rPr>
        <w:t>、近三年每年的财务状况</w:t>
      </w:r>
    </w:p>
    <w:tbl>
      <w:tblPr>
        <w:tblStyle w:val="16"/>
        <w:tblW w:w="8184" w:type="dxa"/>
        <w:tblInd w:w="2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84"/>
        <w:gridCol w:w="1889"/>
        <w:gridCol w:w="1932"/>
        <w:gridCol w:w="1879"/>
      </w:tblGrid>
      <w:tr w14:paraId="7B74B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8" w:hRule="atLeast"/>
        </w:trPr>
        <w:tc>
          <w:tcPr>
            <w:tcW w:w="2484" w:type="dxa"/>
            <w:vMerge w:val="restart"/>
            <w:noWrap w:val="0"/>
            <w:vAlign w:val="center"/>
          </w:tcPr>
          <w:p w14:paraId="5C35936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p w14:paraId="3DE31AF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firstLine="480" w:firstLineChars="200"/>
              <w:rPr>
                <w:rFonts w:hint="eastAsia" w:ascii="宋体" w:hAnsi="宋体" w:eastAsia="宋体" w:cs="宋体"/>
                <w:b w:val="0"/>
                <w:color w:val="auto"/>
                <w:kern w:val="2"/>
                <w:sz w:val="24"/>
                <w:szCs w:val="24"/>
                <w:highlight w:val="none"/>
              </w:rPr>
            </w:pPr>
            <w:r>
              <w:rPr>
                <w:rFonts w:hint="eastAsia" w:ascii="宋体" w:hAnsi="宋体" w:eastAsia="宋体" w:cs="宋体"/>
                <w:color w:val="auto"/>
                <w:kern w:val="2"/>
                <w:sz w:val="24"/>
                <w:szCs w:val="24"/>
                <w:highlight w:val="none"/>
              </w:rPr>
              <w:t>(单位：元)</w:t>
            </w:r>
          </w:p>
        </w:tc>
        <w:tc>
          <w:tcPr>
            <w:tcW w:w="5700" w:type="dxa"/>
            <w:gridSpan w:val="3"/>
            <w:vMerge w:val="restart"/>
            <w:noWrap w:val="0"/>
            <w:vAlign w:val="center"/>
          </w:tcPr>
          <w:p w14:paraId="2664A03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近三年（20</w:t>
            </w:r>
            <w:r>
              <w:rPr>
                <w:rFonts w:hint="eastAsia" w:ascii="宋体" w:hAnsi="宋体" w:eastAsia="宋体" w:cs="宋体"/>
                <w:color w:val="auto"/>
                <w:kern w:val="2"/>
                <w:sz w:val="24"/>
                <w:szCs w:val="24"/>
                <w:highlight w:val="none"/>
                <w:lang w:val="en-US" w:eastAsia="zh-CN"/>
              </w:rPr>
              <w:t>22</w:t>
            </w: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24</w:t>
            </w:r>
            <w:r>
              <w:rPr>
                <w:rFonts w:hint="eastAsia" w:ascii="宋体" w:hAnsi="宋体" w:eastAsia="宋体" w:cs="宋体"/>
                <w:color w:val="auto"/>
                <w:kern w:val="2"/>
                <w:sz w:val="24"/>
                <w:szCs w:val="24"/>
                <w:highlight w:val="none"/>
              </w:rPr>
              <w:t>年）</w:t>
            </w:r>
          </w:p>
        </w:tc>
      </w:tr>
      <w:tr w14:paraId="41CE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58" w:hRule="atLeast"/>
        </w:trPr>
        <w:tc>
          <w:tcPr>
            <w:tcW w:w="2484" w:type="dxa"/>
            <w:vMerge w:val="continue"/>
            <w:noWrap w:val="0"/>
            <w:vAlign w:val="center"/>
          </w:tcPr>
          <w:p w14:paraId="25C88B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5700" w:type="dxa"/>
            <w:gridSpan w:val="3"/>
            <w:vMerge w:val="continue"/>
            <w:noWrap w:val="0"/>
            <w:vAlign w:val="center"/>
          </w:tcPr>
          <w:p w14:paraId="137F612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color w:val="auto"/>
                <w:kern w:val="2"/>
                <w:sz w:val="24"/>
                <w:szCs w:val="24"/>
                <w:highlight w:val="none"/>
              </w:rPr>
            </w:pPr>
          </w:p>
        </w:tc>
      </w:tr>
      <w:tr w14:paraId="30C83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8" w:hRule="atLeast"/>
        </w:trPr>
        <w:tc>
          <w:tcPr>
            <w:tcW w:w="2484" w:type="dxa"/>
            <w:vMerge w:val="continue"/>
            <w:noWrap w:val="0"/>
            <w:vAlign w:val="center"/>
          </w:tcPr>
          <w:p w14:paraId="6B31825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889" w:type="dxa"/>
            <w:noWrap w:val="0"/>
            <w:vAlign w:val="center"/>
          </w:tcPr>
          <w:p w14:paraId="51CBF85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22</w:t>
            </w:r>
            <w:r>
              <w:rPr>
                <w:rFonts w:hint="eastAsia" w:ascii="宋体" w:hAnsi="宋体" w:eastAsia="宋体" w:cs="宋体"/>
                <w:color w:val="auto"/>
                <w:kern w:val="2"/>
                <w:sz w:val="24"/>
                <w:szCs w:val="24"/>
                <w:highlight w:val="none"/>
              </w:rPr>
              <w:t>年</w:t>
            </w:r>
          </w:p>
        </w:tc>
        <w:tc>
          <w:tcPr>
            <w:tcW w:w="1932" w:type="dxa"/>
            <w:noWrap w:val="0"/>
            <w:vAlign w:val="center"/>
          </w:tcPr>
          <w:p w14:paraId="543379C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23</w:t>
            </w:r>
            <w:r>
              <w:rPr>
                <w:rFonts w:hint="eastAsia" w:ascii="宋体" w:hAnsi="宋体" w:eastAsia="宋体" w:cs="宋体"/>
                <w:color w:val="auto"/>
                <w:kern w:val="2"/>
                <w:sz w:val="24"/>
                <w:szCs w:val="24"/>
                <w:highlight w:val="none"/>
              </w:rPr>
              <w:t>年</w:t>
            </w:r>
          </w:p>
        </w:tc>
        <w:tc>
          <w:tcPr>
            <w:tcW w:w="1879" w:type="dxa"/>
            <w:noWrap w:val="0"/>
            <w:vAlign w:val="center"/>
          </w:tcPr>
          <w:p w14:paraId="558D2DE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24</w:t>
            </w:r>
            <w:r>
              <w:rPr>
                <w:rFonts w:hint="eastAsia" w:ascii="宋体" w:hAnsi="宋体" w:eastAsia="宋体" w:cs="宋体"/>
                <w:color w:val="auto"/>
                <w:kern w:val="2"/>
                <w:sz w:val="24"/>
                <w:szCs w:val="24"/>
                <w:highlight w:val="none"/>
              </w:rPr>
              <w:t>年</w:t>
            </w:r>
          </w:p>
        </w:tc>
      </w:tr>
      <w:tr w14:paraId="53267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2484" w:type="dxa"/>
            <w:noWrap w:val="0"/>
            <w:vAlign w:val="center"/>
          </w:tcPr>
          <w:p w14:paraId="32B139B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10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1总资产</w:t>
            </w:r>
          </w:p>
        </w:tc>
        <w:tc>
          <w:tcPr>
            <w:tcW w:w="1889" w:type="dxa"/>
            <w:noWrap w:val="0"/>
            <w:vAlign w:val="center"/>
          </w:tcPr>
          <w:p w14:paraId="3D13533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932" w:type="dxa"/>
            <w:noWrap w:val="0"/>
            <w:vAlign w:val="center"/>
          </w:tcPr>
          <w:p w14:paraId="62B8387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879" w:type="dxa"/>
            <w:noWrap w:val="0"/>
            <w:vAlign w:val="center"/>
          </w:tcPr>
          <w:p w14:paraId="1EBE343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1535F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2484" w:type="dxa"/>
            <w:noWrap w:val="0"/>
            <w:vAlign w:val="center"/>
          </w:tcPr>
          <w:p w14:paraId="0694C25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10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2.流动资产</w:t>
            </w:r>
          </w:p>
        </w:tc>
        <w:tc>
          <w:tcPr>
            <w:tcW w:w="1889" w:type="dxa"/>
            <w:noWrap w:val="0"/>
            <w:vAlign w:val="center"/>
          </w:tcPr>
          <w:p w14:paraId="563732F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932" w:type="dxa"/>
            <w:noWrap w:val="0"/>
            <w:vAlign w:val="center"/>
          </w:tcPr>
          <w:p w14:paraId="663F7EB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879" w:type="dxa"/>
            <w:noWrap w:val="0"/>
            <w:vAlign w:val="center"/>
          </w:tcPr>
          <w:p w14:paraId="1C0A589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12E74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2484" w:type="dxa"/>
            <w:noWrap w:val="0"/>
            <w:vAlign w:val="center"/>
          </w:tcPr>
          <w:p w14:paraId="7C613C0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10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3总负债</w:t>
            </w:r>
          </w:p>
        </w:tc>
        <w:tc>
          <w:tcPr>
            <w:tcW w:w="1889" w:type="dxa"/>
            <w:noWrap w:val="0"/>
            <w:vAlign w:val="center"/>
          </w:tcPr>
          <w:p w14:paraId="467C81C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932" w:type="dxa"/>
            <w:noWrap w:val="0"/>
            <w:vAlign w:val="center"/>
          </w:tcPr>
          <w:p w14:paraId="31E2448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879" w:type="dxa"/>
            <w:noWrap w:val="0"/>
            <w:vAlign w:val="center"/>
          </w:tcPr>
          <w:p w14:paraId="195E787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0A010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2484" w:type="dxa"/>
            <w:noWrap w:val="0"/>
            <w:vAlign w:val="center"/>
          </w:tcPr>
          <w:p w14:paraId="698CCB8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10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4.流动负债</w:t>
            </w:r>
          </w:p>
        </w:tc>
        <w:tc>
          <w:tcPr>
            <w:tcW w:w="1889" w:type="dxa"/>
            <w:noWrap w:val="0"/>
            <w:vAlign w:val="center"/>
          </w:tcPr>
          <w:p w14:paraId="4F7D464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932" w:type="dxa"/>
            <w:noWrap w:val="0"/>
            <w:vAlign w:val="center"/>
          </w:tcPr>
          <w:p w14:paraId="461189E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879" w:type="dxa"/>
            <w:noWrap w:val="0"/>
            <w:vAlign w:val="center"/>
          </w:tcPr>
          <w:p w14:paraId="418921D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7C300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2484" w:type="dxa"/>
            <w:noWrap w:val="0"/>
            <w:vAlign w:val="center"/>
          </w:tcPr>
          <w:p w14:paraId="1298943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10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5.税前利润</w:t>
            </w:r>
          </w:p>
        </w:tc>
        <w:tc>
          <w:tcPr>
            <w:tcW w:w="1889" w:type="dxa"/>
            <w:noWrap w:val="0"/>
            <w:vAlign w:val="center"/>
          </w:tcPr>
          <w:p w14:paraId="481C5B0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932" w:type="dxa"/>
            <w:noWrap w:val="0"/>
            <w:vAlign w:val="center"/>
          </w:tcPr>
          <w:p w14:paraId="196713A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879" w:type="dxa"/>
            <w:noWrap w:val="0"/>
            <w:vAlign w:val="center"/>
          </w:tcPr>
          <w:p w14:paraId="3831FE5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r w14:paraId="29A5B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atLeast"/>
        </w:trPr>
        <w:tc>
          <w:tcPr>
            <w:tcW w:w="2484" w:type="dxa"/>
            <w:noWrap w:val="0"/>
            <w:vAlign w:val="center"/>
          </w:tcPr>
          <w:p w14:paraId="1D390A7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10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6.税后利润</w:t>
            </w:r>
          </w:p>
        </w:tc>
        <w:tc>
          <w:tcPr>
            <w:tcW w:w="1889" w:type="dxa"/>
            <w:noWrap w:val="0"/>
            <w:vAlign w:val="center"/>
          </w:tcPr>
          <w:p w14:paraId="2AEA4A2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932" w:type="dxa"/>
            <w:noWrap w:val="0"/>
            <w:vAlign w:val="center"/>
          </w:tcPr>
          <w:p w14:paraId="4550B15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c>
          <w:tcPr>
            <w:tcW w:w="1879" w:type="dxa"/>
            <w:noWrap w:val="0"/>
            <w:vAlign w:val="center"/>
          </w:tcPr>
          <w:p w14:paraId="790E683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ind w:left="0" w:right="0"/>
              <w:jc w:val="both"/>
              <w:rPr>
                <w:rFonts w:hint="eastAsia" w:ascii="宋体" w:hAnsi="宋体" w:eastAsia="宋体" w:cs="宋体"/>
                <w:b w:val="0"/>
                <w:color w:val="auto"/>
                <w:kern w:val="2"/>
                <w:sz w:val="24"/>
                <w:szCs w:val="24"/>
                <w:highlight w:val="none"/>
              </w:rPr>
            </w:pPr>
          </w:p>
        </w:tc>
      </w:tr>
    </w:tbl>
    <w:p w14:paraId="3830E8E5">
      <w:pPr>
        <w:keepNext w:val="0"/>
        <w:keepLines w:val="0"/>
        <w:pageBreakBefore w:val="0"/>
        <w:widowControl w:val="0"/>
        <w:kinsoku/>
        <w:wordWrap/>
        <w:overflowPunct/>
        <w:topLinePunct w:val="0"/>
        <w:autoSpaceDE w:val="0"/>
        <w:autoSpaceDN w:val="0"/>
        <w:bidi w:val="0"/>
        <w:adjustRightInd w:val="0"/>
        <w:snapToGrid w:val="0"/>
        <w:spacing w:line="440" w:lineRule="exact"/>
        <w:ind w:left="630" w:firstLine="480" w:firstLineChars="200"/>
        <w:jc w:val="both"/>
        <w:textAlignment w:val="baseline"/>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备注：在此附近三年（20</w:t>
      </w:r>
      <w:r>
        <w:rPr>
          <w:rFonts w:hint="eastAsia" w:ascii="宋体" w:hAnsi="宋体" w:eastAsia="宋体" w:cs="宋体"/>
          <w:b w:val="0"/>
          <w:color w:val="auto"/>
          <w:kern w:val="2"/>
          <w:sz w:val="24"/>
          <w:szCs w:val="24"/>
          <w:highlight w:val="none"/>
          <w:lang w:val="en-US" w:eastAsia="zh-CN"/>
        </w:rPr>
        <w:t>22</w:t>
      </w:r>
      <w:r>
        <w:rPr>
          <w:rFonts w:hint="eastAsia" w:ascii="宋体" w:hAnsi="宋体" w:eastAsia="宋体" w:cs="宋体"/>
          <w:b w:val="0"/>
          <w:color w:val="auto"/>
          <w:kern w:val="2"/>
          <w:sz w:val="24"/>
          <w:szCs w:val="24"/>
          <w:highlight w:val="none"/>
        </w:rPr>
        <w:t>-20</w:t>
      </w:r>
      <w:r>
        <w:rPr>
          <w:rFonts w:hint="eastAsia" w:ascii="宋体" w:hAnsi="宋体" w:eastAsia="宋体" w:cs="宋体"/>
          <w:b w:val="0"/>
          <w:color w:val="auto"/>
          <w:kern w:val="2"/>
          <w:sz w:val="24"/>
          <w:szCs w:val="24"/>
          <w:highlight w:val="none"/>
          <w:lang w:val="en-US" w:eastAsia="zh-CN"/>
        </w:rPr>
        <w:t>24</w:t>
      </w:r>
      <w:r>
        <w:rPr>
          <w:rFonts w:hint="eastAsia" w:ascii="宋体" w:hAnsi="宋体" w:eastAsia="宋体" w:cs="宋体"/>
          <w:b w:val="0"/>
          <w:color w:val="auto"/>
          <w:kern w:val="2"/>
          <w:sz w:val="24"/>
          <w:szCs w:val="24"/>
          <w:highlight w:val="none"/>
        </w:rPr>
        <w:t>年）经会计师事务所出具的财务审计报告，包括资产负债表、损益表、现金流量表、利润表和财务情况说明书的复印件，具体年份要求见第二章“投标人须知”的规定。（当投标单位成立日期在20</w:t>
      </w:r>
      <w:r>
        <w:rPr>
          <w:rFonts w:hint="eastAsia" w:ascii="宋体" w:hAnsi="宋体" w:eastAsia="宋体" w:cs="宋体"/>
          <w:b w:val="0"/>
          <w:color w:val="auto"/>
          <w:kern w:val="2"/>
          <w:sz w:val="24"/>
          <w:szCs w:val="24"/>
          <w:highlight w:val="none"/>
          <w:lang w:val="en-US" w:eastAsia="zh-CN"/>
        </w:rPr>
        <w:t>22年</w:t>
      </w:r>
      <w:r>
        <w:rPr>
          <w:rFonts w:hint="eastAsia" w:ascii="宋体" w:hAnsi="宋体" w:eastAsia="宋体" w:cs="宋体"/>
          <w:b w:val="0"/>
          <w:color w:val="auto"/>
          <w:kern w:val="2"/>
          <w:sz w:val="24"/>
          <w:szCs w:val="24"/>
          <w:highlight w:val="none"/>
        </w:rPr>
        <w:t>-20</w:t>
      </w:r>
      <w:r>
        <w:rPr>
          <w:rFonts w:hint="eastAsia" w:ascii="宋体" w:hAnsi="宋体" w:eastAsia="宋体" w:cs="宋体"/>
          <w:b w:val="0"/>
          <w:color w:val="auto"/>
          <w:kern w:val="2"/>
          <w:sz w:val="24"/>
          <w:szCs w:val="24"/>
          <w:highlight w:val="none"/>
          <w:lang w:val="en-US" w:eastAsia="zh-CN"/>
        </w:rPr>
        <w:t>24</w:t>
      </w:r>
      <w:r>
        <w:rPr>
          <w:rFonts w:hint="eastAsia" w:ascii="宋体" w:hAnsi="宋体" w:eastAsia="宋体" w:cs="宋体"/>
          <w:b w:val="0"/>
          <w:color w:val="auto"/>
          <w:kern w:val="2"/>
          <w:sz w:val="24"/>
          <w:szCs w:val="24"/>
          <w:highlight w:val="none"/>
        </w:rPr>
        <w:t>年之间的，提供从成立日期至20</w:t>
      </w:r>
      <w:r>
        <w:rPr>
          <w:rFonts w:hint="eastAsia" w:ascii="宋体" w:hAnsi="宋体" w:eastAsia="宋体" w:cs="宋体"/>
          <w:b w:val="0"/>
          <w:color w:val="auto"/>
          <w:kern w:val="2"/>
          <w:sz w:val="24"/>
          <w:szCs w:val="24"/>
          <w:highlight w:val="none"/>
          <w:lang w:val="en-US" w:eastAsia="zh-CN"/>
        </w:rPr>
        <w:t>24</w:t>
      </w:r>
      <w:r>
        <w:rPr>
          <w:rFonts w:hint="eastAsia" w:ascii="宋体" w:hAnsi="宋体" w:eastAsia="宋体" w:cs="宋体"/>
          <w:b w:val="0"/>
          <w:color w:val="auto"/>
          <w:kern w:val="2"/>
          <w:sz w:val="24"/>
          <w:szCs w:val="24"/>
          <w:highlight w:val="none"/>
        </w:rPr>
        <w:t>年之间的经会计师事务所或审计机构审计的财务审计报告，20</w:t>
      </w:r>
      <w:r>
        <w:rPr>
          <w:rFonts w:hint="eastAsia" w:ascii="宋体" w:hAnsi="宋体" w:eastAsia="宋体" w:cs="宋体"/>
          <w:b w:val="0"/>
          <w:color w:val="auto"/>
          <w:kern w:val="2"/>
          <w:sz w:val="24"/>
          <w:szCs w:val="24"/>
          <w:highlight w:val="none"/>
          <w:lang w:val="en-US" w:eastAsia="zh-CN"/>
        </w:rPr>
        <w:t>24</w:t>
      </w:r>
      <w:r>
        <w:rPr>
          <w:rFonts w:hint="eastAsia" w:ascii="宋体" w:hAnsi="宋体" w:eastAsia="宋体" w:cs="宋体"/>
          <w:b w:val="0"/>
          <w:color w:val="auto"/>
          <w:kern w:val="2"/>
          <w:sz w:val="24"/>
          <w:szCs w:val="24"/>
          <w:highlight w:val="none"/>
        </w:rPr>
        <w:t>年以后新成立的公司无财务审计报告的</w:t>
      </w:r>
      <w:r>
        <w:rPr>
          <w:rFonts w:hint="eastAsia" w:ascii="宋体" w:hAnsi="宋体" w:eastAsia="宋体" w:cs="宋体"/>
          <w:b w:val="0"/>
          <w:bCs/>
          <w:color w:val="auto"/>
          <w:sz w:val="24"/>
          <w:szCs w:val="24"/>
          <w:highlight w:val="none"/>
          <w:lang w:val="zh-CN"/>
        </w:rPr>
        <w:t>，提供资信证及财务状况良好承诺即可。</w:t>
      </w:r>
    </w:p>
    <w:p w14:paraId="5A52DB46">
      <w:pPr>
        <w:keepNext w:val="0"/>
        <w:keepLines w:val="0"/>
        <w:pageBreakBefore w:val="0"/>
        <w:widowControl w:val="0"/>
        <w:kinsoku/>
        <w:wordWrap/>
        <w:overflowPunct/>
        <w:topLinePunct w:val="0"/>
        <w:autoSpaceDE w:val="0"/>
        <w:autoSpaceDN w:val="0"/>
        <w:bidi w:val="0"/>
        <w:adjustRightInd w:val="0"/>
        <w:snapToGrid w:val="0"/>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附：财务状况良好承诺书（20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年以后新成立的公司无财务审计报告的提供）</w:t>
      </w:r>
    </w:p>
    <w:p w14:paraId="1BE77BA9">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6E29104A">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363D6BF3">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02FFA3A0">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05409BE2">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3A113D1B">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2BE664E3">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04482D46">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7B530CA4">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5DD1B061">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38011D01">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26437149">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64E7FAA8">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1150F8E1">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732ED26A">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7C0AF891">
      <w:pPr>
        <w:keepNext w:val="0"/>
        <w:keepLines w:val="0"/>
        <w:pageBreakBefore w:val="0"/>
        <w:widowControl w:val="0"/>
        <w:kinsoku/>
        <w:wordWrap/>
        <w:overflowPunct/>
        <w:topLinePunct w:val="0"/>
        <w:autoSpaceDE w:val="0"/>
        <w:autoSpaceDN w:val="0"/>
        <w:bidi w:val="0"/>
        <w:ind w:firstLine="482" w:firstLineChars="200"/>
        <w:rPr>
          <w:rFonts w:hint="eastAsia" w:ascii="宋体" w:hAnsi="宋体" w:eastAsia="宋体" w:cs="宋体"/>
          <w:b/>
          <w:bCs/>
          <w:color w:val="auto"/>
          <w:sz w:val="24"/>
          <w:szCs w:val="24"/>
          <w:highlight w:val="none"/>
        </w:rPr>
      </w:pPr>
    </w:p>
    <w:p w14:paraId="4E80041D">
      <w:pPr>
        <w:keepNext w:val="0"/>
        <w:keepLines w:val="0"/>
        <w:pageBreakBefore w:val="0"/>
        <w:widowControl w:val="0"/>
        <w:kinsoku/>
        <w:wordWrap/>
        <w:overflowPunct/>
        <w:topLinePunct w:val="0"/>
        <w:autoSpaceDE w:val="0"/>
        <w:autoSpaceDN w:val="0"/>
        <w:bidi w:val="0"/>
        <w:ind w:firstLine="482" w:firstLineChars="200"/>
        <w:jc w:val="center"/>
        <w:rPr>
          <w:rFonts w:hint="eastAsia" w:ascii="宋体" w:hAnsi="宋体" w:eastAsia="宋体" w:cs="宋体"/>
          <w:b/>
          <w:bCs/>
          <w:color w:val="auto"/>
          <w:sz w:val="24"/>
          <w:szCs w:val="24"/>
          <w:highlight w:val="none"/>
        </w:rPr>
      </w:pPr>
    </w:p>
    <w:p w14:paraId="0885C339">
      <w:pPr>
        <w:keepNext w:val="0"/>
        <w:keepLines w:val="0"/>
        <w:pageBreakBefore w:val="0"/>
        <w:widowControl w:val="0"/>
        <w:kinsoku/>
        <w:wordWrap/>
        <w:overflowPunct/>
        <w:topLinePunct w:val="0"/>
        <w:autoSpaceDE w:val="0"/>
        <w:autoSpaceDN w:val="0"/>
        <w:bidi w:val="0"/>
        <w:spacing w:line="440" w:lineRule="exact"/>
        <w:ind w:firstLine="562" w:firstLineChars="200"/>
        <w:jc w:val="center"/>
        <w:outlineLvl w:val="2"/>
        <w:rPr>
          <w:rFonts w:hint="eastAsia" w:ascii="宋体" w:hAnsi="宋体" w:eastAsia="宋体" w:cs="宋体"/>
          <w:b/>
          <w:bCs w:val="0"/>
          <w:color w:val="auto"/>
          <w:kern w:val="2"/>
          <w:sz w:val="28"/>
          <w:szCs w:val="28"/>
          <w:highlight w:val="none"/>
        </w:rPr>
      </w:pPr>
      <w:bookmarkStart w:id="125" w:name="_Toc144974878"/>
      <w:bookmarkStart w:id="126" w:name="_Toc265953296"/>
      <w:bookmarkStart w:id="127" w:name="_Toc453756972"/>
      <w:bookmarkStart w:id="128" w:name="_Toc2928"/>
      <w:bookmarkStart w:id="129" w:name="_Toc152042599"/>
      <w:bookmarkStart w:id="130" w:name="_Toc247514302"/>
      <w:bookmarkStart w:id="131" w:name="_Toc3030"/>
      <w:bookmarkStart w:id="132" w:name="_Toc247527850"/>
      <w:bookmarkStart w:id="133" w:name="_Toc152045810"/>
      <w:r>
        <w:rPr>
          <w:rFonts w:hint="eastAsia" w:ascii="宋体" w:hAnsi="宋体" w:eastAsia="宋体" w:cs="宋体"/>
          <w:b/>
          <w:bCs w:val="0"/>
          <w:color w:val="auto"/>
          <w:kern w:val="2"/>
          <w:sz w:val="28"/>
          <w:szCs w:val="28"/>
          <w:highlight w:val="none"/>
        </w:rPr>
        <w:t>（三）近年完成的类似项目情况表</w:t>
      </w:r>
      <w:bookmarkEnd w:id="125"/>
      <w:bookmarkEnd w:id="126"/>
      <w:bookmarkEnd w:id="127"/>
      <w:bookmarkEnd w:id="128"/>
      <w:bookmarkEnd w:id="129"/>
      <w:bookmarkEnd w:id="130"/>
      <w:bookmarkEnd w:id="131"/>
      <w:bookmarkEnd w:id="132"/>
      <w:bookmarkEnd w:id="133"/>
    </w:p>
    <w:tbl>
      <w:tblPr>
        <w:tblStyle w:val="1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6795"/>
      </w:tblGrid>
      <w:tr w14:paraId="56B6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64" w:type="dxa"/>
            <w:noWrap w:val="0"/>
            <w:vAlign w:val="center"/>
          </w:tcPr>
          <w:p w14:paraId="4FBD02C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项目名称</w:t>
            </w:r>
          </w:p>
        </w:tc>
        <w:tc>
          <w:tcPr>
            <w:tcW w:w="6795" w:type="dxa"/>
            <w:noWrap w:val="0"/>
            <w:vAlign w:val="top"/>
          </w:tcPr>
          <w:p w14:paraId="4377308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2A8F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464" w:type="dxa"/>
            <w:noWrap w:val="0"/>
            <w:vAlign w:val="center"/>
          </w:tcPr>
          <w:p w14:paraId="05F0B35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项目所在地</w:t>
            </w:r>
          </w:p>
        </w:tc>
        <w:tc>
          <w:tcPr>
            <w:tcW w:w="6795" w:type="dxa"/>
            <w:noWrap w:val="0"/>
            <w:vAlign w:val="top"/>
          </w:tcPr>
          <w:p w14:paraId="253D9D6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162A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464" w:type="dxa"/>
            <w:noWrap w:val="0"/>
            <w:vAlign w:val="center"/>
          </w:tcPr>
          <w:p w14:paraId="1DCDC8A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发包人名称</w:t>
            </w:r>
          </w:p>
        </w:tc>
        <w:tc>
          <w:tcPr>
            <w:tcW w:w="6795" w:type="dxa"/>
            <w:noWrap w:val="0"/>
            <w:vAlign w:val="top"/>
          </w:tcPr>
          <w:p w14:paraId="2382CB4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72AA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464" w:type="dxa"/>
            <w:noWrap w:val="0"/>
            <w:vAlign w:val="center"/>
          </w:tcPr>
          <w:p w14:paraId="0AE95C8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发包人地址</w:t>
            </w:r>
          </w:p>
        </w:tc>
        <w:tc>
          <w:tcPr>
            <w:tcW w:w="6795" w:type="dxa"/>
            <w:noWrap w:val="0"/>
            <w:vAlign w:val="top"/>
          </w:tcPr>
          <w:p w14:paraId="696AA23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35F8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64" w:type="dxa"/>
            <w:noWrap w:val="0"/>
            <w:vAlign w:val="center"/>
          </w:tcPr>
          <w:p w14:paraId="0F382C6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发包人电话</w:t>
            </w:r>
          </w:p>
        </w:tc>
        <w:tc>
          <w:tcPr>
            <w:tcW w:w="6795" w:type="dxa"/>
            <w:noWrap w:val="0"/>
            <w:vAlign w:val="top"/>
          </w:tcPr>
          <w:p w14:paraId="60452307">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2250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64" w:type="dxa"/>
            <w:noWrap w:val="0"/>
            <w:vAlign w:val="center"/>
          </w:tcPr>
          <w:p w14:paraId="650DA0F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合同价格</w:t>
            </w:r>
          </w:p>
        </w:tc>
        <w:tc>
          <w:tcPr>
            <w:tcW w:w="6795" w:type="dxa"/>
            <w:noWrap w:val="0"/>
            <w:vAlign w:val="top"/>
          </w:tcPr>
          <w:p w14:paraId="4FF3B76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4865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464" w:type="dxa"/>
            <w:noWrap w:val="0"/>
            <w:vAlign w:val="center"/>
          </w:tcPr>
          <w:p w14:paraId="538BA6F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开工日期</w:t>
            </w:r>
          </w:p>
        </w:tc>
        <w:tc>
          <w:tcPr>
            <w:tcW w:w="6795" w:type="dxa"/>
            <w:noWrap w:val="0"/>
            <w:vAlign w:val="top"/>
          </w:tcPr>
          <w:p w14:paraId="7B400FA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4BA4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4" w:type="dxa"/>
            <w:noWrap w:val="0"/>
            <w:vAlign w:val="center"/>
          </w:tcPr>
          <w:p w14:paraId="000DC0E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竣工日期</w:t>
            </w:r>
          </w:p>
        </w:tc>
        <w:tc>
          <w:tcPr>
            <w:tcW w:w="6795" w:type="dxa"/>
            <w:noWrap w:val="0"/>
            <w:vAlign w:val="top"/>
          </w:tcPr>
          <w:p w14:paraId="1A32BD6F">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1553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64" w:type="dxa"/>
            <w:noWrap w:val="0"/>
            <w:vAlign w:val="center"/>
          </w:tcPr>
          <w:p w14:paraId="3E627BD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承担的工作</w:t>
            </w:r>
          </w:p>
        </w:tc>
        <w:tc>
          <w:tcPr>
            <w:tcW w:w="6795" w:type="dxa"/>
            <w:noWrap w:val="0"/>
            <w:vAlign w:val="top"/>
          </w:tcPr>
          <w:p w14:paraId="789F436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47D6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464" w:type="dxa"/>
            <w:noWrap w:val="0"/>
            <w:vAlign w:val="center"/>
          </w:tcPr>
          <w:p w14:paraId="5D21E9A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工程质量</w:t>
            </w:r>
          </w:p>
        </w:tc>
        <w:tc>
          <w:tcPr>
            <w:tcW w:w="6795" w:type="dxa"/>
            <w:noWrap w:val="0"/>
            <w:vAlign w:val="top"/>
          </w:tcPr>
          <w:p w14:paraId="7197D16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080F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464" w:type="dxa"/>
            <w:noWrap w:val="0"/>
            <w:vAlign w:val="center"/>
          </w:tcPr>
          <w:p w14:paraId="4788A01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项目经理</w:t>
            </w:r>
          </w:p>
        </w:tc>
        <w:tc>
          <w:tcPr>
            <w:tcW w:w="6795" w:type="dxa"/>
            <w:noWrap w:val="0"/>
            <w:vAlign w:val="top"/>
          </w:tcPr>
          <w:p w14:paraId="1EC74BA0">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1F5A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64" w:type="dxa"/>
            <w:noWrap w:val="0"/>
            <w:vAlign w:val="center"/>
          </w:tcPr>
          <w:p w14:paraId="1FCA9E8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技术负责人</w:t>
            </w:r>
          </w:p>
        </w:tc>
        <w:tc>
          <w:tcPr>
            <w:tcW w:w="6795" w:type="dxa"/>
            <w:noWrap w:val="0"/>
            <w:vAlign w:val="top"/>
          </w:tcPr>
          <w:p w14:paraId="59FAF4A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4274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2464" w:type="dxa"/>
            <w:noWrap w:val="0"/>
            <w:vAlign w:val="center"/>
          </w:tcPr>
          <w:p w14:paraId="64724C7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项目描述</w:t>
            </w:r>
          </w:p>
        </w:tc>
        <w:tc>
          <w:tcPr>
            <w:tcW w:w="6795" w:type="dxa"/>
            <w:noWrap w:val="0"/>
            <w:vAlign w:val="top"/>
          </w:tcPr>
          <w:p w14:paraId="4BD92C1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r w14:paraId="3B4E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464" w:type="dxa"/>
            <w:noWrap w:val="0"/>
            <w:vAlign w:val="center"/>
          </w:tcPr>
          <w:p w14:paraId="2AA790F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w:t>
            </w:r>
          </w:p>
        </w:tc>
        <w:tc>
          <w:tcPr>
            <w:tcW w:w="6795" w:type="dxa"/>
            <w:noWrap w:val="0"/>
            <w:vAlign w:val="top"/>
          </w:tcPr>
          <w:p w14:paraId="3024402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both"/>
              <w:rPr>
                <w:rFonts w:hint="eastAsia" w:ascii="宋体" w:hAnsi="宋体" w:eastAsia="宋体" w:cs="宋体"/>
                <w:b w:val="0"/>
                <w:color w:val="auto"/>
                <w:kern w:val="2"/>
                <w:sz w:val="24"/>
                <w:szCs w:val="24"/>
                <w:highlight w:val="none"/>
              </w:rPr>
            </w:pPr>
          </w:p>
        </w:tc>
      </w:tr>
    </w:tbl>
    <w:p w14:paraId="546D09B4">
      <w:pPr>
        <w:keepNext w:val="0"/>
        <w:keepLines w:val="0"/>
        <w:pageBreakBefore w:val="0"/>
        <w:widowControl w:val="0"/>
        <w:kinsoku/>
        <w:wordWrap/>
        <w:overflowPunct/>
        <w:topLinePunct w:val="0"/>
        <w:autoSpaceDE w:val="0"/>
        <w:autoSpaceDN w:val="0"/>
        <w:bidi w:val="0"/>
        <w:spacing w:line="44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备注：1、本表后附中标通知书和合同协议书的复印件，具体年份要求见投标人须知前附表。</w:t>
      </w:r>
    </w:p>
    <w:p w14:paraId="5404ECBC">
      <w:pPr>
        <w:keepNext w:val="0"/>
        <w:keepLines w:val="0"/>
        <w:pageBreakBefore w:val="0"/>
        <w:widowControl w:val="0"/>
        <w:kinsoku/>
        <w:wordWrap/>
        <w:overflowPunct/>
        <w:topLinePunct w:val="0"/>
        <w:autoSpaceDE w:val="0"/>
        <w:autoSpaceDN w:val="0"/>
        <w:bidi w:val="0"/>
        <w:spacing w:line="440" w:lineRule="exact"/>
        <w:ind w:left="258" w:leftChars="123" w:firstLine="480" w:firstLineChars="20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每张表格只填写一个项目，并标明序号。</w:t>
      </w:r>
    </w:p>
    <w:p w14:paraId="2EE58719">
      <w:pPr>
        <w:keepNext w:val="0"/>
        <w:keepLines w:val="0"/>
        <w:pageBreakBefore w:val="0"/>
        <w:widowControl w:val="0"/>
        <w:kinsoku/>
        <w:wordWrap/>
        <w:overflowPunct/>
        <w:topLinePunct w:val="0"/>
        <w:autoSpaceDE w:val="0"/>
        <w:autoSpaceDN w:val="0"/>
        <w:bidi w:val="0"/>
        <w:spacing w:before="260" w:after="260" w:line="415" w:lineRule="auto"/>
        <w:ind w:firstLine="480" w:firstLineChars="200"/>
        <w:jc w:val="center"/>
        <w:outlineLvl w:val="2"/>
        <w:rPr>
          <w:rFonts w:hint="eastAsia" w:ascii="宋体" w:hAnsi="宋体" w:eastAsia="宋体" w:cs="宋体"/>
          <w:b/>
          <w:bCs w:val="0"/>
          <w:color w:val="auto"/>
          <w:kern w:val="2"/>
          <w:sz w:val="28"/>
          <w:szCs w:val="28"/>
          <w:highlight w:val="none"/>
        </w:rPr>
      </w:pPr>
      <w:bookmarkStart w:id="134" w:name="_Toc144974879"/>
      <w:bookmarkStart w:id="135" w:name="_Toc453756973"/>
      <w:bookmarkStart w:id="136" w:name="_Toc247527851"/>
      <w:bookmarkStart w:id="137" w:name="_Toc152042600"/>
      <w:bookmarkStart w:id="138" w:name="_Toc247514303"/>
      <w:bookmarkStart w:id="139" w:name="_Toc152045811"/>
      <w:bookmarkStart w:id="140" w:name="_Toc265953297"/>
      <w:r>
        <w:rPr>
          <w:rFonts w:hint="eastAsia" w:ascii="宋体" w:hAnsi="宋体" w:eastAsia="宋体" w:cs="宋体"/>
          <w:bCs/>
          <w:color w:val="auto"/>
          <w:kern w:val="2"/>
          <w:sz w:val="24"/>
          <w:szCs w:val="24"/>
          <w:highlight w:val="none"/>
        </w:rPr>
        <w:br w:type="page"/>
      </w:r>
      <w:bookmarkStart w:id="141" w:name="_Toc24145"/>
      <w:bookmarkStart w:id="142" w:name="_Toc14630"/>
      <w:r>
        <w:rPr>
          <w:rFonts w:hint="eastAsia" w:ascii="宋体" w:hAnsi="宋体" w:eastAsia="宋体" w:cs="宋体"/>
          <w:b/>
          <w:bCs w:val="0"/>
          <w:color w:val="auto"/>
          <w:kern w:val="2"/>
          <w:sz w:val="28"/>
          <w:szCs w:val="28"/>
          <w:highlight w:val="none"/>
        </w:rPr>
        <w:t>（四）正在实施的和新承接的项目情况表</w:t>
      </w:r>
      <w:bookmarkEnd w:id="134"/>
      <w:bookmarkEnd w:id="135"/>
      <w:bookmarkEnd w:id="136"/>
      <w:bookmarkEnd w:id="137"/>
      <w:bookmarkEnd w:id="138"/>
      <w:bookmarkEnd w:id="139"/>
      <w:bookmarkEnd w:id="140"/>
      <w:bookmarkEnd w:id="141"/>
      <w:bookmarkEnd w:id="142"/>
    </w:p>
    <w:tbl>
      <w:tblPr>
        <w:tblStyle w:val="16"/>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6472"/>
      </w:tblGrid>
      <w:tr w14:paraId="1F78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51" w:type="dxa"/>
            <w:noWrap w:val="0"/>
            <w:vAlign w:val="center"/>
          </w:tcPr>
          <w:p w14:paraId="49B4374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项目名称</w:t>
            </w:r>
          </w:p>
        </w:tc>
        <w:tc>
          <w:tcPr>
            <w:tcW w:w="6472" w:type="dxa"/>
            <w:noWrap w:val="0"/>
            <w:vAlign w:val="top"/>
          </w:tcPr>
          <w:p w14:paraId="293F165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52D2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451" w:type="dxa"/>
            <w:noWrap w:val="0"/>
            <w:vAlign w:val="center"/>
          </w:tcPr>
          <w:p w14:paraId="374E037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项目所在地</w:t>
            </w:r>
          </w:p>
        </w:tc>
        <w:tc>
          <w:tcPr>
            <w:tcW w:w="6472" w:type="dxa"/>
            <w:noWrap w:val="0"/>
            <w:vAlign w:val="top"/>
          </w:tcPr>
          <w:p w14:paraId="0FCB340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174C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51" w:type="dxa"/>
            <w:noWrap w:val="0"/>
            <w:vAlign w:val="center"/>
          </w:tcPr>
          <w:p w14:paraId="740C5B2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发包人名称</w:t>
            </w:r>
          </w:p>
        </w:tc>
        <w:tc>
          <w:tcPr>
            <w:tcW w:w="6472" w:type="dxa"/>
            <w:noWrap w:val="0"/>
            <w:vAlign w:val="top"/>
          </w:tcPr>
          <w:p w14:paraId="3D12714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1A55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51" w:type="dxa"/>
            <w:noWrap w:val="0"/>
            <w:vAlign w:val="center"/>
          </w:tcPr>
          <w:p w14:paraId="7A402C6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发包人地址</w:t>
            </w:r>
          </w:p>
        </w:tc>
        <w:tc>
          <w:tcPr>
            <w:tcW w:w="6472" w:type="dxa"/>
            <w:noWrap w:val="0"/>
            <w:vAlign w:val="top"/>
          </w:tcPr>
          <w:p w14:paraId="43750B0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207B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451" w:type="dxa"/>
            <w:noWrap w:val="0"/>
            <w:vAlign w:val="center"/>
          </w:tcPr>
          <w:p w14:paraId="0944B3B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发包人电话</w:t>
            </w:r>
          </w:p>
        </w:tc>
        <w:tc>
          <w:tcPr>
            <w:tcW w:w="6472" w:type="dxa"/>
            <w:noWrap w:val="0"/>
            <w:vAlign w:val="top"/>
          </w:tcPr>
          <w:p w14:paraId="3045984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5EFE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51" w:type="dxa"/>
            <w:noWrap w:val="0"/>
            <w:vAlign w:val="center"/>
          </w:tcPr>
          <w:p w14:paraId="55AE91A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签约合同价</w:t>
            </w:r>
          </w:p>
        </w:tc>
        <w:tc>
          <w:tcPr>
            <w:tcW w:w="6472" w:type="dxa"/>
            <w:noWrap w:val="0"/>
            <w:vAlign w:val="top"/>
          </w:tcPr>
          <w:p w14:paraId="3C6274D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5CA0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451" w:type="dxa"/>
            <w:noWrap w:val="0"/>
            <w:vAlign w:val="center"/>
          </w:tcPr>
          <w:p w14:paraId="70D3B1A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开工日期</w:t>
            </w:r>
          </w:p>
        </w:tc>
        <w:tc>
          <w:tcPr>
            <w:tcW w:w="6472" w:type="dxa"/>
            <w:noWrap w:val="0"/>
            <w:vAlign w:val="top"/>
          </w:tcPr>
          <w:p w14:paraId="746A54F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51F7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51" w:type="dxa"/>
            <w:noWrap w:val="0"/>
            <w:vAlign w:val="center"/>
          </w:tcPr>
          <w:p w14:paraId="74FE52C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计划竣工日期</w:t>
            </w:r>
          </w:p>
        </w:tc>
        <w:tc>
          <w:tcPr>
            <w:tcW w:w="6472" w:type="dxa"/>
            <w:noWrap w:val="0"/>
            <w:vAlign w:val="top"/>
          </w:tcPr>
          <w:p w14:paraId="2638334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2C49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451" w:type="dxa"/>
            <w:noWrap w:val="0"/>
            <w:vAlign w:val="center"/>
          </w:tcPr>
          <w:p w14:paraId="751FAF3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承担的工作</w:t>
            </w:r>
          </w:p>
        </w:tc>
        <w:tc>
          <w:tcPr>
            <w:tcW w:w="6472" w:type="dxa"/>
            <w:noWrap w:val="0"/>
            <w:vAlign w:val="top"/>
          </w:tcPr>
          <w:p w14:paraId="36D4D01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4411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451" w:type="dxa"/>
            <w:noWrap w:val="0"/>
            <w:vAlign w:val="center"/>
          </w:tcPr>
          <w:p w14:paraId="731B224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工程质量</w:t>
            </w:r>
          </w:p>
        </w:tc>
        <w:tc>
          <w:tcPr>
            <w:tcW w:w="6472" w:type="dxa"/>
            <w:noWrap w:val="0"/>
            <w:vAlign w:val="top"/>
          </w:tcPr>
          <w:p w14:paraId="294BA27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6CFE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451" w:type="dxa"/>
            <w:noWrap w:val="0"/>
            <w:vAlign w:val="center"/>
          </w:tcPr>
          <w:p w14:paraId="26845EC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项目经理</w:t>
            </w:r>
          </w:p>
        </w:tc>
        <w:tc>
          <w:tcPr>
            <w:tcW w:w="6472" w:type="dxa"/>
            <w:noWrap w:val="0"/>
            <w:vAlign w:val="top"/>
          </w:tcPr>
          <w:p w14:paraId="5D3B8B6C">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2348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451" w:type="dxa"/>
            <w:noWrap w:val="0"/>
            <w:vAlign w:val="center"/>
          </w:tcPr>
          <w:p w14:paraId="0E78565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技术负责人</w:t>
            </w:r>
          </w:p>
        </w:tc>
        <w:tc>
          <w:tcPr>
            <w:tcW w:w="6472" w:type="dxa"/>
            <w:noWrap w:val="0"/>
            <w:vAlign w:val="top"/>
          </w:tcPr>
          <w:p w14:paraId="6B5B62D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3543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2451" w:type="dxa"/>
            <w:noWrap w:val="0"/>
            <w:vAlign w:val="center"/>
          </w:tcPr>
          <w:p w14:paraId="07AE967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项目描述</w:t>
            </w:r>
          </w:p>
        </w:tc>
        <w:tc>
          <w:tcPr>
            <w:tcW w:w="6472" w:type="dxa"/>
            <w:noWrap w:val="0"/>
            <w:vAlign w:val="top"/>
          </w:tcPr>
          <w:p w14:paraId="2E1B86F6">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r w14:paraId="5E2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451" w:type="dxa"/>
            <w:noWrap w:val="0"/>
            <w:vAlign w:val="center"/>
          </w:tcPr>
          <w:p w14:paraId="7A00D435">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w:t>
            </w:r>
          </w:p>
        </w:tc>
        <w:tc>
          <w:tcPr>
            <w:tcW w:w="6472" w:type="dxa"/>
            <w:noWrap w:val="0"/>
            <w:vAlign w:val="top"/>
          </w:tcPr>
          <w:p w14:paraId="7F1A551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color w:val="auto"/>
                <w:kern w:val="2"/>
                <w:sz w:val="24"/>
                <w:szCs w:val="24"/>
                <w:highlight w:val="none"/>
              </w:rPr>
            </w:pPr>
          </w:p>
        </w:tc>
      </w:tr>
    </w:tbl>
    <w:p w14:paraId="1C3C59DE">
      <w:pPr>
        <w:keepNext w:val="0"/>
        <w:keepLines w:val="0"/>
        <w:pageBreakBefore w:val="0"/>
        <w:widowControl w:val="0"/>
        <w:kinsoku/>
        <w:wordWrap/>
        <w:overflowPunct/>
        <w:topLinePunct w:val="0"/>
        <w:autoSpaceDE w:val="0"/>
        <w:autoSpaceDN w:val="0"/>
        <w:bidi w:val="0"/>
        <w:spacing w:line="440" w:lineRule="exact"/>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备注：本表后附中标通知书和合同协议书复印件。每张表格只填写一个项目，并标明序号。</w:t>
      </w:r>
    </w:p>
    <w:p w14:paraId="78E46A4A">
      <w:pPr>
        <w:keepNext w:val="0"/>
        <w:keepLines w:val="0"/>
        <w:pageBreakBefore w:val="0"/>
        <w:widowControl w:val="0"/>
        <w:kinsoku/>
        <w:wordWrap/>
        <w:overflowPunct/>
        <w:topLinePunct w:val="0"/>
        <w:autoSpaceDE w:val="0"/>
        <w:autoSpaceDN w:val="0"/>
        <w:bidi w:val="0"/>
        <w:spacing w:before="260" w:after="260" w:line="415" w:lineRule="auto"/>
        <w:ind w:firstLine="480" w:firstLineChars="200"/>
        <w:jc w:val="center"/>
        <w:outlineLvl w:val="2"/>
        <w:rPr>
          <w:rFonts w:hint="eastAsia" w:ascii="宋体" w:hAnsi="宋体" w:eastAsia="宋体" w:cs="宋体"/>
          <w:bCs/>
          <w:color w:val="auto"/>
          <w:kern w:val="2"/>
          <w:sz w:val="24"/>
          <w:szCs w:val="24"/>
          <w:highlight w:val="none"/>
        </w:rPr>
      </w:pPr>
      <w:bookmarkStart w:id="143" w:name="_Toc24710"/>
      <w:bookmarkStart w:id="144" w:name="_Toc246997117"/>
      <w:bookmarkStart w:id="145" w:name="_Toc10505"/>
      <w:bookmarkStart w:id="146" w:name="_Toc453756974"/>
      <w:bookmarkStart w:id="147" w:name="_Toc246996374"/>
      <w:bookmarkStart w:id="148" w:name="_Toc247085892"/>
    </w:p>
    <w:bookmarkEnd w:id="121"/>
    <w:bookmarkEnd w:id="122"/>
    <w:bookmarkEnd w:id="123"/>
    <w:bookmarkEnd w:id="124"/>
    <w:bookmarkEnd w:id="143"/>
    <w:bookmarkEnd w:id="144"/>
    <w:bookmarkEnd w:id="145"/>
    <w:bookmarkEnd w:id="146"/>
    <w:bookmarkEnd w:id="147"/>
    <w:bookmarkEnd w:id="148"/>
    <w:p w14:paraId="6A010D5A">
      <w:pPr>
        <w:keepNext w:val="0"/>
        <w:keepLines w:val="0"/>
        <w:pageBreakBefore w:val="0"/>
        <w:widowControl w:val="0"/>
        <w:kinsoku/>
        <w:wordWrap/>
        <w:overflowPunct/>
        <w:topLinePunct w:val="0"/>
        <w:autoSpaceDE w:val="0"/>
        <w:autoSpaceDN w:val="0"/>
        <w:bidi w:val="0"/>
        <w:spacing w:before="156" w:beforeLines="50" w:after="156" w:afterLines="50" w:line="400" w:lineRule="exact"/>
        <w:jc w:val="center"/>
        <w:outlineLvl w:val="0"/>
        <w:rPr>
          <w:rFonts w:hint="eastAsia" w:ascii="宋体" w:hAnsi="宋体" w:eastAsia="宋体" w:cs="宋体"/>
          <w:b/>
          <w:bCs w:val="0"/>
          <w:color w:val="auto"/>
          <w:kern w:val="44"/>
          <w:sz w:val="28"/>
          <w:szCs w:val="28"/>
          <w:highlight w:val="none"/>
        </w:rPr>
      </w:pPr>
      <w:bookmarkStart w:id="149" w:name="_Toc31037"/>
      <w:bookmarkStart w:id="150" w:name="_Toc3943"/>
      <w:bookmarkStart w:id="151" w:name="_Toc30985"/>
      <w:bookmarkStart w:id="152" w:name="_Toc453756975"/>
      <w:bookmarkStart w:id="153" w:name="_Toc418712193"/>
      <w:bookmarkStart w:id="154" w:name="_Toc414892007"/>
      <w:bookmarkStart w:id="155" w:name="_Toc428007718"/>
      <w:r>
        <w:rPr>
          <w:rFonts w:hint="eastAsia" w:ascii="宋体" w:hAnsi="宋体" w:eastAsia="宋体" w:cs="宋体"/>
          <w:b/>
          <w:bCs w:val="0"/>
          <w:color w:val="auto"/>
          <w:kern w:val="44"/>
          <w:sz w:val="28"/>
          <w:szCs w:val="28"/>
          <w:highlight w:val="none"/>
        </w:rPr>
        <w:t>（</w:t>
      </w:r>
      <w:r>
        <w:rPr>
          <w:rFonts w:hint="eastAsia" w:ascii="宋体" w:hAnsi="宋体" w:eastAsia="宋体" w:cs="宋体"/>
          <w:b/>
          <w:bCs w:val="0"/>
          <w:color w:val="auto"/>
          <w:kern w:val="44"/>
          <w:sz w:val="28"/>
          <w:szCs w:val="28"/>
          <w:highlight w:val="none"/>
          <w:lang w:val="en-US" w:eastAsia="zh-CN"/>
        </w:rPr>
        <w:t>五</w:t>
      </w:r>
      <w:r>
        <w:rPr>
          <w:rFonts w:hint="eastAsia" w:ascii="宋体" w:hAnsi="宋体" w:eastAsia="宋体" w:cs="宋体"/>
          <w:b/>
          <w:bCs w:val="0"/>
          <w:color w:val="auto"/>
          <w:kern w:val="44"/>
          <w:sz w:val="28"/>
          <w:szCs w:val="28"/>
          <w:highlight w:val="none"/>
        </w:rPr>
        <w:t>）企业信誉</w:t>
      </w:r>
      <w:bookmarkEnd w:id="149"/>
      <w:bookmarkEnd w:id="150"/>
      <w:bookmarkEnd w:id="151"/>
    </w:p>
    <w:p w14:paraId="31EE2D52">
      <w:pPr>
        <w:keepNext w:val="0"/>
        <w:keepLines w:val="0"/>
        <w:pageBreakBefore w:val="0"/>
        <w:widowControl w:val="0"/>
        <w:kinsoku/>
        <w:wordWrap/>
        <w:overflowPunct/>
        <w:topLinePunct w:val="0"/>
        <w:autoSpaceDE w:val="0"/>
        <w:autoSpaceDN w:val="0"/>
        <w:bidi w:val="0"/>
        <w:spacing w:before="156" w:beforeLines="50" w:after="156" w:afterLines="50" w:line="400" w:lineRule="exact"/>
        <w:ind w:firstLine="480" w:firstLineChars="200"/>
        <w:jc w:val="center"/>
        <w:outlineLvl w:val="0"/>
        <w:rPr>
          <w:rFonts w:hint="eastAsia" w:ascii="宋体" w:hAnsi="宋体" w:eastAsia="宋体" w:cs="宋体"/>
          <w:bCs/>
          <w:color w:val="auto"/>
          <w:kern w:val="44"/>
          <w:sz w:val="24"/>
          <w:szCs w:val="24"/>
          <w:highlight w:val="none"/>
        </w:rPr>
      </w:pPr>
      <w:bookmarkStart w:id="156" w:name="_Toc15097"/>
      <w:bookmarkStart w:id="157" w:name="_Toc2321"/>
      <w:bookmarkStart w:id="158" w:name="_Toc18487"/>
      <w:r>
        <w:rPr>
          <w:rFonts w:hint="eastAsia" w:ascii="宋体" w:hAnsi="宋体" w:eastAsia="宋体" w:cs="宋体"/>
          <w:bCs/>
          <w:color w:val="auto"/>
          <w:kern w:val="44"/>
          <w:sz w:val="24"/>
          <w:szCs w:val="24"/>
          <w:highlight w:val="none"/>
        </w:rPr>
        <w:t>（年份要求同诉讼及仲裁情况年份要求）</w:t>
      </w:r>
      <w:bookmarkEnd w:id="152"/>
      <w:bookmarkEnd w:id="153"/>
      <w:bookmarkEnd w:id="154"/>
      <w:bookmarkEnd w:id="155"/>
      <w:bookmarkEnd w:id="156"/>
      <w:bookmarkEnd w:id="157"/>
      <w:bookmarkEnd w:id="158"/>
    </w:p>
    <w:p w14:paraId="31F46E0E">
      <w:pPr>
        <w:keepNext w:val="0"/>
        <w:keepLines w:val="0"/>
        <w:pageBreakBefore w:val="0"/>
        <w:widowControl w:val="0"/>
        <w:kinsoku/>
        <w:wordWrap/>
        <w:overflowPunct/>
        <w:topLinePunct w:val="0"/>
        <w:autoSpaceDE w:val="0"/>
        <w:autoSpaceDN w:val="0"/>
        <w:bidi w:val="0"/>
        <w:spacing w:line="440" w:lineRule="exact"/>
        <w:ind w:firstLine="480" w:firstLineChars="20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1、近年企业不良行为记录情况</w:t>
      </w:r>
    </w:p>
    <w:p w14:paraId="32726ECF">
      <w:pPr>
        <w:keepNext w:val="0"/>
        <w:keepLines w:val="0"/>
        <w:pageBreakBefore w:val="0"/>
        <w:widowControl w:val="0"/>
        <w:kinsoku/>
        <w:wordWrap/>
        <w:overflowPunct/>
        <w:topLinePunct w:val="0"/>
        <w:autoSpaceDE w:val="0"/>
        <w:autoSpaceDN w:val="0"/>
        <w:bidi w:val="0"/>
        <w:adjustRightInd w:val="0"/>
        <w:spacing w:line="360" w:lineRule="auto"/>
        <w:ind w:right="240" w:firstLine="480" w:firstLineChars="200"/>
        <w:jc w:val="right"/>
        <w:rPr>
          <w:rFonts w:hint="eastAsia" w:ascii="宋体" w:hAnsi="宋体" w:eastAsia="宋体" w:cs="宋体"/>
          <w:b w:val="0"/>
          <w:color w:val="auto"/>
          <w:sz w:val="24"/>
          <w:szCs w:val="24"/>
          <w:highlight w:val="none"/>
        </w:rPr>
      </w:pPr>
    </w:p>
    <w:p w14:paraId="1E127231">
      <w:pPr>
        <w:keepNext w:val="0"/>
        <w:keepLines w:val="0"/>
        <w:pageBreakBefore w:val="0"/>
        <w:widowControl w:val="0"/>
        <w:kinsoku/>
        <w:wordWrap/>
        <w:overflowPunct/>
        <w:topLinePunct w:val="0"/>
        <w:autoSpaceDE w:val="0"/>
        <w:autoSpaceDN w:val="0"/>
        <w:bidi w:val="0"/>
        <w:adjustRightInd w:val="0"/>
        <w:spacing w:line="360" w:lineRule="auto"/>
        <w:ind w:right="240" w:firstLine="480" w:firstLineChars="200"/>
        <w:jc w:val="right"/>
        <w:rPr>
          <w:rFonts w:hint="eastAsia" w:ascii="宋体" w:hAnsi="宋体" w:eastAsia="宋体" w:cs="宋体"/>
          <w:b w:val="0"/>
          <w:color w:val="auto"/>
          <w:sz w:val="24"/>
          <w:szCs w:val="24"/>
          <w:highlight w:val="none"/>
        </w:rPr>
      </w:pPr>
    </w:p>
    <w:p w14:paraId="44375B5F">
      <w:pPr>
        <w:keepNext w:val="0"/>
        <w:keepLines w:val="0"/>
        <w:pageBreakBefore w:val="0"/>
        <w:widowControl w:val="0"/>
        <w:kinsoku/>
        <w:wordWrap/>
        <w:overflowPunct/>
        <w:topLinePunct w:val="0"/>
        <w:autoSpaceDE w:val="0"/>
        <w:autoSpaceDN w:val="0"/>
        <w:bidi w:val="0"/>
        <w:adjustRightInd w:val="0"/>
        <w:spacing w:line="360" w:lineRule="auto"/>
        <w:ind w:right="240" w:firstLine="480" w:firstLineChars="200"/>
        <w:jc w:val="righ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投标人：</w:t>
      </w:r>
      <w:r>
        <w:rPr>
          <w:rFonts w:hint="eastAsia" w:ascii="宋体" w:hAnsi="宋体" w:eastAsia="宋体" w:cs="宋体"/>
          <w:b w:val="0"/>
          <w:color w:val="auto"/>
          <w:sz w:val="24"/>
          <w:szCs w:val="24"/>
          <w:highlight w:val="none"/>
          <w:u w:val="single"/>
        </w:rPr>
        <w:t>（</w:t>
      </w:r>
      <w:r>
        <w:rPr>
          <w:rFonts w:hint="eastAsia" w:ascii="宋体" w:hAnsi="宋体" w:eastAsia="宋体" w:cs="宋体"/>
          <w:b w:val="0"/>
          <w:color w:val="auto"/>
          <w:sz w:val="24"/>
          <w:szCs w:val="24"/>
          <w:highlight w:val="none"/>
          <w:u w:val="single"/>
          <w:lang w:val="en-US" w:eastAsia="zh-CN"/>
        </w:rPr>
        <w:t>盖单位公章</w:t>
      </w:r>
      <w:r>
        <w:rPr>
          <w:rFonts w:hint="eastAsia" w:ascii="宋体" w:hAnsi="宋体" w:eastAsia="宋体" w:cs="宋体"/>
          <w:b w:val="0"/>
          <w:color w:val="auto"/>
          <w:sz w:val="24"/>
          <w:szCs w:val="24"/>
          <w:highlight w:val="none"/>
          <w:u w:val="single"/>
        </w:rPr>
        <w:t>）</w:t>
      </w:r>
    </w:p>
    <w:p w14:paraId="20632E0D">
      <w:pPr>
        <w:keepNext w:val="0"/>
        <w:keepLines w:val="0"/>
        <w:pageBreakBefore w:val="0"/>
        <w:widowControl w:val="0"/>
        <w:kinsoku/>
        <w:wordWrap/>
        <w:overflowPunct/>
        <w:topLinePunct w:val="0"/>
        <w:autoSpaceDE w:val="0"/>
        <w:autoSpaceDN w:val="0"/>
        <w:bidi w:val="0"/>
        <w:spacing w:line="360" w:lineRule="auto"/>
        <w:ind w:firstLine="480" w:firstLineChars="200"/>
        <w:jc w:val="right"/>
        <w:rPr>
          <w:rFonts w:hint="eastAsia" w:ascii="宋体" w:hAnsi="宋体" w:eastAsia="宋体" w:cs="宋体"/>
          <w:b w:val="0"/>
          <w:color w:val="auto"/>
          <w:sz w:val="24"/>
          <w:szCs w:val="24"/>
          <w:highlight w:val="none"/>
        </w:rPr>
      </w:pPr>
    </w:p>
    <w:p w14:paraId="02D75C8D">
      <w:pPr>
        <w:keepNext w:val="0"/>
        <w:keepLines w:val="0"/>
        <w:pageBreakBefore w:val="0"/>
        <w:widowControl w:val="0"/>
        <w:kinsoku/>
        <w:wordWrap/>
        <w:overflowPunct/>
        <w:topLinePunct w:val="0"/>
        <w:autoSpaceDE w:val="0"/>
        <w:autoSpaceDN w:val="0"/>
        <w:bidi w:val="0"/>
        <w:spacing w:line="360" w:lineRule="auto"/>
        <w:ind w:firstLine="480" w:firstLineChars="200"/>
        <w:jc w:val="right"/>
        <w:rPr>
          <w:rFonts w:hint="eastAsia" w:ascii="宋体" w:hAnsi="宋体" w:eastAsia="宋体" w:cs="宋体"/>
          <w:b w:val="0"/>
          <w:color w:val="auto"/>
          <w:sz w:val="24"/>
          <w:szCs w:val="24"/>
          <w:highlight w:val="none"/>
        </w:rPr>
      </w:pPr>
    </w:p>
    <w:p w14:paraId="16C9AEDB">
      <w:pPr>
        <w:keepNext w:val="0"/>
        <w:keepLines w:val="0"/>
        <w:pageBreakBefore w:val="0"/>
        <w:widowControl w:val="0"/>
        <w:kinsoku/>
        <w:wordWrap/>
        <w:overflowPunct/>
        <w:topLinePunct w:val="0"/>
        <w:autoSpaceDE w:val="0"/>
        <w:autoSpaceDN w:val="0"/>
        <w:bidi w:val="0"/>
        <w:spacing w:line="360" w:lineRule="auto"/>
        <w:ind w:firstLine="480" w:firstLineChars="200"/>
        <w:jc w:val="righ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法定代表人或委托代理人：</w:t>
      </w:r>
      <w:r>
        <w:rPr>
          <w:rFonts w:hint="eastAsia" w:ascii="宋体" w:hAnsi="宋体" w:eastAsia="宋体" w:cs="宋体"/>
          <w:b w:val="0"/>
          <w:color w:val="auto"/>
          <w:sz w:val="24"/>
          <w:szCs w:val="24"/>
          <w:highlight w:val="none"/>
          <w:u w:val="single"/>
        </w:rPr>
        <w:t>（</w:t>
      </w:r>
      <w:r>
        <w:rPr>
          <w:rFonts w:hint="eastAsia" w:ascii="宋体" w:hAnsi="宋体" w:eastAsia="宋体" w:cs="宋体"/>
          <w:b w:val="0"/>
          <w:color w:val="auto"/>
          <w:sz w:val="24"/>
          <w:szCs w:val="24"/>
          <w:highlight w:val="none"/>
          <w:u w:val="single"/>
          <w:lang w:eastAsia="zh-CN"/>
        </w:rPr>
        <w:t>签字或盖章</w:t>
      </w:r>
      <w:r>
        <w:rPr>
          <w:rFonts w:hint="eastAsia" w:ascii="宋体" w:hAnsi="宋体" w:eastAsia="宋体" w:cs="宋体"/>
          <w:b w:val="0"/>
          <w:color w:val="auto"/>
          <w:sz w:val="24"/>
          <w:szCs w:val="24"/>
          <w:highlight w:val="none"/>
          <w:u w:val="single"/>
        </w:rPr>
        <w:t>）</w:t>
      </w:r>
    </w:p>
    <w:p w14:paraId="7856049D">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jc w:val="righ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年月日</w:t>
      </w:r>
    </w:p>
    <w:p w14:paraId="278556BF">
      <w:pPr>
        <w:keepNext w:val="0"/>
        <w:keepLines w:val="0"/>
        <w:pageBreakBefore w:val="0"/>
        <w:widowControl w:val="0"/>
        <w:kinsoku/>
        <w:wordWrap/>
        <w:overflowPunct/>
        <w:topLinePunct w:val="0"/>
        <w:autoSpaceDE w:val="0"/>
        <w:autoSpaceDN w:val="0"/>
        <w:bidi w:val="0"/>
        <w:spacing w:line="440" w:lineRule="exact"/>
        <w:ind w:firstLine="480" w:firstLineChars="20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w:t>
      </w:r>
    </w:p>
    <w:p w14:paraId="42F96AAE">
      <w:pPr>
        <w:keepNext w:val="0"/>
        <w:keepLines w:val="0"/>
        <w:pageBreakBefore w:val="0"/>
        <w:widowControl w:val="0"/>
        <w:kinsoku/>
        <w:wordWrap/>
        <w:overflowPunct/>
        <w:topLinePunct w:val="0"/>
        <w:autoSpaceDE w:val="0"/>
        <w:autoSpaceDN w:val="0"/>
        <w:bidi w:val="0"/>
        <w:spacing w:before="240" w:after="240"/>
        <w:ind w:firstLine="480" w:firstLineChars="200"/>
        <w:jc w:val="center"/>
        <w:outlineLvl w:val="0"/>
        <w:rPr>
          <w:rFonts w:hint="eastAsia" w:ascii="宋体" w:hAnsi="宋体" w:eastAsia="宋体" w:cs="宋体"/>
          <w:b/>
          <w:bCs/>
          <w:snapToGrid w:val="0"/>
          <w:color w:val="auto"/>
          <w:kern w:val="2"/>
          <w:sz w:val="28"/>
          <w:szCs w:val="28"/>
          <w:highlight w:val="none"/>
          <w:lang w:val="en-US" w:eastAsia="zh-CN" w:bidi="ar-SA"/>
        </w:rPr>
      </w:pPr>
      <w:bookmarkStart w:id="159" w:name="_Toc201488185"/>
      <w:bookmarkStart w:id="160" w:name="_Toc202062916"/>
      <w:bookmarkStart w:id="161" w:name="_Toc399762148"/>
      <w:bookmarkStart w:id="162" w:name="_Toc201487563"/>
      <w:r>
        <w:rPr>
          <w:rFonts w:hint="eastAsia" w:ascii="宋体" w:hAnsi="宋体" w:eastAsia="宋体" w:cs="宋体"/>
          <w:bCs/>
          <w:color w:val="auto"/>
          <w:kern w:val="2"/>
          <w:sz w:val="24"/>
          <w:szCs w:val="24"/>
          <w:highlight w:val="none"/>
        </w:rPr>
        <w:br w:type="page"/>
      </w:r>
      <w:bookmarkStart w:id="163" w:name="_Toc418712194"/>
      <w:bookmarkStart w:id="164" w:name="_Toc32503"/>
      <w:bookmarkStart w:id="165" w:name="_Toc428007719"/>
      <w:bookmarkStart w:id="166" w:name="_Toc453756976"/>
      <w:bookmarkStart w:id="167" w:name="_Toc414892008"/>
      <w:bookmarkStart w:id="168" w:name="_Toc7564"/>
      <w:bookmarkStart w:id="169" w:name="_Toc17811"/>
      <w:r>
        <w:rPr>
          <w:rFonts w:hint="eastAsia" w:ascii="宋体" w:hAnsi="宋体" w:eastAsia="宋体" w:cs="宋体"/>
          <w:b/>
          <w:bCs/>
          <w:snapToGrid w:val="0"/>
          <w:color w:val="auto"/>
          <w:kern w:val="2"/>
          <w:sz w:val="28"/>
          <w:szCs w:val="28"/>
          <w:highlight w:val="none"/>
          <w:lang w:val="en-US" w:eastAsia="zh-CN" w:bidi="ar-SA"/>
        </w:rPr>
        <w:t>九、其他材料</w:t>
      </w:r>
      <w:bookmarkEnd w:id="159"/>
      <w:bookmarkEnd w:id="160"/>
      <w:bookmarkEnd w:id="161"/>
      <w:bookmarkEnd w:id="162"/>
      <w:bookmarkEnd w:id="163"/>
      <w:bookmarkEnd w:id="164"/>
      <w:bookmarkEnd w:id="165"/>
      <w:bookmarkEnd w:id="166"/>
      <w:bookmarkEnd w:id="167"/>
      <w:bookmarkEnd w:id="168"/>
      <w:bookmarkEnd w:id="169"/>
    </w:p>
    <w:p w14:paraId="6CCCC343">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sz w:val="24"/>
          <w:szCs w:val="24"/>
        </w:rPr>
      </w:pPr>
      <w:r>
        <w:rPr>
          <w:rFonts w:hint="eastAsia" w:ascii="宋体" w:hAnsi="宋体"/>
          <w:sz w:val="24"/>
          <w:szCs w:val="24"/>
        </w:rPr>
        <w:t xml:space="preserve">附表 </w:t>
      </w:r>
    </w:p>
    <w:p w14:paraId="47F898E7">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sz w:val="32"/>
          <w:szCs w:val="32"/>
        </w:rPr>
      </w:pPr>
      <w:r>
        <w:rPr>
          <w:rFonts w:hint="eastAsia" w:ascii="宋体" w:hAnsi="宋体" w:cs="宋体"/>
          <w:b/>
          <w:bCs/>
          <w:sz w:val="32"/>
          <w:szCs w:val="32"/>
        </w:rPr>
        <w:t>二次报价表</w:t>
      </w:r>
    </w:p>
    <w:p w14:paraId="3476F4B7">
      <w:pPr>
        <w:snapToGrid w:val="0"/>
        <w:spacing w:line="360" w:lineRule="auto"/>
        <w:rPr>
          <w:rFonts w:hint="eastAsia" w:ascii="宋体" w:hAnsi="宋体"/>
          <w:szCs w:val="21"/>
        </w:rPr>
      </w:pPr>
    </w:p>
    <w:p w14:paraId="0274E2A6">
      <w:pPr>
        <w:pStyle w:val="4"/>
        <w:keepNext w:val="0"/>
        <w:keepLines w:val="0"/>
        <w:pageBreakBefore w:val="0"/>
        <w:widowControl w:val="0"/>
        <w:kinsoku/>
        <w:wordWrap/>
        <w:overflowPunct/>
        <w:topLinePunct w:val="0"/>
        <w:autoSpaceDE w:val="0"/>
        <w:autoSpaceDN w:val="0"/>
        <w:bidi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以政采云平台系统为准</w:t>
      </w:r>
    </w:p>
    <w:sectPr>
      <w:headerReference r:id="rId11" w:type="default"/>
      <w:footerReference r:id="rId12" w:type="default"/>
      <w:pgSz w:w="11906" w:h="16838"/>
      <w:pgMar w:top="1440" w:right="1800" w:bottom="1440" w:left="1800" w:header="567" w:footer="102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AE53">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8908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2B8908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BBA0">
    <w:pPr>
      <w:spacing w:line="179" w:lineRule="auto"/>
      <w:ind w:left="504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C23F2">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A8C23F2">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A752">
    <w:pPr>
      <w:spacing w:line="169" w:lineRule="auto"/>
      <w:ind w:left="439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A2AF8">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67A2AF8">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F880">
    <w:pPr>
      <w:spacing w:line="169" w:lineRule="auto"/>
      <w:ind w:left="455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2536190</wp:posOffset>
              </wp:positionH>
              <wp:positionV relativeFrom="paragraph">
                <wp:posOffset>-68580</wp:posOffset>
              </wp:positionV>
              <wp:extent cx="277495" cy="17970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77495" cy="179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03472">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5.4pt;height:14.15pt;width:21.85pt;mso-position-horizontal-relative:margin;z-index:251661312;mso-width-relative:page;mso-height-relative:page;" filled="f" stroked="f" coordsize="21600,21600" o:gfxdata="UEsDBAoAAAAAAIdO4kAAAAAAAAAAAAAAAAAEAAAAZHJzL1BLAwQUAAAACACHTuJARcti8NgAAAAK&#10;AQAADwAAAGRycy9kb3ducmV2LnhtbE2Py07DMBBF90j8gzVI7FrbNDwa4nTBY8ezgAQ7JzZJhD2O&#10;bCctf8+wguVoju49t9rsvWOzjWkIqEAuBTCLbTADdgpeX24XF8BS1mi0C2gVfNsEm/rwoNKlCTt8&#10;tvM2d4xCMJVaQZ/zWHKe2t56nZZhtEi/zxC9znTGjpuodxTuHT8R4ox7PSA19Hq0V71tv7aTV+De&#10;U7xrRP6Yr7v7/PTIp7cb+aDU8ZEUl8Cy3ec/GH71SR1qcmrChCYxp2C1XheEKlhIQRuIKIqVBNYQ&#10;en4KvK74/wn1D1BLAwQUAAAACACHTuJAgznAWjsCAABjBAAADgAAAGRycy9lMm9Eb2MueG1srVTN&#10;bhMxEL4j8Q6W72Q3adPQKJsqNApCqmilgDg7Xm/Wku0xtje74QHgDThx4c5z5TkY70+KCoceuDiz&#10;M+MZf998k8VNoxU5COclmIyORyklwnDIpdln9OOHzavXlPjATM4UGJHRo/D0ZvnyxaK2czGBElQu&#10;HMEixs9rm9EyBDtPEs9LoZkfgRUGgwU4zQJ+un2SO1Zjda2SSZpeJTW43Drgwnv0rrsg7Su65xSE&#10;opBcrIFXWpjQVXVCsYCQfCmtp8v2tUUheLgvCi8CURlFpKE9sQnau3gmywWb7x2zpeT9E9hznvAE&#10;k2bSYNNzqTULjFRO/lVKS+7AQxFGHHTSAWkZQRTj9Ak325JZ0WJBqr09k+7/X1n+/vDgiMwzenFJ&#10;iWEaJ376/u3049fp51eCPiSotn6OeVuLmaF5Aw3KZvB7dEbcTeF0/EVEBONI7/FMr2gC4eiczGaX&#10;11NKOIbGs+tZOo1VksfL1vnwVoAm0ciow+m1pLLDnQ9d6pASexnYSKXaCSpD6oxeXUzT9sI5gsWV&#10;wR4RQvfUaIVm1/S4dpAfEZaDThne8o3E5nfMhwfmUAqIBJcl3ONRKMAm0FuUlOC+/Msf83FCGKWk&#10;Rmll1H+umBOUqHcGZxd1OBhuMHaDYSp9C6jWMa6h5a2JF1xQg1k40J9wh1axC4aY4dgro2Ewb0Mn&#10;cNxBLlarNqmyTu7L7gIqz7JwZ7aWxzYdlasqQCFbliNFHS89c6i9dk79nkRx//ndZj3+N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XLYvDYAAAACgEAAA8AAAAAAAAAAQAgAAAAIgAAAGRycy9k&#10;b3ducmV2LnhtbFBLAQIUABQAAAAIAIdO4kCDOcBaOwIAAGMEAAAOAAAAAAAAAAEAIAAAACcBAABk&#10;cnMvZTJvRG9jLnhtbFBLBQYAAAAABgAGAFkBAADUBQAAAAA=&#10;">
              <v:fill on="f" focussize="0,0"/>
              <v:stroke on="f" weight="0.5pt"/>
              <v:imagedata o:title=""/>
              <o:lock v:ext="edit" aspectratio="f"/>
              <v:textbox inset="0mm,0mm,0mm,0mm">
                <w:txbxContent>
                  <w:p w14:paraId="1E903472">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049E">
    <w:pPr>
      <w:pStyle w:val="12"/>
      <w:pBdr>
        <w:bottom w:val="double" w:color="auto" w:sz="8" w:space="1"/>
      </w:pBdr>
      <w:rPr>
        <w:rFonts w:hint="eastAsia" w:ascii="方正行楷简体" w:hAnsi="方正行楷简体" w:eastAsia="方正行楷简体" w:cs="方正行楷简体"/>
        <w:sz w:val="22"/>
        <w:szCs w:val="22"/>
        <w:lang w:val="en-US" w:eastAsia="zh-CN"/>
      </w:rPr>
    </w:pPr>
  </w:p>
  <w:p w14:paraId="3AA2B5DD">
    <w:pPr>
      <w:pStyle w:val="12"/>
      <w:pBdr>
        <w:bottom w:val="double" w:color="auto" w:sz="8" w:space="1"/>
      </w:pBdr>
      <w:rPr>
        <w:rFonts w:hint="eastAsia" w:ascii="方正行楷简体" w:hAnsi="方正行楷简体" w:eastAsia="方正行楷简体" w:cs="方正行楷简体"/>
        <w:sz w:val="22"/>
        <w:szCs w:val="22"/>
        <w:lang w:val="en-US" w:eastAsia="zh-CN"/>
      </w:rPr>
    </w:pPr>
  </w:p>
  <w:p w14:paraId="70BD610F">
    <w:pPr>
      <w:pStyle w:val="12"/>
      <w:pBdr>
        <w:bottom w:val="double" w:color="auto" w:sz="8" w:space="1"/>
      </w:pBdr>
      <w:rPr>
        <w:rFonts w:hint="eastAsia" w:ascii="方正行楷简体" w:hAnsi="方正行楷简体" w:eastAsia="方正行楷简体" w:cs="方正行楷简体"/>
        <w:sz w:val="22"/>
        <w:szCs w:val="22"/>
        <w:lang w:val="en-US" w:eastAsia="zh-CN"/>
      </w:rPr>
    </w:pPr>
    <w:r>
      <w:rPr>
        <w:rFonts w:hint="eastAsia" w:ascii="方正行楷简体" w:hAnsi="方正行楷简体" w:eastAsia="方正行楷简体" w:cs="方正行楷简体"/>
        <w:sz w:val="22"/>
        <w:szCs w:val="22"/>
        <w:lang w:val="en-US" w:eastAsia="zh-CN"/>
      </w:rPr>
      <w:t>吉林省明创工程管理有限公司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2AF0">
    <w:pPr>
      <w:pStyle w:val="12"/>
      <w:pBdr>
        <w:bottom w:val="double" w:color="auto" w:sz="8" w:space="1"/>
      </w:pBdr>
      <w:tabs>
        <w:tab w:val="right" w:pos="8957"/>
        <w:tab w:val="clear" w:pos="4153"/>
      </w:tabs>
      <w:rPr>
        <w:rFonts w:hint="eastAsia" w:ascii="方正行楷简体" w:hAnsi="方正行楷简体" w:eastAsia="方正行楷简体" w:cs="方正行楷简体"/>
        <w:sz w:val="22"/>
        <w:szCs w:val="22"/>
        <w:lang w:val="en-US" w:eastAsia="zh-CN"/>
      </w:rPr>
    </w:pPr>
    <w:r>
      <w:rPr>
        <w:rFonts w:hint="eastAsia" w:ascii="方正行楷简体" w:hAnsi="方正行楷简体" w:eastAsia="方正行楷简体" w:cs="方正行楷简体"/>
        <w:sz w:val="22"/>
        <w:szCs w:val="22"/>
        <w:lang w:val="en-US" w:eastAsia="zh-CN"/>
      </w:rPr>
      <w:tab/>
    </w:r>
    <w:r>
      <w:rPr>
        <w:rFonts w:hint="eastAsia" w:ascii="方正行楷简体" w:hAnsi="方正行楷简体" w:eastAsia="方正行楷简体" w:cs="方正行楷简体"/>
        <w:sz w:val="22"/>
        <w:szCs w:val="22"/>
        <w:lang w:val="en-US" w:eastAsia="zh-CN"/>
      </w:rPr>
      <w:tab/>
    </w:r>
  </w:p>
  <w:p w14:paraId="24E42A5A">
    <w:pPr>
      <w:pStyle w:val="12"/>
      <w:pBdr>
        <w:bottom w:val="double" w:color="auto" w:sz="8" w:space="1"/>
      </w:pBdr>
      <w:rPr>
        <w:rFonts w:hint="eastAsia" w:ascii="方正行楷简体" w:hAnsi="方正行楷简体" w:eastAsia="方正行楷简体" w:cs="方正行楷简体"/>
        <w:sz w:val="22"/>
        <w:szCs w:val="22"/>
        <w:lang w:val="en-US" w:eastAsia="zh-CN"/>
      </w:rPr>
    </w:pPr>
  </w:p>
  <w:p w14:paraId="34F3AE32">
    <w:pPr>
      <w:pStyle w:val="12"/>
      <w:pBdr>
        <w:bottom w:val="double" w:color="auto" w:sz="8" w:space="1"/>
      </w:pBdr>
      <w:rPr>
        <w:rFonts w:hint="eastAsia" w:ascii="方正行楷简体" w:hAnsi="方正行楷简体" w:eastAsia="方正行楷简体" w:cs="方正行楷简体"/>
        <w:sz w:val="22"/>
        <w:szCs w:val="22"/>
        <w:lang w:val="en-US" w:eastAsia="zh-CN"/>
      </w:rPr>
    </w:pPr>
    <w:r>
      <w:rPr>
        <w:rFonts w:hint="eastAsia" w:ascii="方正行楷简体" w:hAnsi="方正行楷简体" w:eastAsia="方正行楷简体" w:cs="方正行楷简体"/>
        <w:sz w:val="22"/>
        <w:szCs w:val="22"/>
        <w:lang w:val="en-US" w:eastAsia="zh-CN"/>
      </w:rPr>
      <w:t>吉林省明创工程管理有限公司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73B7">
    <w:pPr>
      <w:pStyle w:val="12"/>
      <w:pBdr>
        <w:bottom w:val="double" w:color="auto" w:sz="8" w:space="1"/>
      </w:pBdr>
      <w:rPr>
        <w:rFonts w:hint="eastAsia" w:ascii="方正行楷简体" w:hAnsi="方正行楷简体" w:eastAsia="方正行楷简体" w:cs="方正行楷简体"/>
        <w:sz w:val="22"/>
        <w:szCs w:val="22"/>
        <w:lang w:val="en-US" w:eastAsia="zh-CN"/>
      </w:rPr>
    </w:pPr>
  </w:p>
  <w:p w14:paraId="7DC25DFC">
    <w:pPr>
      <w:pStyle w:val="12"/>
      <w:pBdr>
        <w:bottom w:val="double" w:color="auto" w:sz="8" w:space="1"/>
      </w:pBdr>
      <w:rPr>
        <w:rFonts w:hint="eastAsia" w:ascii="方正行楷简体" w:hAnsi="方正行楷简体" w:eastAsia="方正行楷简体" w:cs="方正行楷简体"/>
        <w:sz w:val="22"/>
        <w:szCs w:val="22"/>
        <w:lang w:val="en-US" w:eastAsia="zh-CN"/>
      </w:rPr>
    </w:pPr>
  </w:p>
  <w:p w14:paraId="4C37B2CC">
    <w:pPr>
      <w:pStyle w:val="12"/>
      <w:pBdr>
        <w:bottom w:val="double" w:color="auto" w:sz="8" w:space="1"/>
      </w:pBdr>
    </w:pPr>
    <w:r>
      <w:rPr>
        <w:rFonts w:hint="eastAsia" w:ascii="方正行楷简体" w:hAnsi="方正行楷简体" w:eastAsia="方正行楷简体" w:cs="方正行楷简体"/>
        <w:sz w:val="22"/>
        <w:szCs w:val="22"/>
        <w:lang w:val="en-US" w:eastAsia="zh-CN"/>
      </w:rPr>
      <w:t>吉林省明创工程管理有限公司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82EE0">
    <w:pPr>
      <w:pStyle w:val="12"/>
      <w:pBdr>
        <w:bottom w:val="double" w:color="auto" w:sz="8" w:space="1"/>
      </w:pBdr>
      <w:rPr>
        <w:rFonts w:hint="eastAsia" w:ascii="方正行楷简体" w:hAnsi="方正行楷简体" w:eastAsia="方正行楷简体" w:cs="方正行楷简体"/>
        <w:sz w:val="22"/>
        <w:szCs w:val="22"/>
        <w:lang w:val="en-US" w:eastAsia="zh-CN"/>
      </w:rPr>
    </w:pPr>
  </w:p>
  <w:p w14:paraId="75B88CC0">
    <w:pPr>
      <w:pStyle w:val="12"/>
      <w:pBdr>
        <w:bottom w:val="double" w:color="auto" w:sz="8" w:space="1"/>
      </w:pBdr>
    </w:pPr>
    <w:r>
      <w:rPr>
        <w:rFonts w:hint="eastAsia" w:ascii="方正行楷简体" w:hAnsi="方正行楷简体" w:eastAsia="方正行楷简体" w:cs="方正行楷简体"/>
        <w:sz w:val="22"/>
        <w:szCs w:val="22"/>
        <w:lang w:val="en-US" w:eastAsia="zh-CN"/>
      </w:rPr>
      <w:t>吉林省明创工程管理有限公司</w:t>
    </w:r>
  </w:p>
  <w:p w14:paraId="5C19EECD">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14C1A"/>
    <w:multiLevelType w:val="singleLevel"/>
    <w:tmpl w:val="FE014C1A"/>
    <w:lvl w:ilvl="0" w:tentative="0">
      <w:start w:val="6"/>
      <w:numFmt w:val="chineseCounting"/>
      <w:suff w:val="nothing"/>
      <w:lvlText w:val="%1、"/>
      <w:lvlJc w:val="left"/>
      <w:rPr>
        <w:rFonts w:hint="eastAsia"/>
      </w:rPr>
    </w:lvl>
  </w:abstractNum>
  <w:abstractNum w:abstractNumId="1">
    <w:nsid w:val="02B18BDC"/>
    <w:multiLevelType w:val="singleLevel"/>
    <w:tmpl w:val="02B18BDC"/>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NDQzYzRlYWU2MmJmZDg3OTdiYTMzZDNjZTUyOTkifQ=="/>
  </w:docVars>
  <w:rsids>
    <w:rsidRoot w:val="520A297C"/>
    <w:rsid w:val="000F5645"/>
    <w:rsid w:val="0029700E"/>
    <w:rsid w:val="002E6413"/>
    <w:rsid w:val="00814795"/>
    <w:rsid w:val="00977B14"/>
    <w:rsid w:val="009A13B3"/>
    <w:rsid w:val="00B2494E"/>
    <w:rsid w:val="00BC757B"/>
    <w:rsid w:val="00CD79DA"/>
    <w:rsid w:val="00DB20F7"/>
    <w:rsid w:val="00DC5E6F"/>
    <w:rsid w:val="01017684"/>
    <w:rsid w:val="01284C10"/>
    <w:rsid w:val="01910A08"/>
    <w:rsid w:val="01A3073B"/>
    <w:rsid w:val="01DE3888"/>
    <w:rsid w:val="02555DE0"/>
    <w:rsid w:val="02714395"/>
    <w:rsid w:val="027F2F56"/>
    <w:rsid w:val="028E4F47"/>
    <w:rsid w:val="029D33DC"/>
    <w:rsid w:val="02A8425B"/>
    <w:rsid w:val="02B40E52"/>
    <w:rsid w:val="02FE3E7B"/>
    <w:rsid w:val="03051907"/>
    <w:rsid w:val="036A1510"/>
    <w:rsid w:val="037D0DA7"/>
    <w:rsid w:val="038A7E04"/>
    <w:rsid w:val="038D3451"/>
    <w:rsid w:val="03AF786B"/>
    <w:rsid w:val="03B4687C"/>
    <w:rsid w:val="03DB0660"/>
    <w:rsid w:val="03F67248"/>
    <w:rsid w:val="04473600"/>
    <w:rsid w:val="04864EB4"/>
    <w:rsid w:val="049031F8"/>
    <w:rsid w:val="049D07AF"/>
    <w:rsid w:val="049D5915"/>
    <w:rsid w:val="04A3117E"/>
    <w:rsid w:val="04A40A52"/>
    <w:rsid w:val="04CD61FB"/>
    <w:rsid w:val="04D255BF"/>
    <w:rsid w:val="04D37589"/>
    <w:rsid w:val="04F05A45"/>
    <w:rsid w:val="04FE63B4"/>
    <w:rsid w:val="04FF212C"/>
    <w:rsid w:val="05085E36"/>
    <w:rsid w:val="05160DD2"/>
    <w:rsid w:val="051C4A8C"/>
    <w:rsid w:val="052851DF"/>
    <w:rsid w:val="052878D5"/>
    <w:rsid w:val="052E656D"/>
    <w:rsid w:val="0539563E"/>
    <w:rsid w:val="05470C7E"/>
    <w:rsid w:val="055F2BCB"/>
    <w:rsid w:val="058D598A"/>
    <w:rsid w:val="05B61AB4"/>
    <w:rsid w:val="05BE6DAD"/>
    <w:rsid w:val="060D2627"/>
    <w:rsid w:val="06157AD8"/>
    <w:rsid w:val="062E2CC9"/>
    <w:rsid w:val="065169B7"/>
    <w:rsid w:val="068648B3"/>
    <w:rsid w:val="069D1BFD"/>
    <w:rsid w:val="06AC3F78"/>
    <w:rsid w:val="06C158EB"/>
    <w:rsid w:val="06CC603E"/>
    <w:rsid w:val="071C6FC5"/>
    <w:rsid w:val="077341C4"/>
    <w:rsid w:val="077F1302"/>
    <w:rsid w:val="07B90CB8"/>
    <w:rsid w:val="07F910B5"/>
    <w:rsid w:val="07F93A5A"/>
    <w:rsid w:val="081C4DA3"/>
    <w:rsid w:val="084560A8"/>
    <w:rsid w:val="08620F8C"/>
    <w:rsid w:val="08666989"/>
    <w:rsid w:val="088C1F29"/>
    <w:rsid w:val="08965341"/>
    <w:rsid w:val="089B6610"/>
    <w:rsid w:val="08B576D2"/>
    <w:rsid w:val="08F16230"/>
    <w:rsid w:val="08FD4BD5"/>
    <w:rsid w:val="093F343F"/>
    <w:rsid w:val="094445B2"/>
    <w:rsid w:val="09594501"/>
    <w:rsid w:val="096D58B6"/>
    <w:rsid w:val="098D7D07"/>
    <w:rsid w:val="09A908B8"/>
    <w:rsid w:val="09AD3BFF"/>
    <w:rsid w:val="09C33728"/>
    <w:rsid w:val="09DA6CC4"/>
    <w:rsid w:val="09EB1836"/>
    <w:rsid w:val="0A1C72DC"/>
    <w:rsid w:val="0A2543E3"/>
    <w:rsid w:val="0A411D16"/>
    <w:rsid w:val="0A6C0264"/>
    <w:rsid w:val="0A7D7D7B"/>
    <w:rsid w:val="0A916E26"/>
    <w:rsid w:val="0A9B4CED"/>
    <w:rsid w:val="0A9D041D"/>
    <w:rsid w:val="0AAA48E8"/>
    <w:rsid w:val="0ABD461B"/>
    <w:rsid w:val="0AD83203"/>
    <w:rsid w:val="0B260413"/>
    <w:rsid w:val="0B8D0492"/>
    <w:rsid w:val="0B8D2240"/>
    <w:rsid w:val="0B8E420A"/>
    <w:rsid w:val="0BB93035"/>
    <w:rsid w:val="0C64762A"/>
    <w:rsid w:val="0C6D2071"/>
    <w:rsid w:val="0C7B29E0"/>
    <w:rsid w:val="0C7E602C"/>
    <w:rsid w:val="0CA912FB"/>
    <w:rsid w:val="0CD36378"/>
    <w:rsid w:val="0CDB6FDB"/>
    <w:rsid w:val="0CE2480D"/>
    <w:rsid w:val="0D026C5D"/>
    <w:rsid w:val="0D1F511A"/>
    <w:rsid w:val="0D621D52"/>
    <w:rsid w:val="0D7A4A46"/>
    <w:rsid w:val="0DA27AF9"/>
    <w:rsid w:val="0DD028B8"/>
    <w:rsid w:val="0DEB5944"/>
    <w:rsid w:val="0E1F739B"/>
    <w:rsid w:val="0E2D6995"/>
    <w:rsid w:val="0E516B86"/>
    <w:rsid w:val="0E6D6359"/>
    <w:rsid w:val="0E727FFF"/>
    <w:rsid w:val="0E9C09EC"/>
    <w:rsid w:val="0EA77ABC"/>
    <w:rsid w:val="0EC75A69"/>
    <w:rsid w:val="0EDA1A0B"/>
    <w:rsid w:val="0EF6412A"/>
    <w:rsid w:val="0F2F360E"/>
    <w:rsid w:val="0F3F5F47"/>
    <w:rsid w:val="0F503CB0"/>
    <w:rsid w:val="0F694D72"/>
    <w:rsid w:val="0FAB538A"/>
    <w:rsid w:val="0FCD5301"/>
    <w:rsid w:val="0FE751EC"/>
    <w:rsid w:val="10437371"/>
    <w:rsid w:val="10463305"/>
    <w:rsid w:val="10727C56"/>
    <w:rsid w:val="107D0B6D"/>
    <w:rsid w:val="108005C5"/>
    <w:rsid w:val="10B65D95"/>
    <w:rsid w:val="10BC5375"/>
    <w:rsid w:val="10C77FA2"/>
    <w:rsid w:val="10D34B99"/>
    <w:rsid w:val="11301FEB"/>
    <w:rsid w:val="11357601"/>
    <w:rsid w:val="11551A52"/>
    <w:rsid w:val="118440E5"/>
    <w:rsid w:val="11E84674"/>
    <w:rsid w:val="121F5BBC"/>
    <w:rsid w:val="12432A67"/>
    <w:rsid w:val="12443874"/>
    <w:rsid w:val="12490E8B"/>
    <w:rsid w:val="12A54313"/>
    <w:rsid w:val="12A61E39"/>
    <w:rsid w:val="12D9220E"/>
    <w:rsid w:val="12DE5A77"/>
    <w:rsid w:val="12EB26BB"/>
    <w:rsid w:val="12EF1A32"/>
    <w:rsid w:val="130A23C8"/>
    <w:rsid w:val="1319260B"/>
    <w:rsid w:val="132F1E2E"/>
    <w:rsid w:val="134C0C32"/>
    <w:rsid w:val="13675A6C"/>
    <w:rsid w:val="136E2957"/>
    <w:rsid w:val="139525D9"/>
    <w:rsid w:val="13BC5DB8"/>
    <w:rsid w:val="13BD743A"/>
    <w:rsid w:val="1437543F"/>
    <w:rsid w:val="14746827"/>
    <w:rsid w:val="14832432"/>
    <w:rsid w:val="148F527B"/>
    <w:rsid w:val="149D101A"/>
    <w:rsid w:val="14C50C9C"/>
    <w:rsid w:val="14E60C13"/>
    <w:rsid w:val="14FA3491"/>
    <w:rsid w:val="14FC3F92"/>
    <w:rsid w:val="156A35F2"/>
    <w:rsid w:val="156C55BC"/>
    <w:rsid w:val="15B97F07"/>
    <w:rsid w:val="15D078F9"/>
    <w:rsid w:val="161B669A"/>
    <w:rsid w:val="164B51D1"/>
    <w:rsid w:val="165D4F05"/>
    <w:rsid w:val="166B7621"/>
    <w:rsid w:val="167D7355"/>
    <w:rsid w:val="1695469E"/>
    <w:rsid w:val="16A62BE1"/>
    <w:rsid w:val="16B54D41"/>
    <w:rsid w:val="16B74615"/>
    <w:rsid w:val="16D50F3F"/>
    <w:rsid w:val="170F4451"/>
    <w:rsid w:val="172A4DE7"/>
    <w:rsid w:val="17306175"/>
    <w:rsid w:val="178B13FB"/>
    <w:rsid w:val="178F5592"/>
    <w:rsid w:val="17A70B2D"/>
    <w:rsid w:val="17E53404"/>
    <w:rsid w:val="17EB6A4A"/>
    <w:rsid w:val="18014011"/>
    <w:rsid w:val="18054803"/>
    <w:rsid w:val="1807337A"/>
    <w:rsid w:val="1824217E"/>
    <w:rsid w:val="18502F73"/>
    <w:rsid w:val="185F4F64"/>
    <w:rsid w:val="1864257A"/>
    <w:rsid w:val="187F73B4"/>
    <w:rsid w:val="18B21538"/>
    <w:rsid w:val="18D12761"/>
    <w:rsid w:val="196319F9"/>
    <w:rsid w:val="19793E03"/>
    <w:rsid w:val="19AA220F"/>
    <w:rsid w:val="19BC1F42"/>
    <w:rsid w:val="19D07366"/>
    <w:rsid w:val="19D21766"/>
    <w:rsid w:val="19F31E08"/>
    <w:rsid w:val="1A11228E"/>
    <w:rsid w:val="1A267FC8"/>
    <w:rsid w:val="1A2D74D8"/>
    <w:rsid w:val="1A3B555D"/>
    <w:rsid w:val="1A5F56EF"/>
    <w:rsid w:val="1AC63078"/>
    <w:rsid w:val="1AE94FB9"/>
    <w:rsid w:val="1B3721C8"/>
    <w:rsid w:val="1B7C407F"/>
    <w:rsid w:val="1B8A054A"/>
    <w:rsid w:val="1B8D003A"/>
    <w:rsid w:val="1BAF7FB0"/>
    <w:rsid w:val="1BC752FA"/>
    <w:rsid w:val="1C444B9D"/>
    <w:rsid w:val="1C604787"/>
    <w:rsid w:val="1CF35935"/>
    <w:rsid w:val="1D156539"/>
    <w:rsid w:val="1D5A219E"/>
    <w:rsid w:val="1D76522A"/>
    <w:rsid w:val="1D90796E"/>
    <w:rsid w:val="1DA11B7B"/>
    <w:rsid w:val="1DAD6772"/>
    <w:rsid w:val="1DB7139E"/>
    <w:rsid w:val="1DBA49EB"/>
    <w:rsid w:val="1DC046F7"/>
    <w:rsid w:val="1DED3012"/>
    <w:rsid w:val="1E3E561C"/>
    <w:rsid w:val="1E42510C"/>
    <w:rsid w:val="1E86054F"/>
    <w:rsid w:val="1EA01E32"/>
    <w:rsid w:val="1EAF02C7"/>
    <w:rsid w:val="1EBF050A"/>
    <w:rsid w:val="1EDF0BAD"/>
    <w:rsid w:val="1EE75CB3"/>
    <w:rsid w:val="1EF02DBA"/>
    <w:rsid w:val="1F220A99"/>
    <w:rsid w:val="1F4B6242"/>
    <w:rsid w:val="1F550E6F"/>
    <w:rsid w:val="1F740D38"/>
    <w:rsid w:val="1F980D5B"/>
    <w:rsid w:val="1F9B4659"/>
    <w:rsid w:val="1FB43DE7"/>
    <w:rsid w:val="1FD04999"/>
    <w:rsid w:val="1FDC6E9A"/>
    <w:rsid w:val="1FE12702"/>
    <w:rsid w:val="1FF02946"/>
    <w:rsid w:val="200F54C2"/>
    <w:rsid w:val="20144886"/>
    <w:rsid w:val="20631369"/>
    <w:rsid w:val="20AA343C"/>
    <w:rsid w:val="20C444FE"/>
    <w:rsid w:val="20D02C95"/>
    <w:rsid w:val="20DB53A4"/>
    <w:rsid w:val="20DE6C42"/>
    <w:rsid w:val="20EC135F"/>
    <w:rsid w:val="211D3C0E"/>
    <w:rsid w:val="212B00D9"/>
    <w:rsid w:val="218872DA"/>
    <w:rsid w:val="21A466B6"/>
    <w:rsid w:val="21AE2AB8"/>
    <w:rsid w:val="21C127EB"/>
    <w:rsid w:val="21C34409"/>
    <w:rsid w:val="21D73DBD"/>
    <w:rsid w:val="21D97B35"/>
    <w:rsid w:val="22124DF5"/>
    <w:rsid w:val="2234120F"/>
    <w:rsid w:val="223B07F0"/>
    <w:rsid w:val="22401962"/>
    <w:rsid w:val="22431452"/>
    <w:rsid w:val="228D26CE"/>
    <w:rsid w:val="229B41DA"/>
    <w:rsid w:val="22B1460E"/>
    <w:rsid w:val="22F34C27"/>
    <w:rsid w:val="232F19D7"/>
    <w:rsid w:val="23307C29"/>
    <w:rsid w:val="233D0598"/>
    <w:rsid w:val="234A2F63"/>
    <w:rsid w:val="23706277"/>
    <w:rsid w:val="23C46257"/>
    <w:rsid w:val="24062738"/>
    <w:rsid w:val="24392B0D"/>
    <w:rsid w:val="243D105C"/>
    <w:rsid w:val="24415E66"/>
    <w:rsid w:val="24507E57"/>
    <w:rsid w:val="24A85EE5"/>
    <w:rsid w:val="24C06D8A"/>
    <w:rsid w:val="24E72569"/>
    <w:rsid w:val="250D7AF6"/>
    <w:rsid w:val="251068B2"/>
    <w:rsid w:val="254479BB"/>
    <w:rsid w:val="255319AC"/>
    <w:rsid w:val="2593449F"/>
    <w:rsid w:val="25AB4FC2"/>
    <w:rsid w:val="25E756DA"/>
    <w:rsid w:val="25EB7E37"/>
    <w:rsid w:val="25FA451E"/>
    <w:rsid w:val="261A4BC0"/>
    <w:rsid w:val="261B5FB6"/>
    <w:rsid w:val="263537A8"/>
    <w:rsid w:val="26461511"/>
    <w:rsid w:val="26606A77"/>
    <w:rsid w:val="266F2816"/>
    <w:rsid w:val="26906C30"/>
    <w:rsid w:val="26AD333E"/>
    <w:rsid w:val="26BC17D3"/>
    <w:rsid w:val="26D94133"/>
    <w:rsid w:val="26F821AB"/>
    <w:rsid w:val="26FE1DEC"/>
    <w:rsid w:val="271433BD"/>
    <w:rsid w:val="276F6846"/>
    <w:rsid w:val="28044637"/>
    <w:rsid w:val="288922D1"/>
    <w:rsid w:val="2890116A"/>
    <w:rsid w:val="28904CC6"/>
    <w:rsid w:val="28D948BF"/>
    <w:rsid w:val="28DB0637"/>
    <w:rsid w:val="2939535D"/>
    <w:rsid w:val="29451F54"/>
    <w:rsid w:val="29B03320"/>
    <w:rsid w:val="29FD45DD"/>
    <w:rsid w:val="2A4D7312"/>
    <w:rsid w:val="2A5F0DF4"/>
    <w:rsid w:val="2A7D127A"/>
    <w:rsid w:val="2AB63109"/>
    <w:rsid w:val="2AC5334C"/>
    <w:rsid w:val="2AE632C3"/>
    <w:rsid w:val="2B69794E"/>
    <w:rsid w:val="2BC26DFE"/>
    <w:rsid w:val="2BD66E93"/>
    <w:rsid w:val="2BEE0681"/>
    <w:rsid w:val="2BEF61A7"/>
    <w:rsid w:val="2BFA0DD4"/>
    <w:rsid w:val="2BFD7524"/>
    <w:rsid w:val="2C0F23A5"/>
    <w:rsid w:val="2C144808"/>
    <w:rsid w:val="2C153E60"/>
    <w:rsid w:val="2C1C51EE"/>
    <w:rsid w:val="2C2B5431"/>
    <w:rsid w:val="2C4958B7"/>
    <w:rsid w:val="2C6646BB"/>
    <w:rsid w:val="2C6B4CC8"/>
    <w:rsid w:val="2C8E59C0"/>
    <w:rsid w:val="2C91388B"/>
    <w:rsid w:val="2C956D4E"/>
    <w:rsid w:val="2CCE400E"/>
    <w:rsid w:val="2CE850D0"/>
    <w:rsid w:val="2D133721"/>
    <w:rsid w:val="2D2F0F51"/>
    <w:rsid w:val="2D6F57F1"/>
    <w:rsid w:val="2D744BB6"/>
    <w:rsid w:val="2D8F7C42"/>
    <w:rsid w:val="2D957971"/>
    <w:rsid w:val="2DC31699"/>
    <w:rsid w:val="2DC84F02"/>
    <w:rsid w:val="2DCA0C7A"/>
    <w:rsid w:val="2E254102"/>
    <w:rsid w:val="2E3B3926"/>
    <w:rsid w:val="2E483DA6"/>
    <w:rsid w:val="2E62410F"/>
    <w:rsid w:val="2EC851B9"/>
    <w:rsid w:val="2EED69CE"/>
    <w:rsid w:val="2EEE0998"/>
    <w:rsid w:val="2EF44200"/>
    <w:rsid w:val="2F3565C7"/>
    <w:rsid w:val="2F6C1E8E"/>
    <w:rsid w:val="2F9B467C"/>
    <w:rsid w:val="30062A53"/>
    <w:rsid w:val="306E3B3E"/>
    <w:rsid w:val="30937A49"/>
    <w:rsid w:val="309F63EE"/>
    <w:rsid w:val="30D8545C"/>
    <w:rsid w:val="30F2476F"/>
    <w:rsid w:val="30FD3114"/>
    <w:rsid w:val="312608BD"/>
    <w:rsid w:val="313E79B5"/>
    <w:rsid w:val="31466869"/>
    <w:rsid w:val="316B62D0"/>
    <w:rsid w:val="31774C75"/>
    <w:rsid w:val="31856AC7"/>
    <w:rsid w:val="31857392"/>
    <w:rsid w:val="318A49A8"/>
    <w:rsid w:val="3196159F"/>
    <w:rsid w:val="31BE383A"/>
    <w:rsid w:val="31E31CAC"/>
    <w:rsid w:val="31EF5153"/>
    <w:rsid w:val="327F0285"/>
    <w:rsid w:val="32917FB8"/>
    <w:rsid w:val="3293788C"/>
    <w:rsid w:val="329A6898"/>
    <w:rsid w:val="32A01FA9"/>
    <w:rsid w:val="32EB76C8"/>
    <w:rsid w:val="331035D3"/>
    <w:rsid w:val="333A23FE"/>
    <w:rsid w:val="338B4A07"/>
    <w:rsid w:val="338E62A6"/>
    <w:rsid w:val="338F274A"/>
    <w:rsid w:val="339064C2"/>
    <w:rsid w:val="33DC1707"/>
    <w:rsid w:val="33DC34B5"/>
    <w:rsid w:val="33DF6B01"/>
    <w:rsid w:val="33F00D0E"/>
    <w:rsid w:val="342A4220"/>
    <w:rsid w:val="346E05B1"/>
    <w:rsid w:val="34847DD4"/>
    <w:rsid w:val="34C5219B"/>
    <w:rsid w:val="34FF38FF"/>
    <w:rsid w:val="352D221A"/>
    <w:rsid w:val="35D510E6"/>
    <w:rsid w:val="35E6061B"/>
    <w:rsid w:val="36010FB1"/>
    <w:rsid w:val="36034D29"/>
    <w:rsid w:val="361004C3"/>
    <w:rsid w:val="36127662"/>
    <w:rsid w:val="36506956"/>
    <w:rsid w:val="36525CF9"/>
    <w:rsid w:val="36740C58"/>
    <w:rsid w:val="36A52284"/>
    <w:rsid w:val="36BD0567"/>
    <w:rsid w:val="36C24BE4"/>
    <w:rsid w:val="36C80DD6"/>
    <w:rsid w:val="36CB62E7"/>
    <w:rsid w:val="36D36542"/>
    <w:rsid w:val="36DB5CA6"/>
    <w:rsid w:val="36E20DE2"/>
    <w:rsid w:val="373D24BC"/>
    <w:rsid w:val="37B87D95"/>
    <w:rsid w:val="384635F3"/>
    <w:rsid w:val="3872263A"/>
    <w:rsid w:val="38765C86"/>
    <w:rsid w:val="38975BFC"/>
    <w:rsid w:val="38EA6674"/>
    <w:rsid w:val="390037A2"/>
    <w:rsid w:val="3902751A"/>
    <w:rsid w:val="391060DB"/>
    <w:rsid w:val="39245DD4"/>
    <w:rsid w:val="39335925"/>
    <w:rsid w:val="3971644D"/>
    <w:rsid w:val="399A1E48"/>
    <w:rsid w:val="39A405D1"/>
    <w:rsid w:val="39AB195F"/>
    <w:rsid w:val="39B760F7"/>
    <w:rsid w:val="3A00614F"/>
    <w:rsid w:val="3A2F2590"/>
    <w:rsid w:val="3A3E27D3"/>
    <w:rsid w:val="3A465B2C"/>
    <w:rsid w:val="3B1479D8"/>
    <w:rsid w:val="3B546BBF"/>
    <w:rsid w:val="3B675D5A"/>
    <w:rsid w:val="3B842468"/>
    <w:rsid w:val="3BB2281A"/>
    <w:rsid w:val="3BC9431F"/>
    <w:rsid w:val="3BDA477E"/>
    <w:rsid w:val="3BE13D5E"/>
    <w:rsid w:val="3BEA72AB"/>
    <w:rsid w:val="3BFA4E20"/>
    <w:rsid w:val="3C642299"/>
    <w:rsid w:val="3C9C1A33"/>
    <w:rsid w:val="3CCA2A44"/>
    <w:rsid w:val="3CF12C38"/>
    <w:rsid w:val="3D0C6BB9"/>
    <w:rsid w:val="3D2A34E3"/>
    <w:rsid w:val="3D3B124C"/>
    <w:rsid w:val="3D436353"/>
    <w:rsid w:val="3D483969"/>
    <w:rsid w:val="3D5B544A"/>
    <w:rsid w:val="3D6407A3"/>
    <w:rsid w:val="3D7A6218"/>
    <w:rsid w:val="3D980375"/>
    <w:rsid w:val="3D9A2417"/>
    <w:rsid w:val="3E0C2BE9"/>
    <w:rsid w:val="3E5F71BC"/>
    <w:rsid w:val="3E7F160D"/>
    <w:rsid w:val="3E8975D6"/>
    <w:rsid w:val="3E9230EE"/>
    <w:rsid w:val="3E9C21BE"/>
    <w:rsid w:val="3EB43064"/>
    <w:rsid w:val="3EC878F7"/>
    <w:rsid w:val="3EF913BF"/>
    <w:rsid w:val="3F010273"/>
    <w:rsid w:val="3F2B709E"/>
    <w:rsid w:val="3F380B06"/>
    <w:rsid w:val="3F4D0892"/>
    <w:rsid w:val="3F5B5BD6"/>
    <w:rsid w:val="3F7E18C4"/>
    <w:rsid w:val="3F80388E"/>
    <w:rsid w:val="3F9F3D14"/>
    <w:rsid w:val="3FFC1167"/>
    <w:rsid w:val="40077B0C"/>
    <w:rsid w:val="40095632"/>
    <w:rsid w:val="40414DCB"/>
    <w:rsid w:val="40416B7A"/>
    <w:rsid w:val="40694322"/>
    <w:rsid w:val="408B24EB"/>
    <w:rsid w:val="40B11AE2"/>
    <w:rsid w:val="40C652D1"/>
    <w:rsid w:val="40ED0AAF"/>
    <w:rsid w:val="41067DC3"/>
    <w:rsid w:val="41263FC1"/>
    <w:rsid w:val="417E5BAB"/>
    <w:rsid w:val="4182744A"/>
    <w:rsid w:val="41AF045B"/>
    <w:rsid w:val="41AF3FB7"/>
    <w:rsid w:val="41BD66D4"/>
    <w:rsid w:val="41C537DA"/>
    <w:rsid w:val="41E579D9"/>
    <w:rsid w:val="420A5691"/>
    <w:rsid w:val="42154762"/>
    <w:rsid w:val="42164036"/>
    <w:rsid w:val="42181B5C"/>
    <w:rsid w:val="4269685C"/>
    <w:rsid w:val="4292190E"/>
    <w:rsid w:val="429617A9"/>
    <w:rsid w:val="42D068DB"/>
    <w:rsid w:val="42D57A4D"/>
    <w:rsid w:val="42DC702D"/>
    <w:rsid w:val="42DE4B54"/>
    <w:rsid w:val="430B7913"/>
    <w:rsid w:val="43140523"/>
    <w:rsid w:val="431762B8"/>
    <w:rsid w:val="43452E25"/>
    <w:rsid w:val="439416B6"/>
    <w:rsid w:val="44246EDE"/>
    <w:rsid w:val="442944F4"/>
    <w:rsid w:val="44421112"/>
    <w:rsid w:val="444E7AB7"/>
    <w:rsid w:val="445175A7"/>
    <w:rsid w:val="44623562"/>
    <w:rsid w:val="44703ED1"/>
    <w:rsid w:val="447137A5"/>
    <w:rsid w:val="44915BF6"/>
    <w:rsid w:val="4497145E"/>
    <w:rsid w:val="44E67CEF"/>
    <w:rsid w:val="44E95A32"/>
    <w:rsid w:val="451231DA"/>
    <w:rsid w:val="453018B3"/>
    <w:rsid w:val="45397E0B"/>
    <w:rsid w:val="453E18DA"/>
    <w:rsid w:val="45DE30BD"/>
    <w:rsid w:val="45E615FB"/>
    <w:rsid w:val="45F356E8"/>
    <w:rsid w:val="46A472DF"/>
    <w:rsid w:val="46C80667"/>
    <w:rsid w:val="46D15E84"/>
    <w:rsid w:val="46F30DEA"/>
    <w:rsid w:val="46F661E4"/>
    <w:rsid w:val="46FE3A16"/>
    <w:rsid w:val="47115764"/>
    <w:rsid w:val="475950F1"/>
    <w:rsid w:val="47613FA5"/>
    <w:rsid w:val="47E349BA"/>
    <w:rsid w:val="47F70466"/>
    <w:rsid w:val="47F941DE"/>
    <w:rsid w:val="47FE15B1"/>
    <w:rsid w:val="48180B08"/>
    <w:rsid w:val="48384D06"/>
    <w:rsid w:val="48390A7E"/>
    <w:rsid w:val="4839282C"/>
    <w:rsid w:val="485350A5"/>
    <w:rsid w:val="48934632"/>
    <w:rsid w:val="48C447EC"/>
    <w:rsid w:val="48F13107"/>
    <w:rsid w:val="48F30C2D"/>
    <w:rsid w:val="49066BB2"/>
    <w:rsid w:val="494616A5"/>
    <w:rsid w:val="49A10689"/>
    <w:rsid w:val="49F20EE5"/>
    <w:rsid w:val="4A001853"/>
    <w:rsid w:val="4A123335"/>
    <w:rsid w:val="4A183041"/>
    <w:rsid w:val="4A396B13"/>
    <w:rsid w:val="4A527BD5"/>
    <w:rsid w:val="4A611FC4"/>
    <w:rsid w:val="4A6C0C97"/>
    <w:rsid w:val="4A8F2BD7"/>
    <w:rsid w:val="4ACC00CC"/>
    <w:rsid w:val="4AD8457E"/>
    <w:rsid w:val="4AF622B5"/>
    <w:rsid w:val="4B313C8F"/>
    <w:rsid w:val="4B5160DF"/>
    <w:rsid w:val="4B555BCF"/>
    <w:rsid w:val="4BBA0128"/>
    <w:rsid w:val="4BDC3BFA"/>
    <w:rsid w:val="4C0513A3"/>
    <w:rsid w:val="4C1643E7"/>
    <w:rsid w:val="4C687B84"/>
    <w:rsid w:val="4C6D0CF6"/>
    <w:rsid w:val="4C7C718B"/>
    <w:rsid w:val="4C7C7C27"/>
    <w:rsid w:val="4C8524E4"/>
    <w:rsid w:val="4C9E5354"/>
    <w:rsid w:val="4CCC185F"/>
    <w:rsid w:val="4CE95658"/>
    <w:rsid w:val="4CFB6302"/>
    <w:rsid w:val="4D46795E"/>
    <w:rsid w:val="4D722A68"/>
    <w:rsid w:val="4DB210B7"/>
    <w:rsid w:val="4DB34E2F"/>
    <w:rsid w:val="4DEA4CF4"/>
    <w:rsid w:val="4E9407BC"/>
    <w:rsid w:val="4EE2548E"/>
    <w:rsid w:val="4EE47996"/>
    <w:rsid w:val="4F027E1C"/>
    <w:rsid w:val="4F4246BC"/>
    <w:rsid w:val="4F602D94"/>
    <w:rsid w:val="4F7A3E56"/>
    <w:rsid w:val="4F983CDF"/>
    <w:rsid w:val="4FDF63AF"/>
    <w:rsid w:val="5019366F"/>
    <w:rsid w:val="502344EE"/>
    <w:rsid w:val="502F2E92"/>
    <w:rsid w:val="504E48BE"/>
    <w:rsid w:val="505446A7"/>
    <w:rsid w:val="508F1B83"/>
    <w:rsid w:val="50D43A3A"/>
    <w:rsid w:val="510C31D4"/>
    <w:rsid w:val="51526CA5"/>
    <w:rsid w:val="51565449"/>
    <w:rsid w:val="51A21442"/>
    <w:rsid w:val="51A56F00"/>
    <w:rsid w:val="51C5244D"/>
    <w:rsid w:val="51D11D27"/>
    <w:rsid w:val="51E90E1F"/>
    <w:rsid w:val="51FB0B52"/>
    <w:rsid w:val="520A297C"/>
    <w:rsid w:val="52187956"/>
    <w:rsid w:val="521F6F37"/>
    <w:rsid w:val="527821A3"/>
    <w:rsid w:val="52D03D8D"/>
    <w:rsid w:val="531B14AC"/>
    <w:rsid w:val="532760A3"/>
    <w:rsid w:val="533B7DA0"/>
    <w:rsid w:val="5358625C"/>
    <w:rsid w:val="535B7AFB"/>
    <w:rsid w:val="53C72B28"/>
    <w:rsid w:val="54072213"/>
    <w:rsid w:val="541505F1"/>
    <w:rsid w:val="541C54DC"/>
    <w:rsid w:val="541D1254"/>
    <w:rsid w:val="54322F16"/>
    <w:rsid w:val="54336CC9"/>
    <w:rsid w:val="543640C4"/>
    <w:rsid w:val="545D5AF4"/>
    <w:rsid w:val="546B0211"/>
    <w:rsid w:val="549E791B"/>
    <w:rsid w:val="54B24092"/>
    <w:rsid w:val="54D04518"/>
    <w:rsid w:val="54ED0C26"/>
    <w:rsid w:val="54EF2BF0"/>
    <w:rsid w:val="54F9581D"/>
    <w:rsid w:val="54FE1085"/>
    <w:rsid w:val="54FE72D7"/>
    <w:rsid w:val="5503044A"/>
    <w:rsid w:val="55173EF5"/>
    <w:rsid w:val="553B7BE4"/>
    <w:rsid w:val="559E63C4"/>
    <w:rsid w:val="55A734CB"/>
    <w:rsid w:val="55B856D8"/>
    <w:rsid w:val="55BA7A98"/>
    <w:rsid w:val="55C20305"/>
    <w:rsid w:val="55CF657E"/>
    <w:rsid w:val="562B40FC"/>
    <w:rsid w:val="5638659D"/>
    <w:rsid w:val="56582A17"/>
    <w:rsid w:val="565C42B5"/>
    <w:rsid w:val="565C6063"/>
    <w:rsid w:val="569C6DA8"/>
    <w:rsid w:val="56C836F9"/>
    <w:rsid w:val="571526B6"/>
    <w:rsid w:val="571E156B"/>
    <w:rsid w:val="57201787"/>
    <w:rsid w:val="575B27BF"/>
    <w:rsid w:val="579E26AC"/>
    <w:rsid w:val="57A9177C"/>
    <w:rsid w:val="58366D88"/>
    <w:rsid w:val="584C4BC0"/>
    <w:rsid w:val="584E40D2"/>
    <w:rsid w:val="584E7C2E"/>
    <w:rsid w:val="588673C8"/>
    <w:rsid w:val="58873140"/>
    <w:rsid w:val="58A14202"/>
    <w:rsid w:val="58A9755A"/>
    <w:rsid w:val="58DA5965"/>
    <w:rsid w:val="58E00F99"/>
    <w:rsid w:val="58F25CB5"/>
    <w:rsid w:val="590B3D71"/>
    <w:rsid w:val="590B5B1F"/>
    <w:rsid w:val="590F3861"/>
    <w:rsid w:val="5915074C"/>
    <w:rsid w:val="591C7D2C"/>
    <w:rsid w:val="593037D7"/>
    <w:rsid w:val="59374B66"/>
    <w:rsid w:val="59376914"/>
    <w:rsid w:val="59417793"/>
    <w:rsid w:val="59943D66"/>
    <w:rsid w:val="59B9557B"/>
    <w:rsid w:val="59CF2FF0"/>
    <w:rsid w:val="59DD2021"/>
    <w:rsid w:val="59E36A9C"/>
    <w:rsid w:val="59E545C2"/>
    <w:rsid w:val="59EC5950"/>
    <w:rsid w:val="5A201A9E"/>
    <w:rsid w:val="5A403EEE"/>
    <w:rsid w:val="5A4A08C9"/>
    <w:rsid w:val="5A9D30EE"/>
    <w:rsid w:val="5AB83A84"/>
    <w:rsid w:val="5ACE5473"/>
    <w:rsid w:val="5AD71530"/>
    <w:rsid w:val="5AEE74A6"/>
    <w:rsid w:val="5B6A1223"/>
    <w:rsid w:val="5B9C5154"/>
    <w:rsid w:val="5BF07EDE"/>
    <w:rsid w:val="5BF3733C"/>
    <w:rsid w:val="5C052CF9"/>
    <w:rsid w:val="5C0E02A5"/>
    <w:rsid w:val="5C132C47"/>
    <w:rsid w:val="5C1967A5"/>
    <w:rsid w:val="5C25514A"/>
    <w:rsid w:val="5C3B671B"/>
    <w:rsid w:val="5C3E7FB9"/>
    <w:rsid w:val="5C9C18B0"/>
    <w:rsid w:val="5CE24DE9"/>
    <w:rsid w:val="5CEE1CE5"/>
    <w:rsid w:val="5CF60894"/>
    <w:rsid w:val="5D1C479E"/>
    <w:rsid w:val="5D3F66DF"/>
    <w:rsid w:val="5D5110ED"/>
    <w:rsid w:val="5D5C2DED"/>
    <w:rsid w:val="5DAA7FFC"/>
    <w:rsid w:val="5DAF73C1"/>
    <w:rsid w:val="5DCD5A99"/>
    <w:rsid w:val="5DEC624C"/>
    <w:rsid w:val="5E056FE1"/>
    <w:rsid w:val="5E23390B"/>
    <w:rsid w:val="5E3B2A02"/>
    <w:rsid w:val="5E443FAD"/>
    <w:rsid w:val="5E453881"/>
    <w:rsid w:val="5E46309F"/>
    <w:rsid w:val="5E4D2736"/>
    <w:rsid w:val="5E532442"/>
    <w:rsid w:val="5E653F23"/>
    <w:rsid w:val="5E8348CF"/>
    <w:rsid w:val="5E9465B6"/>
    <w:rsid w:val="5EB629D1"/>
    <w:rsid w:val="5EC56770"/>
    <w:rsid w:val="5F0454EA"/>
    <w:rsid w:val="5F2928EB"/>
    <w:rsid w:val="5F4B4EC7"/>
    <w:rsid w:val="5F7E529D"/>
    <w:rsid w:val="5F8A1E93"/>
    <w:rsid w:val="5FA31F76"/>
    <w:rsid w:val="5FC56D63"/>
    <w:rsid w:val="600A4D82"/>
    <w:rsid w:val="6037369D"/>
    <w:rsid w:val="603B318E"/>
    <w:rsid w:val="604C539B"/>
    <w:rsid w:val="604F09E7"/>
    <w:rsid w:val="60730B79"/>
    <w:rsid w:val="60765F74"/>
    <w:rsid w:val="60787F3E"/>
    <w:rsid w:val="60A54AAB"/>
    <w:rsid w:val="61007F33"/>
    <w:rsid w:val="6109503A"/>
    <w:rsid w:val="61167757"/>
    <w:rsid w:val="6138591F"/>
    <w:rsid w:val="613A3445"/>
    <w:rsid w:val="61572249"/>
    <w:rsid w:val="615F6571"/>
    <w:rsid w:val="619F14FA"/>
    <w:rsid w:val="61B01959"/>
    <w:rsid w:val="61B56F70"/>
    <w:rsid w:val="61BF1B9C"/>
    <w:rsid w:val="61E41603"/>
    <w:rsid w:val="61FF01EB"/>
    <w:rsid w:val="62053A53"/>
    <w:rsid w:val="621041A6"/>
    <w:rsid w:val="62143C96"/>
    <w:rsid w:val="622D6B06"/>
    <w:rsid w:val="623C3E38"/>
    <w:rsid w:val="623E1C97"/>
    <w:rsid w:val="62467BC8"/>
    <w:rsid w:val="62481B92"/>
    <w:rsid w:val="62540537"/>
    <w:rsid w:val="625978FB"/>
    <w:rsid w:val="62E47B0C"/>
    <w:rsid w:val="62FA7330"/>
    <w:rsid w:val="630755A9"/>
    <w:rsid w:val="630B32EB"/>
    <w:rsid w:val="63273E9D"/>
    <w:rsid w:val="637E48A2"/>
    <w:rsid w:val="638C5AAE"/>
    <w:rsid w:val="63AD6150"/>
    <w:rsid w:val="63C24F39"/>
    <w:rsid w:val="63E37DC4"/>
    <w:rsid w:val="640A35A3"/>
    <w:rsid w:val="643248A8"/>
    <w:rsid w:val="64371EBE"/>
    <w:rsid w:val="646F3406"/>
    <w:rsid w:val="648A6492"/>
    <w:rsid w:val="651346D9"/>
    <w:rsid w:val="65314B5F"/>
    <w:rsid w:val="6535464F"/>
    <w:rsid w:val="65426D6C"/>
    <w:rsid w:val="65566374"/>
    <w:rsid w:val="65864EAB"/>
    <w:rsid w:val="6587477F"/>
    <w:rsid w:val="65931376"/>
    <w:rsid w:val="65984BDE"/>
    <w:rsid w:val="65C47781"/>
    <w:rsid w:val="65D5198E"/>
    <w:rsid w:val="65E9543A"/>
    <w:rsid w:val="662621EA"/>
    <w:rsid w:val="66754F1F"/>
    <w:rsid w:val="667C005C"/>
    <w:rsid w:val="66864AC5"/>
    <w:rsid w:val="66F95B50"/>
    <w:rsid w:val="673152EA"/>
    <w:rsid w:val="675E7CBE"/>
    <w:rsid w:val="6773145F"/>
    <w:rsid w:val="67902011"/>
    <w:rsid w:val="67AE693B"/>
    <w:rsid w:val="67B57CC9"/>
    <w:rsid w:val="67D623C6"/>
    <w:rsid w:val="67DF7848"/>
    <w:rsid w:val="67E759A9"/>
    <w:rsid w:val="67F07A7B"/>
    <w:rsid w:val="686314D3"/>
    <w:rsid w:val="68721717"/>
    <w:rsid w:val="68B47F81"/>
    <w:rsid w:val="68CD0C63"/>
    <w:rsid w:val="68FA7BC7"/>
    <w:rsid w:val="68FD5E21"/>
    <w:rsid w:val="69083E29"/>
    <w:rsid w:val="690E58E3"/>
    <w:rsid w:val="69224EEB"/>
    <w:rsid w:val="69366BE8"/>
    <w:rsid w:val="69434E61"/>
    <w:rsid w:val="697B45FB"/>
    <w:rsid w:val="699905F0"/>
    <w:rsid w:val="69AF24F6"/>
    <w:rsid w:val="69B12712"/>
    <w:rsid w:val="6A210587"/>
    <w:rsid w:val="6A403E1F"/>
    <w:rsid w:val="6A4B0471"/>
    <w:rsid w:val="6A633A0D"/>
    <w:rsid w:val="6A6652AB"/>
    <w:rsid w:val="6A7A6FA8"/>
    <w:rsid w:val="6A933BC6"/>
    <w:rsid w:val="6AAF0A00"/>
    <w:rsid w:val="6AE6604A"/>
    <w:rsid w:val="6B056872"/>
    <w:rsid w:val="6B1116BB"/>
    <w:rsid w:val="6B1765A5"/>
    <w:rsid w:val="6B1B6095"/>
    <w:rsid w:val="6B621F16"/>
    <w:rsid w:val="6B777044"/>
    <w:rsid w:val="6B87372B"/>
    <w:rsid w:val="6B8A4FC9"/>
    <w:rsid w:val="6B8C0D41"/>
    <w:rsid w:val="6B95409A"/>
    <w:rsid w:val="6B9B0F84"/>
    <w:rsid w:val="6B9C6019"/>
    <w:rsid w:val="6BA02A3F"/>
    <w:rsid w:val="6BA240C1"/>
    <w:rsid w:val="6BC16698"/>
    <w:rsid w:val="6BCE3108"/>
    <w:rsid w:val="6BE20961"/>
    <w:rsid w:val="6C095A00"/>
    <w:rsid w:val="6C133210"/>
    <w:rsid w:val="6C315445"/>
    <w:rsid w:val="6C47110C"/>
    <w:rsid w:val="6C7A503E"/>
    <w:rsid w:val="6C7F08A6"/>
    <w:rsid w:val="6C850C61"/>
    <w:rsid w:val="6C895281"/>
    <w:rsid w:val="6CA43E69"/>
    <w:rsid w:val="6CAE2F39"/>
    <w:rsid w:val="6CC8224D"/>
    <w:rsid w:val="6CDA5BDB"/>
    <w:rsid w:val="6CE64481"/>
    <w:rsid w:val="6CEE5A93"/>
    <w:rsid w:val="6D196605"/>
    <w:rsid w:val="6D245D2F"/>
    <w:rsid w:val="6D8E63A6"/>
    <w:rsid w:val="6DA560EA"/>
    <w:rsid w:val="6DAB7F9D"/>
    <w:rsid w:val="6DAF6F69"/>
    <w:rsid w:val="6DB37F31"/>
    <w:rsid w:val="6DC347C2"/>
    <w:rsid w:val="6DCF3167"/>
    <w:rsid w:val="6DE2733E"/>
    <w:rsid w:val="6DED7422"/>
    <w:rsid w:val="6DF80910"/>
    <w:rsid w:val="6E0F7A08"/>
    <w:rsid w:val="6E2214E9"/>
    <w:rsid w:val="6E2E4332"/>
    <w:rsid w:val="6E2E7E8E"/>
    <w:rsid w:val="6E5A0C83"/>
    <w:rsid w:val="6EA97E5C"/>
    <w:rsid w:val="6EEB3FD1"/>
    <w:rsid w:val="6F4B2CC1"/>
    <w:rsid w:val="6F5C03B6"/>
    <w:rsid w:val="6F79782E"/>
    <w:rsid w:val="6F7F4719"/>
    <w:rsid w:val="6FCC5BB0"/>
    <w:rsid w:val="70090BB2"/>
    <w:rsid w:val="701D01BA"/>
    <w:rsid w:val="70531E2E"/>
    <w:rsid w:val="7064403B"/>
    <w:rsid w:val="708C7E87"/>
    <w:rsid w:val="708E10B8"/>
    <w:rsid w:val="70910BA8"/>
    <w:rsid w:val="709D754D"/>
    <w:rsid w:val="70C60851"/>
    <w:rsid w:val="70ED4BCE"/>
    <w:rsid w:val="71017ADB"/>
    <w:rsid w:val="71290DE0"/>
    <w:rsid w:val="7148570A"/>
    <w:rsid w:val="714C1B74"/>
    <w:rsid w:val="714F6A99"/>
    <w:rsid w:val="71AB7A47"/>
    <w:rsid w:val="71B05491"/>
    <w:rsid w:val="71B72890"/>
    <w:rsid w:val="71B7463E"/>
    <w:rsid w:val="71DB657E"/>
    <w:rsid w:val="71E33685"/>
    <w:rsid w:val="71ED1E0E"/>
    <w:rsid w:val="71F66F14"/>
    <w:rsid w:val="7218332F"/>
    <w:rsid w:val="721B2E1F"/>
    <w:rsid w:val="72331F17"/>
    <w:rsid w:val="727E6F0A"/>
    <w:rsid w:val="72966949"/>
    <w:rsid w:val="72AA5B6B"/>
    <w:rsid w:val="72D07765"/>
    <w:rsid w:val="72E2393D"/>
    <w:rsid w:val="73045661"/>
    <w:rsid w:val="73130447"/>
    <w:rsid w:val="7316683A"/>
    <w:rsid w:val="73267CCD"/>
    <w:rsid w:val="733A5527"/>
    <w:rsid w:val="733C304D"/>
    <w:rsid w:val="734819F2"/>
    <w:rsid w:val="735465E8"/>
    <w:rsid w:val="73644352"/>
    <w:rsid w:val="7367665C"/>
    <w:rsid w:val="739E1612"/>
    <w:rsid w:val="73AD5CF9"/>
    <w:rsid w:val="73AF1A71"/>
    <w:rsid w:val="73DF3676"/>
    <w:rsid w:val="73EF4563"/>
    <w:rsid w:val="73F25E01"/>
    <w:rsid w:val="74177616"/>
    <w:rsid w:val="7420296E"/>
    <w:rsid w:val="74252D20"/>
    <w:rsid w:val="742D6E39"/>
    <w:rsid w:val="74393A30"/>
    <w:rsid w:val="74650381"/>
    <w:rsid w:val="746A5998"/>
    <w:rsid w:val="7476258E"/>
    <w:rsid w:val="747B1953"/>
    <w:rsid w:val="74FD680C"/>
    <w:rsid w:val="75137DDD"/>
    <w:rsid w:val="75AD72F9"/>
    <w:rsid w:val="75F25C45"/>
    <w:rsid w:val="7610431D"/>
    <w:rsid w:val="76426BCC"/>
    <w:rsid w:val="76836E89"/>
    <w:rsid w:val="76B455F0"/>
    <w:rsid w:val="76CF41D8"/>
    <w:rsid w:val="7730111A"/>
    <w:rsid w:val="778C3629"/>
    <w:rsid w:val="77A67671"/>
    <w:rsid w:val="77BE04D4"/>
    <w:rsid w:val="77FC2DAB"/>
    <w:rsid w:val="78000AED"/>
    <w:rsid w:val="7820118F"/>
    <w:rsid w:val="783469E8"/>
    <w:rsid w:val="78A91E16"/>
    <w:rsid w:val="78FD502C"/>
    <w:rsid w:val="79110AD8"/>
    <w:rsid w:val="79334EF2"/>
    <w:rsid w:val="794E3ADA"/>
    <w:rsid w:val="797352EE"/>
    <w:rsid w:val="79764DDF"/>
    <w:rsid w:val="79B7167F"/>
    <w:rsid w:val="79B97637"/>
    <w:rsid w:val="79C478F8"/>
    <w:rsid w:val="79EB757B"/>
    <w:rsid w:val="7A0037AF"/>
    <w:rsid w:val="7A170370"/>
    <w:rsid w:val="7A770E0E"/>
    <w:rsid w:val="7AA04CA3"/>
    <w:rsid w:val="7AA15E8B"/>
    <w:rsid w:val="7AB336EE"/>
    <w:rsid w:val="7B034450"/>
    <w:rsid w:val="7B110E84"/>
    <w:rsid w:val="7B254D67"/>
    <w:rsid w:val="7B3E75BC"/>
    <w:rsid w:val="7B537186"/>
    <w:rsid w:val="7B8237F8"/>
    <w:rsid w:val="7B876E2F"/>
    <w:rsid w:val="7B9854E0"/>
    <w:rsid w:val="7B9A3006"/>
    <w:rsid w:val="7C444D20"/>
    <w:rsid w:val="7CB65C1E"/>
    <w:rsid w:val="7CBE0F77"/>
    <w:rsid w:val="7CEC7892"/>
    <w:rsid w:val="7CF624BE"/>
    <w:rsid w:val="7D07647A"/>
    <w:rsid w:val="7D910439"/>
    <w:rsid w:val="7DE06CCB"/>
    <w:rsid w:val="7DF6029C"/>
    <w:rsid w:val="7DF764EE"/>
    <w:rsid w:val="7E1C4963"/>
    <w:rsid w:val="7E215319"/>
    <w:rsid w:val="7E301A00"/>
    <w:rsid w:val="7E3C2153"/>
    <w:rsid w:val="7E457F9C"/>
    <w:rsid w:val="7E4A06B1"/>
    <w:rsid w:val="7E7C2E97"/>
    <w:rsid w:val="7EAA7A04"/>
    <w:rsid w:val="7EEC72E5"/>
    <w:rsid w:val="7F1906E6"/>
    <w:rsid w:val="7F413799"/>
    <w:rsid w:val="7F481748"/>
    <w:rsid w:val="7F721BA4"/>
    <w:rsid w:val="7FA77AA0"/>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widowControl w:val="0"/>
      <w:spacing w:before="340" w:after="330" w:line="576" w:lineRule="auto"/>
      <w:jc w:val="both"/>
      <w:outlineLvl w:val="0"/>
    </w:pPr>
    <w:rPr>
      <w:rFonts w:ascii="Calibri" w:hAnsi="Calibri"/>
      <w:bCs/>
      <w:kern w:val="44"/>
      <w:szCs w:val="44"/>
    </w:rPr>
  </w:style>
  <w:style w:type="paragraph" w:styleId="4">
    <w:name w:val="heading 2"/>
    <w:basedOn w:val="1"/>
    <w:next w:val="1"/>
    <w:autoRedefine/>
    <w:qFormat/>
    <w:uiPriority w:val="0"/>
    <w:pPr>
      <w:keepNext/>
      <w:keepLines/>
      <w:widowControl w:val="0"/>
      <w:spacing w:before="260" w:after="260" w:line="413" w:lineRule="auto"/>
      <w:jc w:val="both"/>
      <w:outlineLvl w:val="1"/>
    </w:pPr>
    <w:rPr>
      <w:rFonts w:ascii="Cambria" w:hAnsi="Cambria"/>
      <w:bCs/>
      <w:kern w:val="2"/>
      <w:sz w:val="32"/>
      <w:szCs w:val="32"/>
    </w:rPr>
  </w:style>
  <w:style w:type="paragraph" w:styleId="5">
    <w:name w:val="heading 3"/>
    <w:basedOn w:val="1"/>
    <w:next w:val="6"/>
    <w:autoRedefine/>
    <w:qFormat/>
    <w:uiPriority w:val="99"/>
    <w:pPr>
      <w:keepNext/>
      <w:keepLines/>
      <w:widowControl/>
      <w:tabs>
        <w:tab w:val="left" w:pos="0"/>
      </w:tabs>
      <w:outlineLvl w:val="2"/>
    </w:pPr>
    <w:rPr>
      <w:rFonts w:ascii="黑体" w:hAnsi="Times New Roman" w:eastAsia="黑体" w:cs="黑体"/>
      <w:sz w:val="24"/>
      <w:szCs w:val="24"/>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Arial" w:hAnsi="Arial" w:eastAsia="Arial" w:cs="Arial"/>
      <w:sz w:val="21"/>
      <w:szCs w:val="21"/>
      <w:lang w:val="en-US" w:eastAsia="en-US" w:bidi="ar-SA"/>
    </w:rPr>
  </w:style>
  <w:style w:type="paragraph" w:styleId="6">
    <w:name w:val="Normal Indent"/>
    <w:basedOn w:val="1"/>
    <w:unhideWhenUsed/>
    <w:qFormat/>
    <w:uiPriority w:val="0"/>
    <w:pPr>
      <w:adjustRightInd w:val="0"/>
      <w:spacing w:line="315" w:lineRule="atLeast"/>
      <w:ind w:firstLine="420"/>
      <w:jc w:val="left"/>
    </w:pPr>
    <w:rPr>
      <w:rFonts w:ascii="宋体"/>
      <w:kern w:val="0"/>
      <w:sz w:val="20"/>
    </w:rPr>
  </w:style>
  <w:style w:type="paragraph" w:styleId="7">
    <w:name w:val="annotation text"/>
    <w:basedOn w:val="1"/>
    <w:autoRedefine/>
    <w:qFormat/>
    <w:uiPriority w:val="0"/>
    <w:pPr>
      <w:jc w:val="left"/>
    </w:pPr>
  </w:style>
  <w:style w:type="paragraph" w:styleId="8">
    <w:name w:val="Body Text Indent"/>
    <w:basedOn w:val="1"/>
    <w:autoRedefine/>
    <w:qFormat/>
    <w:uiPriority w:val="99"/>
    <w:pPr>
      <w:ind w:left="420" w:leftChars="200"/>
    </w:pPr>
  </w:style>
  <w:style w:type="paragraph" w:styleId="9">
    <w:name w:val="List 2"/>
    <w:basedOn w:val="1"/>
    <w:autoRedefine/>
    <w:unhideWhenUsed/>
    <w:qFormat/>
    <w:uiPriority w:val="0"/>
    <w:pPr>
      <w:ind w:left="100" w:leftChars="200" w:hanging="200" w:hangingChars="200"/>
    </w:pPr>
    <w:rPr>
      <w:rFonts w:hint="eastAsia"/>
      <w:sz w:val="21"/>
    </w:rPr>
  </w:style>
  <w:style w:type="paragraph" w:styleId="10">
    <w:name w:val="Body Text Indent 2"/>
    <w:basedOn w:val="1"/>
    <w:autoRedefine/>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pacing w:line="360" w:lineRule="auto"/>
    </w:pPr>
    <w:rPr>
      <w:sz w:val="18"/>
    </w:rPr>
  </w:style>
  <w:style w:type="paragraph" w:styleId="14">
    <w:name w:val="Body Text First Indent"/>
    <w:basedOn w:val="2"/>
    <w:autoRedefine/>
    <w:qFormat/>
    <w:uiPriority w:val="0"/>
    <w:pPr>
      <w:spacing w:line="240" w:lineRule="auto"/>
      <w:ind w:firstLine="420"/>
    </w:pPr>
    <w:rPr>
      <w:rFonts w:eastAsia="楷体_GB2312"/>
      <w:sz w:val="32"/>
    </w:rPr>
  </w:style>
  <w:style w:type="paragraph" w:styleId="15">
    <w:name w:val="Body Text First Indent 2"/>
    <w:basedOn w:val="8"/>
    <w:autoRedefine/>
    <w:qFormat/>
    <w:uiPriority w:val="0"/>
    <w:pPr>
      <w:spacing w:after="120"/>
      <w:ind w:firstLine="420" w:firstLineChars="200"/>
    </w:pPr>
    <w:rPr>
      <w:rFonts w:ascii="Times New Roman"/>
    </w:rPr>
  </w:style>
  <w:style w:type="character" w:styleId="18">
    <w:name w:val="footnote reference"/>
    <w:qFormat/>
    <w:uiPriority w:val="0"/>
    <w:rPr>
      <w:position w:val="6"/>
      <w:sz w:val="14"/>
      <w:vertAlign w:val="superscript"/>
    </w:rPr>
  </w:style>
  <w:style w:type="paragraph" w:customStyle="1" w:styleId="19">
    <w:name w:val="style4"/>
    <w:basedOn w:val="1"/>
    <w:next w:val="20"/>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20">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21">
    <w:name w:val="WPSOffice手动目录 1"/>
    <w:autoRedefine/>
    <w:qFormat/>
    <w:uiPriority w:val="0"/>
    <w:pPr>
      <w:ind w:leftChars="0"/>
    </w:pPr>
    <w:rPr>
      <w:rFonts w:ascii="Arial" w:hAnsi="Arial" w:eastAsia="Arial" w:cs="Arial"/>
      <w:sz w:val="20"/>
      <w:szCs w:val="20"/>
    </w:rPr>
  </w:style>
  <w:style w:type="paragraph" w:customStyle="1" w:styleId="22">
    <w:name w:val="1"/>
    <w:basedOn w:val="1"/>
    <w:next w:val="1"/>
    <w:autoRedefine/>
    <w:qFormat/>
    <w:uiPriority w:val="0"/>
    <w:pPr>
      <w:widowControl w:val="0"/>
      <w:jc w:val="both"/>
    </w:pPr>
    <w:rPr>
      <w:kern w:val="2"/>
      <w:sz w:val="21"/>
      <w:szCs w:val="24"/>
    </w:rPr>
  </w:style>
  <w:style w:type="paragraph" w:customStyle="1" w:styleId="23">
    <w:name w:val="Table Text"/>
    <w:basedOn w:val="1"/>
    <w:autoRedefine/>
    <w:semiHidden/>
    <w:qFormat/>
    <w:uiPriority w:val="0"/>
    <w:rPr>
      <w:rFonts w:ascii="宋体" w:hAnsi="宋体" w:eastAsia="宋体" w:cs="宋体"/>
      <w:sz w:val="20"/>
      <w:szCs w:val="20"/>
      <w:lang w:val="en-US" w:eastAsia="en-US"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26">
    <w:name w:val="Heading #2|1"/>
    <w:basedOn w:val="1"/>
    <w:autoRedefine/>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23211</Words>
  <Characters>25218</Characters>
  <Lines>0</Lines>
  <Paragraphs>0</Paragraphs>
  <TotalTime>33</TotalTime>
  <ScaleCrop>false</ScaleCrop>
  <LinksUpToDate>false</LinksUpToDate>
  <CharactersWithSpaces>26033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2024-05-07T02:25:00Z</dcterms:created>
  <dc:creator>艳丽</dc:creator>
  <cp:lastModifiedBy>琳</cp:lastModifiedBy>
  <cp:lastPrinted>2024-05-08T02:57:00Z</cp:lastPrinted>
  <dcterms:modified xsi:type="dcterms:W3CDTF">2025-06-26T07:41:38Z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1D65CD94EC2E42F483BB4A920E45C46B_13</vt:lpwstr>
  </property>
  <property fmtid="{D5CDD505-2E9C-101B-9397-08002B2CF9AE}" pid="4" name="KSOTemplateDocerSaveRecord">
    <vt:lpwstr>eyJoZGlkIjoiNTNmNDY0OTQ2ODdmMDQzMGE3Yjk1MDhhNDkyY2M1YmQiLCJ1c2VySWQiOiIzOTc1NjEwNjgifQ==</vt:lpwstr>
  </property>
</Properties>
</file>