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B8AD3">
      <w:pPr>
        <w:pStyle w:val="2"/>
        <w:bidi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</w:t>
      </w:r>
      <w:r>
        <w:rPr>
          <w:rFonts w:hint="eastAsia" w:ascii="宋体" w:hAnsi="宋体" w:eastAsia="宋体" w:cs="宋体"/>
          <w:sz w:val="32"/>
          <w:szCs w:val="32"/>
        </w:rPr>
        <w:t>健全财务会计制度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的证明材料</w:t>
      </w:r>
    </w:p>
    <w:p w14:paraId="19850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供应商提供截至响应文件提交截止之日前一年内，经审计的财务报告（包含审计报告和审计报告中所涉及的财务报表和报表附注）</w:t>
      </w:r>
      <w:r>
        <w:rPr>
          <w:rFonts w:hint="eastAsia" w:ascii="宋体" w:hAnsi="宋体" w:eastAsia="宋体" w:cs="宋体"/>
          <w:i w:val="0"/>
          <w:iCs w:val="0"/>
          <w:caps w:val="0"/>
          <w:strike/>
          <w:dstrike w:val="0"/>
          <w:color w:val="auto"/>
          <w:spacing w:val="0"/>
          <w:sz w:val="28"/>
          <w:szCs w:val="28"/>
          <w:shd w:val="clear" w:fill="FFFFFF"/>
        </w:rPr>
        <w:t>或者银行出具的资信证明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。未经审计的提供财务报告（包括资产负债表、利润表、现金流量表、所有者权益变动表及其附注）。供应商注册时间截至响应文件提交截止之日前不足一年的，也可提供具有健全的财务会计制度的承诺函等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F40B3"/>
    <w:rsid w:val="741F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2025-05-03T15:53:00Z</dcterms:created>
  <dc:creator>吉林省德润工程项目管理有限公司</dc:creator>
  <cp:lastModifiedBy>吉林省德润工程项目管理有限公司</cp:lastModifiedBy>
  <dcterms:modified xsi:type="dcterms:W3CDTF">2025-05-03T15:54:39Z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F67F662D116A4F31926EC279987B0512_11</vt:lpwstr>
  </property>
  <property fmtid="{D5CDD505-2E9C-101B-9397-08002B2CF9AE}" pid="4" name="KSOTemplateDocerSaveRecord">
    <vt:lpwstr>eyJoZGlkIjoiYTc2ZGZiNzZiNDVlOGViOWVmM2JhOTY0NGJkNjUyYzgifQ==</vt:lpwstr>
  </property>
</Properties>
</file>