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tabs>
          <w:tab w:val="clear" w:pos="432"/>
        </w:tabs>
        <w:ind w:left="880" w:leftChars="0"/>
        <w:jc w:val="center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  <w:lang w:val="en-US" w:eastAsia="zh-CN" w:bidi="ar"/>
        </w:rPr>
        <w:t>服务需求</w:t>
      </w:r>
    </w:p>
    <w:p>
      <w:pPr>
        <w:pStyle w:val="7"/>
        <w:numPr>
          <w:ilvl w:val="0"/>
          <w:numId w:val="0"/>
        </w:numPr>
        <w:tabs>
          <w:tab w:val="clear" w:pos="432"/>
        </w:tabs>
        <w:ind w:leftChars="0"/>
        <w:jc w:val="both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bookmarkStart w:id="0" w:name="_Toc28143"/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1.必须具备取样和检测双重能力。</w:t>
      </w:r>
      <w:bookmarkEnd w:id="0"/>
    </w:p>
    <w:p>
      <w:pPr>
        <w:pStyle w:val="7"/>
        <w:numPr>
          <w:ilvl w:val="0"/>
          <w:numId w:val="0"/>
        </w:numPr>
        <w:tabs>
          <w:tab w:val="clear" w:pos="432"/>
        </w:tabs>
        <w:ind w:leftChars="0"/>
        <w:jc w:val="both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bookmarkStart w:id="1" w:name="_Toc15206"/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2.检测机构应具备国家及农业农村部认可的土壤普查检测实验室。</w:t>
      </w:r>
      <w:bookmarkEnd w:id="1"/>
    </w:p>
    <w:p>
      <w:pPr>
        <w:pStyle w:val="7"/>
        <w:numPr>
          <w:ilvl w:val="0"/>
          <w:numId w:val="0"/>
        </w:numPr>
        <w:tabs>
          <w:tab w:val="clear" w:pos="432"/>
        </w:tabs>
        <w:ind w:leftChars="0"/>
        <w:jc w:val="both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bookmarkStart w:id="2" w:name="_Toc19498"/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3.检测实验室内应配备数量充足，且技术指标符合所投标任务土样检测要求的所有仪器设备设施，对检测结果准确性或有效性有影响，或计量溯源性有要求的仪器设备，应在计量检定或校准有效期内使用。</w:t>
      </w:r>
      <w:bookmarkEnd w:id="2"/>
    </w:p>
    <w:p>
      <w:pPr>
        <w:pStyle w:val="7"/>
        <w:numPr>
          <w:ilvl w:val="0"/>
          <w:numId w:val="0"/>
        </w:numPr>
        <w:tabs>
          <w:tab w:val="clear" w:pos="432"/>
        </w:tabs>
        <w:ind w:leftChars="0"/>
        <w:jc w:val="both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bookmarkStart w:id="3" w:name="_Toc7381"/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4.检测室内应具备必要的监控或录制设备。</w:t>
      </w:r>
      <w:bookmarkEnd w:id="3"/>
    </w:p>
    <w:p>
      <w:pPr>
        <w:pStyle w:val="7"/>
        <w:numPr>
          <w:ilvl w:val="0"/>
          <w:numId w:val="0"/>
        </w:numPr>
        <w:tabs>
          <w:tab w:val="clear" w:pos="432"/>
        </w:tabs>
        <w:jc w:val="both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bookmarkStart w:id="4" w:name="_Toc5796"/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 w:bidi="ar"/>
        </w:rPr>
        <w:t>.实验室具有与所投标任务相适应的管理人员和专业技术人员，人员技术能力和数量应能满足检测任务需要。关键岗位(技术负责人、授权签字人、质量监督员、主要检测技术人等)人员为单位固定人员,应具备土壤检测相关的专业背景或工作经历，并保证能直接参与样品检测工作。</w:t>
      </w:r>
      <w:bookmarkEnd w:id="4"/>
    </w:p>
    <w:p>
      <w:pPr>
        <w:pStyle w:val="7"/>
        <w:numPr>
          <w:ilvl w:val="0"/>
          <w:numId w:val="0"/>
        </w:numPr>
        <w:tabs>
          <w:tab w:val="clear" w:pos="432"/>
        </w:tabs>
        <w:jc w:val="both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bookmarkStart w:id="5" w:name="_Toc18359"/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6.满足日检测能力200个以上。</w:t>
      </w:r>
      <w:bookmarkEnd w:id="5"/>
    </w:p>
    <w:p>
      <w:pPr>
        <w:pStyle w:val="7"/>
        <w:numPr>
          <w:ilvl w:val="0"/>
          <w:numId w:val="0"/>
        </w:numPr>
        <w:tabs>
          <w:tab w:val="clear" w:pos="432"/>
        </w:tabs>
        <w:jc w:val="both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bookmarkStart w:id="6" w:name="_Toc29483"/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7.能够独立承担法律责任的法人单位，对调查采样结果负责并承担相应法律责任。调查采样机构无违法违规等不良记录，应独立承担普查任务，不得分包和转包。</w:t>
      </w:r>
      <w:bookmarkEnd w:id="6"/>
    </w:p>
    <w:p>
      <w:pPr>
        <w:pStyle w:val="7"/>
        <w:numPr>
          <w:ilvl w:val="0"/>
          <w:numId w:val="0"/>
        </w:numPr>
        <w:tabs>
          <w:tab w:val="clear" w:pos="432"/>
        </w:tabs>
        <w:jc w:val="both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bookmarkStart w:id="7" w:name="_Toc9782"/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8.调查采样机构应配备《土壤外业调查与采样技术规范（试行稿）》要求的仪器设备，并保证数量充足、完好、可正常使用。设备物资主要包括图件文献类、摄录装备类、无人机、采集工具类、速测仪器类、辅助材料类、生活保障类等。</w:t>
      </w:r>
      <w:bookmarkEnd w:id="7"/>
    </w:p>
    <w:p>
      <w:pPr>
        <w:pStyle w:val="7"/>
        <w:numPr>
          <w:ilvl w:val="0"/>
          <w:numId w:val="0"/>
        </w:numPr>
        <w:tabs>
          <w:tab w:val="clear" w:pos="432"/>
        </w:tabs>
        <w:jc w:val="both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bookmarkStart w:id="8" w:name="_Toc22671"/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9.调查采样机构能够熟练开展表层土壤调查采样工作，队员总数不少于30人，其中核心技术队伍成员不少于1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 w:bidi="ar"/>
        </w:rPr>
        <w:t>0%，且每个外业调查采样机构中至少有3名采样人员（作为技术领队）和2名质量检查员（具有土壤学专业背景）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，并能始终从事野外采样工作。保证调查采样期间调查采样机构人员稳定。</w:t>
      </w:r>
      <w:bookmarkEnd w:id="8"/>
    </w:p>
    <w:p>
      <w:pPr>
        <w:jc w:val="left"/>
      </w:pPr>
      <w:bookmarkStart w:id="9" w:name="_Toc23557"/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10.调查采样机构应该按照第三次全呃国土壤普查相关规程、标准要求，结合《吉土壤普查办发【2022】10号关于规范外业调查采样工作</w:t>
      </w:r>
      <w:bookmarkStart w:id="10" w:name="_GoBack"/>
      <w:bookmarkEnd w:id="10"/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的通知》，制定调查采样质量控制计划，实施全过程质量控制，编制内部质量控制评价报告等，确保工作质量。配合国家和省级质控监督检查。</w:t>
      </w:r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63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2"/>
      <w:numFmt w:val="decimal"/>
      <w:pStyle w:val="7"/>
      <w:suff w:val="nothing"/>
      <w:lvlText w:val="%1、"/>
      <w:lvlJc w:val="left"/>
      <w:pPr>
        <w:ind w:left="0" w:firstLine="0"/>
      </w:pPr>
    </w:lvl>
    <w:lvl w:ilvl="1" w:tentative="0">
      <w:start w:val="1"/>
      <w:numFmt w:val="none"/>
      <w:lvlText w:val=" 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3" w:tentative="0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none"/>
      <w:lvlText w:val="           "/>
      <w:lvlJc w:val="left"/>
      <w:pPr>
        <w:tabs>
          <w:tab w:val="left" w:pos="1440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2520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0000000B"/>
    <w:multiLevelType w:val="multilevel"/>
    <w:tmpl w:val="0000000B"/>
    <w:lvl w:ilvl="0" w:tentative="0">
      <w:start w:val="1"/>
      <w:numFmt w:val="none"/>
      <w:pStyle w:val="4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lvlText w:val=" 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           "/>
      <w:lvlJc w:val="left"/>
      <w:pPr>
        <w:tabs>
          <w:tab w:val="left" w:pos="1440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2520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NzM3YTUzZWJmODFmYWFmZDBkZTBkYzUyZTc4ZDEifQ=="/>
  </w:docVars>
  <w:rsids>
    <w:rsidRoot w:val="7E2345ED"/>
    <w:rsid w:val="7E23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center"/>
    </w:pPr>
    <w:rPr>
      <w:rFonts w:ascii="Times New Roman" w:hAnsi="Times New Roman" w:eastAsia="宋体" w:cs="Times New Roman"/>
      <w:b/>
      <w:sz w:val="4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rFonts w:ascii="黑体" w:eastAsia="黑体"/>
      <w:sz w:val="5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Date"/>
    <w:basedOn w:val="1"/>
    <w:next w:val="1"/>
    <w:uiPriority w:val="0"/>
    <w:pPr>
      <w:widowControl w:val="0"/>
      <w:jc w:val="both"/>
    </w:pPr>
    <w:rPr>
      <w:kern w:val="2"/>
      <w:sz w:val="24"/>
      <w:lang w:eastAsia="zh-CN"/>
    </w:rPr>
  </w:style>
  <w:style w:type="paragraph" w:customStyle="1" w:styleId="7">
    <w:name w:val="【标题1】"/>
    <w:basedOn w:val="4"/>
    <w:uiPriority w:val="0"/>
    <w:pPr>
      <w:numPr>
        <w:ilvl w:val="0"/>
        <w:numId w:val="2"/>
      </w:numPr>
      <w:spacing w:before="240" w:beforeLines="0" w:after="240" w:afterLines="0"/>
      <w:ind w:left="431" w:hanging="431"/>
    </w:pPr>
    <w:rPr>
      <w:rFonts w:hAnsi="宋体"/>
      <w:sz w:val="32"/>
      <w:szCs w:val="36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2023-09-15T02:45:00Z</dcterms:created>
  <dc:creator>Administrator</dc:creator>
  <cp:lastModifiedBy>Administrator</cp:lastModifiedBy>
  <dcterms:modified xsi:type="dcterms:W3CDTF">2023-09-15T02:46:32Z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F59AF58B33C9479ABF340652476B6AD0_11</vt:lpwstr>
  </property>
</Properties>
</file>