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86FC5">
      <w:pPr>
        <w:adjustRightInd w:val="0"/>
        <w:snapToGrid w:val="0"/>
        <w:ind w:firstLine="651" w:firstLineChars="200"/>
        <w:jc w:val="center"/>
        <w:rPr>
          <w:rFonts w:eastAsiaTheme="minorEastAsia"/>
          <w:b/>
          <w:sz w:val="36"/>
          <w:szCs w:val="36"/>
        </w:rPr>
      </w:pPr>
      <w:r>
        <w:rPr>
          <w:rFonts w:eastAsiaTheme="minorEastAsia"/>
          <w:b/>
          <w:sz w:val="36"/>
          <w:szCs w:val="36"/>
        </w:rPr>
        <w:t xml:space="preserve"> 施工图设计说明</w:t>
      </w:r>
    </w:p>
    <w:p w14:paraId="3B834F7B">
      <w:pPr>
        <w:pStyle w:val="94"/>
        <w:rPr>
          <w:rFonts w:ascii="Times New Roman" w:eastAsiaTheme="minorEastAsia"/>
        </w:rPr>
      </w:pPr>
      <w:r>
        <w:rPr>
          <w:rFonts w:ascii="Times New Roman" w:eastAsiaTheme="minorEastAsia"/>
        </w:rPr>
        <w:t>工程概述</w:t>
      </w:r>
    </w:p>
    <w:p w14:paraId="45B3B390">
      <w:pPr>
        <w:pStyle w:val="95"/>
        <w:ind w:left="846" w:hanging="846"/>
        <w:rPr>
          <w:rFonts w:ascii="Times New Roman" w:eastAsiaTheme="minorEastAsia"/>
        </w:rPr>
      </w:pPr>
      <w:r>
        <w:rPr>
          <w:rFonts w:ascii="Times New Roman" w:eastAsiaTheme="minorEastAsia"/>
        </w:rPr>
        <w:t>工程概况</w:t>
      </w:r>
    </w:p>
    <w:p w14:paraId="4FF600A3">
      <w:pPr>
        <w:pStyle w:val="99"/>
        <w:rPr>
          <w:rFonts w:eastAsiaTheme="minorEastAsia"/>
        </w:rPr>
      </w:pPr>
      <w:r>
        <w:rPr>
          <w:rFonts w:eastAsiaTheme="minorEastAsia"/>
        </w:rPr>
        <w:t>受</w:t>
      </w:r>
      <w:r>
        <w:rPr>
          <w:rFonts w:hint="eastAsia" w:eastAsiaTheme="minorEastAsia"/>
        </w:rPr>
        <w:t>靖宇县花园口镇人民政府</w:t>
      </w:r>
      <w:r>
        <w:rPr>
          <w:rFonts w:eastAsiaTheme="minorEastAsia"/>
        </w:rPr>
        <w:t>委托，我</w:t>
      </w:r>
      <w:r>
        <w:rPr>
          <w:rFonts w:hint="eastAsia" w:eastAsiaTheme="minorEastAsia"/>
        </w:rPr>
        <w:t>公司</w:t>
      </w:r>
      <w:r>
        <w:rPr>
          <w:rFonts w:eastAsiaTheme="minorEastAsia"/>
        </w:rPr>
        <w:t>承接《</w:t>
      </w:r>
      <w:r>
        <w:rPr>
          <w:rFonts w:hint="eastAsia" w:eastAsiaTheme="minorEastAsia"/>
        </w:rPr>
        <w:t>花园口镇松阳村特色产品交易市场基础设施建设项目</w:t>
      </w:r>
      <w:r>
        <w:rPr>
          <w:rFonts w:eastAsiaTheme="minorEastAsia"/>
        </w:rPr>
        <w:t>》施工图设计任务。该工程</w:t>
      </w:r>
      <w:r>
        <w:rPr>
          <w:rFonts w:hint="eastAsia" w:eastAsiaTheme="minorEastAsia"/>
        </w:rPr>
        <w:t>位于靖宇县花园口镇</w:t>
      </w:r>
      <w:r>
        <w:rPr>
          <w:rFonts w:eastAsiaTheme="minorEastAsia"/>
        </w:rPr>
        <w:t>。</w:t>
      </w:r>
    </w:p>
    <w:p w14:paraId="5D590BF1">
      <w:pPr>
        <w:pStyle w:val="95"/>
        <w:ind w:left="846" w:hanging="846"/>
        <w:rPr>
          <w:rFonts w:ascii="Times New Roman" w:eastAsiaTheme="minorEastAsia"/>
        </w:rPr>
      </w:pPr>
      <w:r>
        <w:rPr>
          <w:rFonts w:ascii="Times New Roman" w:eastAsiaTheme="minorEastAsia"/>
        </w:rPr>
        <w:t>建设意义</w:t>
      </w:r>
    </w:p>
    <w:p w14:paraId="2640EAD3">
      <w:pPr>
        <w:pStyle w:val="99"/>
        <w:rPr>
          <w:rFonts w:eastAsiaTheme="minorEastAsia"/>
        </w:rPr>
      </w:pPr>
      <w:r>
        <w:rPr>
          <w:rFonts w:eastAsiaTheme="minorEastAsia"/>
        </w:rPr>
        <w:t>该工程的建设主要为了解决</w:t>
      </w:r>
      <w:r>
        <w:rPr>
          <w:rFonts w:hint="eastAsia" w:eastAsiaTheme="minorEastAsia"/>
        </w:rPr>
        <w:t>靖宇县花园口镇</w:t>
      </w:r>
      <w:r>
        <w:rPr>
          <w:rFonts w:eastAsiaTheme="minorEastAsia"/>
        </w:rPr>
        <w:t>的停车需求，</w:t>
      </w:r>
      <w:r>
        <w:rPr>
          <w:rFonts w:hint="eastAsia" w:eastAsiaTheme="minorEastAsia"/>
          <w:lang w:eastAsia="zh-CN"/>
        </w:rPr>
        <w:t>同时</w:t>
      </w:r>
      <w:r>
        <w:rPr>
          <w:rFonts w:eastAsiaTheme="minorEastAsia"/>
        </w:rPr>
        <w:t>可作为</w:t>
      </w:r>
      <w:r>
        <w:rPr>
          <w:rFonts w:hint="eastAsia" w:eastAsiaTheme="minorEastAsia"/>
          <w:lang w:eastAsia="zh-CN"/>
        </w:rPr>
        <w:t>高速收费口乘客换乘停车使用</w:t>
      </w:r>
      <w:r>
        <w:rPr>
          <w:rFonts w:eastAsiaTheme="minorEastAsia"/>
        </w:rPr>
        <w:t>。本工程的建设解决了</w:t>
      </w:r>
      <w:r>
        <w:rPr>
          <w:rFonts w:hint="eastAsia" w:eastAsiaTheme="minorEastAsia"/>
        </w:rPr>
        <w:t>靖宇县花园口镇</w:t>
      </w:r>
      <w:r>
        <w:rPr>
          <w:rFonts w:hint="eastAsia" w:eastAsiaTheme="minorEastAsia"/>
          <w:lang w:eastAsia="zh-CN"/>
        </w:rPr>
        <w:t>区域内</w:t>
      </w:r>
      <w:r>
        <w:rPr>
          <w:rFonts w:eastAsiaTheme="minorEastAsia"/>
        </w:rPr>
        <w:t>停车杂乱无序的问题；完善了</w:t>
      </w:r>
      <w:r>
        <w:rPr>
          <w:rFonts w:hint="eastAsia" w:eastAsiaTheme="minorEastAsia"/>
        </w:rPr>
        <w:t>靖宇县花园口镇</w:t>
      </w:r>
      <w:r>
        <w:rPr>
          <w:rFonts w:eastAsiaTheme="minorEastAsia"/>
        </w:rPr>
        <w:t>的基础设施</w:t>
      </w:r>
      <w:r>
        <w:rPr>
          <w:rFonts w:hint="eastAsia" w:eastAsiaTheme="minorEastAsia"/>
        </w:rPr>
        <w:t>配套</w:t>
      </w:r>
      <w:r>
        <w:rPr>
          <w:rFonts w:eastAsiaTheme="minorEastAsia"/>
        </w:rPr>
        <w:t>建设。</w:t>
      </w:r>
    </w:p>
    <w:p w14:paraId="10B8B85F">
      <w:pPr>
        <w:pStyle w:val="95"/>
        <w:ind w:left="846" w:hanging="846"/>
        <w:rPr>
          <w:rFonts w:ascii="Times New Roman" w:eastAsiaTheme="minorEastAsia"/>
        </w:rPr>
      </w:pPr>
      <w:r>
        <w:rPr>
          <w:rFonts w:ascii="Times New Roman" w:eastAsiaTheme="minorEastAsia"/>
        </w:rPr>
        <w:t>工程范围、工程规模及主要设计内容</w:t>
      </w:r>
    </w:p>
    <w:p w14:paraId="2E33276F">
      <w:pPr>
        <w:pStyle w:val="97"/>
        <w:rPr>
          <w:rFonts w:ascii="Times New Roman" w:eastAsiaTheme="minorEastAsia"/>
        </w:rPr>
      </w:pPr>
      <w:r>
        <w:rPr>
          <w:rFonts w:ascii="Times New Roman" w:eastAsiaTheme="minorEastAsia"/>
        </w:rPr>
        <w:t>工程范围及规模</w:t>
      </w:r>
    </w:p>
    <w:p w14:paraId="79EE07B5">
      <w:pPr>
        <w:pStyle w:val="99"/>
        <w:rPr>
          <w:rFonts w:hint="eastAsia" w:eastAsiaTheme="minorEastAsia"/>
        </w:rPr>
      </w:pPr>
      <w:r>
        <w:rPr>
          <w:rFonts w:hint="eastAsia" w:eastAsiaTheme="minorEastAsia"/>
          <w:b w:val="0"/>
          <w:bCs w:val="0"/>
          <w:lang w:val="en-US" w:eastAsia="zh-CN"/>
        </w:rPr>
        <w:t>停车场总</w:t>
      </w:r>
      <w:r>
        <w:rPr>
          <w:rFonts w:hint="eastAsia" w:eastAsiaTheme="minorEastAsia"/>
          <w:lang w:val="en-US" w:eastAsia="zh-CN"/>
        </w:rPr>
        <w:t>占地面积16100.96</w:t>
      </w:r>
      <w:r>
        <w:rPr>
          <w:rFonts w:eastAsiaTheme="minorEastAsia"/>
        </w:rPr>
        <w:t>平方米</w:t>
      </w:r>
      <w:r>
        <w:rPr>
          <w:rFonts w:hint="eastAsia" w:eastAsiaTheme="minorEastAsia"/>
          <w:lang w:eastAsia="zh-CN"/>
        </w:rPr>
        <w:t>；</w:t>
      </w:r>
      <w:r>
        <w:rPr>
          <w:rFonts w:hint="eastAsia" w:eastAsiaTheme="minorEastAsia"/>
        </w:rPr>
        <w:t>新建小型车停车位</w:t>
      </w:r>
      <w:r>
        <w:rPr>
          <w:rFonts w:hint="eastAsia" w:eastAsiaTheme="minorEastAsia"/>
          <w:lang w:val="en-US" w:eastAsia="zh-CN"/>
        </w:rPr>
        <w:t>160</w:t>
      </w:r>
      <w:r>
        <w:rPr>
          <w:rFonts w:hint="eastAsia" w:eastAsiaTheme="minorEastAsia"/>
        </w:rPr>
        <w:t>个，新建大型车停车位</w:t>
      </w:r>
      <w:r>
        <w:rPr>
          <w:rFonts w:hint="eastAsia" w:eastAsiaTheme="minorEastAsia"/>
          <w:lang w:val="en-US" w:eastAsia="zh-CN"/>
        </w:rPr>
        <w:t>8</w:t>
      </w:r>
      <w:r>
        <w:rPr>
          <w:rFonts w:hint="eastAsia" w:eastAsiaTheme="minorEastAsia"/>
        </w:rPr>
        <w:t>个；其中包括无障碍停车位</w:t>
      </w:r>
      <w:r>
        <w:rPr>
          <w:rFonts w:hint="eastAsia" w:eastAsiaTheme="minorEastAsia"/>
          <w:lang w:val="en-US" w:eastAsia="zh-CN"/>
        </w:rPr>
        <w:t>6</w:t>
      </w:r>
      <w:r>
        <w:rPr>
          <w:rFonts w:hint="eastAsia" w:eastAsiaTheme="minorEastAsia"/>
        </w:rPr>
        <w:t>个，</w:t>
      </w:r>
      <w:r>
        <w:rPr>
          <w:rFonts w:eastAsiaTheme="minorEastAsia"/>
        </w:rPr>
        <w:t>设置</w:t>
      </w:r>
      <w:r>
        <w:rPr>
          <w:rFonts w:hint="eastAsia" w:eastAsiaTheme="minorEastAsia"/>
        </w:rPr>
        <w:t>车</w:t>
      </w:r>
      <w:r>
        <w:rPr>
          <w:rFonts w:eastAsiaTheme="minorEastAsia"/>
        </w:rPr>
        <w:t>行出入口</w:t>
      </w:r>
      <w:r>
        <w:rPr>
          <w:rFonts w:hint="eastAsia" w:eastAsiaTheme="minorEastAsia"/>
          <w:lang w:val="en-US" w:eastAsia="zh-CN"/>
        </w:rPr>
        <w:t>1</w:t>
      </w:r>
      <w:r>
        <w:rPr>
          <w:rFonts w:eastAsiaTheme="minorEastAsia"/>
        </w:rPr>
        <w:t>处</w:t>
      </w:r>
      <w:r>
        <w:rPr>
          <w:rFonts w:hint="eastAsia" w:eastAsiaTheme="minorEastAsia"/>
        </w:rPr>
        <w:t>。</w:t>
      </w:r>
    </w:p>
    <w:p w14:paraId="72DA9F8E">
      <w:pPr>
        <w:pStyle w:val="99"/>
        <w:rPr>
          <w:rFonts w:hint="eastAsia" w:eastAsiaTheme="minorEastAsia"/>
          <w:lang w:eastAsia="zh-CN"/>
        </w:rPr>
      </w:pPr>
      <w:r>
        <w:rPr>
          <w:rFonts w:hint="eastAsia" w:eastAsiaTheme="minorEastAsia"/>
          <w:lang w:eastAsia="zh-CN"/>
        </w:rPr>
        <w:t>本工程为停车场的一部分。</w:t>
      </w:r>
    </w:p>
    <w:p w14:paraId="27C73B1B">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rPr>
        <w:t>新建人行道透水方砖</w:t>
      </w:r>
      <w:r>
        <w:rPr>
          <w:rFonts w:hint="eastAsia" w:eastAsiaTheme="minorEastAsia"/>
          <w:szCs w:val="22"/>
          <w:lang w:val="en-US" w:eastAsia="zh-CN"/>
        </w:rPr>
        <w:t>面积：58.67</w:t>
      </w:r>
      <w:r>
        <w:rPr>
          <w:rFonts w:eastAsiaTheme="minorEastAsia"/>
        </w:rPr>
        <w:t>m</w:t>
      </w:r>
      <w:r>
        <w:rPr>
          <w:rFonts w:eastAsiaTheme="minorEastAsia"/>
          <w:vertAlign w:val="superscript"/>
        </w:rPr>
        <w:t>2</w:t>
      </w:r>
      <w:r>
        <w:rPr>
          <w:rFonts w:eastAsiaTheme="minorEastAsia"/>
        </w:rPr>
        <w:t>；</w:t>
      </w:r>
    </w:p>
    <w:p w14:paraId="02D2E2F6">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rPr>
        <w:t>新建广场铺装</w:t>
      </w:r>
      <w:r>
        <w:rPr>
          <w:rFonts w:hint="eastAsia" w:eastAsiaTheme="minorEastAsia"/>
          <w:szCs w:val="22"/>
          <w:lang w:val="en-US" w:eastAsia="zh-CN"/>
        </w:rPr>
        <w:t>面积：2230.87</w:t>
      </w:r>
      <w:r>
        <w:rPr>
          <w:rFonts w:eastAsiaTheme="minorEastAsia"/>
        </w:rPr>
        <w:t>m</w:t>
      </w:r>
      <w:r>
        <w:rPr>
          <w:rFonts w:eastAsiaTheme="minorEastAsia"/>
          <w:vertAlign w:val="superscript"/>
        </w:rPr>
        <w:t>2</w:t>
      </w:r>
      <w:r>
        <w:rPr>
          <w:rFonts w:eastAsiaTheme="minorEastAsia"/>
        </w:rPr>
        <w:t>；</w:t>
      </w:r>
    </w:p>
    <w:p w14:paraId="73DB4E32">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rPr>
        <w:t>下沉式绿化带面积：</w:t>
      </w:r>
      <w:r>
        <w:rPr>
          <w:rFonts w:hint="eastAsia" w:cs="Times New Roman" w:eastAsiaTheme="minorEastAsia"/>
          <w:szCs w:val="22"/>
          <w:lang w:val="en-US" w:eastAsia="zh-CN"/>
        </w:rPr>
        <w:t>41.64</w:t>
      </w:r>
      <w:r>
        <w:rPr>
          <w:rFonts w:hint="eastAsia" w:ascii="Times New Roman" w:hAnsi="Times New Roman" w:cs="Times New Roman" w:eastAsiaTheme="minorEastAsia"/>
          <w:szCs w:val="22"/>
          <w:lang w:val="en-US" w:eastAsia="zh-CN"/>
        </w:rPr>
        <w:t>m</w:t>
      </w:r>
      <w:r>
        <w:rPr>
          <w:rFonts w:hint="eastAsia" w:ascii="Times New Roman" w:hAnsi="Times New Roman" w:cs="Times New Roman" w:eastAsiaTheme="minorEastAsia"/>
          <w:szCs w:val="22"/>
          <w:vertAlign w:val="superscript"/>
          <w:lang w:val="en-US" w:eastAsia="zh-CN"/>
        </w:rPr>
        <w:t>2</w:t>
      </w:r>
      <w:r>
        <w:rPr>
          <w:rFonts w:hint="eastAsia" w:ascii="Times New Roman" w:hAnsi="Times New Roman" w:cs="Times New Roman" w:eastAsiaTheme="minorEastAsia"/>
          <w:szCs w:val="22"/>
          <w:lang w:val="en-US" w:eastAsia="zh-CN"/>
        </w:rPr>
        <w:t>；</w:t>
      </w:r>
    </w:p>
    <w:p w14:paraId="54475A04">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rPr>
      </w:pPr>
      <w:r>
        <w:rPr>
          <w:rFonts w:hint="eastAsia" w:eastAsiaTheme="minorEastAsia"/>
          <w:szCs w:val="22"/>
        </w:rPr>
        <w:t>新建</w:t>
      </w:r>
      <w:r>
        <w:rPr>
          <w:rFonts w:hint="eastAsia" w:eastAsiaTheme="minorEastAsia"/>
          <w:szCs w:val="22"/>
          <w:lang w:val="en-US" w:eastAsia="zh-CN"/>
        </w:rPr>
        <w:t>B</w:t>
      </w:r>
      <w:r>
        <w:rPr>
          <w:rFonts w:hint="eastAsia" w:eastAsiaTheme="minorEastAsia"/>
          <w:szCs w:val="22"/>
        </w:rPr>
        <w:t>型锯切石料直立缘石(10cm×16cm×49cm)：</w:t>
      </w:r>
      <w:r>
        <w:rPr>
          <w:rFonts w:hint="eastAsia" w:eastAsiaTheme="minorEastAsia"/>
          <w:szCs w:val="22"/>
          <w:lang w:val="en-US" w:eastAsia="zh-CN"/>
        </w:rPr>
        <w:t>185</w:t>
      </w:r>
      <w:r>
        <w:rPr>
          <w:rFonts w:hint="eastAsia" w:eastAsiaTheme="minorEastAsia"/>
          <w:szCs w:val="22"/>
        </w:rPr>
        <w:t>m。</w:t>
      </w:r>
    </w:p>
    <w:p w14:paraId="4D6DECDD">
      <w:pPr>
        <w:pStyle w:val="97"/>
        <w:rPr>
          <w:rFonts w:ascii="Times New Roman" w:eastAsiaTheme="minorEastAsia"/>
        </w:rPr>
      </w:pPr>
      <w:r>
        <w:rPr>
          <w:rFonts w:hint="eastAsia" w:ascii="Times New Roman" w:eastAsiaTheme="minorEastAsia"/>
        </w:rPr>
        <w:t>规划</w:t>
      </w:r>
      <w:r>
        <w:rPr>
          <w:rFonts w:ascii="Times New Roman" w:eastAsiaTheme="minorEastAsia"/>
        </w:rPr>
        <w:t>执行情况</w:t>
      </w:r>
    </w:p>
    <w:p w14:paraId="41E23C65">
      <w:pPr>
        <w:pStyle w:val="99"/>
        <w:rPr>
          <w:rFonts w:eastAsiaTheme="minorEastAsia"/>
        </w:rPr>
      </w:pPr>
      <w:r>
        <w:rPr>
          <w:rFonts w:hint="eastAsia" w:eastAsiaTheme="minorEastAsia"/>
        </w:rPr>
        <w:t>1．规划情况</w:t>
      </w:r>
    </w:p>
    <w:p w14:paraId="09D4E077">
      <w:pPr>
        <w:pStyle w:val="99"/>
        <w:rPr>
          <w:rFonts w:eastAsiaTheme="minorEastAsia"/>
        </w:rPr>
      </w:pPr>
      <w:r>
        <w:rPr>
          <w:rFonts w:hint="eastAsia" w:eastAsiaTheme="minorEastAsia"/>
        </w:rPr>
        <w:t>该地块用地性质为社会停车场用地。新建住宅停车配建停车位应100%建设充电基础设施或预留建设安装条件，大型公共建筑物配建停车场、社会公共停车场建设充电基础设施与预留建设安装条件的车位比例不低于10%。充电设施建设应符合国家相关充电设施建设标准和设计规范。</w:t>
      </w:r>
    </w:p>
    <w:p w14:paraId="0F625652">
      <w:pPr>
        <w:pStyle w:val="99"/>
        <w:rPr>
          <w:rFonts w:eastAsiaTheme="minorEastAsia"/>
        </w:rPr>
      </w:pPr>
      <w:r>
        <w:rPr>
          <w:rFonts w:eastAsiaTheme="minorEastAsia"/>
        </w:rPr>
        <w:t>2</w:t>
      </w:r>
      <w:r>
        <w:rPr>
          <w:rFonts w:hint="eastAsia" w:eastAsiaTheme="minorEastAsia"/>
        </w:rPr>
        <w:t>．执行情况</w:t>
      </w:r>
    </w:p>
    <w:p w14:paraId="377DA6E2">
      <w:pPr>
        <w:pStyle w:val="99"/>
        <w:rPr>
          <w:rFonts w:eastAsiaTheme="minorEastAsia"/>
        </w:rPr>
      </w:pPr>
      <w:r>
        <w:rPr>
          <w:rFonts w:hint="eastAsia" w:eastAsiaTheme="minorEastAsia"/>
        </w:rPr>
        <w:t>依据规划红线、规划要求执行。</w:t>
      </w:r>
    </w:p>
    <w:p w14:paraId="1DA7725B">
      <w:pPr>
        <w:pStyle w:val="94"/>
        <w:rPr>
          <w:rFonts w:ascii="Times New Roman" w:eastAsiaTheme="minorEastAsia"/>
        </w:rPr>
      </w:pPr>
      <w:r>
        <w:rPr>
          <w:rFonts w:ascii="Times New Roman" w:eastAsiaTheme="minorEastAsia"/>
        </w:rPr>
        <w:t>设计依据、设计及施工规范、规程及验收标准</w:t>
      </w:r>
    </w:p>
    <w:p w14:paraId="0FF84283">
      <w:pPr>
        <w:pStyle w:val="95"/>
        <w:ind w:left="846" w:hanging="846"/>
        <w:rPr>
          <w:rFonts w:ascii="Times New Roman" w:eastAsiaTheme="minorEastAsia"/>
        </w:rPr>
      </w:pPr>
      <w:r>
        <w:rPr>
          <w:rFonts w:ascii="Times New Roman" w:eastAsiaTheme="minorEastAsia"/>
        </w:rPr>
        <w:t>设计依据</w:t>
      </w:r>
    </w:p>
    <w:p w14:paraId="0CE3CD81">
      <w:pPr>
        <w:pStyle w:val="99"/>
        <w:rPr>
          <w:rFonts w:eastAsiaTheme="minorEastAsia"/>
        </w:rPr>
      </w:pPr>
      <w:r>
        <w:rPr>
          <w:rFonts w:eastAsiaTheme="minorEastAsia"/>
        </w:rPr>
        <w:t>1.本设计委托单位：</w:t>
      </w:r>
      <w:r>
        <w:rPr>
          <w:rFonts w:hint="eastAsia" w:eastAsiaTheme="minorEastAsia"/>
        </w:rPr>
        <w:t>靖宇县花园口镇人民政府</w:t>
      </w:r>
    </w:p>
    <w:p w14:paraId="76F11163">
      <w:pPr>
        <w:pStyle w:val="99"/>
        <w:ind w:left="480" w:firstLine="0" w:firstLineChars="0"/>
        <w:rPr>
          <w:rFonts w:eastAsiaTheme="minorEastAsia"/>
        </w:rPr>
      </w:pPr>
      <w:r>
        <w:rPr>
          <w:rFonts w:hint="eastAsia" w:eastAsiaTheme="minorEastAsia"/>
          <w:lang w:val="en-US" w:eastAsia="zh-CN"/>
        </w:rPr>
        <w:t>2</w:t>
      </w:r>
      <w:r>
        <w:rPr>
          <w:rFonts w:eastAsiaTheme="minorEastAsia"/>
        </w:rPr>
        <w:t>.《</w:t>
      </w:r>
      <w:r>
        <w:rPr>
          <w:rFonts w:hint="eastAsia" w:eastAsiaTheme="minorEastAsia"/>
        </w:rPr>
        <w:t>花园口镇松阳村特色产品交易市场基础设施建设项目</w:t>
      </w:r>
      <w:r>
        <w:rPr>
          <w:rFonts w:eastAsiaTheme="minorEastAsia"/>
        </w:rPr>
        <w:t>》地形图（1:1000）及测量成果数据</w:t>
      </w:r>
    </w:p>
    <w:p w14:paraId="0D926312">
      <w:pPr>
        <w:pStyle w:val="99"/>
        <w:ind w:left="480" w:firstLine="0" w:firstLineChars="0"/>
        <w:rPr>
          <w:rFonts w:eastAsiaTheme="minorEastAsia"/>
        </w:rPr>
      </w:pPr>
      <w:r>
        <w:rPr>
          <w:rFonts w:hint="eastAsia" w:eastAsiaTheme="minorEastAsia"/>
          <w:lang w:val="en-US" w:eastAsia="zh-CN"/>
        </w:rPr>
        <w:t>3</w:t>
      </w:r>
      <w:r>
        <w:rPr>
          <w:rFonts w:eastAsiaTheme="minorEastAsia"/>
        </w:rPr>
        <w:t>.《建设部推广应用和限制禁止使用技术》的公告</w:t>
      </w:r>
    </w:p>
    <w:p w14:paraId="34C1D9EE">
      <w:pPr>
        <w:pStyle w:val="99"/>
        <w:ind w:left="480" w:firstLine="0" w:firstLineChars="0"/>
        <w:rPr>
          <w:rFonts w:eastAsiaTheme="minorEastAsia"/>
        </w:rPr>
      </w:pPr>
      <w:r>
        <w:rPr>
          <w:rFonts w:hint="eastAsia" w:eastAsiaTheme="minorEastAsia"/>
          <w:lang w:val="en-US" w:eastAsia="zh-CN"/>
        </w:rPr>
        <w:t>4</w:t>
      </w:r>
      <w:r>
        <w:rPr>
          <w:rFonts w:eastAsiaTheme="minorEastAsia"/>
        </w:rPr>
        <w:t>.国家地方现行规范、标准、规程、指标定额等</w:t>
      </w:r>
    </w:p>
    <w:p w14:paraId="047955D5">
      <w:pPr>
        <w:pStyle w:val="99"/>
        <w:ind w:left="480" w:firstLine="0" w:firstLineChars="0"/>
        <w:rPr>
          <w:rFonts w:eastAsiaTheme="minorEastAsia"/>
        </w:rPr>
      </w:pPr>
      <w:r>
        <w:rPr>
          <w:rFonts w:hint="eastAsia" w:eastAsiaTheme="minorEastAsia"/>
          <w:lang w:val="en-US" w:eastAsia="zh-CN"/>
        </w:rPr>
        <w:t>5</w:t>
      </w:r>
      <w:r>
        <w:rPr>
          <w:rFonts w:eastAsiaTheme="minorEastAsia"/>
        </w:rPr>
        <w:t>.建设单位对新建停车场的意见及建议。</w:t>
      </w:r>
    </w:p>
    <w:p w14:paraId="1EC0BC4F">
      <w:pPr>
        <w:pStyle w:val="95"/>
        <w:ind w:left="846" w:hanging="846"/>
        <w:rPr>
          <w:rFonts w:ascii="Times New Roman" w:eastAsiaTheme="minorEastAsia"/>
        </w:rPr>
      </w:pPr>
      <w:r>
        <w:rPr>
          <w:rFonts w:ascii="Times New Roman" w:eastAsiaTheme="minorEastAsia"/>
        </w:rPr>
        <w:t>设计规范</w:t>
      </w:r>
    </w:p>
    <w:p w14:paraId="02D93FBC">
      <w:pPr>
        <w:pStyle w:val="99"/>
        <w:numPr>
          <w:ilvl w:val="0"/>
          <w:numId w:val="6"/>
        </w:numPr>
        <w:ind w:left="0" w:firstLine="480"/>
        <w:rPr>
          <w:rFonts w:eastAsiaTheme="minorEastAsia"/>
        </w:rPr>
      </w:pPr>
      <w:r>
        <w:rPr>
          <w:rFonts w:eastAsiaTheme="minorEastAsia"/>
        </w:rPr>
        <w:t>《城市道路工程设计规范》（CJJ37-2012）（2016年版）</w:t>
      </w:r>
    </w:p>
    <w:p w14:paraId="2F73B74C">
      <w:pPr>
        <w:pStyle w:val="99"/>
        <w:numPr>
          <w:ilvl w:val="0"/>
          <w:numId w:val="6"/>
        </w:numPr>
        <w:ind w:left="0" w:firstLine="480"/>
        <w:rPr>
          <w:rFonts w:eastAsiaTheme="minorEastAsia"/>
        </w:rPr>
      </w:pPr>
      <w:r>
        <w:rPr>
          <w:rFonts w:eastAsiaTheme="minorEastAsia"/>
        </w:rPr>
        <w:t>《城市道路路线设计规范》（CJJ193-2012）</w:t>
      </w:r>
    </w:p>
    <w:p w14:paraId="762DF699">
      <w:pPr>
        <w:pStyle w:val="99"/>
        <w:numPr>
          <w:ilvl w:val="0"/>
          <w:numId w:val="6"/>
        </w:numPr>
        <w:ind w:left="0" w:firstLine="480"/>
        <w:rPr>
          <w:rFonts w:eastAsiaTheme="minorEastAsia"/>
        </w:rPr>
      </w:pPr>
      <w:r>
        <w:rPr>
          <w:rFonts w:eastAsiaTheme="minorEastAsia"/>
        </w:rPr>
        <w:t>《城市道路交叉口设计规程》（CJJ152-2010）</w:t>
      </w:r>
    </w:p>
    <w:p w14:paraId="0AC387CB">
      <w:pPr>
        <w:pStyle w:val="99"/>
        <w:numPr>
          <w:ilvl w:val="0"/>
          <w:numId w:val="6"/>
        </w:numPr>
        <w:ind w:left="0" w:firstLine="480"/>
        <w:rPr>
          <w:rFonts w:eastAsiaTheme="minorEastAsia"/>
        </w:rPr>
      </w:pPr>
      <w:r>
        <w:rPr>
          <w:rFonts w:eastAsiaTheme="minorEastAsia"/>
        </w:rPr>
        <w:t>《城镇道路路面设计规范》（CJJ169-2012）</w:t>
      </w:r>
    </w:p>
    <w:p w14:paraId="55734DEB">
      <w:pPr>
        <w:pStyle w:val="99"/>
        <w:numPr>
          <w:ilvl w:val="0"/>
          <w:numId w:val="6"/>
        </w:numPr>
        <w:ind w:left="0" w:firstLine="480"/>
        <w:rPr>
          <w:rFonts w:eastAsiaTheme="minorEastAsia"/>
        </w:rPr>
      </w:pPr>
      <w:r>
        <w:rPr>
          <w:rFonts w:eastAsiaTheme="minorEastAsia"/>
        </w:rPr>
        <w:t>《城市道路路基设计规范》（CJJ 194—2013）</w:t>
      </w:r>
    </w:p>
    <w:p w14:paraId="5A1C602A">
      <w:pPr>
        <w:pStyle w:val="99"/>
        <w:numPr>
          <w:ilvl w:val="0"/>
          <w:numId w:val="6"/>
        </w:numPr>
        <w:ind w:left="0" w:firstLine="480"/>
        <w:rPr>
          <w:rFonts w:eastAsiaTheme="minorEastAsia"/>
        </w:rPr>
      </w:pPr>
      <w:r>
        <w:rPr>
          <w:rFonts w:eastAsiaTheme="minorEastAsia"/>
        </w:rPr>
        <w:t>《无障碍设计规范》（GB50763-2012）</w:t>
      </w:r>
    </w:p>
    <w:p w14:paraId="16FAC4EA">
      <w:pPr>
        <w:pStyle w:val="99"/>
        <w:numPr>
          <w:ilvl w:val="0"/>
          <w:numId w:val="6"/>
        </w:numPr>
        <w:ind w:left="0" w:firstLine="480"/>
        <w:rPr>
          <w:rFonts w:eastAsiaTheme="minorEastAsia"/>
        </w:rPr>
      </w:pPr>
      <w:r>
        <w:rPr>
          <w:rFonts w:eastAsiaTheme="minorEastAsia"/>
        </w:rPr>
        <w:t>《城市道路交通设施设计规范》（GB 50688-2011）</w:t>
      </w:r>
    </w:p>
    <w:p w14:paraId="6A39139B">
      <w:pPr>
        <w:pStyle w:val="99"/>
        <w:numPr>
          <w:ilvl w:val="0"/>
          <w:numId w:val="6"/>
        </w:numPr>
        <w:ind w:left="0" w:firstLine="480"/>
        <w:rPr>
          <w:rFonts w:eastAsiaTheme="minorEastAsia"/>
        </w:rPr>
      </w:pPr>
      <w:r>
        <w:rPr>
          <w:rFonts w:eastAsiaTheme="minorEastAsia"/>
        </w:rPr>
        <w:t>《道路工程制图标准》（GB50162-92）</w:t>
      </w:r>
    </w:p>
    <w:p w14:paraId="354D271A">
      <w:pPr>
        <w:pStyle w:val="99"/>
        <w:numPr>
          <w:ilvl w:val="0"/>
          <w:numId w:val="6"/>
        </w:numPr>
        <w:ind w:left="0" w:firstLine="480"/>
        <w:rPr>
          <w:rFonts w:eastAsiaTheme="minorEastAsia"/>
        </w:rPr>
      </w:pPr>
      <w:r>
        <w:rPr>
          <w:rFonts w:eastAsiaTheme="minorEastAsia"/>
        </w:rPr>
        <w:t>《吉林省市政工程计价定额》（JLJD-SZ-2014）</w:t>
      </w:r>
    </w:p>
    <w:p w14:paraId="5D1E7566">
      <w:pPr>
        <w:pStyle w:val="99"/>
        <w:numPr>
          <w:ilvl w:val="0"/>
          <w:numId w:val="6"/>
        </w:numPr>
        <w:ind w:left="0" w:firstLine="480"/>
        <w:rPr>
          <w:rFonts w:eastAsiaTheme="minorEastAsia"/>
        </w:rPr>
      </w:pPr>
      <w:r>
        <w:rPr>
          <w:rFonts w:eastAsiaTheme="minorEastAsia"/>
        </w:rPr>
        <w:t>《建筑业营改增吉林省建设工程费用定额》(JLJD-FY-2016)</w:t>
      </w:r>
    </w:p>
    <w:p w14:paraId="51EEF204">
      <w:pPr>
        <w:pStyle w:val="99"/>
        <w:numPr>
          <w:ilvl w:val="0"/>
          <w:numId w:val="6"/>
        </w:numPr>
        <w:ind w:left="0" w:firstLine="480"/>
        <w:rPr>
          <w:rFonts w:eastAsiaTheme="minorEastAsia"/>
        </w:rPr>
      </w:pPr>
      <w:r>
        <w:rPr>
          <w:rFonts w:eastAsiaTheme="minorEastAsia"/>
        </w:rPr>
        <w:t>《吉林省建设工程材料预算价格》（JLJD-CJ-2014）（常用）</w:t>
      </w:r>
    </w:p>
    <w:p w14:paraId="05C124CD">
      <w:pPr>
        <w:pStyle w:val="99"/>
        <w:numPr>
          <w:ilvl w:val="0"/>
          <w:numId w:val="6"/>
        </w:numPr>
        <w:ind w:left="0" w:firstLine="480"/>
        <w:rPr>
          <w:rFonts w:eastAsiaTheme="minorEastAsia"/>
        </w:rPr>
      </w:pPr>
      <w:r>
        <w:rPr>
          <w:rFonts w:eastAsiaTheme="minorEastAsia"/>
        </w:rPr>
        <w:t>《吉林省施工机械台班计价定额》（JLJD-JX-2014）（常用）</w:t>
      </w:r>
    </w:p>
    <w:p w14:paraId="18477EB4">
      <w:pPr>
        <w:pStyle w:val="99"/>
        <w:numPr>
          <w:ilvl w:val="0"/>
          <w:numId w:val="6"/>
        </w:numPr>
        <w:ind w:left="0" w:firstLine="480"/>
        <w:rPr>
          <w:rFonts w:eastAsiaTheme="minorEastAsia"/>
        </w:rPr>
      </w:pPr>
      <w:r>
        <w:rPr>
          <w:rFonts w:eastAsiaTheme="minorEastAsia"/>
        </w:rPr>
        <w:t>《市政公用工程设计文件编制深度规定》（2013年修订版）</w:t>
      </w:r>
    </w:p>
    <w:p w14:paraId="1C054E94">
      <w:pPr>
        <w:pStyle w:val="99"/>
        <w:numPr>
          <w:ilvl w:val="0"/>
          <w:numId w:val="6"/>
        </w:numPr>
        <w:ind w:left="0" w:firstLine="480"/>
        <w:rPr>
          <w:rFonts w:eastAsiaTheme="minorEastAsia"/>
        </w:rPr>
      </w:pPr>
      <w:r>
        <w:rPr>
          <w:rFonts w:eastAsiaTheme="minorEastAsia"/>
        </w:rPr>
        <w:t>《中华人民共和国工程建设标准强制性条文》城镇建设部分（2013年版）</w:t>
      </w:r>
    </w:p>
    <w:p w14:paraId="4ABBD1E3">
      <w:pPr>
        <w:pStyle w:val="99"/>
        <w:numPr>
          <w:ilvl w:val="0"/>
          <w:numId w:val="6"/>
        </w:numPr>
        <w:ind w:left="0" w:firstLine="480"/>
        <w:rPr>
          <w:rFonts w:eastAsiaTheme="minorEastAsia"/>
        </w:rPr>
      </w:pPr>
      <w:r>
        <w:rPr>
          <w:rFonts w:eastAsiaTheme="minorEastAsia"/>
        </w:rPr>
        <w:t>《透水砖路面设计规范》（CJJ/T188-2012）</w:t>
      </w:r>
    </w:p>
    <w:p w14:paraId="20A41A5C">
      <w:pPr>
        <w:pStyle w:val="99"/>
        <w:numPr>
          <w:ilvl w:val="0"/>
          <w:numId w:val="6"/>
        </w:numPr>
        <w:ind w:left="0" w:firstLine="480"/>
        <w:rPr>
          <w:rFonts w:eastAsiaTheme="minorEastAsia"/>
        </w:rPr>
      </w:pPr>
      <w:r>
        <w:rPr>
          <w:rFonts w:eastAsiaTheme="minorEastAsia"/>
        </w:rPr>
        <w:t>《装配式路面基层工程技术标准》DB22/T5006-2018</w:t>
      </w:r>
    </w:p>
    <w:p w14:paraId="0BBC46A9">
      <w:pPr>
        <w:pStyle w:val="99"/>
        <w:numPr>
          <w:ilvl w:val="0"/>
          <w:numId w:val="6"/>
        </w:numPr>
        <w:ind w:left="0" w:firstLine="480"/>
        <w:rPr>
          <w:rFonts w:eastAsiaTheme="minorEastAsia"/>
        </w:rPr>
      </w:pPr>
      <w:r>
        <w:rPr>
          <w:rFonts w:eastAsiaTheme="minorEastAsia"/>
        </w:rPr>
        <w:t>《吉林省海绵城市建设设计要点（试行）》的通知（吉建设〔2017〕8号）</w:t>
      </w:r>
    </w:p>
    <w:p w14:paraId="11F184D1">
      <w:pPr>
        <w:pStyle w:val="99"/>
        <w:numPr>
          <w:ilvl w:val="0"/>
          <w:numId w:val="6"/>
        </w:numPr>
        <w:ind w:left="0" w:firstLine="480"/>
        <w:rPr>
          <w:rFonts w:eastAsiaTheme="minorEastAsia"/>
        </w:rPr>
      </w:pPr>
      <w:r>
        <w:rPr>
          <w:rFonts w:eastAsiaTheme="minorEastAsia"/>
        </w:rPr>
        <w:t>《吉林省海绵城市技术导则》（试行）</w:t>
      </w:r>
    </w:p>
    <w:p w14:paraId="60933D4B">
      <w:pPr>
        <w:pStyle w:val="99"/>
        <w:numPr>
          <w:ilvl w:val="0"/>
          <w:numId w:val="6"/>
        </w:numPr>
        <w:ind w:left="0" w:firstLine="480"/>
        <w:rPr>
          <w:rFonts w:eastAsiaTheme="minorEastAsia"/>
        </w:rPr>
      </w:pPr>
      <w:r>
        <w:rPr>
          <w:rFonts w:eastAsiaTheme="minorEastAsia"/>
        </w:rPr>
        <w:t>《低影响开发雨水控制与利用工程技术规程》（DB22/JT 168-2017）</w:t>
      </w:r>
    </w:p>
    <w:p w14:paraId="103F2F5C">
      <w:pPr>
        <w:pStyle w:val="99"/>
        <w:numPr>
          <w:ilvl w:val="0"/>
          <w:numId w:val="6"/>
        </w:numPr>
        <w:ind w:left="0" w:firstLine="480"/>
        <w:rPr>
          <w:rFonts w:eastAsiaTheme="minorEastAsia"/>
        </w:rPr>
      </w:pPr>
      <w:r>
        <w:rPr>
          <w:rFonts w:eastAsiaTheme="minorEastAsia"/>
        </w:rPr>
        <w:t>《低影响开发雨水控制与利用设施》（吉J2017-060）</w:t>
      </w:r>
    </w:p>
    <w:p w14:paraId="48A908E3">
      <w:pPr>
        <w:pStyle w:val="99"/>
        <w:numPr>
          <w:ilvl w:val="0"/>
          <w:numId w:val="6"/>
        </w:numPr>
        <w:ind w:left="0" w:firstLine="480"/>
        <w:rPr>
          <w:rFonts w:eastAsiaTheme="minorEastAsia"/>
        </w:rPr>
      </w:pPr>
      <w:r>
        <w:rPr>
          <w:rFonts w:eastAsiaTheme="minorEastAsia"/>
        </w:rPr>
        <w:t>《危险性较大的分部分项工程安全管理规定》（住建部令第37号）</w:t>
      </w:r>
    </w:p>
    <w:p w14:paraId="2BEF60B4">
      <w:pPr>
        <w:pStyle w:val="99"/>
        <w:numPr>
          <w:ilvl w:val="0"/>
          <w:numId w:val="6"/>
        </w:numPr>
        <w:ind w:left="0" w:firstLine="480"/>
        <w:rPr>
          <w:rFonts w:eastAsiaTheme="minorEastAsia"/>
        </w:rPr>
      </w:pPr>
      <w:r>
        <w:rPr>
          <w:rFonts w:hint="eastAsia" w:eastAsiaTheme="minorEastAsia"/>
        </w:rPr>
        <w:t>《城市道路照明设计标准》（CJJ45-2015）</w:t>
      </w:r>
    </w:p>
    <w:p w14:paraId="3997E19D">
      <w:pPr>
        <w:pStyle w:val="99"/>
        <w:numPr>
          <w:ilvl w:val="0"/>
          <w:numId w:val="6"/>
        </w:numPr>
        <w:ind w:left="0" w:firstLine="480"/>
        <w:rPr>
          <w:rFonts w:hint="eastAsia" w:eastAsiaTheme="minorEastAsia"/>
        </w:rPr>
      </w:pPr>
      <w:r>
        <w:rPr>
          <w:rFonts w:hint="eastAsia" w:eastAsiaTheme="minorEastAsia"/>
        </w:rPr>
        <w:t>《低压配电设计规范》 GB50054-2011</w:t>
      </w:r>
    </w:p>
    <w:p w14:paraId="5B196475">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整体式LED路灯的测试方法》（LB/T 001—2009）</w:t>
      </w:r>
    </w:p>
    <w:p w14:paraId="70EFC09C">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地面用晶体硅光伏组件设计鉴定和定型》（GB/9535-1998）</w:t>
      </w:r>
    </w:p>
    <w:p w14:paraId="1B32B667">
      <w:pPr>
        <w:pStyle w:val="99"/>
        <w:numPr>
          <w:ilvl w:val="0"/>
          <w:numId w:val="6"/>
        </w:numPr>
        <w:ind w:left="0" w:firstLine="480"/>
        <w:rPr>
          <w:rFonts w:eastAsiaTheme="minorEastAsia"/>
        </w:rPr>
      </w:pPr>
      <w:r>
        <w:rPr>
          <w:rFonts w:hint="eastAsia" w:eastAsiaTheme="minorEastAsia"/>
        </w:rPr>
        <w:t>《晶体硅光伏电池组件》（Q/WRX001-2006）</w:t>
      </w:r>
    </w:p>
    <w:p w14:paraId="118F2BA1">
      <w:pPr>
        <w:pStyle w:val="95"/>
        <w:ind w:left="846" w:hanging="846"/>
        <w:rPr>
          <w:rFonts w:ascii="Times New Roman" w:eastAsiaTheme="minorEastAsia"/>
        </w:rPr>
      </w:pPr>
      <w:r>
        <w:rPr>
          <w:rFonts w:ascii="Times New Roman" w:eastAsiaTheme="minorEastAsia"/>
        </w:rPr>
        <w:t>施工及验收规范</w:t>
      </w:r>
    </w:p>
    <w:p w14:paraId="5D49F512">
      <w:pPr>
        <w:pStyle w:val="99"/>
        <w:numPr>
          <w:ilvl w:val="0"/>
          <w:numId w:val="7"/>
        </w:numPr>
        <w:ind w:left="0" w:firstLine="480"/>
        <w:rPr>
          <w:rFonts w:eastAsiaTheme="minorEastAsia"/>
        </w:rPr>
      </w:pPr>
      <w:r>
        <w:rPr>
          <w:rFonts w:eastAsiaTheme="minorEastAsia"/>
          <w:szCs w:val="24"/>
        </w:rPr>
        <w:t>《城镇道路工程施工与质量验收规范》（CJJ1-2008）</w:t>
      </w:r>
    </w:p>
    <w:p w14:paraId="337CD6B8">
      <w:pPr>
        <w:pStyle w:val="99"/>
        <w:numPr>
          <w:ilvl w:val="0"/>
          <w:numId w:val="7"/>
        </w:numPr>
        <w:ind w:left="0" w:firstLine="480"/>
        <w:rPr>
          <w:rFonts w:eastAsiaTheme="minorEastAsia"/>
        </w:rPr>
      </w:pPr>
      <w:r>
        <w:rPr>
          <w:rFonts w:eastAsiaTheme="minorEastAsia"/>
          <w:szCs w:val="24"/>
        </w:rPr>
        <w:t>《混凝土结构工程施工质量验收规范》（GB50204-2015）</w:t>
      </w:r>
    </w:p>
    <w:p w14:paraId="5535706D">
      <w:pPr>
        <w:pStyle w:val="99"/>
        <w:numPr>
          <w:ilvl w:val="0"/>
          <w:numId w:val="7"/>
        </w:numPr>
        <w:ind w:left="0" w:firstLine="480"/>
        <w:rPr>
          <w:rFonts w:eastAsiaTheme="minorEastAsia"/>
          <w:szCs w:val="24"/>
        </w:rPr>
      </w:pPr>
      <w:r>
        <w:rPr>
          <w:rFonts w:hint="eastAsia" w:eastAsiaTheme="minorEastAsia"/>
          <w:szCs w:val="24"/>
        </w:rPr>
        <w:t>《城市道路照明工程施工验收规范》（CJJ89-2012）</w:t>
      </w:r>
    </w:p>
    <w:p w14:paraId="2BF8589D">
      <w:pPr>
        <w:pStyle w:val="99"/>
        <w:numPr>
          <w:ilvl w:val="0"/>
          <w:numId w:val="7"/>
        </w:numPr>
        <w:ind w:left="0" w:firstLine="480"/>
        <w:rPr>
          <w:rFonts w:eastAsiaTheme="minorEastAsia"/>
          <w:szCs w:val="24"/>
        </w:rPr>
      </w:pPr>
      <w:r>
        <w:rPr>
          <w:rFonts w:hint="eastAsia" w:eastAsiaTheme="minorEastAsia"/>
        </w:rPr>
        <w:t>《园林绿化工程施工及验收规范》C</w:t>
      </w:r>
      <w:r>
        <w:rPr>
          <w:rFonts w:eastAsiaTheme="minorEastAsia"/>
        </w:rPr>
        <w:t>JJ82-2012</w:t>
      </w:r>
    </w:p>
    <w:p w14:paraId="4A32AC7C">
      <w:pPr>
        <w:pStyle w:val="95"/>
        <w:ind w:left="846" w:hanging="846"/>
        <w:rPr>
          <w:rFonts w:ascii="Times New Roman" w:eastAsiaTheme="minorEastAsia"/>
        </w:rPr>
      </w:pPr>
      <w:r>
        <w:rPr>
          <w:rFonts w:ascii="Times New Roman" w:eastAsiaTheme="minorEastAsia"/>
        </w:rPr>
        <w:t>主要设计标准</w:t>
      </w:r>
    </w:p>
    <w:p w14:paraId="75F31A4E">
      <w:pPr>
        <w:pStyle w:val="97"/>
        <w:rPr>
          <w:rFonts w:eastAsiaTheme="minorEastAsia"/>
        </w:rPr>
      </w:pPr>
      <w:r>
        <w:rPr>
          <w:rFonts w:eastAsiaTheme="minorEastAsia"/>
        </w:rPr>
        <w:t>道路设计技术标准</w:t>
      </w:r>
    </w:p>
    <w:p w14:paraId="4155DC8F">
      <w:pPr>
        <w:pStyle w:val="99"/>
        <w:rPr>
          <w:rFonts w:eastAsiaTheme="minorEastAsia"/>
          <w:szCs w:val="22"/>
        </w:rPr>
      </w:pPr>
      <w:r>
        <w:rPr>
          <w:rFonts w:eastAsiaTheme="minorEastAsia"/>
          <w:szCs w:val="22"/>
        </w:rPr>
        <w:t>1</w:t>
      </w:r>
      <w:r>
        <w:rPr>
          <w:rFonts w:hint="eastAsia" w:eastAsiaTheme="minorEastAsia"/>
          <w:szCs w:val="22"/>
        </w:rPr>
        <w:t>）道路等级：停车场参照城市次干路标准；</w:t>
      </w:r>
    </w:p>
    <w:p w14:paraId="38D0BC29">
      <w:pPr>
        <w:pStyle w:val="99"/>
        <w:rPr>
          <w:rFonts w:eastAsiaTheme="minorEastAsia"/>
          <w:szCs w:val="22"/>
        </w:rPr>
      </w:pPr>
      <w:r>
        <w:rPr>
          <w:rFonts w:eastAsiaTheme="minorEastAsia"/>
          <w:szCs w:val="22"/>
        </w:rPr>
        <w:t>2</w:t>
      </w:r>
      <w:r>
        <w:rPr>
          <w:rFonts w:hint="eastAsia" w:eastAsiaTheme="minorEastAsia"/>
          <w:szCs w:val="22"/>
        </w:rPr>
        <w:t>）路面设计标准轴载：</w:t>
      </w:r>
      <w:r>
        <w:rPr>
          <w:rFonts w:eastAsiaTheme="minorEastAsia"/>
          <w:szCs w:val="22"/>
        </w:rPr>
        <w:t>BZZ-100</w:t>
      </w:r>
      <w:r>
        <w:rPr>
          <w:rFonts w:hint="eastAsia" w:eastAsiaTheme="minorEastAsia"/>
          <w:szCs w:val="22"/>
        </w:rPr>
        <w:t>；</w:t>
      </w:r>
    </w:p>
    <w:p w14:paraId="3A6C18E3">
      <w:pPr>
        <w:pStyle w:val="99"/>
        <w:rPr>
          <w:rFonts w:eastAsiaTheme="minorEastAsia"/>
          <w:szCs w:val="22"/>
        </w:rPr>
      </w:pPr>
      <w:r>
        <w:rPr>
          <w:rFonts w:eastAsiaTheme="minorEastAsia"/>
          <w:szCs w:val="22"/>
        </w:rPr>
        <w:t>3</w:t>
      </w:r>
      <w:r>
        <w:rPr>
          <w:rFonts w:hint="eastAsia" w:eastAsiaTheme="minorEastAsia"/>
          <w:szCs w:val="22"/>
        </w:rPr>
        <w:t>）沥青路面结构的设计使用年限：</w:t>
      </w:r>
      <w:r>
        <w:rPr>
          <w:rFonts w:eastAsiaTheme="minorEastAsia"/>
          <w:szCs w:val="22"/>
        </w:rPr>
        <w:t>10</w:t>
      </w:r>
      <w:r>
        <w:rPr>
          <w:rFonts w:hint="eastAsia" w:eastAsiaTheme="minorEastAsia"/>
          <w:szCs w:val="22"/>
        </w:rPr>
        <w:t>年。</w:t>
      </w:r>
    </w:p>
    <w:p w14:paraId="1D4CCDAE">
      <w:pPr>
        <w:pStyle w:val="99"/>
        <w:rPr>
          <w:rFonts w:eastAsiaTheme="minorEastAsia"/>
          <w:szCs w:val="22"/>
        </w:rPr>
      </w:pPr>
      <w:r>
        <w:rPr>
          <w:rFonts w:eastAsiaTheme="minorEastAsia"/>
          <w:szCs w:val="22"/>
        </w:rPr>
        <w:t>4</w:t>
      </w:r>
      <w:r>
        <w:rPr>
          <w:rFonts w:hint="eastAsia" w:eastAsiaTheme="minorEastAsia"/>
          <w:szCs w:val="22"/>
        </w:rPr>
        <w:t>）路面结构类型：沥青混凝土路面（行车通道）、透水混凝土路面（停车位）；</w:t>
      </w:r>
    </w:p>
    <w:p w14:paraId="260C131C">
      <w:pPr>
        <w:pStyle w:val="99"/>
        <w:rPr>
          <w:rFonts w:eastAsiaTheme="minorEastAsia"/>
          <w:szCs w:val="22"/>
        </w:rPr>
      </w:pPr>
      <w:r>
        <w:rPr>
          <w:rFonts w:eastAsiaTheme="minorEastAsia"/>
          <w:szCs w:val="22"/>
        </w:rPr>
        <w:t>5</w:t>
      </w:r>
      <w:r>
        <w:rPr>
          <w:rFonts w:hint="eastAsia" w:eastAsiaTheme="minorEastAsia"/>
          <w:szCs w:val="22"/>
        </w:rPr>
        <w:t>）小车停车位尺寸为</w:t>
      </w:r>
      <w:r>
        <w:rPr>
          <w:rFonts w:eastAsiaTheme="minorEastAsia"/>
          <w:szCs w:val="22"/>
        </w:rPr>
        <w:t>2.8</w:t>
      </w:r>
      <w:r>
        <w:rPr>
          <w:rFonts w:hint="eastAsia" w:eastAsiaTheme="minorEastAsia"/>
          <w:szCs w:val="22"/>
        </w:rPr>
        <w:t>米</w:t>
      </w:r>
      <w:r>
        <w:rPr>
          <w:rFonts w:eastAsiaTheme="minorEastAsia"/>
          <w:szCs w:val="22"/>
        </w:rPr>
        <w:t>×6</w:t>
      </w:r>
      <w:r>
        <w:rPr>
          <w:rFonts w:hint="eastAsia" w:eastAsiaTheme="minorEastAsia"/>
          <w:szCs w:val="22"/>
        </w:rPr>
        <w:t>米，大车位尺寸为</w:t>
      </w:r>
      <w:r>
        <w:rPr>
          <w:rFonts w:eastAsiaTheme="minorEastAsia"/>
          <w:szCs w:val="22"/>
        </w:rPr>
        <w:t>3.5</w:t>
      </w:r>
      <w:r>
        <w:rPr>
          <w:rFonts w:hint="eastAsia" w:eastAsiaTheme="minorEastAsia"/>
          <w:szCs w:val="22"/>
        </w:rPr>
        <w:t>米</w:t>
      </w:r>
      <w:r>
        <w:rPr>
          <w:rFonts w:eastAsiaTheme="minorEastAsia"/>
          <w:szCs w:val="22"/>
        </w:rPr>
        <w:t>×13</w:t>
      </w:r>
      <w:r>
        <w:rPr>
          <w:rFonts w:hint="eastAsia" w:eastAsiaTheme="minorEastAsia"/>
          <w:szCs w:val="22"/>
        </w:rPr>
        <w:t>米；</w:t>
      </w:r>
    </w:p>
    <w:p w14:paraId="509D8660">
      <w:pPr>
        <w:pStyle w:val="99"/>
        <w:rPr>
          <w:rFonts w:eastAsiaTheme="minorEastAsia"/>
          <w:szCs w:val="22"/>
        </w:rPr>
      </w:pPr>
      <w:r>
        <w:rPr>
          <w:rFonts w:eastAsiaTheme="minorEastAsia"/>
          <w:szCs w:val="22"/>
        </w:rPr>
        <w:t>6</w:t>
      </w:r>
      <w:r>
        <w:rPr>
          <w:rFonts w:hint="eastAsia" w:eastAsiaTheme="minorEastAsia"/>
          <w:szCs w:val="22"/>
        </w:rPr>
        <w:t>）小车车行通道宽度为</w:t>
      </w:r>
      <w:r>
        <w:rPr>
          <w:rFonts w:eastAsiaTheme="minorEastAsia"/>
          <w:szCs w:val="22"/>
        </w:rPr>
        <w:t>6</w:t>
      </w:r>
      <w:r>
        <w:rPr>
          <w:rFonts w:hint="eastAsia" w:eastAsiaTheme="minorEastAsia"/>
          <w:szCs w:val="22"/>
        </w:rPr>
        <w:t>米，大车车行通道宽度为</w:t>
      </w:r>
      <w:r>
        <w:rPr>
          <w:rFonts w:eastAsiaTheme="minorEastAsia"/>
          <w:szCs w:val="22"/>
        </w:rPr>
        <w:t>13</w:t>
      </w:r>
      <w:r>
        <w:rPr>
          <w:rFonts w:hint="eastAsia" w:eastAsiaTheme="minorEastAsia"/>
          <w:szCs w:val="22"/>
        </w:rPr>
        <w:t>米。</w:t>
      </w:r>
    </w:p>
    <w:p w14:paraId="3BBAA7A8">
      <w:pPr>
        <w:pStyle w:val="97"/>
        <w:rPr>
          <w:rFonts w:eastAsiaTheme="minorEastAsia"/>
        </w:rPr>
      </w:pPr>
      <w:r>
        <w:rPr>
          <w:rFonts w:hint="eastAsia" w:eastAsiaTheme="minorEastAsia"/>
        </w:rPr>
        <w:t>海绵</w:t>
      </w:r>
      <w:r>
        <w:rPr>
          <w:rFonts w:eastAsiaTheme="minorEastAsia"/>
        </w:rPr>
        <w:t>技术标准</w:t>
      </w:r>
    </w:p>
    <w:p w14:paraId="397A1CAD">
      <w:pPr>
        <w:pStyle w:val="99"/>
        <w:rPr>
          <w:rFonts w:eastAsiaTheme="minorEastAsia"/>
          <w:szCs w:val="22"/>
        </w:rPr>
      </w:pPr>
      <w:r>
        <w:rPr>
          <w:rFonts w:hint="eastAsia" w:eastAsiaTheme="minorEastAsia"/>
          <w:szCs w:val="22"/>
        </w:rPr>
        <w:t>本次低影响开发设计计算均按照《低影响开发雨水控制与利用工程技术规程》（DB22/JT 168-2017)执行。设计范围为场地红线范围。</w:t>
      </w:r>
    </w:p>
    <w:p w14:paraId="18ECA5C1">
      <w:pPr>
        <w:pStyle w:val="99"/>
        <w:rPr>
          <w:rFonts w:eastAsiaTheme="minorEastAsia"/>
          <w:szCs w:val="22"/>
        </w:rPr>
      </w:pPr>
      <w:r>
        <w:rPr>
          <w:rFonts w:hint="eastAsia" w:eastAsiaTheme="minorEastAsia"/>
          <w:szCs w:val="22"/>
        </w:rPr>
        <w:t>1）总目标：对道路红线范围内年径流总量进行控制，且年径流总量控制率≥85%；</w:t>
      </w:r>
    </w:p>
    <w:p w14:paraId="59552CDC">
      <w:pPr>
        <w:pStyle w:val="99"/>
        <w:rPr>
          <w:rFonts w:eastAsiaTheme="minorEastAsia"/>
          <w:szCs w:val="22"/>
        </w:rPr>
      </w:pPr>
      <w:r>
        <w:rPr>
          <w:rFonts w:hint="eastAsia" w:eastAsiaTheme="minorEastAsia"/>
          <w:szCs w:val="22"/>
        </w:rPr>
        <w:t>2）分项目标一：硬化地面中可渗透地面面积≥</w:t>
      </w:r>
      <w:r>
        <w:rPr>
          <w:rFonts w:eastAsiaTheme="minorEastAsia"/>
          <w:szCs w:val="22"/>
        </w:rPr>
        <w:t>49.5</w:t>
      </w:r>
      <w:r>
        <w:rPr>
          <w:rFonts w:hint="eastAsia" w:eastAsiaTheme="minorEastAsia"/>
          <w:szCs w:val="22"/>
        </w:rPr>
        <w:t>%；</w:t>
      </w:r>
    </w:p>
    <w:p w14:paraId="559E2821">
      <w:pPr>
        <w:pStyle w:val="99"/>
        <w:rPr>
          <w:rFonts w:eastAsiaTheme="minorEastAsia"/>
          <w:szCs w:val="22"/>
        </w:rPr>
      </w:pPr>
      <w:r>
        <w:rPr>
          <w:rFonts w:hint="eastAsia" w:eastAsiaTheme="minorEastAsia"/>
          <w:szCs w:val="22"/>
        </w:rPr>
        <w:t>3）分项目标二：下沉式绿地面积占绿化面积≥</w:t>
      </w:r>
      <w:r>
        <w:rPr>
          <w:rFonts w:eastAsiaTheme="minorEastAsia"/>
          <w:szCs w:val="22"/>
        </w:rPr>
        <w:t>76</w:t>
      </w:r>
      <w:r>
        <w:rPr>
          <w:rFonts w:hint="eastAsia" w:eastAsiaTheme="minorEastAsia"/>
          <w:szCs w:val="22"/>
        </w:rPr>
        <w:t>%；</w:t>
      </w:r>
    </w:p>
    <w:p w14:paraId="1893E719">
      <w:pPr>
        <w:pStyle w:val="99"/>
        <w:rPr>
          <w:rFonts w:eastAsiaTheme="minorEastAsia"/>
          <w:szCs w:val="22"/>
        </w:rPr>
      </w:pPr>
      <w:r>
        <w:rPr>
          <w:rFonts w:hint="eastAsia" w:eastAsiaTheme="minorEastAsia"/>
          <w:szCs w:val="22"/>
        </w:rPr>
        <w:t>4）分项目标三：总体污染物去除率（以SS计，%）≥50%。</w:t>
      </w:r>
    </w:p>
    <w:p w14:paraId="53C38215">
      <w:pPr>
        <w:pStyle w:val="94"/>
        <w:rPr>
          <w:rFonts w:ascii="Times New Roman" w:eastAsiaTheme="minorEastAsia"/>
        </w:rPr>
      </w:pPr>
      <w:r>
        <w:rPr>
          <w:rFonts w:ascii="Times New Roman" w:eastAsiaTheme="minorEastAsia"/>
        </w:rPr>
        <w:t>工程现状</w:t>
      </w:r>
    </w:p>
    <w:p w14:paraId="07FC2EFC">
      <w:pPr>
        <w:pStyle w:val="95"/>
        <w:ind w:left="846" w:hanging="846"/>
        <w:rPr>
          <w:rFonts w:ascii="Times New Roman" w:eastAsiaTheme="minorEastAsia"/>
        </w:rPr>
      </w:pPr>
      <w:r>
        <w:rPr>
          <w:rFonts w:ascii="Times New Roman" w:eastAsiaTheme="minorEastAsia"/>
        </w:rPr>
        <w:t>场地现状</w:t>
      </w:r>
    </w:p>
    <w:p w14:paraId="29222FC5">
      <w:pPr>
        <w:pStyle w:val="99"/>
        <w:ind w:firstLineChars="0"/>
        <w:rPr>
          <w:rFonts w:hint="default" w:eastAsiaTheme="minorEastAsia"/>
          <w:lang w:val="en-US" w:eastAsia="zh-CN"/>
        </w:rPr>
      </w:pPr>
      <w:r>
        <w:rPr>
          <w:rFonts w:eastAsiaTheme="minorEastAsia"/>
        </w:rPr>
        <w:t>现场主要为</w:t>
      </w:r>
      <w:r>
        <w:rPr>
          <w:rFonts w:hint="eastAsia" w:eastAsiaTheme="minorEastAsia"/>
          <w:lang w:eastAsia="zh-CN"/>
        </w:rPr>
        <w:t>空地</w:t>
      </w:r>
      <w:r>
        <w:rPr>
          <w:rFonts w:eastAsiaTheme="minorEastAsia"/>
        </w:rPr>
        <w:t>。</w:t>
      </w:r>
      <w:r>
        <w:rPr>
          <w:rFonts w:hint="eastAsia" w:eastAsiaTheme="minorEastAsia"/>
          <w:lang w:eastAsia="zh-CN"/>
        </w:rPr>
        <w:t>紧邻现状道路</w:t>
      </w:r>
      <w:r>
        <w:rPr>
          <w:rFonts w:eastAsiaTheme="minorEastAsia"/>
        </w:rPr>
        <w:t>。</w:t>
      </w:r>
    </w:p>
    <w:p w14:paraId="1EC709F7">
      <w:pPr>
        <w:pStyle w:val="95"/>
        <w:ind w:left="846" w:hanging="846"/>
        <w:rPr>
          <w:rFonts w:ascii="Times New Roman" w:eastAsiaTheme="minorEastAsia"/>
        </w:rPr>
      </w:pPr>
      <w:r>
        <w:rPr>
          <w:rFonts w:ascii="Times New Roman" w:eastAsiaTheme="minorEastAsia"/>
        </w:rPr>
        <w:t>其他管线现状</w:t>
      </w:r>
    </w:p>
    <w:p w14:paraId="463EF90D">
      <w:pPr>
        <w:pStyle w:val="99"/>
        <w:rPr>
          <w:rFonts w:hint="eastAsia" w:eastAsiaTheme="minorEastAsia"/>
          <w:lang w:val="en-US" w:eastAsia="zh-CN"/>
        </w:rPr>
      </w:pPr>
      <w:r>
        <w:rPr>
          <w:rFonts w:hint="eastAsia" w:eastAsiaTheme="minorEastAsia"/>
          <w:lang w:val="en-US" w:eastAsia="zh-CN"/>
        </w:rPr>
        <w:t>3#停车场范围内有1座通信线杆，1座电力线杆进行排迁；</w:t>
      </w:r>
    </w:p>
    <w:p w14:paraId="47E167B1">
      <w:pPr>
        <w:pStyle w:val="99"/>
        <w:ind w:firstLine="482"/>
        <w:rPr>
          <w:rFonts w:eastAsiaTheme="minorEastAsia"/>
          <w:b/>
        </w:rPr>
      </w:pPr>
      <w:r>
        <w:rPr>
          <w:rFonts w:eastAsiaTheme="minorEastAsia"/>
          <w:b/>
        </w:rPr>
        <w:t>施工前必须组织管线会签，并在新建管线位置处进行挖探，查明周围管线情况。</w:t>
      </w:r>
    </w:p>
    <w:p w14:paraId="3074E951">
      <w:pPr>
        <w:pStyle w:val="95"/>
        <w:ind w:left="846" w:hanging="846"/>
        <w:rPr>
          <w:rFonts w:ascii="Times New Roman" w:eastAsiaTheme="minorEastAsia"/>
        </w:rPr>
      </w:pPr>
      <w:r>
        <w:rPr>
          <w:rFonts w:ascii="Times New Roman" w:eastAsiaTheme="minorEastAsia"/>
        </w:rPr>
        <w:t>工程地质</w:t>
      </w:r>
    </w:p>
    <w:p w14:paraId="338C8BEB">
      <w:pPr>
        <w:pStyle w:val="97"/>
        <w:rPr>
          <w:rFonts w:ascii="Times New Roman" w:eastAsiaTheme="minorEastAsia"/>
        </w:rPr>
      </w:pPr>
      <w:r>
        <w:rPr>
          <w:rFonts w:ascii="Times New Roman" w:eastAsiaTheme="minorEastAsia"/>
        </w:rPr>
        <w:t>场地地形地貌条件</w:t>
      </w:r>
    </w:p>
    <w:p w14:paraId="54241754">
      <w:pPr>
        <w:spacing w:line="460" w:lineRule="exact"/>
        <w:ind w:firstLine="480" w:firstLineChars="200"/>
        <w:rPr>
          <w:rFonts w:eastAsiaTheme="minorEastAsia"/>
          <w:w w:val="100"/>
          <w:kern w:val="0"/>
          <w:sz w:val="24"/>
        </w:rPr>
      </w:pPr>
      <w:r>
        <w:rPr>
          <w:rFonts w:hint="eastAsia" w:eastAsiaTheme="minorEastAsia"/>
          <w:w w:val="100"/>
          <w:kern w:val="0"/>
          <w:sz w:val="24"/>
        </w:rPr>
        <w:t>靖宇县属吉林省白山市辖县，吉林参茸重要产地。位于省境东南部松花江上游长白山区。面积3094.4平方公里，人口10.8万。县政府驻靖宇镇。原名濛江县。1946年为纪念东北民主抗日联军总司令、民族英雄杨靖宇殉难而改今名。县境为龙岗山脉盘结，地势高耸，平均海拔700米。最高峰老秃顶子山1313米。松花江流经县境，水力资源较丰。沿江为主要农业区。年均温仅2.4℃，1月均温—23℃，7月21℃，年降水量800—900毫米，多雾。</w:t>
      </w:r>
    </w:p>
    <w:p w14:paraId="079AF267">
      <w:pPr>
        <w:pStyle w:val="97"/>
        <w:rPr>
          <w:rFonts w:ascii="Times New Roman" w:eastAsiaTheme="minorEastAsia"/>
        </w:rPr>
      </w:pPr>
      <w:r>
        <w:rPr>
          <w:rFonts w:hint="eastAsia" w:ascii="Times New Roman" w:eastAsiaTheme="minorEastAsia"/>
          <w:lang w:eastAsia="zh-CN"/>
        </w:rPr>
        <w:t>地震烈度</w:t>
      </w:r>
    </w:p>
    <w:p w14:paraId="7EF11BF4">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根据《建筑抗震设计规范》（GB50011-2010）中有关建（构）筑物抗震设防烈度、设计基本地震加速度和设计地震分组的规定，及通过查《吉林省地震动参数区划工作图》明确：靖宇县抗震设防烈度为6度，设计基本地震加速度值为0.05g。</w:t>
      </w:r>
    </w:p>
    <w:p w14:paraId="4DA64450">
      <w:pPr>
        <w:pStyle w:val="97"/>
        <w:rPr>
          <w:rFonts w:ascii="Times New Roman" w:eastAsiaTheme="minorEastAsia"/>
        </w:rPr>
      </w:pPr>
      <w:r>
        <w:rPr>
          <w:rFonts w:hint="eastAsia" w:ascii="Times New Roman" w:eastAsiaTheme="minorEastAsia"/>
          <w:lang w:eastAsia="zh-CN"/>
        </w:rPr>
        <w:t>气候</w:t>
      </w:r>
      <w:r>
        <w:rPr>
          <w:rFonts w:ascii="Times New Roman" w:eastAsiaTheme="minorEastAsia"/>
        </w:rPr>
        <w:t>条件</w:t>
      </w:r>
    </w:p>
    <w:p w14:paraId="2C027A92">
      <w:pPr>
        <w:spacing w:line="460" w:lineRule="exact"/>
        <w:ind w:firstLine="480" w:firstLineChars="200"/>
        <w:rPr>
          <w:rFonts w:hint="eastAsia" w:ascii="Times New Roman" w:hAnsi="Times New Roman" w:cs="Times New Roman" w:eastAsiaTheme="minorEastAsia"/>
          <w:w w:val="100"/>
          <w:kern w:val="0"/>
          <w:sz w:val="24"/>
        </w:rPr>
      </w:pPr>
      <w:bookmarkStart w:id="0" w:name="_Toc369161082"/>
      <w:bookmarkStart w:id="1" w:name="_Toc367600735"/>
      <w:r>
        <w:rPr>
          <w:rFonts w:hint="eastAsia" w:ascii="Times New Roman" w:hAnsi="Times New Roman" w:cs="Times New Roman" w:eastAsiaTheme="minorEastAsia"/>
          <w:w w:val="100"/>
          <w:kern w:val="0"/>
          <w:sz w:val="24"/>
        </w:rPr>
        <w:t>靖宇县属中温带大陆性半湿润-半干旱季风气候。春季干旱多风, 温度变化剧烈,冷暖干湿变化大,多偏西北风；夏季炎热多雨,短暂温凉潮湿,多局部暴雨；秋季温凉短暂,多晴朗天气,受寒潮威胁严重；冬季寒冷干燥而漫长。全县年日照时数为2408.5小时，年平均温度为2.8摄氏度，最高温为33.2摄氏度，最低温为-41摄氏度。全市年平均降水量为780毫米，受季风影响年变率较大，季节分配不均。年平均湿度为71%。</w:t>
      </w:r>
    </w:p>
    <w:p w14:paraId="6A0A18B6">
      <w:pPr>
        <w:pStyle w:val="97"/>
        <w:rPr>
          <w:rFonts w:ascii="Times New Roman" w:eastAsiaTheme="minorEastAsia"/>
        </w:rPr>
      </w:pPr>
      <w:r>
        <w:rPr>
          <w:rFonts w:ascii="Times New Roman" w:eastAsia="宋体"/>
        </w:rPr>
        <w:t>场地</w:t>
      </w:r>
      <w:r>
        <w:rPr>
          <w:rFonts w:hint="eastAsia" w:ascii="Times New Roman" w:eastAsia="宋体"/>
          <w:lang w:eastAsia="zh-CN"/>
        </w:rPr>
        <w:t>地下水</w:t>
      </w:r>
      <w:r>
        <w:rPr>
          <w:rFonts w:ascii="Times New Roman" w:eastAsiaTheme="minorEastAsia"/>
        </w:rPr>
        <w:t>评价</w:t>
      </w:r>
      <w:bookmarkEnd w:id="0"/>
      <w:bookmarkEnd w:id="1"/>
    </w:p>
    <w:p w14:paraId="33272E8B">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项目场区地下水为孔隙潜水，埋深自然地面以下4.40-4.60m。地下水主要补给来源为大气降水补给，局部洼地受沟塘等地表水补给，通过地下径流和地表蒸发进行排泄。场地地下水位随季节变化，6-9月份为丰水期，水位年变化幅度1.00m左右。</w:t>
      </w:r>
    </w:p>
    <w:p w14:paraId="579C6BB4">
      <w:pPr>
        <w:pStyle w:val="94"/>
        <w:rPr>
          <w:rFonts w:ascii="Times New Roman" w:eastAsiaTheme="minorEastAsia"/>
        </w:rPr>
      </w:pPr>
      <w:r>
        <w:rPr>
          <w:rFonts w:ascii="Times New Roman" w:eastAsiaTheme="minorEastAsia"/>
        </w:rPr>
        <w:t>设计概要</w:t>
      </w:r>
    </w:p>
    <w:p w14:paraId="3901D0F3">
      <w:pPr>
        <w:pStyle w:val="95"/>
        <w:ind w:left="846" w:hanging="846"/>
        <w:rPr>
          <w:rFonts w:ascii="Times New Roman" w:eastAsiaTheme="minorEastAsia"/>
        </w:rPr>
      </w:pPr>
      <w:r>
        <w:rPr>
          <w:rFonts w:ascii="Times New Roman" w:eastAsiaTheme="minorEastAsia"/>
        </w:rPr>
        <w:t>道路部分</w:t>
      </w:r>
    </w:p>
    <w:p w14:paraId="1B09B4A2">
      <w:pPr>
        <w:pStyle w:val="97"/>
        <w:rPr>
          <w:rFonts w:ascii="Times New Roman" w:eastAsiaTheme="minorEastAsia"/>
        </w:rPr>
      </w:pPr>
      <w:r>
        <w:rPr>
          <w:rFonts w:ascii="Times New Roman" w:eastAsiaTheme="minorEastAsia"/>
        </w:rPr>
        <w:t>平面</w:t>
      </w:r>
      <w:r>
        <w:rPr>
          <w:rFonts w:hint="eastAsia" w:ascii="Times New Roman" w:eastAsiaTheme="minorEastAsia"/>
        </w:rPr>
        <w:t>设计</w:t>
      </w:r>
    </w:p>
    <w:p w14:paraId="5E2F4BBB">
      <w:pPr>
        <w:pStyle w:val="99"/>
        <w:rPr>
          <w:rFonts w:eastAsiaTheme="minorEastAsia"/>
        </w:rPr>
      </w:pPr>
      <w:r>
        <w:rPr>
          <w:rFonts w:eastAsiaTheme="minorEastAsia"/>
        </w:rPr>
        <w:t>本工程为新建工程，小车停车位尺寸为2.8米×6米；大车位尺寸为13米×3.5米。小车车行通道宽度为6米，大车车行通道宽度为13米。具体设计详见《停车场平面设计图》</w:t>
      </w:r>
      <w:r>
        <w:rPr>
          <w:rFonts w:hint="eastAsia" w:eastAsiaTheme="minorEastAsia"/>
        </w:rPr>
        <w:t>及《停车场标线设计图》</w:t>
      </w:r>
      <w:r>
        <w:rPr>
          <w:rFonts w:eastAsiaTheme="minorEastAsia"/>
        </w:rPr>
        <w:t>。</w:t>
      </w:r>
    </w:p>
    <w:p w14:paraId="78584021">
      <w:pPr>
        <w:pStyle w:val="97"/>
        <w:rPr>
          <w:rFonts w:ascii="Times New Roman" w:eastAsiaTheme="minorEastAsia"/>
        </w:rPr>
      </w:pPr>
      <w:r>
        <w:rPr>
          <w:rFonts w:hint="eastAsia" w:ascii="Times New Roman" w:eastAsiaTheme="minorEastAsia"/>
        </w:rPr>
        <w:t>竖向设计</w:t>
      </w:r>
    </w:p>
    <w:p w14:paraId="47594422">
      <w:pPr>
        <w:pStyle w:val="99"/>
        <w:rPr>
          <w:rFonts w:eastAsiaTheme="minorEastAsia"/>
        </w:rPr>
      </w:pPr>
      <w:r>
        <w:rPr>
          <w:rFonts w:eastAsiaTheme="minorEastAsia"/>
        </w:rPr>
        <w:t>竖向设计控制要素：</w:t>
      </w:r>
    </w:p>
    <w:p w14:paraId="34910F7A">
      <w:pPr>
        <w:pStyle w:val="99"/>
        <w:rPr>
          <w:rFonts w:eastAsiaTheme="minorEastAsia"/>
        </w:rPr>
      </w:pPr>
      <w:r>
        <w:rPr>
          <w:rFonts w:hint="eastAsia" w:eastAsiaTheme="minorEastAsia"/>
        </w:rPr>
        <w:t>1</w:t>
      </w:r>
      <w:r>
        <w:rPr>
          <w:rFonts w:eastAsiaTheme="minorEastAsia"/>
        </w:rPr>
        <w:t>.拟建场地现状高程；</w:t>
      </w:r>
    </w:p>
    <w:p w14:paraId="70AB9F8A">
      <w:pPr>
        <w:pStyle w:val="99"/>
        <w:rPr>
          <w:rFonts w:eastAsiaTheme="minorEastAsia"/>
        </w:rPr>
      </w:pPr>
      <w:r>
        <w:rPr>
          <w:rFonts w:hint="eastAsia" w:eastAsiaTheme="minorEastAsia"/>
        </w:rPr>
        <w:t>2</w:t>
      </w:r>
      <w:r>
        <w:rPr>
          <w:rFonts w:eastAsiaTheme="minorEastAsia"/>
        </w:rPr>
        <w:t>.车行出口处既有路面高程；</w:t>
      </w:r>
    </w:p>
    <w:p w14:paraId="2AF78F48">
      <w:pPr>
        <w:pStyle w:val="99"/>
        <w:rPr>
          <w:rFonts w:eastAsiaTheme="minorEastAsia"/>
        </w:rPr>
      </w:pPr>
      <w:r>
        <w:rPr>
          <w:rFonts w:hint="eastAsia" w:eastAsiaTheme="minorEastAsia"/>
        </w:rPr>
        <w:t>3</w:t>
      </w:r>
      <w:r>
        <w:rPr>
          <w:rFonts w:eastAsiaTheme="minorEastAsia"/>
        </w:rPr>
        <w:t>.结合现状地势；</w:t>
      </w:r>
    </w:p>
    <w:p w14:paraId="192E799D">
      <w:pPr>
        <w:pStyle w:val="99"/>
        <w:rPr>
          <w:rFonts w:eastAsiaTheme="minorEastAsia"/>
        </w:rPr>
      </w:pPr>
      <w:r>
        <w:rPr>
          <w:rFonts w:hint="eastAsia" w:eastAsiaTheme="minorEastAsia"/>
        </w:rPr>
        <w:t>4</w:t>
      </w:r>
      <w:r>
        <w:rPr>
          <w:rFonts w:eastAsiaTheme="minorEastAsia"/>
        </w:rPr>
        <w:t>.保证场地内雨水散排通畅；</w:t>
      </w:r>
    </w:p>
    <w:p w14:paraId="0B617BCA">
      <w:pPr>
        <w:pStyle w:val="99"/>
        <w:rPr>
          <w:rFonts w:eastAsiaTheme="minorEastAsia"/>
        </w:rPr>
      </w:pPr>
      <w:r>
        <w:rPr>
          <w:rFonts w:eastAsiaTheme="minorEastAsia"/>
        </w:rPr>
        <w:t>结合以上要素进行场地竖向设计，具体做法详见《停车场竖向设计图》。</w:t>
      </w:r>
    </w:p>
    <w:p w14:paraId="67B11026">
      <w:pPr>
        <w:pStyle w:val="97"/>
        <w:rPr>
          <w:rFonts w:ascii="Times New Roman" w:eastAsiaTheme="minorEastAsia"/>
        </w:rPr>
      </w:pPr>
      <w:r>
        <w:rPr>
          <w:rFonts w:ascii="Times New Roman" w:eastAsiaTheme="minorEastAsia"/>
        </w:rPr>
        <w:t>路面结构设计</w:t>
      </w:r>
    </w:p>
    <w:p w14:paraId="104034D9">
      <w:pPr>
        <w:pStyle w:val="99"/>
        <w:rPr>
          <w:rFonts w:eastAsiaTheme="minorEastAsia"/>
        </w:rPr>
      </w:pPr>
      <w:r>
        <w:rPr>
          <w:rFonts w:eastAsiaTheme="minorEastAsia"/>
        </w:rPr>
        <w:t>采用《路面分析与设计系统PADS1.0》计算软件。</w:t>
      </w:r>
    </w:p>
    <w:p w14:paraId="0B9B3793">
      <w:pPr>
        <w:pStyle w:val="99"/>
        <w:rPr>
          <w:rFonts w:eastAsiaTheme="minorEastAsia"/>
        </w:rPr>
      </w:pPr>
      <w:r>
        <w:rPr>
          <w:rFonts w:eastAsiaTheme="minorEastAsia"/>
        </w:rPr>
        <w:t>计算荷载标准：双轮组单轴载，BZZ-100</w:t>
      </w:r>
    </w:p>
    <w:p w14:paraId="57D57E62">
      <w:pPr>
        <w:pStyle w:val="99"/>
        <w:rPr>
          <w:rFonts w:eastAsiaTheme="minorEastAsia"/>
        </w:rPr>
      </w:pPr>
      <w:r>
        <w:rPr>
          <w:rFonts w:eastAsiaTheme="minorEastAsia"/>
        </w:rPr>
        <w:t>支路道路结构计算数据如下：</w:t>
      </w:r>
    </w:p>
    <w:p w14:paraId="1C3A502C">
      <w:pPr>
        <w:pStyle w:val="99"/>
        <w:ind w:firstLine="960" w:firstLineChars="400"/>
        <w:rPr>
          <w:rFonts w:eastAsiaTheme="minorEastAsia"/>
        </w:rPr>
      </w:pPr>
      <w:r>
        <w:rPr>
          <w:rFonts w:eastAsiaTheme="minorEastAsia"/>
        </w:rPr>
        <w:t xml:space="preserve">路面设计弯沉值 : 24.6(1/100 mm) </w:t>
      </w:r>
    </w:p>
    <w:p w14:paraId="73F8E3FD">
      <w:pPr>
        <w:pStyle w:val="99"/>
        <w:ind w:firstLine="960" w:firstLineChars="400"/>
        <w:rPr>
          <w:rFonts w:eastAsiaTheme="minorEastAsia"/>
        </w:rPr>
      </w:pPr>
      <w:r>
        <w:rPr>
          <w:rFonts w:eastAsiaTheme="minorEastAsia"/>
        </w:rPr>
        <w:t>验收弯沉值为 ：19.8(1/100 mm)（上面层）</w:t>
      </w:r>
    </w:p>
    <w:p w14:paraId="63A7F4AE">
      <w:pPr>
        <w:pStyle w:val="99"/>
        <w:ind w:firstLine="960" w:firstLineChars="400"/>
        <w:rPr>
          <w:rFonts w:eastAsiaTheme="minorEastAsia"/>
        </w:rPr>
      </w:pPr>
      <w:r>
        <w:rPr>
          <w:rFonts w:eastAsiaTheme="minorEastAsia"/>
        </w:rPr>
        <w:t>验收弯沉值为 ：21.5(1/100 mm)（下面层）</w:t>
      </w:r>
    </w:p>
    <w:p w14:paraId="2233C383">
      <w:pPr>
        <w:pStyle w:val="99"/>
        <w:ind w:firstLine="960" w:firstLineChars="400"/>
        <w:rPr>
          <w:rFonts w:eastAsiaTheme="minorEastAsia"/>
        </w:rPr>
      </w:pPr>
      <w:r>
        <w:rPr>
          <w:rFonts w:eastAsiaTheme="minorEastAsia"/>
        </w:rPr>
        <w:t>水泥稳定碎石层验收弯沉值24(1/100mm)</w:t>
      </w:r>
    </w:p>
    <w:p w14:paraId="76DE51D5">
      <w:pPr>
        <w:pStyle w:val="99"/>
        <w:ind w:firstLine="960" w:firstLineChars="400"/>
        <w:rPr>
          <w:rFonts w:eastAsiaTheme="minorEastAsia"/>
        </w:rPr>
      </w:pPr>
      <w:r>
        <w:rPr>
          <w:rFonts w:eastAsiaTheme="minorEastAsia"/>
        </w:rPr>
        <w:t>土基回弹模量 ：≥30</w:t>
      </w:r>
      <w:r>
        <w:rPr>
          <w:rFonts w:eastAsiaTheme="minorEastAsia"/>
          <w:szCs w:val="24"/>
        </w:rPr>
        <w:t xml:space="preserve"> MPa</w:t>
      </w:r>
    </w:p>
    <w:p w14:paraId="1FD56FEE">
      <w:pPr>
        <w:pStyle w:val="99"/>
        <w:ind w:firstLine="960" w:firstLineChars="400"/>
        <w:rPr>
          <w:rFonts w:eastAsiaTheme="minorEastAsia"/>
        </w:rPr>
      </w:pPr>
      <w:r>
        <w:rPr>
          <w:rFonts w:eastAsiaTheme="minorEastAsia"/>
        </w:rPr>
        <w:t>土基验收弯沉值：233(1/100mm)</w:t>
      </w:r>
    </w:p>
    <w:p w14:paraId="1101E7F6">
      <w:pPr>
        <w:pStyle w:val="99"/>
        <w:ind w:firstLine="482"/>
        <w:rPr>
          <w:rFonts w:hint="eastAsia" w:eastAsiaTheme="minorEastAsia"/>
          <w:b/>
          <w:szCs w:val="24"/>
          <w:lang w:val="en-US" w:eastAsia="zh-CN"/>
        </w:rPr>
      </w:pPr>
      <w:r>
        <w:rPr>
          <w:rFonts w:hint="eastAsia" w:eastAsiaTheme="minorEastAsia"/>
          <w:b/>
          <w:szCs w:val="24"/>
          <w:lang w:val="en-US" w:eastAsia="zh-CN"/>
        </w:rPr>
        <w:t>1.新建人行道透水方砖结构</w:t>
      </w:r>
    </w:p>
    <w:p w14:paraId="1D0611FA">
      <w:pPr>
        <w:pStyle w:val="99"/>
        <w:numPr>
          <w:ilvl w:val="0"/>
          <w:numId w:val="0"/>
        </w:numPr>
        <w:ind w:firstLine="480"/>
        <w:rPr>
          <w:rFonts w:hint="eastAsia" w:eastAsiaTheme="minorEastAsia"/>
          <w:lang w:val="en-US" w:eastAsia="zh-CN"/>
        </w:rPr>
      </w:pPr>
      <w:r>
        <w:rPr>
          <w:rFonts w:hint="eastAsia" w:eastAsiaTheme="minorEastAsia"/>
          <w:lang w:val="en-US" w:eastAsia="zh-CN"/>
        </w:rPr>
        <w:t>8cmCc40缝隙型透水砖</w:t>
      </w:r>
    </w:p>
    <w:p w14:paraId="00C563FC">
      <w:pPr>
        <w:pStyle w:val="99"/>
        <w:numPr>
          <w:ilvl w:val="0"/>
          <w:numId w:val="0"/>
        </w:numPr>
        <w:ind w:firstLine="480"/>
        <w:rPr>
          <w:rFonts w:hint="default" w:eastAsiaTheme="minorEastAsia"/>
          <w:lang w:val="en-US" w:eastAsia="zh-CN"/>
        </w:rPr>
      </w:pPr>
      <w:r>
        <w:rPr>
          <w:rFonts w:hint="default" w:eastAsiaTheme="minorEastAsia"/>
          <w:lang w:val="en-US" w:eastAsia="zh-CN"/>
        </w:rPr>
        <w:t>2cm中粗砂找平层</w:t>
      </w:r>
    </w:p>
    <w:p w14:paraId="6AE692C4">
      <w:pPr>
        <w:pStyle w:val="99"/>
        <w:numPr>
          <w:ilvl w:val="0"/>
          <w:numId w:val="0"/>
        </w:numPr>
        <w:ind w:firstLine="480"/>
        <w:rPr>
          <w:rFonts w:hint="default" w:eastAsiaTheme="minorEastAsia"/>
          <w:lang w:val="en-US" w:eastAsia="zh-CN"/>
        </w:rPr>
      </w:pPr>
      <w:r>
        <w:rPr>
          <w:rFonts w:hint="default" w:eastAsiaTheme="minorEastAsia"/>
          <w:lang w:val="en-US" w:eastAsia="zh-CN"/>
        </w:rPr>
        <w:t>10cmC25预制装配式透水混凝土基层</w:t>
      </w:r>
    </w:p>
    <w:p w14:paraId="7A71E99B">
      <w:pPr>
        <w:pStyle w:val="99"/>
        <w:numPr>
          <w:ilvl w:val="0"/>
          <w:numId w:val="0"/>
        </w:numPr>
        <w:ind w:firstLine="480"/>
        <w:rPr>
          <w:rFonts w:hint="default" w:eastAsiaTheme="minorEastAsia"/>
          <w:lang w:val="en-US" w:eastAsia="zh-CN"/>
        </w:rPr>
      </w:pPr>
      <w:r>
        <w:rPr>
          <w:rFonts w:hint="default" w:eastAsiaTheme="minorEastAsia"/>
          <w:lang w:val="en-US" w:eastAsia="zh-CN"/>
        </w:rPr>
        <w:t>20cm级配碎石（压实度≥95%）</w:t>
      </w:r>
    </w:p>
    <w:p w14:paraId="08C48ADD">
      <w:pPr>
        <w:pStyle w:val="99"/>
        <w:numPr>
          <w:ilvl w:val="0"/>
          <w:numId w:val="0"/>
        </w:numPr>
        <w:ind w:firstLine="480"/>
        <w:rPr>
          <w:rFonts w:hint="default" w:eastAsiaTheme="minorEastAsia"/>
          <w:lang w:val="en-US" w:eastAsia="zh-CN"/>
        </w:rPr>
      </w:pPr>
      <w:r>
        <w:rPr>
          <w:rFonts w:hint="eastAsia" w:eastAsiaTheme="minorEastAsia"/>
          <w:lang w:val="en-US" w:eastAsia="zh-CN"/>
        </w:rPr>
        <w:t>总厚：40cm</w:t>
      </w:r>
    </w:p>
    <w:p w14:paraId="629A6483">
      <w:pPr>
        <w:pStyle w:val="99"/>
        <w:ind w:firstLine="482"/>
        <w:rPr>
          <w:rFonts w:hint="eastAsia" w:eastAsiaTheme="minorEastAsia"/>
          <w:b/>
          <w:szCs w:val="24"/>
          <w:lang w:val="en-US" w:eastAsia="zh-CN"/>
        </w:rPr>
      </w:pPr>
      <w:r>
        <w:rPr>
          <w:rFonts w:hint="eastAsia" w:eastAsiaTheme="minorEastAsia"/>
          <w:b/>
          <w:szCs w:val="24"/>
          <w:lang w:val="en-US" w:eastAsia="zh-CN"/>
        </w:rPr>
        <w:t>2.新建广场铺装结构</w:t>
      </w:r>
    </w:p>
    <w:p w14:paraId="37801879">
      <w:pPr>
        <w:pStyle w:val="99"/>
        <w:numPr>
          <w:ilvl w:val="0"/>
          <w:numId w:val="0"/>
        </w:numPr>
        <w:ind w:leftChars="200"/>
        <w:rPr>
          <w:rFonts w:hint="default" w:eastAsiaTheme="minorEastAsia"/>
          <w:lang w:val="en-US" w:eastAsia="zh-CN"/>
        </w:rPr>
      </w:pPr>
      <w:r>
        <w:rPr>
          <w:rFonts w:hint="default" w:eastAsiaTheme="minorEastAsia"/>
          <w:lang w:val="en-US" w:eastAsia="zh-CN"/>
        </w:rPr>
        <w:t>2cm厚仿石砖面层</w:t>
      </w:r>
    </w:p>
    <w:p w14:paraId="7CC4F1CB">
      <w:pPr>
        <w:pStyle w:val="99"/>
        <w:numPr>
          <w:ilvl w:val="0"/>
          <w:numId w:val="0"/>
        </w:numPr>
        <w:ind w:leftChars="200"/>
        <w:rPr>
          <w:rFonts w:hint="default" w:eastAsiaTheme="minorEastAsia"/>
          <w:lang w:val="en-US" w:eastAsia="zh-CN"/>
        </w:rPr>
      </w:pPr>
      <w:r>
        <w:rPr>
          <w:rFonts w:hint="default" w:eastAsiaTheme="minorEastAsia"/>
          <w:lang w:val="en-US" w:eastAsia="zh-CN"/>
        </w:rPr>
        <w:t>3cm水泥砂浆（1:3）</w:t>
      </w:r>
    </w:p>
    <w:p w14:paraId="2819411F">
      <w:pPr>
        <w:pStyle w:val="99"/>
        <w:numPr>
          <w:ilvl w:val="0"/>
          <w:numId w:val="0"/>
        </w:numPr>
        <w:ind w:leftChars="200"/>
        <w:rPr>
          <w:rFonts w:hint="default" w:eastAsiaTheme="minorEastAsia"/>
          <w:lang w:val="en-US" w:eastAsia="zh-CN"/>
        </w:rPr>
      </w:pPr>
      <w:r>
        <w:rPr>
          <w:rFonts w:hint="eastAsia" w:eastAsiaTheme="minorEastAsia"/>
          <w:lang w:val="en-US" w:eastAsia="zh-CN"/>
        </w:rPr>
        <w:t>1</w:t>
      </w:r>
      <w:r>
        <w:rPr>
          <w:rFonts w:hint="default" w:eastAsiaTheme="minorEastAsia"/>
          <w:lang w:val="en-US" w:eastAsia="zh-CN"/>
        </w:rPr>
        <w:t>5cmC20混凝土垫层</w:t>
      </w:r>
    </w:p>
    <w:p w14:paraId="4367A5EE">
      <w:pPr>
        <w:pStyle w:val="99"/>
        <w:numPr>
          <w:ilvl w:val="0"/>
          <w:numId w:val="0"/>
        </w:numPr>
        <w:ind w:leftChars="200"/>
        <w:rPr>
          <w:rFonts w:hint="default" w:eastAsiaTheme="minorEastAsia"/>
          <w:lang w:val="en-US" w:eastAsia="zh-CN"/>
        </w:rPr>
      </w:pPr>
      <w:r>
        <w:rPr>
          <w:rFonts w:hint="default" w:eastAsiaTheme="minorEastAsia"/>
          <w:lang w:val="en-US" w:eastAsia="zh-CN"/>
        </w:rPr>
        <w:t>30cm级配碎石（压实度≥95%）</w:t>
      </w:r>
    </w:p>
    <w:p w14:paraId="31E57F13">
      <w:pPr>
        <w:pStyle w:val="99"/>
        <w:numPr>
          <w:ilvl w:val="0"/>
          <w:numId w:val="0"/>
        </w:numPr>
        <w:ind w:leftChars="200"/>
        <w:rPr>
          <w:rFonts w:hint="default" w:eastAsiaTheme="minorEastAsia"/>
          <w:lang w:val="en-US" w:eastAsia="zh-CN"/>
        </w:rPr>
      </w:pPr>
      <w:r>
        <w:rPr>
          <w:rFonts w:hint="eastAsia" w:eastAsiaTheme="minorEastAsia"/>
          <w:lang w:val="en-US" w:eastAsia="zh-CN"/>
        </w:rPr>
        <w:t>总厚：50cm</w:t>
      </w:r>
    </w:p>
    <w:p w14:paraId="49490993">
      <w:pPr>
        <w:pStyle w:val="97"/>
        <w:rPr>
          <w:rFonts w:ascii="Times New Roman" w:eastAsiaTheme="minorEastAsia"/>
        </w:rPr>
      </w:pPr>
      <w:r>
        <w:rPr>
          <w:rFonts w:ascii="Times New Roman" w:eastAsiaTheme="minorEastAsia"/>
        </w:rPr>
        <w:t>缘石设计</w:t>
      </w:r>
    </w:p>
    <w:p w14:paraId="6E744747">
      <w:pPr>
        <w:pStyle w:val="99"/>
        <w:rPr>
          <w:rFonts w:eastAsiaTheme="minorEastAsia"/>
        </w:rPr>
      </w:pPr>
      <w:r>
        <w:rPr>
          <w:rFonts w:eastAsiaTheme="minorEastAsia"/>
        </w:rPr>
        <w:t>A型锯切石料立缘石：应用于车行道外侧与下沉式绿化带之间，外露高度20cm，尺寸15cm×45cm×99cm，双侧倒角2cm×2cm；</w:t>
      </w:r>
    </w:p>
    <w:p w14:paraId="2E6B30BC">
      <w:pPr>
        <w:pStyle w:val="99"/>
        <w:rPr>
          <w:rFonts w:eastAsiaTheme="minorEastAsia"/>
        </w:rPr>
      </w:pPr>
      <w:r>
        <w:rPr>
          <w:rFonts w:hint="eastAsia" w:eastAsiaTheme="minorEastAsia"/>
          <w:lang w:val="en-US" w:eastAsia="zh-CN"/>
        </w:rPr>
        <w:t>B</w:t>
      </w:r>
      <w:r>
        <w:rPr>
          <w:rFonts w:eastAsiaTheme="minorEastAsia"/>
        </w:rPr>
        <w:t>型锯切石料平缘石：应用于车行道外侧与停车位之间，尺寸10cm×16cm×49cm。</w:t>
      </w:r>
    </w:p>
    <w:p w14:paraId="1B85260F">
      <w:pPr>
        <w:pStyle w:val="97"/>
        <w:rPr>
          <w:rFonts w:ascii="Times New Roman" w:eastAsiaTheme="minorEastAsia"/>
        </w:rPr>
      </w:pPr>
      <w:r>
        <w:rPr>
          <w:rFonts w:ascii="Times New Roman" w:eastAsiaTheme="minorEastAsia"/>
        </w:rPr>
        <w:t>路基工程</w:t>
      </w:r>
    </w:p>
    <w:p w14:paraId="5977DD08">
      <w:pPr>
        <w:pStyle w:val="97"/>
        <w:numPr>
          <w:ilvl w:val="0"/>
          <w:numId w:val="0"/>
        </w:numPr>
        <w:outlineLvl w:val="9"/>
        <w:rPr>
          <w:rFonts w:ascii="Times New Roman" w:eastAsiaTheme="minorEastAsia"/>
        </w:rPr>
      </w:pPr>
      <w:r>
        <w:rPr>
          <w:rFonts w:ascii="Times New Roman" w:eastAsiaTheme="minorEastAsia"/>
        </w:rPr>
        <w:t>1.路基填料要求</w:t>
      </w:r>
    </w:p>
    <w:p w14:paraId="020797A8">
      <w:pPr>
        <w:pStyle w:val="99"/>
        <w:rPr>
          <w:rFonts w:eastAsiaTheme="minorEastAsia"/>
        </w:rPr>
      </w:pPr>
      <w:r>
        <w:rPr>
          <w:rFonts w:eastAsiaTheme="minorEastAsia"/>
        </w:rPr>
        <w:t>路基填料应符合下列规定：</w:t>
      </w:r>
    </w:p>
    <w:p w14:paraId="6B697D7A">
      <w:pPr>
        <w:pStyle w:val="99"/>
        <w:rPr>
          <w:rFonts w:eastAsiaTheme="minorEastAsia"/>
        </w:rPr>
      </w:pPr>
      <w:r>
        <w:rPr>
          <w:rFonts w:eastAsiaTheme="minorEastAsia"/>
        </w:rPr>
        <w:t>1）路基采用塑性指数不小于10的土，不得使用淤泥、沼泽土、冻土、有机土、含草皮土、生活垃圾、树根和含有腐朽物质的土。</w:t>
      </w:r>
    </w:p>
    <w:p w14:paraId="1A1EB4A5">
      <w:pPr>
        <w:pStyle w:val="99"/>
        <w:rPr>
          <w:rFonts w:eastAsiaTheme="minorEastAsia"/>
        </w:rPr>
      </w:pPr>
      <w:r>
        <w:rPr>
          <w:rFonts w:eastAsiaTheme="minorEastAsia"/>
        </w:rPr>
        <w:t>2）液限大于50％、塑性指数大于26的土，以及含水量超过规定的土，不得直接作为路堤填料。需要应用时，必须采取满足设计要求的技术措施，经检查合格后方可使用。</w:t>
      </w:r>
    </w:p>
    <w:p w14:paraId="464E32D1">
      <w:pPr>
        <w:pStyle w:val="99"/>
        <w:rPr>
          <w:rFonts w:eastAsiaTheme="minorEastAsia"/>
        </w:rPr>
      </w:pPr>
      <w:r>
        <w:rPr>
          <w:rFonts w:eastAsiaTheme="minorEastAsia"/>
        </w:rPr>
        <w:t>3）路基填方材料，应有一定的强度。路基填方材料，应经野外取土试验，满足要求方可使用。</w:t>
      </w:r>
    </w:p>
    <w:p w14:paraId="7F75826B">
      <w:pPr>
        <w:jc w:val="center"/>
        <w:rPr>
          <w:rFonts w:eastAsiaTheme="minorEastAsia"/>
          <w:b/>
          <w:w w:val="100"/>
          <w:kern w:val="0"/>
        </w:rPr>
      </w:pPr>
      <w:r>
        <w:rPr>
          <w:rFonts w:eastAsiaTheme="minorEastAsia"/>
          <w:b/>
          <w:w w:val="100"/>
          <w:kern w:val="0"/>
        </w:rPr>
        <w:t>表4.1 路基填料最小强度要求</w:t>
      </w:r>
    </w:p>
    <w:tbl>
      <w:tblPr>
        <w:tblStyle w:val="25"/>
        <w:tblW w:w="0" w:type="auto"/>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4683"/>
        <w:gridCol w:w="2938"/>
      </w:tblGrid>
      <w:tr w14:paraId="7C78F12E">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tblHeader/>
          <w:jc w:val="center"/>
        </w:trPr>
        <w:tc>
          <w:tcPr>
            <w:tcW w:w="4683" w:type="dxa"/>
            <w:vAlign w:val="bottom"/>
          </w:tcPr>
          <w:p w14:paraId="201D7228">
            <w:pPr>
              <w:spacing w:line="276" w:lineRule="auto"/>
              <w:jc w:val="center"/>
              <w:rPr>
                <w:rFonts w:eastAsiaTheme="minorEastAsia"/>
                <w:szCs w:val="21"/>
              </w:rPr>
            </w:pPr>
            <w:r>
              <w:rPr>
                <w:rFonts w:eastAsiaTheme="minorEastAsia"/>
                <w:szCs w:val="21"/>
              </w:rPr>
              <w:t>路床顶面以下深度（cm）</w:t>
            </w:r>
          </w:p>
        </w:tc>
        <w:tc>
          <w:tcPr>
            <w:tcW w:w="2938" w:type="dxa"/>
            <w:vAlign w:val="bottom"/>
          </w:tcPr>
          <w:p w14:paraId="772D367E">
            <w:pPr>
              <w:spacing w:line="276" w:lineRule="auto"/>
              <w:jc w:val="center"/>
              <w:rPr>
                <w:rFonts w:eastAsiaTheme="minorEastAsia"/>
                <w:szCs w:val="21"/>
              </w:rPr>
            </w:pPr>
            <w:r>
              <w:rPr>
                <w:rFonts w:eastAsiaTheme="minorEastAsia"/>
                <w:szCs w:val="21"/>
              </w:rPr>
              <w:t>填料最小强度（CBR）%</w:t>
            </w:r>
          </w:p>
        </w:tc>
      </w:tr>
      <w:tr w14:paraId="24EA8AC0">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23084D00">
            <w:pPr>
              <w:spacing w:line="276" w:lineRule="auto"/>
              <w:jc w:val="center"/>
              <w:rPr>
                <w:rFonts w:eastAsiaTheme="minorEastAsia"/>
                <w:szCs w:val="21"/>
              </w:rPr>
            </w:pPr>
            <w:r>
              <w:rPr>
                <w:rFonts w:eastAsiaTheme="minorEastAsia"/>
                <w:szCs w:val="21"/>
              </w:rPr>
              <w:t>0～30</w:t>
            </w:r>
          </w:p>
        </w:tc>
        <w:tc>
          <w:tcPr>
            <w:tcW w:w="2938" w:type="dxa"/>
            <w:vAlign w:val="bottom"/>
          </w:tcPr>
          <w:p w14:paraId="0C6B6F09">
            <w:pPr>
              <w:spacing w:line="276" w:lineRule="auto"/>
              <w:jc w:val="center"/>
              <w:rPr>
                <w:rFonts w:eastAsiaTheme="minorEastAsia"/>
                <w:szCs w:val="21"/>
              </w:rPr>
            </w:pPr>
            <w:r>
              <w:rPr>
                <w:rFonts w:eastAsiaTheme="minorEastAsia"/>
                <w:szCs w:val="21"/>
              </w:rPr>
              <w:t>6</w:t>
            </w:r>
          </w:p>
        </w:tc>
      </w:tr>
      <w:tr w14:paraId="681B0195">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780EDBD">
            <w:pPr>
              <w:spacing w:line="276" w:lineRule="auto"/>
              <w:jc w:val="center"/>
              <w:rPr>
                <w:rFonts w:eastAsiaTheme="minorEastAsia"/>
                <w:szCs w:val="21"/>
              </w:rPr>
            </w:pPr>
            <w:r>
              <w:rPr>
                <w:rFonts w:eastAsiaTheme="minorEastAsia"/>
                <w:szCs w:val="21"/>
              </w:rPr>
              <w:t>30～80</w:t>
            </w:r>
          </w:p>
        </w:tc>
        <w:tc>
          <w:tcPr>
            <w:tcW w:w="2938" w:type="dxa"/>
            <w:vAlign w:val="bottom"/>
          </w:tcPr>
          <w:p w14:paraId="5A09B01B">
            <w:pPr>
              <w:spacing w:line="276" w:lineRule="auto"/>
              <w:jc w:val="center"/>
              <w:rPr>
                <w:rFonts w:eastAsiaTheme="minorEastAsia"/>
                <w:szCs w:val="21"/>
              </w:rPr>
            </w:pPr>
            <w:r>
              <w:rPr>
                <w:rFonts w:eastAsiaTheme="minorEastAsia"/>
                <w:szCs w:val="21"/>
              </w:rPr>
              <w:t>4</w:t>
            </w:r>
          </w:p>
        </w:tc>
      </w:tr>
      <w:tr w14:paraId="00CAD6AE">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2B8B04B3">
            <w:pPr>
              <w:spacing w:line="276" w:lineRule="auto"/>
              <w:jc w:val="center"/>
              <w:rPr>
                <w:rFonts w:eastAsiaTheme="minorEastAsia"/>
                <w:szCs w:val="21"/>
              </w:rPr>
            </w:pPr>
            <w:r>
              <w:rPr>
                <w:rFonts w:eastAsiaTheme="minorEastAsia"/>
                <w:szCs w:val="21"/>
              </w:rPr>
              <w:t>80～150</w:t>
            </w:r>
          </w:p>
        </w:tc>
        <w:tc>
          <w:tcPr>
            <w:tcW w:w="2938" w:type="dxa"/>
            <w:vAlign w:val="bottom"/>
          </w:tcPr>
          <w:p w14:paraId="622EFAB9">
            <w:pPr>
              <w:spacing w:line="276" w:lineRule="auto"/>
              <w:jc w:val="center"/>
              <w:rPr>
                <w:rFonts w:eastAsiaTheme="minorEastAsia"/>
                <w:szCs w:val="21"/>
              </w:rPr>
            </w:pPr>
            <w:r>
              <w:rPr>
                <w:rFonts w:eastAsiaTheme="minorEastAsia"/>
                <w:szCs w:val="21"/>
              </w:rPr>
              <w:t>3</w:t>
            </w:r>
          </w:p>
        </w:tc>
      </w:tr>
      <w:tr w14:paraId="278A8833">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AB87465">
            <w:pPr>
              <w:spacing w:line="276" w:lineRule="auto"/>
              <w:jc w:val="center"/>
              <w:rPr>
                <w:rFonts w:eastAsiaTheme="minorEastAsia"/>
                <w:szCs w:val="21"/>
              </w:rPr>
            </w:pPr>
            <w:r>
              <w:rPr>
                <w:rFonts w:eastAsiaTheme="minorEastAsia"/>
                <w:szCs w:val="21"/>
              </w:rPr>
              <w:t>＞150</w:t>
            </w:r>
          </w:p>
        </w:tc>
        <w:tc>
          <w:tcPr>
            <w:tcW w:w="2938" w:type="dxa"/>
            <w:vAlign w:val="bottom"/>
          </w:tcPr>
          <w:p w14:paraId="56B689D3">
            <w:pPr>
              <w:spacing w:line="276" w:lineRule="auto"/>
              <w:jc w:val="center"/>
              <w:rPr>
                <w:rFonts w:eastAsiaTheme="minorEastAsia"/>
                <w:szCs w:val="21"/>
              </w:rPr>
            </w:pPr>
            <w:r>
              <w:rPr>
                <w:rFonts w:eastAsiaTheme="minorEastAsia"/>
                <w:szCs w:val="21"/>
              </w:rPr>
              <w:t>2</w:t>
            </w:r>
          </w:p>
        </w:tc>
      </w:tr>
    </w:tbl>
    <w:p w14:paraId="05EA7F53">
      <w:pPr>
        <w:pStyle w:val="97"/>
        <w:numPr>
          <w:ilvl w:val="0"/>
          <w:numId w:val="0"/>
        </w:numPr>
        <w:outlineLvl w:val="9"/>
        <w:rPr>
          <w:rFonts w:ascii="Times New Roman" w:eastAsiaTheme="minorEastAsia"/>
        </w:rPr>
      </w:pPr>
      <w:r>
        <w:rPr>
          <w:rFonts w:ascii="Times New Roman" w:eastAsiaTheme="minorEastAsia"/>
        </w:rPr>
        <w:t>2.路基压实度</w:t>
      </w:r>
    </w:p>
    <w:p w14:paraId="09133C86">
      <w:pPr>
        <w:pStyle w:val="99"/>
        <w:rPr>
          <w:rFonts w:eastAsiaTheme="minorEastAsia"/>
        </w:rPr>
      </w:pPr>
      <w:r>
        <w:rPr>
          <w:rFonts w:eastAsiaTheme="minorEastAsia"/>
        </w:rPr>
        <w:t>依据《城市道路路基设计规范》（CJJ 194-2013），路基压实度应符合下表标准：</w:t>
      </w:r>
    </w:p>
    <w:p w14:paraId="1924FE09">
      <w:pPr>
        <w:jc w:val="center"/>
        <w:rPr>
          <w:rFonts w:eastAsiaTheme="minorEastAsia"/>
          <w:b/>
          <w:w w:val="100"/>
          <w:kern w:val="0"/>
        </w:rPr>
      </w:pPr>
      <w:r>
        <w:rPr>
          <w:rFonts w:eastAsiaTheme="minorEastAsia"/>
          <w:b/>
          <w:w w:val="100"/>
          <w:kern w:val="0"/>
        </w:rPr>
        <w:t>表4.2 路基压实标准</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283"/>
        <w:gridCol w:w="2868"/>
      </w:tblGrid>
      <w:tr w14:paraId="4FA087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Align w:val="center"/>
          </w:tcPr>
          <w:p w14:paraId="1D8915C3">
            <w:pPr>
              <w:spacing w:line="276" w:lineRule="auto"/>
              <w:jc w:val="center"/>
              <w:rPr>
                <w:rFonts w:eastAsiaTheme="minorEastAsia"/>
                <w:szCs w:val="21"/>
              </w:rPr>
            </w:pPr>
            <w:r>
              <w:rPr>
                <w:rFonts w:eastAsiaTheme="minorEastAsia"/>
                <w:szCs w:val="21"/>
              </w:rPr>
              <w:t>填挖类型</w:t>
            </w:r>
          </w:p>
        </w:tc>
        <w:tc>
          <w:tcPr>
            <w:tcW w:w="3283" w:type="dxa"/>
            <w:vAlign w:val="center"/>
          </w:tcPr>
          <w:p w14:paraId="618D7E35">
            <w:pPr>
              <w:spacing w:line="276" w:lineRule="auto"/>
              <w:jc w:val="center"/>
              <w:rPr>
                <w:rFonts w:eastAsiaTheme="minorEastAsia"/>
                <w:szCs w:val="21"/>
              </w:rPr>
            </w:pPr>
            <w:r>
              <w:rPr>
                <w:rFonts w:eastAsiaTheme="minorEastAsia"/>
                <w:szCs w:val="21"/>
              </w:rPr>
              <w:t>路床顶面以下深度（cm）</w:t>
            </w:r>
          </w:p>
        </w:tc>
        <w:tc>
          <w:tcPr>
            <w:tcW w:w="2868" w:type="dxa"/>
            <w:vAlign w:val="center"/>
          </w:tcPr>
          <w:p w14:paraId="655A6792">
            <w:pPr>
              <w:spacing w:line="276" w:lineRule="auto"/>
              <w:jc w:val="center"/>
              <w:rPr>
                <w:rFonts w:eastAsiaTheme="minorEastAsia"/>
                <w:szCs w:val="21"/>
              </w:rPr>
            </w:pPr>
            <w:r>
              <w:rPr>
                <w:rFonts w:eastAsiaTheme="minorEastAsia"/>
                <w:szCs w:val="21"/>
              </w:rPr>
              <w:t>路基最低压实度（%）</w:t>
            </w:r>
          </w:p>
        </w:tc>
      </w:tr>
      <w:tr w14:paraId="38DE5DC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79127A98">
            <w:pPr>
              <w:spacing w:line="276" w:lineRule="auto"/>
              <w:jc w:val="center"/>
              <w:rPr>
                <w:rFonts w:eastAsiaTheme="minorEastAsia"/>
                <w:szCs w:val="21"/>
              </w:rPr>
            </w:pPr>
            <w:r>
              <w:rPr>
                <w:rFonts w:eastAsiaTheme="minorEastAsia"/>
                <w:szCs w:val="21"/>
              </w:rPr>
              <w:t>填方</w:t>
            </w:r>
          </w:p>
        </w:tc>
        <w:tc>
          <w:tcPr>
            <w:tcW w:w="3283" w:type="dxa"/>
            <w:vAlign w:val="center"/>
          </w:tcPr>
          <w:p w14:paraId="596E8B1F">
            <w:pPr>
              <w:spacing w:line="276" w:lineRule="auto"/>
              <w:jc w:val="center"/>
              <w:rPr>
                <w:rFonts w:eastAsiaTheme="minorEastAsia"/>
                <w:szCs w:val="21"/>
              </w:rPr>
            </w:pPr>
            <w:r>
              <w:rPr>
                <w:rFonts w:eastAsiaTheme="minorEastAsia"/>
                <w:szCs w:val="21"/>
              </w:rPr>
              <w:t>0～80</w:t>
            </w:r>
          </w:p>
        </w:tc>
        <w:tc>
          <w:tcPr>
            <w:tcW w:w="2868" w:type="dxa"/>
            <w:vAlign w:val="center"/>
          </w:tcPr>
          <w:p w14:paraId="7186596D">
            <w:pPr>
              <w:spacing w:line="276" w:lineRule="auto"/>
              <w:jc w:val="center"/>
              <w:rPr>
                <w:rFonts w:eastAsiaTheme="minorEastAsia"/>
                <w:szCs w:val="21"/>
              </w:rPr>
            </w:pPr>
            <w:r>
              <w:rPr>
                <w:rFonts w:eastAsiaTheme="minorEastAsia"/>
                <w:szCs w:val="21"/>
              </w:rPr>
              <w:t>≥94</w:t>
            </w:r>
          </w:p>
        </w:tc>
      </w:tr>
      <w:tr w14:paraId="38F0DD5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27" w:type="dxa"/>
            <w:vMerge w:val="continue"/>
            <w:vAlign w:val="center"/>
          </w:tcPr>
          <w:p w14:paraId="6F57F1F0">
            <w:pPr>
              <w:spacing w:line="276" w:lineRule="auto"/>
              <w:jc w:val="center"/>
              <w:rPr>
                <w:rFonts w:eastAsiaTheme="minorEastAsia"/>
                <w:szCs w:val="21"/>
              </w:rPr>
            </w:pPr>
          </w:p>
        </w:tc>
        <w:tc>
          <w:tcPr>
            <w:tcW w:w="3283" w:type="dxa"/>
            <w:vAlign w:val="center"/>
          </w:tcPr>
          <w:p w14:paraId="6DAED4D7">
            <w:pPr>
              <w:spacing w:line="276" w:lineRule="auto"/>
              <w:jc w:val="center"/>
              <w:rPr>
                <w:rFonts w:eastAsiaTheme="minorEastAsia"/>
                <w:szCs w:val="21"/>
              </w:rPr>
            </w:pPr>
            <w:r>
              <w:rPr>
                <w:rFonts w:eastAsiaTheme="minorEastAsia"/>
                <w:szCs w:val="21"/>
              </w:rPr>
              <w:t>80～150</w:t>
            </w:r>
          </w:p>
        </w:tc>
        <w:tc>
          <w:tcPr>
            <w:tcW w:w="2868" w:type="dxa"/>
            <w:vAlign w:val="center"/>
          </w:tcPr>
          <w:p w14:paraId="3D51BA8F">
            <w:pPr>
              <w:spacing w:line="276" w:lineRule="auto"/>
              <w:jc w:val="center"/>
              <w:rPr>
                <w:rFonts w:eastAsiaTheme="minorEastAsia"/>
                <w:szCs w:val="21"/>
              </w:rPr>
            </w:pPr>
            <w:r>
              <w:rPr>
                <w:rFonts w:eastAsiaTheme="minorEastAsia"/>
                <w:szCs w:val="21"/>
              </w:rPr>
              <w:t>≥92</w:t>
            </w:r>
          </w:p>
        </w:tc>
      </w:tr>
      <w:tr w14:paraId="5FD7A48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7E2BBA86">
            <w:pPr>
              <w:spacing w:line="276" w:lineRule="auto"/>
              <w:jc w:val="center"/>
              <w:rPr>
                <w:rFonts w:eastAsiaTheme="minorEastAsia"/>
                <w:szCs w:val="21"/>
              </w:rPr>
            </w:pPr>
          </w:p>
        </w:tc>
        <w:tc>
          <w:tcPr>
            <w:tcW w:w="3283" w:type="dxa"/>
            <w:vAlign w:val="center"/>
          </w:tcPr>
          <w:p w14:paraId="1C48B2F2">
            <w:pPr>
              <w:spacing w:line="276" w:lineRule="auto"/>
              <w:jc w:val="center"/>
              <w:rPr>
                <w:rFonts w:eastAsiaTheme="minorEastAsia"/>
                <w:szCs w:val="21"/>
              </w:rPr>
            </w:pPr>
            <w:r>
              <w:rPr>
                <w:rFonts w:eastAsiaTheme="minorEastAsia"/>
                <w:szCs w:val="21"/>
              </w:rPr>
              <w:t>&gt;150</w:t>
            </w:r>
          </w:p>
        </w:tc>
        <w:tc>
          <w:tcPr>
            <w:tcW w:w="2868" w:type="dxa"/>
            <w:vAlign w:val="center"/>
          </w:tcPr>
          <w:p w14:paraId="41A592DA">
            <w:pPr>
              <w:spacing w:line="276" w:lineRule="auto"/>
              <w:jc w:val="center"/>
              <w:rPr>
                <w:rFonts w:eastAsiaTheme="minorEastAsia"/>
                <w:szCs w:val="21"/>
              </w:rPr>
            </w:pPr>
            <w:r>
              <w:rPr>
                <w:rFonts w:eastAsiaTheme="minorEastAsia"/>
                <w:szCs w:val="21"/>
              </w:rPr>
              <w:t>≥91</w:t>
            </w:r>
          </w:p>
        </w:tc>
      </w:tr>
      <w:tr w14:paraId="06F2327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49FA18EB">
            <w:pPr>
              <w:spacing w:line="276" w:lineRule="auto"/>
              <w:jc w:val="center"/>
              <w:rPr>
                <w:rFonts w:eastAsiaTheme="minorEastAsia"/>
                <w:szCs w:val="21"/>
              </w:rPr>
            </w:pPr>
            <w:r>
              <w:rPr>
                <w:rFonts w:eastAsiaTheme="minorEastAsia"/>
                <w:szCs w:val="21"/>
              </w:rPr>
              <w:t>零填或挖方</w:t>
            </w:r>
          </w:p>
        </w:tc>
        <w:tc>
          <w:tcPr>
            <w:tcW w:w="3283" w:type="dxa"/>
            <w:vAlign w:val="center"/>
          </w:tcPr>
          <w:p w14:paraId="6CE6CDD7">
            <w:pPr>
              <w:spacing w:line="276" w:lineRule="auto"/>
              <w:jc w:val="center"/>
              <w:rPr>
                <w:rFonts w:eastAsiaTheme="minorEastAsia"/>
                <w:szCs w:val="21"/>
              </w:rPr>
            </w:pPr>
            <w:r>
              <w:rPr>
                <w:rFonts w:eastAsiaTheme="minorEastAsia"/>
                <w:szCs w:val="21"/>
              </w:rPr>
              <w:t>0～30</w:t>
            </w:r>
          </w:p>
        </w:tc>
        <w:tc>
          <w:tcPr>
            <w:tcW w:w="2868" w:type="dxa"/>
            <w:vAlign w:val="center"/>
          </w:tcPr>
          <w:p w14:paraId="7B3AE2DB">
            <w:pPr>
              <w:spacing w:line="276" w:lineRule="auto"/>
              <w:jc w:val="center"/>
              <w:rPr>
                <w:rFonts w:eastAsiaTheme="minorEastAsia"/>
                <w:szCs w:val="21"/>
              </w:rPr>
            </w:pPr>
            <w:r>
              <w:rPr>
                <w:rFonts w:eastAsiaTheme="minorEastAsia"/>
                <w:szCs w:val="21"/>
              </w:rPr>
              <w:t>≥94</w:t>
            </w:r>
          </w:p>
        </w:tc>
      </w:tr>
      <w:tr w14:paraId="4B597C5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091B7F9D">
            <w:pPr>
              <w:jc w:val="center"/>
              <w:rPr>
                <w:rFonts w:eastAsiaTheme="minorEastAsia"/>
                <w:szCs w:val="21"/>
              </w:rPr>
            </w:pPr>
          </w:p>
        </w:tc>
        <w:tc>
          <w:tcPr>
            <w:tcW w:w="3283" w:type="dxa"/>
            <w:vAlign w:val="center"/>
          </w:tcPr>
          <w:p w14:paraId="4FAD91F6">
            <w:pPr>
              <w:spacing w:line="240" w:lineRule="auto"/>
              <w:jc w:val="center"/>
              <w:rPr>
                <w:rFonts w:eastAsiaTheme="minorEastAsia"/>
                <w:szCs w:val="21"/>
              </w:rPr>
            </w:pPr>
            <w:r>
              <w:rPr>
                <w:rFonts w:eastAsiaTheme="minorEastAsia"/>
                <w:szCs w:val="21"/>
              </w:rPr>
              <w:t>30～80</w:t>
            </w:r>
          </w:p>
        </w:tc>
        <w:tc>
          <w:tcPr>
            <w:tcW w:w="2868" w:type="dxa"/>
            <w:vAlign w:val="center"/>
          </w:tcPr>
          <w:p w14:paraId="38FC14C5">
            <w:pPr>
              <w:spacing w:line="240" w:lineRule="auto"/>
              <w:jc w:val="center"/>
              <w:rPr>
                <w:rFonts w:eastAsiaTheme="minorEastAsia"/>
                <w:szCs w:val="21"/>
              </w:rPr>
            </w:pPr>
            <w:r>
              <w:rPr>
                <w:rFonts w:eastAsiaTheme="minorEastAsia"/>
                <w:szCs w:val="21"/>
              </w:rPr>
              <w:t>-</w:t>
            </w:r>
          </w:p>
        </w:tc>
      </w:tr>
    </w:tbl>
    <w:p w14:paraId="60281F4F">
      <w:pPr>
        <w:adjustRightInd w:val="0"/>
        <w:snapToGrid w:val="0"/>
        <w:spacing w:before="156" w:beforeLines="50"/>
        <w:rPr>
          <w:rFonts w:eastAsiaTheme="minorEastAsia"/>
          <w:b/>
        </w:rPr>
      </w:pPr>
      <w:r>
        <w:rPr>
          <w:rFonts w:eastAsiaTheme="minorEastAsia"/>
          <w:b/>
        </w:rPr>
        <w:t>注：表中数字为重型击实标准。</w:t>
      </w:r>
    </w:p>
    <w:p w14:paraId="4957180C">
      <w:pPr>
        <w:pStyle w:val="94"/>
        <w:rPr>
          <w:rFonts w:ascii="Times New Roman" w:eastAsiaTheme="minorEastAsia"/>
        </w:rPr>
      </w:pPr>
      <w:bookmarkStart w:id="2" w:name="_GoBack"/>
      <w:bookmarkEnd w:id="2"/>
      <w:r>
        <w:rPr>
          <w:rFonts w:ascii="Times New Roman" w:eastAsiaTheme="minorEastAsia"/>
        </w:rPr>
        <w:t>材料组成及技术要求</w:t>
      </w:r>
    </w:p>
    <w:p w14:paraId="24DB256A">
      <w:pPr>
        <w:pStyle w:val="95"/>
        <w:ind w:left="846" w:hanging="846"/>
        <w:rPr>
          <w:rFonts w:ascii="Times New Roman" w:eastAsiaTheme="minorEastAsia"/>
        </w:rPr>
      </w:pPr>
      <w:r>
        <w:rPr>
          <w:rFonts w:ascii="Times New Roman" w:eastAsiaTheme="minorEastAsia"/>
        </w:rPr>
        <w:t>沥青路面质量技术要求</w:t>
      </w:r>
    </w:p>
    <w:p w14:paraId="080BB67E">
      <w:pPr>
        <w:pStyle w:val="97"/>
        <w:rPr>
          <w:rFonts w:ascii="Times New Roman" w:eastAsiaTheme="minorEastAsia"/>
        </w:rPr>
      </w:pPr>
      <w:r>
        <w:rPr>
          <w:rFonts w:ascii="Times New Roman" w:eastAsiaTheme="minorEastAsia"/>
        </w:rPr>
        <w:t>沥青原材料</w:t>
      </w:r>
    </w:p>
    <w:p w14:paraId="63421E9E">
      <w:pPr>
        <w:tabs>
          <w:tab w:val="left" w:pos="105"/>
        </w:tabs>
        <w:ind w:firstLine="477" w:firstLineChars="199"/>
        <w:rPr>
          <w:rFonts w:eastAsiaTheme="minorEastAsia"/>
          <w:w w:val="100"/>
          <w:kern w:val="0"/>
          <w:sz w:val="24"/>
        </w:rPr>
      </w:pPr>
      <w:r>
        <w:rPr>
          <w:rFonts w:eastAsiaTheme="minorEastAsia"/>
          <w:w w:val="100"/>
          <w:kern w:val="0"/>
          <w:sz w:val="24"/>
        </w:rPr>
        <w:t>沥青原材料，其技术要求应符合表5.1的规定。</w:t>
      </w:r>
    </w:p>
    <w:p w14:paraId="1CD3FD6B">
      <w:pPr>
        <w:pStyle w:val="93"/>
        <w:spacing w:line="480" w:lineRule="auto"/>
        <w:ind w:left="0" w:leftChars="360" w:firstLine="2104" w:firstLineChars="998"/>
        <w:rPr>
          <w:rFonts w:ascii="Times New Roman" w:eastAsiaTheme="minorEastAsia"/>
          <w:b/>
          <w:bCs/>
          <w:sz w:val="24"/>
          <w:szCs w:val="24"/>
        </w:rPr>
      </w:pPr>
      <w:r>
        <w:rPr>
          <w:rFonts w:ascii="Times New Roman" w:eastAsiaTheme="minorEastAsia"/>
          <w:b/>
          <w:sz w:val="21"/>
          <w:szCs w:val="24"/>
        </w:rPr>
        <w:t xml:space="preserve">表5.1 </w:t>
      </w:r>
      <w:r>
        <w:rPr>
          <w:rFonts w:ascii="Times New Roman" w:eastAsiaTheme="minorEastAsia"/>
          <w:b/>
          <w:bCs/>
          <w:sz w:val="21"/>
          <w:szCs w:val="24"/>
        </w:rPr>
        <w:t>道路石油沥青90号的技术要求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01"/>
        <w:gridCol w:w="1276"/>
        <w:gridCol w:w="1307"/>
        <w:gridCol w:w="3358"/>
      </w:tblGrid>
      <w:tr w14:paraId="5B1F6F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2D9710E">
            <w:pPr>
              <w:spacing w:line="276" w:lineRule="auto"/>
              <w:jc w:val="center"/>
              <w:rPr>
                <w:rFonts w:eastAsiaTheme="minorEastAsia"/>
                <w:szCs w:val="21"/>
              </w:rPr>
            </w:pPr>
            <w:r>
              <w:rPr>
                <w:rFonts w:eastAsiaTheme="minorEastAsia"/>
                <w:szCs w:val="21"/>
              </w:rPr>
              <w:t>技术标准</w:t>
            </w:r>
          </w:p>
        </w:tc>
        <w:tc>
          <w:tcPr>
            <w:tcW w:w="1276" w:type="dxa"/>
            <w:vAlign w:val="center"/>
          </w:tcPr>
          <w:p w14:paraId="4749DC2E">
            <w:pPr>
              <w:spacing w:line="276" w:lineRule="auto"/>
              <w:jc w:val="center"/>
              <w:rPr>
                <w:rFonts w:eastAsiaTheme="minorEastAsia"/>
                <w:szCs w:val="21"/>
              </w:rPr>
            </w:pPr>
            <w:r>
              <w:rPr>
                <w:rFonts w:eastAsiaTheme="minorEastAsia"/>
                <w:szCs w:val="21"/>
              </w:rPr>
              <w:t>单位</w:t>
            </w:r>
          </w:p>
        </w:tc>
        <w:tc>
          <w:tcPr>
            <w:tcW w:w="1307" w:type="dxa"/>
            <w:vAlign w:val="center"/>
          </w:tcPr>
          <w:p w14:paraId="4D4D4CC0">
            <w:pPr>
              <w:spacing w:line="276" w:lineRule="auto"/>
              <w:jc w:val="center"/>
              <w:rPr>
                <w:rFonts w:eastAsiaTheme="minorEastAsia"/>
                <w:szCs w:val="21"/>
              </w:rPr>
            </w:pPr>
            <w:r>
              <w:rPr>
                <w:rFonts w:eastAsiaTheme="minorEastAsia"/>
                <w:szCs w:val="21"/>
              </w:rPr>
              <w:t>指标</w:t>
            </w:r>
          </w:p>
        </w:tc>
        <w:tc>
          <w:tcPr>
            <w:tcW w:w="3358" w:type="dxa"/>
            <w:vAlign w:val="center"/>
          </w:tcPr>
          <w:p w14:paraId="776EBC79">
            <w:pPr>
              <w:spacing w:line="276" w:lineRule="auto"/>
              <w:jc w:val="center"/>
              <w:rPr>
                <w:rFonts w:eastAsiaTheme="minorEastAsia"/>
                <w:szCs w:val="21"/>
              </w:rPr>
            </w:pPr>
            <w:r>
              <w:rPr>
                <w:rFonts w:eastAsiaTheme="minorEastAsia"/>
                <w:szCs w:val="21"/>
              </w:rPr>
              <w:t>试验方法</w:t>
            </w:r>
          </w:p>
        </w:tc>
      </w:tr>
      <w:tr w14:paraId="4DA9A1B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B153D4D">
            <w:pPr>
              <w:spacing w:line="276" w:lineRule="auto"/>
              <w:jc w:val="center"/>
              <w:rPr>
                <w:rFonts w:eastAsiaTheme="minorEastAsia"/>
                <w:szCs w:val="21"/>
              </w:rPr>
            </w:pPr>
            <w:r>
              <w:rPr>
                <w:rFonts w:eastAsiaTheme="minorEastAsia"/>
                <w:szCs w:val="21"/>
              </w:rPr>
              <w:t>针入度（25℃，5s ,100g）</w:t>
            </w:r>
          </w:p>
        </w:tc>
        <w:tc>
          <w:tcPr>
            <w:tcW w:w="1276" w:type="dxa"/>
            <w:vAlign w:val="center"/>
          </w:tcPr>
          <w:p w14:paraId="4B69BB42">
            <w:pPr>
              <w:spacing w:line="276" w:lineRule="auto"/>
              <w:jc w:val="center"/>
              <w:rPr>
                <w:rFonts w:eastAsiaTheme="minorEastAsia"/>
                <w:szCs w:val="21"/>
              </w:rPr>
            </w:pPr>
            <w:r>
              <w:rPr>
                <w:rFonts w:eastAsiaTheme="minorEastAsia"/>
                <w:szCs w:val="21"/>
              </w:rPr>
              <w:t>0.1mm</w:t>
            </w:r>
          </w:p>
        </w:tc>
        <w:tc>
          <w:tcPr>
            <w:tcW w:w="1307" w:type="dxa"/>
            <w:vAlign w:val="center"/>
          </w:tcPr>
          <w:p w14:paraId="0C64273E">
            <w:pPr>
              <w:spacing w:line="276" w:lineRule="auto"/>
              <w:jc w:val="center"/>
              <w:rPr>
                <w:rFonts w:eastAsiaTheme="minorEastAsia"/>
                <w:szCs w:val="21"/>
              </w:rPr>
            </w:pPr>
            <w:r>
              <w:rPr>
                <w:rFonts w:eastAsiaTheme="minorEastAsia"/>
                <w:szCs w:val="21"/>
              </w:rPr>
              <w:t>80～100</w:t>
            </w:r>
          </w:p>
        </w:tc>
        <w:tc>
          <w:tcPr>
            <w:tcW w:w="3358" w:type="dxa"/>
            <w:vAlign w:val="center"/>
          </w:tcPr>
          <w:p w14:paraId="12F65F60">
            <w:pPr>
              <w:spacing w:line="276" w:lineRule="auto"/>
              <w:jc w:val="center"/>
              <w:rPr>
                <w:rFonts w:eastAsiaTheme="minorEastAsia"/>
                <w:szCs w:val="21"/>
              </w:rPr>
            </w:pPr>
            <w:r>
              <w:rPr>
                <w:rFonts w:eastAsiaTheme="minorEastAsia"/>
                <w:szCs w:val="21"/>
              </w:rPr>
              <w:t>T0604</w:t>
            </w:r>
          </w:p>
        </w:tc>
      </w:tr>
      <w:tr w14:paraId="2BE3730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B0FF69D">
            <w:pPr>
              <w:spacing w:line="276" w:lineRule="auto"/>
              <w:jc w:val="center"/>
              <w:rPr>
                <w:rFonts w:eastAsiaTheme="minorEastAsia"/>
                <w:szCs w:val="21"/>
              </w:rPr>
            </w:pPr>
            <w:r>
              <w:rPr>
                <w:rFonts w:eastAsiaTheme="minorEastAsia"/>
                <w:szCs w:val="21"/>
              </w:rPr>
              <w:t>适用的气候分区</w:t>
            </w:r>
          </w:p>
        </w:tc>
        <w:tc>
          <w:tcPr>
            <w:tcW w:w="1276" w:type="dxa"/>
            <w:vAlign w:val="center"/>
          </w:tcPr>
          <w:p w14:paraId="141ECF31">
            <w:pPr>
              <w:spacing w:line="276" w:lineRule="auto"/>
              <w:jc w:val="center"/>
              <w:rPr>
                <w:rFonts w:eastAsiaTheme="minorEastAsia"/>
                <w:szCs w:val="21"/>
              </w:rPr>
            </w:pPr>
          </w:p>
        </w:tc>
        <w:tc>
          <w:tcPr>
            <w:tcW w:w="1307" w:type="dxa"/>
            <w:vAlign w:val="center"/>
          </w:tcPr>
          <w:p w14:paraId="37035952">
            <w:pPr>
              <w:spacing w:line="276" w:lineRule="auto"/>
              <w:jc w:val="center"/>
              <w:rPr>
                <w:rFonts w:eastAsiaTheme="minorEastAsia"/>
                <w:szCs w:val="21"/>
              </w:rPr>
            </w:pPr>
            <w:r>
              <w:rPr>
                <w:rFonts w:eastAsiaTheme="minorEastAsia"/>
                <w:szCs w:val="21"/>
              </w:rPr>
              <w:t>2-2-2</w:t>
            </w:r>
          </w:p>
        </w:tc>
        <w:tc>
          <w:tcPr>
            <w:tcW w:w="3358" w:type="dxa"/>
            <w:vAlign w:val="center"/>
          </w:tcPr>
          <w:p w14:paraId="3E0C0221">
            <w:pPr>
              <w:spacing w:line="276" w:lineRule="auto"/>
              <w:jc w:val="center"/>
              <w:rPr>
                <w:rFonts w:eastAsiaTheme="minorEastAsia"/>
                <w:szCs w:val="21"/>
              </w:rPr>
            </w:pPr>
          </w:p>
        </w:tc>
      </w:tr>
      <w:tr w14:paraId="1E72664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A58431D">
            <w:pPr>
              <w:spacing w:line="276" w:lineRule="auto"/>
              <w:jc w:val="center"/>
              <w:rPr>
                <w:rFonts w:eastAsiaTheme="minorEastAsia"/>
                <w:szCs w:val="21"/>
              </w:rPr>
            </w:pPr>
            <w:r>
              <w:rPr>
                <w:rFonts w:eastAsiaTheme="minorEastAsia"/>
                <w:szCs w:val="21"/>
              </w:rPr>
              <w:t>针入度指数PI</w:t>
            </w:r>
          </w:p>
        </w:tc>
        <w:tc>
          <w:tcPr>
            <w:tcW w:w="1276" w:type="dxa"/>
            <w:vAlign w:val="center"/>
          </w:tcPr>
          <w:p w14:paraId="59759244">
            <w:pPr>
              <w:spacing w:line="276" w:lineRule="auto"/>
              <w:jc w:val="center"/>
              <w:rPr>
                <w:rFonts w:eastAsiaTheme="minorEastAsia"/>
                <w:szCs w:val="21"/>
              </w:rPr>
            </w:pPr>
          </w:p>
        </w:tc>
        <w:tc>
          <w:tcPr>
            <w:tcW w:w="1307" w:type="dxa"/>
            <w:vAlign w:val="center"/>
          </w:tcPr>
          <w:p w14:paraId="263AC876">
            <w:pPr>
              <w:spacing w:line="276" w:lineRule="auto"/>
              <w:jc w:val="center"/>
              <w:rPr>
                <w:rFonts w:eastAsiaTheme="minorEastAsia"/>
                <w:szCs w:val="21"/>
              </w:rPr>
            </w:pPr>
            <w:r>
              <w:rPr>
                <w:rFonts w:eastAsiaTheme="minorEastAsia"/>
                <w:szCs w:val="21"/>
              </w:rPr>
              <w:t>-1.5～+1.0</w:t>
            </w:r>
          </w:p>
        </w:tc>
        <w:tc>
          <w:tcPr>
            <w:tcW w:w="3358" w:type="dxa"/>
            <w:vAlign w:val="center"/>
          </w:tcPr>
          <w:p w14:paraId="62DD10DF">
            <w:pPr>
              <w:spacing w:line="276" w:lineRule="auto"/>
              <w:jc w:val="center"/>
              <w:rPr>
                <w:rFonts w:eastAsiaTheme="minorEastAsia"/>
                <w:szCs w:val="21"/>
              </w:rPr>
            </w:pPr>
            <w:r>
              <w:rPr>
                <w:rFonts w:eastAsiaTheme="minorEastAsia"/>
                <w:szCs w:val="21"/>
              </w:rPr>
              <w:t>T0604</w:t>
            </w:r>
          </w:p>
        </w:tc>
      </w:tr>
      <w:tr w14:paraId="1211D1D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80C81A0">
            <w:pPr>
              <w:spacing w:line="276" w:lineRule="auto"/>
              <w:jc w:val="center"/>
              <w:rPr>
                <w:rFonts w:eastAsiaTheme="minorEastAsia"/>
                <w:szCs w:val="21"/>
              </w:rPr>
            </w:pPr>
            <w:r>
              <w:rPr>
                <w:rFonts w:eastAsiaTheme="minorEastAsia"/>
                <w:szCs w:val="21"/>
              </w:rPr>
              <w:t>软化点（R&amp;B）不小于</w:t>
            </w:r>
          </w:p>
        </w:tc>
        <w:tc>
          <w:tcPr>
            <w:tcW w:w="1276" w:type="dxa"/>
            <w:vAlign w:val="center"/>
          </w:tcPr>
          <w:p w14:paraId="17176B45">
            <w:pPr>
              <w:spacing w:line="276" w:lineRule="auto"/>
              <w:jc w:val="center"/>
              <w:rPr>
                <w:rFonts w:eastAsiaTheme="minorEastAsia"/>
                <w:szCs w:val="21"/>
              </w:rPr>
            </w:pPr>
            <w:r>
              <w:rPr>
                <w:rFonts w:eastAsiaTheme="minorEastAsia"/>
                <w:szCs w:val="21"/>
              </w:rPr>
              <w:t>℃</w:t>
            </w:r>
          </w:p>
        </w:tc>
        <w:tc>
          <w:tcPr>
            <w:tcW w:w="1307" w:type="dxa"/>
            <w:vAlign w:val="center"/>
          </w:tcPr>
          <w:p w14:paraId="2323D8E7">
            <w:pPr>
              <w:spacing w:line="276" w:lineRule="auto"/>
              <w:jc w:val="center"/>
              <w:rPr>
                <w:rFonts w:eastAsiaTheme="minorEastAsia"/>
                <w:szCs w:val="21"/>
              </w:rPr>
            </w:pPr>
            <w:r>
              <w:rPr>
                <w:rFonts w:eastAsiaTheme="minorEastAsia"/>
                <w:szCs w:val="21"/>
              </w:rPr>
              <w:t>44</w:t>
            </w:r>
          </w:p>
        </w:tc>
        <w:tc>
          <w:tcPr>
            <w:tcW w:w="3358" w:type="dxa"/>
            <w:vAlign w:val="center"/>
          </w:tcPr>
          <w:p w14:paraId="153FB781">
            <w:pPr>
              <w:spacing w:line="276" w:lineRule="auto"/>
              <w:jc w:val="center"/>
              <w:rPr>
                <w:rFonts w:eastAsiaTheme="minorEastAsia"/>
                <w:szCs w:val="21"/>
              </w:rPr>
            </w:pPr>
            <w:r>
              <w:rPr>
                <w:rFonts w:eastAsiaTheme="minorEastAsia"/>
                <w:szCs w:val="21"/>
              </w:rPr>
              <w:t>T0606</w:t>
            </w:r>
          </w:p>
        </w:tc>
      </w:tr>
      <w:tr w14:paraId="3D461E9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ECC106E">
            <w:pPr>
              <w:spacing w:line="276" w:lineRule="auto"/>
              <w:jc w:val="center"/>
              <w:rPr>
                <w:rFonts w:eastAsiaTheme="minorEastAsia"/>
                <w:szCs w:val="21"/>
              </w:rPr>
            </w:pPr>
            <w:r>
              <w:rPr>
                <w:rFonts w:eastAsiaTheme="minorEastAsia"/>
                <w:szCs w:val="21"/>
              </w:rPr>
              <w:t>60℃动力粘度不小于</w:t>
            </w:r>
          </w:p>
        </w:tc>
        <w:tc>
          <w:tcPr>
            <w:tcW w:w="1276" w:type="dxa"/>
            <w:vAlign w:val="center"/>
          </w:tcPr>
          <w:p w14:paraId="0883CA1A">
            <w:pPr>
              <w:spacing w:line="276" w:lineRule="auto"/>
              <w:jc w:val="center"/>
              <w:rPr>
                <w:rFonts w:eastAsiaTheme="minorEastAsia"/>
                <w:szCs w:val="21"/>
              </w:rPr>
            </w:pPr>
            <w:r>
              <w:rPr>
                <w:rFonts w:eastAsiaTheme="minorEastAsia"/>
                <w:szCs w:val="21"/>
              </w:rPr>
              <w:t>Pa.s</w:t>
            </w:r>
          </w:p>
        </w:tc>
        <w:tc>
          <w:tcPr>
            <w:tcW w:w="1307" w:type="dxa"/>
            <w:vAlign w:val="center"/>
          </w:tcPr>
          <w:p w14:paraId="3A236F10">
            <w:pPr>
              <w:spacing w:line="276" w:lineRule="auto"/>
              <w:jc w:val="center"/>
              <w:rPr>
                <w:rFonts w:eastAsiaTheme="minorEastAsia"/>
                <w:szCs w:val="21"/>
              </w:rPr>
            </w:pPr>
            <w:r>
              <w:rPr>
                <w:rFonts w:eastAsiaTheme="minorEastAsia"/>
                <w:szCs w:val="21"/>
              </w:rPr>
              <w:t>140</w:t>
            </w:r>
          </w:p>
        </w:tc>
        <w:tc>
          <w:tcPr>
            <w:tcW w:w="3358" w:type="dxa"/>
            <w:vAlign w:val="center"/>
          </w:tcPr>
          <w:p w14:paraId="26E642C4">
            <w:pPr>
              <w:spacing w:line="276" w:lineRule="auto"/>
              <w:jc w:val="center"/>
              <w:rPr>
                <w:rFonts w:eastAsiaTheme="minorEastAsia"/>
                <w:szCs w:val="21"/>
              </w:rPr>
            </w:pPr>
            <w:r>
              <w:rPr>
                <w:rFonts w:eastAsiaTheme="minorEastAsia"/>
                <w:szCs w:val="21"/>
              </w:rPr>
              <w:t>T0620</w:t>
            </w:r>
          </w:p>
        </w:tc>
      </w:tr>
      <w:tr w14:paraId="7FCC221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3E81702">
            <w:pPr>
              <w:spacing w:line="276" w:lineRule="auto"/>
              <w:jc w:val="center"/>
              <w:rPr>
                <w:rFonts w:eastAsiaTheme="minorEastAsia"/>
                <w:szCs w:val="21"/>
              </w:rPr>
            </w:pPr>
            <w:r>
              <w:rPr>
                <w:rFonts w:eastAsiaTheme="minorEastAsia"/>
                <w:szCs w:val="21"/>
              </w:rPr>
              <w:t>10℃延度不小于</w:t>
            </w:r>
          </w:p>
        </w:tc>
        <w:tc>
          <w:tcPr>
            <w:tcW w:w="1276" w:type="dxa"/>
            <w:vAlign w:val="center"/>
          </w:tcPr>
          <w:p w14:paraId="5F568EFA">
            <w:pPr>
              <w:spacing w:line="276" w:lineRule="auto"/>
              <w:jc w:val="center"/>
              <w:rPr>
                <w:rFonts w:eastAsiaTheme="minorEastAsia"/>
                <w:szCs w:val="21"/>
              </w:rPr>
            </w:pPr>
            <w:r>
              <w:rPr>
                <w:rFonts w:eastAsiaTheme="minorEastAsia"/>
                <w:szCs w:val="21"/>
              </w:rPr>
              <w:t>cm</w:t>
            </w:r>
          </w:p>
        </w:tc>
        <w:tc>
          <w:tcPr>
            <w:tcW w:w="1307" w:type="dxa"/>
            <w:vAlign w:val="center"/>
          </w:tcPr>
          <w:p w14:paraId="08EC4D90">
            <w:pPr>
              <w:spacing w:line="276" w:lineRule="auto"/>
              <w:jc w:val="center"/>
              <w:rPr>
                <w:rFonts w:eastAsiaTheme="minorEastAsia"/>
                <w:szCs w:val="21"/>
              </w:rPr>
            </w:pPr>
            <w:r>
              <w:rPr>
                <w:rFonts w:eastAsiaTheme="minorEastAsia"/>
                <w:szCs w:val="21"/>
              </w:rPr>
              <w:t>30</w:t>
            </w:r>
          </w:p>
        </w:tc>
        <w:tc>
          <w:tcPr>
            <w:tcW w:w="3358" w:type="dxa"/>
            <w:vAlign w:val="center"/>
          </w:tcPr>
          <w:p w14:paraId="22EC3342">
            <w:pPr>
              <w:spacing w:line="276" w:lineRule="auto"/>
              <w:jc w:val="center"/>
              <w:rPr>
                <w:rFonts w:eastAsiaTheme="minorEastAsia"/>
                <w:szCs w:val="21"/>
              </w:rPr>
            </w:pPr>
            <w:r>
              <w:rPr>
                <w:rFonts w:eastAsiaTheme="minorEastAsia"/>
                <w:szCs w:val="21"/>
              </w:rPr>
              <w:t>T0605</w:t>
            </w:r>
          </w:p>
        </w:tc>
      </w:tr>
      <w:tr w14:paraId="5614455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2F73343">
            <w:pPr>
              <w:spacing w:line="276" w:lineRule="auto"/>
              <w:jc w:val="center"/>
              <w:rPr>
                <w:rFonts w:eastAsiaTheme="minorEastAsia"/>
                <w:szCs w:val="21"/>
              </w:rPr>
            </w:pPr>
            <w:r>
              <w:rPr>
                <w:rFonts w:eastAsiaTheme="minorEastAsia"/>
                <w:szCs w:val="21"/>
              </w:rPr>
              <w:t>15℃延度不小于</w:t>
            </w:r>
          </w:p>
        </w:tc>
        <w:tc>
          <w:tcPr>
            <w:tcW w:w="1276" w:type="dxa"/>
            <w:vAlign w:val="center"/>
          </w:tcPr>
          <w:p w14:paraId="04AD1B04">
            <w:pPr>
              <w:spacing w:line="276" w:lineRule="auto"/>
              <w:jc w:val="center"/>
              <w:rPr>
                <w:rFonts w:eastAsiaTheme="minorEastAsia"/>
                <w:szCs w:val="21"/>
              </w:rPr>
            </w:pPr>
            <w:r>
              <w:rPr>
                <w:rFonts w:eastAsiaTheme="minorEastAsia"/>
                <w:szCs w:val="21"/>
              </w:rPr>
              <w:t>cm</w:t>
            </w:r>
          </w:p>
        </w:tc>
        <w:tc>
          <w:tcPr>
            <w:tcW w:w="1307" w:type="dxa"/>
            <w:vAlign w:val="center"/>
          </w:tcPr>
          <w:p w14:paraId="690AB494">
            <w:pPr>
              <w:spacing w:line="276" w:lineRule="auto"/>
              <w:jc w:val="center"/>
              <w:rPr>
                <w:rFonts w:eastAsiaTheme="minorEastAsia"/>
                <w:szCs w:val="21"/>
              </w:rPr>
            </w:pPr>
            <w:r>
              <w:rPr>
                <w:rFonts w:eastAsiaTheme="minorEastAsia"/>
                <w:szCs w:val="21"/>
              </w:rPr>
              <w:t>100</w:t>
            </w:r>
          </w:p>
        </w:tc>
        <w:tc>
          <w:tcPr>
            <w:tcW w:w="3358" w:type="dxa"/>
            <w:vAlign w:val="center"/>
          </w:tcPr>
          <w:p w14:paraId="6B6F47F5">
            <w:pPr>
              <w:spacing w:line="276" w:lineRule="auto"/>
              <w:jc w:val="center"/>
              <w:rPr>
                <w:rFonts w:eastAsiaTheme="minorEastAsia"/>
                <w:szCs w:val="21"/>
              </w:rPr>
            </w:pPr>
            <w:r>
              <w:rPr>
                <w:rFonts w:eastAsiaTheme="minorEastAsia"/>
                <w:szCs w:val="21"/>
              </w:rPr>
              <w:t>T0605</w:t>
            </w:r>
          </w:p>
        </w:tc>
      </w:tr>
      <w:tr w14:paraId="43D14C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D69F40D">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14:paraId="27121C1C">
            <w:pPr>
              <w:spacing w:line="276" w:lineRule="auto"/>
              <w:jc w:val="center"/>
              <w:rPr>
                <w:rFonts w:eastAsiaTheme="minorEastAsia"/>
                <w:szCs w:val="21"/>
              </w:rPr>
            </w:pPr>
            <w:r>
              <w:rPr>
                <w:rFonts w:eastAsiaTheme="minorEastAsia"/>
                <w:szCs w:val="21"/>
              </w:rPr>
              <w:t>%</w:t>
            </w:r>
          </w:p>
        </w:tc>
        <w:tc>
          <w:tcPr>
            <w:tcW w:w="1307" w:type="dxa"/>
            <w:vAlign w:val="center"/>
          </w:tcPr>
          <w:p w14:paraId="64F35ACC">
            <w:pPr>
              <w:spacing w:line="276" w:lineRule="auto"/>
              <w:jc w:val="center"/>
              <w:rPr>
                <w:rFonts w:eastAsiaTheme="minorEastAsia"/>
                <w:szCs w:val="21"/>
              </w:rPr>
            </w:pPr>
            <w:r>
              <w:rPr>
                <w:rFonts w:eastAsiaTheme="minorEastAsia"/>
                <w:szCs w:val="21"/>
              </w:rPr>
              <w:t>2.2</w:t>
            </w:r>
          </w:p>
        </w:tc>
        <w:tc>
          <w:tcPr>
            <w:tcW w:w="3358" w:type="dxa"/>
            <w:vAlign w:val="center"/>
          </w:tcPr>
          <w:p w14:paraId="0D62F45A">
            <w:pPr>
              <w:spacing w:line="276" w:lineRule="auto"/>
              <w:jc w:val="center"/>
              <w:rPr>
                <w:rFonts w:eastAsiaTheme="minorEastAsia"/>
                <w:szCs w:val="21"/>
              </w:rPr>
            </w:pPr>
            <w:r>
              <w:rPr>
                <w:rFonts w:eastAsiaTheme="minorEastAsia"/>
                <w:szCs w:val="21"/>
              </w:rPr>
              <w:t>T0615</w:t>
            </w:r>
          </w:p>
        </w:tc>
      </w:tr>
      <w:tr w14:paraId="6F1ED5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8B55A98">
            <w:pPr>
              <w:spacing w:line="276" w:lineRule="auto"/>
              <w:jc w:val="center"/>
              <w:rPr>
                <w:rFonts w:eastAsiaTheme="minorEastAsia"/>
                <w:szCs w:val="21"/>
              </w:rPr>
            </w:pPr>
            <w:r>
              <w:rPr>
                <w:rFonts w:eastAsiaTheme="minorEastAsia"/>
                <w:szCs w:val="21"/>
              </w:rPr>
              <w:t>闪点，不小于</w:t>
            </w:r>
          </w:p>
        </w:tc>
        <w:tc>
          <w:tcPr>
            <w:tcW w:w="1276" w:type="dxa"/>
            <w:vAlign w:val="center"/>
          </w:tcPr>
          <w:p w14:paraId="48DD819B">
            <w:pPr>
              <w:spacing w:line="276" w:lineRule="auto"/>
              <w:jc w:val="center"/>
              <w:rPr>
                <w:rFonts w:eastAsiaTheme="minorEastAsia"/>
                <w:szCs w:val="21"/>
              </w:rPr>
            </w:pPr>
            <w:r>
              <w:rPr>
                <w:rFonts w:eastAsiaTheme="minorEastAsia"/>
                <w:szCs w:val="21"/>
              </w:rPr>
              <w:t>℃</w:t>
            </w:r>
          </w:p>
        </w:tc>
        <w:tc>
          <w:tcPr>
            <w:tcW w:w="1307" w:type="dxa"/>
            <w:vAlign w:val="center"/>
          </w:tcPr>
          <w:p w14:paraId="795186A5">
            <w:pPr>
              <w:spacing w:line="276" w:lineRule="auto"/>
              <w:jc w:val="center"/>
              <w:rPr>
                <w:rFonts w:eastAsiaTheme="minorEastAsia"/>
                <w:szCs w:val="21"/>
              </w:rPr>
            </w:pPr>
            <w:r>
              <w:rPr>
                <w:rFonts w:eastAsiaTheme="minorEastAsia"/>
                <w:szCs w:val="21"/>
              </w:rPr>
              <w:t>245</w:t>
            </w:r>
          </w:p>
        </w:tc>
        <w:tc>
          <w:tcPr>
            <w:tcW w:w="3358" w:type="dxa"/>
            <w:vAlign w:val="center"/>
          </w:tcPr>
          <w:p w14:paraId="7AC5BEBD">
            <w:pPr>
              <w:spacing w:line="276" w:lineRule="auto"/>
              <w:jc w:val="center"/>
              <w:rPr>
                <w:rFonts w:eastAsiaTheme="minorEastAsia"/>
                <w:szCs w:val="21"/>
              </w:rPr>
            </w:pPr>
            <w:r>
              <w:rPr>
                <w:rFonts w:eastAsiaTheme="minorEastAsia"/>
                <w:szCs w:val="21"/>
              </w:rPr>
              <w:t>T0611</w:t>
            </w:r>
          </w:p>
        </w:tc>
      </w:tr>
      <w:tr w14:paraId="74FF973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DA624F0">
            <w:pPr>
              <w:spacing w:line="276" w:lineRule="auto"/>
              <w:jc w:val="center"/>
              <w:rPr>
                <w:rFonts w:eastAsiaTheme="minorEastAsia"/>
                <w:szCs w:val="21"/>
              </w:rPr>
            </w:pPr>
            <w:r>
              <w:rPr>
                <w:rFonts w:eastAsiaTheme="minorEastAsia"/>
                <w:szCs w:val="21"/>
              </w:rPr>
              <w:t>溶解度，不小于</w:t>
            </w:r>
          </w:p>
        </w:tc>
        <w:tc>
          <w:tcPr>
            <w:tcW w:w="1276" w:type="dxa"/>
            <w:vAlign w:val="center"/>
          </w:tcPr>
          <w:p w14:paraId="5DD4A03B">
            <w:pPr>
              <w:spacing w:line="276" w:lineRule="auto"/>
              <w:jc w:val="center"/>
              <w:rPr>
                <w:rFonts w:eastAsiaTheme="minorEastAsia"/>
                <w:szCs w:val="21"/>
              </w:rPr>
            </w:pPr>
            <w:r>
              <w:rPr>
                <w:rFonts w:eastAsiaTheme="minorEastAsia"/>
                <w:szCs w:val="21"/>
              </w:rPr>
              <w:t>%</w:t>
            </w:r>
          </w:p>
        </w:tc>
        <w:tc>
          <w:tcPr>
            <w:tcW w:w="1307" w:type="dxa"/>
            <w:vAlign w:val="center"/>
          </w:tcPr>
          <w:p w14:paraId="6CD96F93">
            <w:pPr>
              <w:spacing w:line="276" w:lineRule="auto"/>
              <w:jc w:val="center"/>
              <w:rPr>
                <w:rFonts w:eastAsiaTheme="minorEastAsia"/>
                <w:szCs w:val="21"/>
              </w:rPr>
            </w:pPr>
            <w:r>
              <w:rPr>
                <w:rFonts w:eastAsiaTheme="minorEastAsia"/>
                <w:szCs w:val="21"/>
              </w:rPr>
              <w:t>99.5</w:t>
            </w:r>
          </w:p>
        </w:tc>
        <w:tc>
          <w:tcPr>
            <w:tcW w:w="3358" w:type="dxa"/>
            <w:vAlign w:val="center"/>
          </w:tcPr>
          <w:p w14:paraId="38D73C2A">
            <w:pPr>
              <w:spacing w:line="276" w:lineRule="auto"/>
              <w:jc w:val="center"/>
              <w:rPr>
                <w:rFonts w:eastAsiaTheme="minorEastAsia"/>
                <w:szCs w:val="21"/>
              </w:rPr>
            </w:pPr>
            <w:r>
              <w:rPr>
                <w:rFonts w:eastAsiaTheme="minorEastAsia"/>
                <w:szCs w:val="21"/>
              </w:rPr>
              <w:t>T0607</w:t>
            </w:r>
          </w:p>
        </w:tc>
      </w:tr>
      <w:tr w14:paraId="77AE983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CE36D2E">
            <w:pPr>
              <w:spacing w:line="276" w:lineRule="auto"/>
              <w:jc w:val="center"/>
              <w:rPr>
                <w:rFonts w:eastAsiaTheme="minorEastAsia"/>
                <w:szCs w:val="21"/>
              </w:rPr>
            </w:pPr>
            <w:r>
              <w:rPr>
                <w:rFonts w:eastAsiaTheme="minorEastAsia"/>
                <w:szCs w:val="21"/>
              </w:rPr>
              <w:t>密度（15℃）</w:t>
            </w:r>
          </w:p>
        </w:tc>
        <w:tc>
          <w:tcPr>
            <w:tcW w:w="1276" w:type="dxa"/>
            <w:vAlign w:val="center"/>
          </w:tcPr>
          <w:p w14:paraId="5F5E5FE2">
            <w:pPr>
              <w:spacing w:line="276" w:lineRule="auto"/>
              <w:jc w:val="center"/>
              <w:rPr>
                <w:rFonts w:eastAsiaTheme="minorEastAsia"/>
                <w:szCs w:val="21"/>
              </w:rPr>
            </w:pPr>
            <w:r>
              <w:rPr>
                <w:rFonts w:eastAsiaTheme="minorEastAsia"/>
                <w:szCs w:val="21"/>
              </w:rPr>
              <w:t>g/cm3</w:t>
            </w:r>
          </w:p>
        </w:tc>
        <w:tc>
          <w:tcPr>
            <w:tcW w:w="1307" w:type="dxa"/>
            <w:vAlign w:val="center"/>
          </w:tcPr>
          <w:p w14:paraId="17B9300B">
            <w:pPr>
              <w:spacing w:line="276" w:lineRule="auto"/>
              <w:jc w:val="center"/>
              <w:rPr>
                <w:rFonts w:eastAsiaTheme="minorEastAsia"/>
                <w:szCs w:val="21"/>
              </w:rPr>
            </w:pPr>
            <w:r>
              <w:rPr>
                <w:rFonts w:eastAsiaTheme="minorEastAsia"/>
                <w:szCs w:val="21"/>
              </w:rPr>
              <w:t>实测记录</w:t>
            </w:r>
          </w:p>
        </w:tc>
        <w:tc>
          <w:tcPr>
            <w:tcW w:w="3358" w:type="dxa"/>
            <w:vAlign w:val="center"/>
          </w:tcPr>
          <w:p w14:paraId="15AE75FA">
            <w:pPr>
              <w:spacing w:line="276" w:lineRule="auto"/>
              <w:jc w:val="center"/>
              <w:rPr>
                <w:rFonts w:eastAsiaTheme="minorEastAsia"/>
                <w:szCs w:val="21"/>
              </w:rPr>
            </w:pPr>
            <w:r>
              <w:rPr>
                <w:rFonts w:eastAsiaTheme="minorEastAsia"/>
                <w:szCs w:val="21"/>
              </w:rPr>
              <w:t>T0603</w:t>
            </w:r>
          </w:p>
        </w:tc>
      </w:tr>
      <w:tr w14:paraId="54A049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142" w:type="dxa"/>
            <w:gridSpan w:val="4"/>
            <w:vAlign w:val="center"/>
          </w:tcPr>
          <w:p w14:paraId="02F92E66">
            <w:pPr>
              <w:spacing w:line="276" w:lineRule="auto"/>
              <w:jc w:val="center"/>
              <w:rPr>
                <w:rFonts w:eastAsiaTheme="minorEastAsia"/>
                <w:szCs w:val="21"/>
              </w:rPr>
            </w:pPr>
            <w:r>
              <w:rPr>
                <w:rFonts w:eastAsiaTheme="minorEastAsia"/>
                <w:szCs w:val="21"/>
              </w:rPr>
              <w:t>TFOT（或RTFOT）后</w:t>
            </w:r>
          </w:p>
        </w:tc>
      </w:tr>
      <w:tr w14:paraId="0C246A2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C63C5FB">
            <w:pPr>
              <w:spacing w:line="276" w:lineRule="auto"/>
              <w:jc w:val="center"/>
              <w:rPr>
                <w:rFonts w:eastAsiaTheme="minorEastAsia"/>
                <w:szCs w:val="21"/>
              </w:rPr>
            </w:pPr>
            <w:r>
              <w:rPr>
                <w:rFonts w:eastAsiaTheme="minorEastAsia"/>
                <w:szCs w:val="21"/>
              </w:rPr>
              <w:t>质量变化不大于</w:t>
            </w:r>
          </w:p>
        </w:tc>
        <w:tc>
          <w:tcPr>
            <w:tcW w:w="1276" w:type="dxa"/>
            <w:vAlign w:val="center"/>
          </w:tcPr>
          <w:p w14:paraId="103DAC24">
            <w:pPr>
              <w:spacing w:line="276" w:lineRule="auto"/>
              <w:jc w:val="center"/>
              <w:rPr>
                <w:rFonts w:eastAsiaTheme="minorEastAsia"/>
                <w:szCs w:val="21"/>
              </w:rPr>
            </w:pPr>
            <w:r>
              <w:rPr>
                <w:rFonts w:eastAsiaTheme="minorEastAsia"/>
                <w:szCs w:val="21"/>
              </w:rPr>
              <w:t>%</w:t>
            </w:r>
          </w:p>
        </w:tc>
        <w:tc>
          <w:tcPr>
            <w:tcW w:w="1307" w:type="dxa"/>
            <w:vAlign w:val="center"/>
          </w:tcPr>
          <w:p w14:paraId="75EFFEDF">
            <w:pPr>
              <w:spacing w:line="276" w:lineRule="auto"/>
              <w:jc w:val="center"/>
              <w:rPr>
                <w:rFonts w:eastAsiaTheme="minorEastAsia"/>
                <w:szCs w:val="21"/>
              </w:rPr>
            </w:pPr>
            <w:r>
              <w:rPr>
                <w:rFonts w:eastAsiaTheme="minorEastAsia"/>
                <w:szCs w:val="21"/>
              </w:rPr>
              <w:t>±0.8</w:t>
            </w:r>
          </w:p>
        </w:tc>
        <w:tc>
          <w:tcPr>
            <w:tcW w:w="3358" w:type="dxa"/>
            <w:vAlign w:val="center"/>
          </w:tcPr>
          <w:p w14:paraId="62BA733D">
            <w:pPr>
              <w:spacing w:line="276" w:lineRule="auto"/>
              <w:jc w:val="center"/>
              <w:rPr>
                <w:rFonts w:eastAsiaTheme="minorEastAsia"/>
                <w:szCs w:val="21"/>
              </w:rPr>
            </w:pPr>
            <w:r>
              <w:rPr>
                <w:rFonts w:eastAsiaTheme="minorEastAsia"/>
                <w:szCs w:val="21"/>
              </w:rPr>
              <w:t>T0610或T0609</w:t>
            </w:r>
          </w:p>
        </w:tc>
      </w:tr>
      <w:tr w14:paraId="6118B4A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67205EF">
            <w:pPr>
              <w:spacing w:line="276" w:lineRule="auto"/>
              <w:jc w:val="center"/>
              <w:rPr>
                <w:rFonts w:eastAsiaTheme="minorEastAsia"/>
                <w:szCs w:val="21"/>
              </w:rPr>
            </w:pPr>
            <w:r>
              <w:rPr>
                <w:rFonts w:eastAsiaTheme="minorEastAsia"/>
                <w:szCs w:val="21"/>
              </w:rPr>
              <w:t>残留针入度比（25℃）不小于</w:t>
            </w:r>
          </w:p>
        </w:tc>
        <w:tc>
          <w:tcPr>
            <w:tcW w:w="1276" w:type="dxa"/>
            <w:vAlign w:val="center"/>
          </w:tcPr>
          <w:p w14:paraId="345C2BE8">
            <w:pPr>
              <w:spacing w:line="276" w:lineRule="auto"/>
              <w:jc w:val="center"/>
              <w:rPr>
                <w:rFonts w:eastAsiaTheme="minorEastAsia"/>
                <w:szCs w:val="21"/>
              </w:rPr>
            </w:pPr>
            <w:r>
              <w:rPr>
                <w:rFonts w:eastAsiaTheme="minorEastAsia"/>
                <w:szCs w:val="21"/>
              </w:rPr>
              <w:t>%</w:t>
            </w:r>
          </w:p>
        </w:tc>
        <w:tc>
          <w:tcPr>
            <w:tcW w:w="1307" w:type="dxa"/>
            <w:vAlign w:val="center"/>
          </w:tcPr>
          <w:p w14:paraId="1CFA8B15">
            <w:pPr>
              <w:spacing w:line="276" w:lineRule="auto"/>
              <w:jc w:val="center"/>
              <w:rPr>
                <w:rFonts w:eastAsiaTheme="minorEastAsia"/>
                <w:szCs w:val="21"/>
              </w:rPr>
            </w:pPr>
            <w:r>
              <w:rPr>
                <w:rFonts w:eastAsiaTheme="minorEastAsia"/>
                <w:szCs w:val="21"/>
              </w:rPr>
              <w:t>57</w:t>
            </w:r>
          </w:p>
        </w:tc>
        <w:tc>
          <w:tcPr>
            <w:tcW w:w="3358" w:type="dxa"/>
            <w:vAlign w:val="center"/>
          </w:tcPr>
          <w:p w14:paraId="49CBAEC5">
            <w:pPr>
              <w:spacing w:line="276" w:lineRule="auto"/>
              <w:jc w:val="center"/>
              <w:rPr>
                <w:rFonts w:eastAsiaTheme="minorEastAsia"/>
                <w:szCs w:val="21"/>
              </w:rPr>
            </w:pPr>
            <w:r>
              <w:rPr>
                <w:rFonts w:eastAsiaTheme="minorEastAsia"/>
                <w:szCs w:val="21"/>
              </w:rPr>
              <w:t>T0604</w:t>
            </w:r>
          </w:p>
        </w:tc>
      </w:tr>
      <w:tr w14:paraId="547732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2B900D9">
            <w:pPr>
              <w:spacing w:line="276" w:lineRule="auto"/>
              <w:jc w:val="center"/>
              <w:rPr>
                <w:rFonts w:eastAsiaTheme="minorEastAsia"/>
                <w:szCs w:val="21"/>
              </w:rPr>
            </w:pPr>
            <w:r>
              <w:rPr>
                <w:rFonts w:eastAsiaTheme="minorEastAsia"/>
                <w:szCs w:val="21"/>
              </w:rPr>
              <w:t>残留延度（10℃）不小于</w:t>
            </w:r>
          </w:p>
        </w:tc>
        <w:tc>
          <w:tcPr>
            <w:tcW w:w="1276" w:type="dxa"/>
            <w:vAlign w:val="center"/>
          </w:tcPr>
          <w:p w14:paraId="705A7FCC">
            <w:pPr>
              <w:spacing w:line="276" w:lineRule="auto"/>
              <w:jc w:val="center"/>
              <w:rPr>
                <w:rFonts w:eastAsiaTheme="minorEastAsia"/>
                <w:szCs w:val="21"/>
              </w:rPr>
            </w:pPr>
            <w:r>
              <w:rPr>
                <w:rFonts w:eastAsiaTheme="minorEastAsia"/>
                <w:szCs w:val="21"/>
              </w:rPr>
              <w:t>cm</w:t>
            </w:r>
          </w:p>
        </w:tc>
        <w:tc>
          <w:tcPr>
            <w:tcW w:w="1307" w:type="dxa"/>
            <w:vAlign w:val="center"/>
          </w:tcPr>
          <w:p w14:paraId="6E9E7CAF">
            <w:pPr>
              <w:spacing w:line="276" w:lineRule="auto"/>
              <w:jc w:val="center"/>
              <w:rPr>
                <w:rFonts w:eastAsiaTheme="minorEastAsia"/>
                <w:szCs w:val="21"/>
              </w:rPr>
            </w:pPr>
            <w:r>
              <w:rPr>
                <w:rFonts w:eastAsiaTheme="minorEastAsia"/>
                <w:szCs w:val="21"/>
              </w:rPr>
              <w:t>8</w:t>
            </w:r>
          </w:p>
        </w:tc>
        <w:tc>
          <w:tcPr>
            <w:tcW w:w="3358" w:type="dxa"/>
            <w:vAlign w:val="center"/>
          </w:tcPr>
          <w:p w14:paraId="78587F22">
            <w:pPr>
              <w:spacing w:line="276" w:lineRule="auto"/>
              <w:jc w:val="center"/>
              <w:rPr>
                <w:rFonts w:eastAsiaTheme="minorEastAsia"/>
                <w:szCs w:val="21"/>
              </w:rPr>
            </w:pPr>
            <w:r>
              <w:rPr>
                <w:rFonts w:eastAsiaTheme="minorEastAsia"/>
                <w:szCs w:val="21"/>
              </w:rPr>
              <w:t>T0605</w:t>
            </w:r>
          </w:p>
        </w:tc>
      </w:tr>
      <w:tr w14:paraId="2686E2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E23B127">
            <w:pPr>
              <w:spacing w:line="276" w:lineRule="auto"/>
              <w:jc w:val="center"/>
              <w:rPr>
                <w:rFonts w:eastAsiaTheme="minorEastAsia"/>
                <w:szCs w:val="21"/>
              </w:rPr>
            </w:pPr>
            <w:r>
              <w:rPr>
                <w:rFonts w:eastAsiaTheme="minorEastAsia"/>
                <w:szCs w:val="21"/>
              </w:rPr>
              <w:t>残留延度（15℃）不小于</w:t>
            </w:r>
          </w:p>
        </w:tc>
        <w:tc>
          <w:tcPr>
            <w:tcW w:w="1276" w:type="dxa"/>
            <w:vAlign w:val="center"/>
          </w:tcPr>
          <w:p w14:paraId="6E19EB70">
            <w:pPr>
              <w:spacing w:line="276" w:lineRule="auto"/>
              <w:jc w:val="center"/>
              <w:rPr>
                <w:rFonts w:eastAsiaTheme="minorEastAsia"/>
                <w:szCs w:val="21"/>
              </w:rPr>
            </w:pPr>
            <w:r>
              <w:rPr>
                <w:rFonts w:eastAsiaTheme="minorEastAsia"/>
                <w:szCs w:val="21"/>
              </w:rPr>
              <w:t>cm</w:t>
            </w:r>
          </w:p>
        </w:tc>
        <w:tc>
          <w:tcPr>
            <w:tcW w:w="1307" w:type="dxa"/>
            <w:vAlign w:val="center"/>
          </w:tcPr>
          <w:p w14:paraId="5A4AE0B7">
            <w:pPr>
              <w:spacing w:line="276" w:lineRule="auto"/>
              <w:jc w:val="center"/>
              <w:rPr>
                <w:rFonts w:eastAsiaTheme="minorEastAsia"/>
                <w:szCs w:val="21"/>
              </w:rPr>
            </w:pPr>
            <w:r>
              <w:rPr>
                <w:rFonts w:eastAsiaTheme="minorEastAsia"/>
                <w:szCs w:val="21"/>
              </w:rPr>
              <w:t>20</w:t>
            </w:r>
          </w:p>
        </w:tc>
        <w:tc>
          <w:tcPr>
            <w:tcW w:w="3358" w:type="dxa"/>
            <w:vAlign w:val="center"/>
          </w:tcPr>
          <w:p w14:paraId="46123312">
            <w:pPr>
              <w:spacing w:line="276" w:lineRule="auto"/>
              <w:jc w:val="center"/>
              <w:rPr>
                <w:rFonts w:eastAsiaTheme="minorEastAsia"/>
                <w:szCs w:val="21"/>
              </w:rPr>
            </w:pPr>
            <w:r>
              <w:rPr>
                <w:rFonts w:eastAsiaTheme="minorEastAsia"/>
                <w:szCs w:val="21"/>
              </w:rPr>
              <w:t>T0605</w:t>
            </w:r>
          </w:p>
        </w:tc>
      </w:tr>
    </w:tbl>
    <w:p w14:paraId="3C7272DD">
      <w:pPr>
        <w:adjustRightInd w:val="0"/>
        <w:snapToGrid w:val="0"/>
        <w:ind w:firstLine="380" w:firstLineChars="200"/>
        <w:rPr>
          <w:rFonts w:eastAsiaTheme="minorEastAsia"/>
          <w:b/>
          <w:szCs w:val="21"/>
        </w:rPr>
      </w:pPr>
      <w:r>
        <w:rPr>
          <w:rFonts w:eastAsiaTheme="minorEastAsia"/>
          <w:b/>
          <w:szCs w:val="21"/>
        </w:rPr>
        <w:t>注：[1]试验方法按照现行规范规定的方法执行。用于仲裁试验求取PI时的5个温度的针入度关系式的相关系数不得小于0.997。</w:t>
      </w:r>
    </w:p>
    <w:p w14:paraId="739514B1">
      <w:pPr>
        <w:adjustRightInd w:val="0"/>
        <w:snapToGrid w:val="0"/>
        <w:ind w:firstLine="744" w:firstLineChars="392"/>
        <w:rPr>
          <w:rFonts w:eastAsiaTheme="minorEastAsia"/>
          <w:b/>
          <w:szCs w:val="21"/>
        </w:rPr>
      </w:pPr>
      <w:r>
        <w:rPr>
          <w:rFonts w:eastAsiaTheme="minorEastAsia"/>
          <w:b/>
          <w:szCs w:val="21"/>
        </w:rPr>
        <w:t>[2]老化试验以TFOT为准，也可以采用RTFOT。</w:t>
      </w:r>
    </w:p>
    <w:p w14:paraId="2070ECD2">
      <w:pPr>
        <w:pStyle w:val="97"/>
        <w:rPr>
          <w:rFonts w:ascii="Times New Roman" w:eastAsiaTheme="minorEastAsia"/>
        </w:rPr>
      </w:pPr>
      <w:r>
        <w:rPr>
          <w:rFonts w:ascii="Times New Roman" w:eastAsiaTheme="minorEastAsia"/>
        </w:rPr>
        <w:t>液体石油沥青</w:t>
      </w:r>
    </w:p>
    <w:p w14:paraId="4CE8ED94">
      <w:pPr>
        <w:pStyle w:val="99"/>
        <w:rPr>
          <w:rFonts w:eastAsiaTheme="minorEastAsia"/>
        </w:rPr>
      </w:pPr>
      <w:r>
        <w:rPr>
          <w:rFonts w:eastAsiaTheme="minorEastAsia"/>
        </w:rPr>
        <w:t>车行道路面层之间粘层采用AL(M)-5液体石油沥青，车行道面层与基层之间透层采用AL(M)-2液体石油，沥青液体石油沥青可选用中凝的液体石油沥青，其技术要求见表5.2。</w:t>
      </w:r>
    </w:p>
    <w:p w14:paraId="563EA916">
      <w:pPr>
        <w:pStyle w:val="99"/>
        <w:rPr>
          <w:rFonts w:eastAsiaTheme="minorEastAsia"/>
        </w:rPr>
      </w:pPr>
      <w:r>
        <w:rPr>
          <w:rFonts w:eastAsiaTheme="minorEastAsia"/>
        </w:rPr>
        <w:t>透层油宜在基层碾压成型后表面稍变干燥，但尚未硬化的情况下喷洒。沥青层必须在透层油完全渗入基层后方可铺筑。</w:t>
      </w:r>
    </w:p>
    <w:p w14:paraId="0D00AB8F">
      <w:pPr>
        <w:pStyle w:val="99"/>
        <w:rPr>
          <w:rFonts w:eastAsiaTheme="minorEastAsia"/>
        </w:rPr>
      </w:pPr>
      <w:r>
        <w:rPr>
          <w:rFonts w:eastAsiaTheme="minorEastAsia"/>
        </w:rPr>
        <w:t>喷洒后通过钻孔或挖掘确认能与基层联结成为一体。</w:t>
      </w:r>
    </w:p>
    <w:p w14:paraId="742166AC">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表5.2 液体石油沥青技术要求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42"/>
        <w:gridCol w:w="1919"/>
        <w:gridCol w:w="947"/>
        <w:gridCol w:w="1190"/>
        <w:gridCol w:w="1190"/>
        <w:gridCol w:w="2127"/>
      </w:tblGrid>
      <w:tr w14:paraId="2210767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6FA62579">
            <w:pPr>
              <w:spacing w:line="276" w:lineRule="auto"/>
              <w:jc w:val="center"/>
              <w:rPr>
                <w:rFonts w:eastAsiaTheme="minorEastAsia"/>
                <w:szCs w:val="21"/>
              </w:rPr>
            </w:pPr>
            <w:r>
              <w:rPr>
                <w:rFonts w:eastAsiaTheme="minorEastAsia"/>
                <w:szCs w:val="21"/>
              </w:rPr>
              <w:t>试验项目</w:t>
            </w:r>
          </w:p>
        </w:tc>
        <w:tc>
          <w:tcPr>
            <w:tcW w:w="947" w:type="dxa"/>
            <w:vAlign w:val="center"/>
          </w:tcPr>
          <w:p w14:paraId="6612C2D7">
            <w:pPr>
              <w:spacing w:line="276" w:lineRule="auto"/>
              <w:jc w:val="center"/>
              <w:rPr>
                <w:rFonts w:eastAsiaTheme="minorEastAsia"/>
                <w:szCs w:val="21"/>
              </w:rPr>
            </w:pPr>
            <w:r>
              <w:rPr>
                <w:rFonts w:eastAsiaTheme="minorEastAsia"/>
                <w:szCs w:val="21"/>
              </w:rPr>
              <w:t>单位</w:t>
            </w:r>
          </w:p>
        </w:tc>
        <w:tc>
          <w:tcPr>
            <w:tcW w:w="1190" w:type="dxa"/>
            <w:vAlign w:val="center"/>
          </w:tcPr>
          <w:p w14:paraId="4DA18965">
            <w:pPr>
              <w:spacing w:line="276" w:lineRule="auto"/>
              <w:jc w:val="center"/>
              <w:rPr>
                <w:rFonts w:eastAsiaTheme="minorEastAsia"/>
                <w:szCs w:val="21"/>
              </w:rPr>
            </w:pPr>
            <w:r>
              <w:rPr>
                <w:rFonts w:eastAsiaTheme="minorEastAsia"/>
                <w:szCs w:val="21"/>
              </w:rPr>
              <w:t>AL(M)-2</w:t>
            </w:r>
          </w:p>
        </w:tc>
        <w:tc>
          <w:tcPr>
            <w:tcW w:w="1190" w:type="dxa"/>
            <w:vAlign w:val="center"/>
          </w:tcPr>
          <w:p w14:paraId="3F207EAF">
            <w:pPr>
              <w:spacing w:line="276" w:lineRule="auto"/>
              <w:jc w:val="center"/>
              <w:rPr>
                <w:rFonts w:eastAsiaTheme="minorEastAsia"/>
                <w:szCs w:val="21"/>
              </w:rPr>
            </w:pPr>
            <w:r>
              <w:rPr>
                <w:rFonts w:eastAsiaTheme="minorEastAsia"/>
                <w:szCs w:val="21"/>
              </w:rPr>
              <w:t>AL(M)-5</w:t>
            </w:r>
          </w:p>
        </w:tc>
        <w:tc>
          <w:tcPr>
            <w:tcW w:w="2127" w:type="dxa"/>
            <w:vAlign w:val="center"/>
          </w:tcPr>
          <w:p w14:paraId="0CF66F65">
            <w:pPr>
              <w:spacing w:line="276" w:lineRule="auto"/>
              <w:jc w:val="center"/>
              <w:rPr>
                <w:rFonts w:eastAsiaTheme="minorEastAsia"/>
                <w:szCs w:val="21"/>
              </w:rPr>
            </w:pPr>
            <w:r>
              <w:rPr>
                <w:rFonts w:eastAsiaTheme="minorEastAsia"/>
                <w:szCs w:val="21"/>
              </w:rPr>
              <w:t>试验方法</w:t>
            </w:r>
          </w:p>
        </w:tc>
      </w:tr>
      <w:tr w14:paraId="43F2CD2B">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734ED927">
            <w:pPr>
              <w:spacing w:line="276" w:lineRule="auto"/>
              <w:jc w:val="center"/>
              <w:rPr>
                <w:rFonts w:eastAsiaTheme="minorEastAsia"/>
                <w:szCs w:val="21"/>
              </w:rPr>
            </w:pPr>
            <w:r>
              <w:rPr>
                <w:rFonts w:eastAsiaTheme="minorEastAsia"/>
                <w:szCs w:val="21"/>
              </w:rPr>
              <w:t>粘度</w:t>
            </w:r>
          </w:p>
        </w:tc>
        <w:tc>
          <w:tcPr>
            <w:tcW w:w="1919" w:type="dxa"/>
            <w:vAlign w:val="center"/>
          </w:tcPr>
          <w:p w14:paraId="6F2EE5D6">
            <w:pPr>
              <w:spacing w:line="276" w:lineRule="auto"/>
              <w:jc w:val="center"/>
              <w:rPr>
                <w:rFonts w:eastAsiaTheme="minorEastAsia"/>
                <w:szCs w:val="21"/>
              </w:rPr>
            </w:pPr>
            <w:r>
              <w:rPr>
                <w:rFonts w:eastAsiaTheme="minorEastAsia"/>
                <w:szCs w:val="21"/>
              </w:rPr>
              <w:t>C25.5</w:t>
            </w:r>
          </w:p>
        </w:tc>
        <w:tc>
          <w:tcPr>
            <w:tcW w:w="947" w:type="dxa"/>
            <w:vAlign w:val="center"/>
          </w:tcPr>
          <w:p w14:paraId="69F2208A">
            <w:pPr>
              <w:spacing w:line="276" w:lineRule="auto"/>
              <w:jc w:val="center"/>
              <w:rPr>
                <w:rFonts w:eastAsiaTheme="minorEastAsia"/>
                <w:szCs w:val="21"/>
              </w:rPr>
            </w:pPr>
            <w:r>
              <w:rPr>
                <w:rFonts w:eastAsiaTheme="minorEastAsia"/>
                <w:szCs w:val="21"/>
              </w:rPr>
              <w:t>s</w:t>
            </w:r>
          </w:p>
        </w:tc>
        <w:tc>
          <w:tcPr>
            <w:tcW w:w="1190" w:type="dxa"/>
            <w:vAlign w:val="center"/>
          </w:tcPr>
          <w:p w14:paraId="0EFE6FE2">
            <w:pPr>
              <w:spacing w:line="276" w:lineRule="auto"/>
              <w:jc w:val="center"/>
              <w:rPr>
                <w:rFonts w:eastAsiaTheme="minorEastAsia"/>
                <w:szCs w:val="21"/>
              </w:rPr>
            </w:pPr>
            <w:r>
              <w:rPr>
                <w:rFonts w:eastAsiaTheme="minorEastAsia"/>
                <w:szCs w:val="21"/>
              </w:rPr>
              <w:t>－</w:t>
            </w:r>
          </w:p>
        </w:tc>
        <w:tc>
          <w:tcPr>
            <w:tcW w:w="1190" w:type="dxa"/>
            <w:vAlign w:val="center"/>
          </w:tcPr>
          <w:p w14:paraId="7D12807C">
            <w:pPr>
              <w:spacing w:line="276" w:lineRule="auto"/>
              <w:jc w:val="center"/>
              <w:rPr>
                <w:rFonts w:eastAsiaTheme="minorEastAsia"/>
                <w:szCs w:val="21"/>
              </w:rPr>
            </w:pPr>
            <w:r>
              <w:rPr>
                <w:rFonts w:eastAsiaTheme="minorEastAsia"/>
                <w:szCs w:val="21"/>
              </w:rPr>
              <w:t>－</w:t>
            </w:r>
          </w:p>
        </w:tc>
        <w:tc>
          <w:tcPr>
            <w:tcW w:w="2127" w:type="dxa"/>
            <w:vMerge w:val="restart"/>
            <w:vAlign w:val="center"/>
          </w:tcPr>
          <w:p w14:paraId="5A5EC176">
            <w:pPr>
              <w:spacing w:line="276" w:lineRule="auto"/>
              <w:jc w:val="center"/>
              <w:rPr>
                <w:rFonts w:eastAsiaTheme="minorEastAsia"/>
                <w:szCs w:val="21"/>
              </w:rPr>
            </w:pPr>
            <w:r>
              <w:rPr>
                <w:rFonts w:eastAsiaTheme="minorEastAsia"/>
                <w:szCs w:val="21"/>
              </w:rPr>
              <w:t>T0621</w:t>
            </w:r>
          </w:p>
        </w:tc>
      </w:tr>
      <w:tr w14:paraId="5EB5E64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68C34FD">
            <w:pPr>
              <w:spacing w:line="276" w:lineRule="auto"/>
              <w:jc w:val="center"/>
              <w:rPr>
                <w:rFonts w:eastAsiaTheme="minorEastAsia"/>
                <w:szCs w:val="21"/>
              </w:rPr>
            </w:pPr>
          </w:p>
        </w:tc>
        <w:tc>
          <w:tcPr>
            <w:tcW w:w="1919" w:type="dxa"/>
            <w:vAlign w:val="center"/>
          </w:tcPr>
          <w:p w14:paraId="7CB0E8E3">
            <w:pPr>
              <w:spacing w:line="276" w:lineRule="auto"/>
              <w:jc w:val="center"/>
              <w:rPr>
                <w:rFonts w:eastAsiaTheme="minorEastAsia"/>
                <w:szCs w:val="21"/>
              </w:rPr>
            </w:pPr>
            <w:r>
              <w:rPr>
                <w:rFonts w:eastAsiaTheme="minorEastAsia"/>
                <w:szCs w:val="21"/>
              </w:rPr>
              <w:t>C60.5</w:t>
            </w:r>
          </w:p>
        </w:tc>
        <w:tc>
          <w:tcPr>
            <w:tcW w:w="947" w:type="dxa"/>
            <w:vAlign w:val="center"/>
          </w:tcPr>
          <w:p w14:paraId="22F53008">
            <w:pPr>
              <w:spacing w:line="276" w:lineRule="auto"/>
              <w:jc w:val="center"/>
              <w:rPr>
                <w:rFonts w:eastAsiaTheme="minorEastAsia"/>
                <w:szCs w:val="21"/>
              </w:rPr>
            </w:pPr>
            <w:r>
              <w:rPr>
                <w:rFonts w:eastAsiaTheme="minorEastAsia"/>
                <w:szCs w:val="21"/>
              </w:rPr>
              <w:t>s</w:t>
            </w:r>
          </w:p>
        </w:tc>
        <w:tc>
          <w:tcPr>
            <w:tcW w:w="1190" w:type="dxa"/>
            <w:vAlign w:val="center"/>
          </w:tcPr>
          <w:p w14:paraId="66C51C7A">
            <w:pPr>
              <w:spacing w:line="276" w:lineRule="auto"/>
              <w:jc w:val="center"/>
              <w:rPr>
                <w:rFonts w:eastAsiaTheme="minorEastAsia"/>
                <w:szCs w:val="21"/>
              </w:rPr>
            </w:pPr>
            <w:r>
              <w:rPr>
                <w:rFonts w:eastAsiaTheme="minorEastAsia"/>
                <w:szCs w:val="21"/>
              </w:rPr>
              <w:t>5～15</w:t>
            </w:r>
          </w:p>
        </w:tc>
        <w:tc>
          <w:tcPr>
            <w:tcW w:w="1190" w:type="dxa"/>
            <w:vAlign w:val="center"/>
          </w:tcPr>
          <w:p w14:paraId="04E51623">
            <w:pPr>
              <w:spacing w:line="276" w:lineRule="auto"/>
              <w:jc w:val="center"/>
              <w:rPr>
                <w:rFonts w:eastAsiaTheme="minorEastAsia"/>
                <w:szCs w:val="21"/>
              </w:rPr>
            </w:pPr>
            <w:r>
              <w:rPr>
                <w:rFonts w:eastAsiaTheme="minorEastAsia"/>
                <w:szCs w:val="21"/>
              </w:rPr>
              <w:t>41～100</w:t>
            </w:r>
          </w:p>
        </w:tc>
        <w:tc>
          <w:tcPr>
            <w:tcW w:w="2127" w:type="dxa"/>
            <w:vMerge w:val="continue"/>
            <w:vAlign w:val="center"/>
          </w:tcPr>
          <w:p w14:paraId="355D5B41">
            <w:pPr>
              <w:spacing w:line="276" w:lineRule="auto"/>
              <w:jc w:val="center"/>
              <w:rPr>
                <w:rFonts w:eastAsiaTheme="minorEastAsia"/>
                <w:szCs w:val="21"/>
              </w:rPr>
            </w:pPr>
          </w:p>
        </w:tc>
      </w:tr>
      <w:tr w14:paraId="5B89FC8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0014808E">
            <w:pPr>
              <w:spacing w:line="276" w:lineRule="auto"/>
              <w:jc w:val="center"/>
              <w:rPr>
                <w:rFonts w:eastAsiaTheme="minorEastAsia"/>
                <w:szCs w:val="21"/>
              </w:rPr>
            </w:pPr>
            <w:r>
              <w:rPr>
                <w:rFonts w:eastAsiaTheme="minorEastAsia"/>
                <w:szCs w:val="21"/>
              </w:rPr>
              <w:t>蒸馏体积</w:t>
            </w:r>
          </w:p>
        </w:tc>
        <w:tc>
          <w:tcPr>
            <w:tcW w:w="1919" w:type="dxa"/>
            <w:vAlign w:val="center"/>
          </w:tcPr>
          <w:p w14:paraId="79CFAD7D">
            <w:pPr>
              <w:spacing w:line="276" w:lineRule="auto"/>
              <w:jc w:val="center"/>
              <w:rPr>
                <w:rFonts w:eastAsiaTheme="minorEastAsia"/>
                <w:szCs w:val="21"/>
              </w:rPr>
            </w:pPr>
            <w:r>
              <w:rPr>
                <w:rFonts w:eastAsiaTheme="minorEastAsia"/>
                <w:szCs w:val="21"/>
              </w:rPr>
              <w:t>225℃前</w:t>
            </w:r>
          </w:p>
        </w:tc>
        <w:tc>
          <w:tcPr>
            <w:tcW w:w="947" w:type="dxa"/>
            <w:vAlign w:val="center"/>
          </w:tcPr>
          <w:p w14:paraId="5F87E5CC">
            <w:pPr>
              <w:spacing w:line="276" w:lineRule="auto"/>
              <w:jc w:val="center"/>
              <w:rPr>
                <w:rFonts w:eastAsiaTheme="minorEastAsia"/>
                <w:szCs w:val="21"/>
              </w:rPr>
            </w:pPr>
            <w:r>
              <w:rPr>
                <w:rFonts w:eastAsiaTheme="minorEastAsia"/>
                <w:szCs w:val="21"/>
              </w:rPr>
              <w:t>%</w:t>
            </w:r>
          </w:p>
        </w:tc>
        <w:tc>
          <w:tcPr>
            <w:tcW w:w="1190" w:type="dxa"/>
            <w:vAlign w:val="center"/>
          </w:tcPr>
          <w:p w14:paraId="65625EEF">
            <w:pPr>
              <w:spacing w:line="276" w:lineRule="auto"/>
              <w:jc w:val="center"/>
              <w:rPr>
                <w:rFonts w:eastAsiaTheme="minorEastAsia"/>
                <w:szCs w:val="21"/>
              </w:rPr>
            </w:pPr>
            <w:r>
              <w:rPr>
                <w:rFonts w:eastAsiaTheme="minorEastAsia"/>
                <w:szCs w:val="21"/>
              </w:rPr>
              <w:t>&lt;7</w:t>
            </w:r>
          </w:p>
        </w:tc>
        <w:tc>
          <w:tcPr>
            <w:tcW w:w="1190" w:type="dxa"/>
            <w:vAlign w:val="center"/>
          </w:tcPr>
          <w:p w14:paraId="09659074">
            <w:pPr>
              <w:spacing w:line="276" w:lineRule="auto"/>
              <w:jc w:val="center"/>
              <w:rPr>
                <w:rFonts w:eastAsiaTheme="minorEastAsia"/>
                <w:szCs w:val="21"/>
              </w:rPr>
            </w:pPr>
            <w:r>
              <w:rPr>
                <w:rFonts w:eastAsiaTheme="minorEastAsia"/>
                <w:szCs w:val="21"/>
              </w:rPr>
              <w:t>0</w:t>
            </w:r>
          </w:p>
        </w:tc>
        <w:tc>
          <w:tcPr>
            <w:tcW w:w="2127" w:type="dxa"/>
            <w:vMerge w:val="restart"/>
            <w:vAlign w:val="center"/>
          </w:tcPr>
          <w:p w14:paraId="7476C253">
            <w:pPr>
              <w:spacing w:line="276" w:lineRule="auto"/>
              <w:jc w:val="center"/>
              <w:rPr>
                <w:rFonts w:eastAsiaTheme="minorEastAsia"/>
                <w:szCs w:val="21"/>
              </w:rPr>
            </w:pPr>
            <w:r>
              <w:rPr>
                <w:rFonts w:eastAsiaTheme="minorEastAsia"/>
                <w:szCs w:val="21"/>
              </w:rPr>
              <w:t>T0632</w:t>
            </w:r>
          </w:p>
        </w:tc>
      </w:tr>
      <w:tr w14:paraId="142F3B90">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60B78F4B">
            <w:pPr>
              <w:spacing w:line="276" w:lineRule="auto"/>
              <w:jc w:val="center"/>
              <w:rPr>
                <w:rFonts w:eastAsiaTheme="minorEastAsia"/>
                <w:szCs w:val="21"/>
              </w:rPr>
            </w:pPr>
          </w:p>
        </w:tc>
        <w:tc>
          <w:tcPr>
            <w:tcW w:w="1919" w:type="dxa"/>
            <w:vAlign w:val="center"/>
          </w:tcPr>
          <w:p w14:paraId="4EC7AC17">
            <w:pPr>
              <w:spacing w:line="276" w:lineRule="auto"/>
              <w:jc w:val="center"/>
              <w:rPr>
                <w:rFonts w:eastAsiaTheme="minorEastAsia"/>
                <w:szCs w:val="21"/>
              </w:rPr>
            </w:pPr>
            <w:r>
              <w:rPr>
                <w:rFonts w:eastAsiaTheme="minorEastAsia"/>
                <w:szCs w:val="21"/>
              </w:rPr>
              <w:t>315℃前</w:t>
            </w:r>
          </w:p>
        </w:tc>
        <w:tc>
          <w:tcPr>
            <w:tcW w:w="947" w:type="dxa"/>
            <w:vAlign w:val="center"/>
          </w:tcPr>
          <w:p w14:paraId="5F8F1C71">
            <w:pPr>
              <w:spacing w:line="276" w:lineRule="auto"/>
              <w:jc w:val="center"/>
              <w:rPr>
                <w:rFonts w:eastAsiaTheme="minorEastAsia"/>
                <w:szCs w:val="21"/>
              </w:rPr>
            </w:pPr>
            <w:r>
              <w:rPr>
                <w:rFonts w:eastAsiaTheme="minorEastAsia"/>
                <w:szCs w:val="21"/>
              </w:rPr>
              <w:t>%</w:t>
            </w:r>
          </w:p>
        </w:tc>
        <w:tc>
          <w:tcPr>
            <w:tcW w:w="1190" w:type="dxa"/>
            <w:vAlign w:val="center"/>
          </w:tcPr>
          <w:p w14:paraId="6D241161">
            <w:pPr>
              <w:spacing w:line="276" w:lineRule="auto"/>
              <w:jc w:val="center"/>
              <w:rPr>
                <w:rFonts w:eastAsiaTheme="minorEastAsia"/>
                <w:szCs w:val="21"/>
              </w:rPr>
            </w:pPr>
            <w:r>
              <w:rPr>
                <w:rFonts w:eastAsiaTheme="minorEastAsia"/>
                <w:szCs w:val="21"/>
              </w:rPr>
              <w:t>&lt;25</w:t>
            </w:r>
          </w:p>
        </w:tc>
        <w:tc>
          <w:tcPr>
            <w:tcW w:w="1190" w:type="dxa"/>
            <w:vAlign w:val="center"/>
          </w:tcPr>
          <w:p w14:paraId="485B611B">
            <w:pPr>
              <w:spacing w:line="276" w:lineRule="auto"/>
              <w:jc w:val="center"/>
              <w:rPr>
                <w:rFonts w:eastAsiaTheme="minorEastAsia"/>
                <w:szCs w:val="21"/>
              </w:rPr>
            </w:pPr>
            <w:r>
              <w:rPr>
                <w:rFonts w:eastAsiaTheme="minorEastAsia"/>
                <w:szCs w:val="21"/>
              </w:rPr>
              <w:t>&lt;8</w:t>
            </w:r>
          </w:p>
        </w:tc>
        <w:tc>
          <w:tcPr>
            <w:tcW w:w="2127" w:type="dxa"/>
            <w:vMerge w:val="continue"/>
            <w:vAlign w:val="center"/>
          </w:tcPr>
          <w:p w14:paraId="6B731212">
            <w:pPr>
              <w:spacing w:line="276" w:lineRule="auto"/>
              <w:jc w:val="center"/>
              <w:rPr>
                <w:rFonts w:eastAsiaTheme="minorEastAsia"/>
                <w:szCs w:val="21"/>
              </w:rPr>
            </w:pPr>
          </w:p>
        </w:tc>
      </w:tr>
      <w:tr w14:paraId="733B36E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5217DE60">
            <w:pPr>
              <w:spacing w:line="276" w:lineRule="auto"/>
              <w:jc w:val="center"/>
              <w:rPr>
                <w:rFonts w:eastAsiaTheme="minorEastAsia"/>
                <w:szCs w:val="21"/>
              </w:rPr>
            </w:pPr>
          </w:p>
        </w:tc>
        <w:tc>
          <w:tcPr>
            <w:tcW w:w="1919" w:type="dxa"/>
            <w:vAlign w:val="center"/>
          </w:tcPr>
          <w:p w14:paraId="27F8655D">
            <w:pPr>
              <w:spacing w:line="276" w:lineRule="auto"/>
              <w:jc w:val="center"/>
              <w:rPr>
                <w:rFonts w:eastAsiaTheme="minorEastAsia"/>
                <w:szCs w:val="21"/>
              </w:rPr>
            </w:pPr>
            <w:r>
              <w:rPr>
                <w:rFonts w:eastAsiaTheme="minorEastAsia"/>
                <w:szCs w:val="21"/>
              </w:rPr>
              <w:t>360℃前</w:t>
            </w:r>
          </w:p>
        </w:tc>
        <w:tc>
          <w:tcPr>
            <w:tcW w:w="947" w:type="dxa"/>
            <w:vAlign w:val="center"/>
          </w:tcPr>
          <w:p w14:paraId="77E61151">
            <w:pPr>
              <w:spacing w:line="276" w:lineRule="auto"/>
              <w:jc w:val="center"/>
              <w:rPr>
                <w:rFonts w:eastAsiaTheme="minorEastAsia"/>
                <w:szCs w:val="21"/>
              </w:rPr>
            </w:pPr>
            <w:r>
              <w:rPr>
                <w:rFonts w:eastAsiaTheme="minorEastAsia"/>
                <w:szCs w:val="21"/>
              </w:rPr>
              <w:t>%</w:t>
            </w:r>
          </w:p>
        </w:tc>
        <w:tc>
          <w:tcPr>
            <w:tcW w:w="1190" w:type="dxa"/>
            <w:vAlign w:val="center"/>
          </w:tcPr>
          <w:p w14:paraId="1848F110">
            <w:pPr>
              <w:spacing w:line="276" w:lineRule="auto"/>
              <w:jc w:val="center"/>
              <w:rPr>
                <w:rFonts w:eastAsiaTheme="minorEastAsia"/>
                <w:szCs w:val="21"/>
              </w:rPr>
            </w:pPr>
            <w:r>
              <w:rPr>
                <w:rFonts w:eastAsiaTheme="minorEastAsia"/>
                <w:szCs w:val="21"/>
              </w:rPr>
              <w:t>&lt;35</w:t>
            </w:r>
          </w:p>
        </w:tc>
        <w:tc>
          <w:tcPr>
            <w:tcW w:w="1190" w:type="dxa"/>
            <w:vAlign w:val="center"/>
          </w:tcPr>
          <w:p w14:paraId="235B792C">
            <w:pPr>
              <w:spacing w:line="276" w:lineRule="auto"/>
              <w:jc w:val="center"/>
              <w:rPr>
                <w:rFonts w:eastAsiaTheme="minorEastAsia"/>
                <w:szCs w:val="21"/>
              </w:rPr>
            </w:pPr>
            <w:r>
              <w:rPr>
                <w:rFonts w:eastAsiaTheme="minorEastAsia"/>
                <w:szCs w:val="21"/>
              </w:rPr>
              <w:t>&lt;20</w:t>
            </w:r>
          </w:p>
        </w:tc>
        <w:tc>
          <w:tcPr>
            <w:tcW w:w="2127" w:type="dxa"/>
            <w:vMerge w:val="continue"/>
            <w:vAlign w:val="center"/>
          </w:tcPr>
          <w:p w14:paraId="51151F48">
            <w:pPr>
              <w:spacing w:line="276" w:lineRule="auto"/>
              <w:jc w:val="center"/>
              <w:rPr>
                <w:rFonts w:eastAsiaTheme="minorEastAsia"/>
                <w:szCs w:val="21"/>
              </w:rPr>
            </w:pPr>
          </w:p>
        </w:tc>
      </w:tr>
      <w:tr w14:paraId="43C173DB">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698D3C29">
            <w:pPr>
              <w:spacing w:line="276" w:lineRule="auto"/>
              <w:jc w:val="center"/>
              <w:rPr>
                <w:rFonts w:eastAsiaTheme="minorEastAsia"/>
                <w:szCs w:val="21"/>
              </w:rPr>
            </w:pPr>
            <w:r>
              <w:rPr>
                <w:rFonts w:eastAsiaTheme="minorEastAsia"/>
                <w:szCs w:val="21"/>
              </w:rPr>
              <w:t>蒸馏后</w:t>
            </w:r>
          </w:p>
          <w:p w14:paraId="7F45BE34">
            <w:pPr>
              <w:spacing w:line="276" w:lineRule="auto"/>
              <w:jc w:val="center"/>
              <w:rPr>
                <w:rFonts w:eastAsiaTheme="minorEastAsia"/>
                <w:szCs w:val="21"/>
              </w:rPr>
            </w:pPr>
            <w:r>
              <w:rPr>
                <w:rFonts w:eastAsiaTheme="minorEastAsia"/>
                <w:szCs w:val="21"/>
              </w:rPr>
              <w:t>残留物</w:t>
            </w:r>
          </w:p>
        </w:tc>
        <w:tc>
          <w:tcPr>
            <w:tcW w:w="1919" w:type="dxa"/>
            <w:vAlign w:val="center"/>
          </w:tcPr>
          <w:p w14:paraId="42C7289E">
            <w:pPr>
              <w:spacing w:line="276" w:lineRule="auto"/>
              <w:jc w:val="center"/>
              <w:rPr>
                <w:rFonts w:eastAsiaTheme="minorEastAsia"/>
                <w:szCs w:val="21"/>
              </w:rPr>
            </w:pPr>
            <w:r>
              <w:rPr>
                <w:rFonts w:eastAsiaTheme="minorEastAsia"/>
                <w:szCs w:val="21"/>
              </w:rPr>
              <w:t>针入度（25℃）</w:t>
            </w:r>
          </w:p>
        </w:tc>
        <w:tc>
          <w:tcPr>
            <w:tcW w:w="947" w:type="dxa"/>
            <w:vAlign w:val="center"/>
          </w:tcPr>
          <w:p w14:paraId="54385AA4">
            <w:pPr>
              <w:spacing w:line="276" w:lineRule="auto"/>
              <w:jc w:val="center"/>
              <w:rPr>
                <w:rFonts w:eastAsiaTheme="minorEastAsia"/>
                <w:szCs w:val="21"/>
              </w:rPr>
            </w:pPr>
            <w:r>
              <w:rPr>
                <w:rFonts w:eastAsiaTheme="minorEastAsia"/>
                <w:szCs w:val="21"/>
              </w:rPr>
              <w:t>0.1mm</w:t>
            </w:r>
          </w:p>
        </w:tc>
        <w:tc>
          <w:tcPr>
            <w:tcW w:w="1190" w:type="dxa"/>
            <w:vAlign w:val="center"/>
          </w:tcPr>
          <w:p w14:paraId="02118E64">
            <w:pPr>
              <w:spacing w:line="276" w:lineRule="auto"/>
              <w:jc w:val="center"/>
              <w:rPr>
                <w:rFonts w:eastAsiaTheme="minorEastAsia"/>
                <w:szCs w:val="21"/>
              </w:rPr>
            </w:pPr>
            <w:r>
              <w:rPr>
                <w:rFonts w:eastAsiaTheme="minorEastAsia"/>
                <w:szCs w:val="21"/>
              </w:rPr>
              <w:t>100～300</w:t>
            </w:r>
          </w:p>
        </w:tc>
        <w:tc>
          <w:tcPr>
            <w:tcW w:w="1190" w:type="dxa"/>
            <w:vAlign w:val="center"/>
          </w:tcPr>
          <w:p w14:paraId="4F9D14FB">
            <w:pPr>
              <w:spacing w:line="276" w:lineRule="auto"/>
              <w:jc w:val="center"/>
              <w:rPr>
                <w:rFonts w:eastAsiaTheme="minorEastAsia"/>
                <w:szCs w:val="21"/>
              </w:rPr>
            </w:pPr>
            <w:r>
              <w:rPr>
                <w:rFonts w:eastAsiaTheme="minorEastAsia"/>
                <w:szCs w:val="21"/>
              </w:rPr>
              <w:t>100～300</w:t>
            </w:r>
          </w:p>
        </w:tc>
        <w:tc>
          <w:tcPr>
            <w:tcW w:w="2127" w:type="dxa"/>
            <w:vAlign w:val="center"/>
          </w:tcPr>
          <w:p w14:paraId="6807141A">
            <w:pPr>
              <w:spacing w:line="276" w:lineRule="auto"/>
              <w:jc w:val="center"/>
              <w:rPr>
                <w:rFonts w:eastAsiaTheme="minorEastAsia"/>
                <w:szCs w:val="21"/>
              </w:rPr>
            </w:pPr>
            <w:r>
              <w:rPr>
                <w:rFonts w:eastAsiaTheme="minorEastAsia"/>
                <w:szCs w:val="21"/>
              </w:rPr>
              <w:t>T0604</w:t>
            </w:r>
          </w:p>
        </w:tc>
      </w:tr>
      <w:tr w14:paraId="3CE2619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8A81051">
            <w:pPr>
              <w:spacing w:line="276" w:lineRule="auto"/>
              <w:jc w:val="center"/>
              <w:rPr>
                <w:rFonts w:eastAsiaTheme="minorEastAsia"/>
                <w:szCs w:val="21"/>
              </w:rPr>
            </w:pPr>
          </w:p>
        </w:tc>
        <w:tc>
          <w:tcPr>
            <w:tcW w:w="1919" w:type="dxa"/>
            <w:vAlign w:val="center"/>
          </w:tcPr>
          <w:p w14:paraId="507AAEE0">
            <w:pPr>
              <w:spacing w:line="276" w:lineRule="auto"/>
              <w:jc w:val="center"/>
              <w:rPr>
                <w:rFonts w:eastAsiaTheme="minorEastAsia"/>
                <w:szCs w:val="21"/>
              </w:rPr>
            </w:pPr>
            <w:r>
              <w:rPr>
                <w:rFonts w:eastAsiaTheme="minorEastAsia"/>
                <w:szCs w:val="21"/>
              </w:rPr>
              <w:t>延度（25℃）</w:t>
            </w:r>
          </w:p>
        </w:tc>
        <w:tc>
          <w:tcPr>
            <w:tcW w:w="947" w:type="dxa"/>
            <w:vAlign w:val="center"/>
          </w:tcPr>
          <w:p w14:paraId="25FABB57">
            <w:pPr>
              <w:spacing w:line="276" w:lineRule="auto"/>
              <w:jc w:val="center"/>
              <w:rPr>
                <w:rFonts w:eastAsiaTheme="minorEastAsia"/>
                <w:szCs w:val="21"/>
              </w:rPr>
            </w:pPr>
            <w:r>
              <w:rPr>
                <w:rFonts w:eastAsiaTheme="minorEastAsia"/>
                <w:szCs w:val="21"/>
              </w:rPr>
              <w:t>cm</w:t>
            </w:r>
          </w:p>
        </w:tc>
        <w:tc>
          <w:tcPr>
            <w:tcW w:w="1190" w:type="dxa"/>
            <w:vAlign w:val="center"/>
          </w:tcPr>
          <w:p w14:paraId="18877550">
            <w:pPr>
              <w:spacing w:line="276" w:lineRule="auto"/>
              <w:jc w:val="center"/>
              <w:rPr>
                <w:rFonts w:eastAsiaTheme="minorEastAsia"/>
                <w:szCs w:val="21"/>
              </w:rPr>
            </w:pPr>
            <w:r>
              <w:rPr>
                <w:rFonts w:eastAsiaTheme="minorEastAsia"/>
                <w:szCs w:val="21"/>
              </w:rPr>
              <w:t>&gt;60</w:t>
            </w:r>
          </w:p>
        </w:tc>
        <w:tc>
          <w:tcPr>
            <w:tcW w:w="1190" w:type="dxa"/>
            <w:vAlign w:val="center"/>
          </w:tcPr>
          <w:p w14:paraId="47CD8015">
            <w:pPr>
              <w:spacing w:line="276" w:lineRule="auto"/>
              <w:jc w:val="center"/>
              <w:rPr>
                <w:rFonts w:eastAsiaTheme="minorEastAsia"/>
                <w:szCs w:val="21"/>
              </w:rPr>
            </w:pPr>
            <w:r>
              <w:rPr>
                <w:rFonts w:eastAsiaTheme="minorEastAsia"/>
                <w:szCs w:val="21"/>
              </w:rPr>
              <w:t>&gt;60</w:t>
            </w:r>
          </w:p>
        </w:tc>
        <w:tc>
          <w:tcPr>
            <w:tcW w:w="2127" w:type="dxa"/>
            <w:vAlign w:val="center"/>
          </w:tcPr>
          <w:p w14:paraId="334B72B9">
            <w:pPr>
              <w:spacing w:line="276" w:lineRule="auto"/>
              <w:jc w:val="center"/>
              <w:rPr>
                <w:rFonts w:eastAsiaTheme="minorEastAsia"/>
                <w:szCs w:val="21"/>
              </w:rPr>
            </w:pPr>
            <w:r>
              <w:rPr>
                <w:rFonts w:eastAsiaTheme="minorEastAsia"/>
                <w:szCs w:val="21"/>
              </w:rPr>
              <w:t>T0605</w:t>
            </w:r>
          </w:p>
        </w:tc>
      </w:tr>
      <w:tr w14:paraId="1BE1C1E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56F3E2F8">
            <w:pPr>
              <w:jc w:val="center"/>
              <w:rPr>
                <w:rFonts w:eastAsiaTheme="minorEastAsia"/>
                <w:szCs w:val="21"/>
              </w:rPr>
            </w:pPr>
          </w:p>
        </w:tc>
        <w:tc>
          <w:tcPr>
            <w:tcW w:w="1919" w:type="dxa"/>
            <w:vAlign w:val="center"/>
          </w:tcPr>
          <w:p w14:paraId="6C4F7174">
            <w:pPr>
              <w:spacing w:line="276" w:lineRule="auto"/>
              <w:jc w:val="center"/>
              <w:rPr>
                <w:rFonts w:eastAsiaTheme="minorEastAsia"/>
                <w:szCs w:val="21"/>
              </w:rPr>
            </w:pPr>
            <w:r>
              <w:rPr>
                <w:rFonts w:eastAsiaTheme="minorEastAsia"/>
                <w:szCs w:val="21"/>
              </w:rPr>
              <w:t>漂浮度（5℃）</w:t>
            </w:r>
          </w:p>
        </w:tc>
        <w:tc>
          <w:tcPr>
            <w:tcW w:w="947" w:type="dxa"/>
            <w:vAlign w:val="center"/>
          </w:tcPr>
          <w:p w14:paraId="3A800CBB">
            <w:pPr>
              <w:spacing w:line="276" w:lineRule="auto"/>
              <w:jc w:val="center"/>
              <w:rPr>
                <w:rFonts w:eastAsiaTheme="minorEastAsia"/>
                <w:szCs w:val="21"/>
              </w:rPr>
            </w:pPr>
            <w:r>
              <w:rPr>
                <w:rFonts w:eastAsiaTheme="minorEastAsia"/>
                <w:szCs w:val="21"/>
              </w:rPr>
              <w:t>s</w:t>
            </w:r>
          </w:p>
        </w:tc>
        <w:tc>
          <w:tcPr>
            <w:tcW w:w="1190" w:type="dxa"/>
            <w:vAlign w:val="center"/>
          </w:tcPr>
          <w:p w14:paraId="73F5E169">
            <w:pPr>
              <w:spacing w:line="276" w:lineRule="auto"/>
              <w:jc w:val="center"/>
              <w:rPr>
                <w:rFonts w:eastAsiaTheme="minorEastAsia"/>
                <w:szCs w:val="21"/>
              </w:rPr>
            </w:pPr>
            <w:r>
              <w:rPr>
                <w:rFonts w:eastAsiaTheme="minorEastAsia"/>
                <w:szCs w:val="21"/>
              </w:rPr>
              <w:t>－</w:t>
            </w:r>
          </w:p>
        </w:tc>
        <w:tc>
          <w:tcPr>
            <w:tcW w:w="1190" w:type="dxa"/>
            <w:vAlign w:val="center"/>
          </w:tcPr>
          <w:p w14:paraId="29510076">
            <w:pPr>
              <w:spacing w:line="276" w:lineRule="auto"/>
              <w:jc w:val="center"/>
              <w:rPr>
                <w:rFonts w:eastAsiaTheme="minorEastAsia"/>
                <w:szCs w:val="21"/>
              </w:rPr>
            </w:pPr>
            <w:r>
              <w:rPr>
                <w:rFonts w:eastAsiaTheme="minorEastAsia"/>
                <w:szCs w:val="21"/>
              </w:rPr>
              <w:t>－</w:t>
            </w:r>
          </w:p>
        </w:tc>
        <w:tc>
          <w:tcPr>
            <w:tcW w:w="2127" w:type="dxa"/>
            <w:vAlign w:val="center"/>
          </w:tcPr>
          <w:p w14:paraId="222F0D7A">
            <w:pPr>
              <w:spacing w:line="276" w:lineRule="auto"/>
              <w:jc w:val="center"/>
              <w:rPr>
                <w:rFonts w:eastAsiaTheme="minorEastAsia"/>
                <w:szCs w:val="21"/>
              </w:rPr>
            </w:pPr>
            <w:r>
              <w:rPr>
                <w:rFonts w:eastAsiaTheme="minorEastAsia"/>
                <w:szCs w:val="21"/>
              </w:rPr>
              <w:t>T0631</w:t>
            </w:r>
          </w:p>
        </w:tc>
      </w:tr>
      <w:tr w14:paraId="7C204851">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0AD4DC77">
            <w:pPr>
              <w:spacing w:line="276" w:lineRule="auto"/>
              <w:jc w:val="center"/>
              <w:rPr>
                <w:rFonts w:eastAsiaTheme="minorEastAsia"/>
                <w:szCs w:val="21"/>
              </w:rPr>
            </w:pPr>
            <w:r>
              <w:rPr>
                <w:rFonts w:eastAsiaTheme="minorEastAsia"/>
                <w:szCs w:val="21"/>
              </w:rPr>
              <w:t>闪点（TOC法）</w:t>
            </w:r>
          </w:p>
        </w:tc>
        <w:tc>
          <w:tcPr>
            <w:tcW w:w="947" w:type="dxa"/>
            <w:vAlign w:val="center"/>
          </w:tcPr>
          <w:p w14:paraId="2106D49B">
            <w:pPr>
              <w:spacing w:line="276" w:lineRule="auto"/>
              <w:jc w:val="center"/>
              <w:rPr>
                <w:rFonts w:eastAsiaTheme="minorEastAsia"/>
                <w:szCs w:val="21"/>
              </w:rPr>
            </w:pPr>
            <w:r>
              <w:rPr>
                <w:rFonts w:eastAsiaTheme="minorEastAsia"/>
                <w:szCs w:val="21"/>
              </w:rPr>
              <w:t>℃</w:t>
            </w:r>
          </w:p>
        </w:tc>
        <w:tc>
          <w:tcPr>
            <w:tcW w:w="1190" w:type="dxa"/>
            <w:vAlign w:val="center"/>
          </w:tcPr>
          <w:p w14:paraId="2F78B7AD">
            <w:pPr>
              <w:spacing w:line="276" w:lineRule="auto"/>
              <w:jc w:val="center"/>
              <w:rPr>
                <w:rFonts w:eastAsiaTheme="minorEastAsia"/>
                <w:szCs w:val="21"/>
              </w:rPr>
            </w:pPr>
            <w:r>
              <w:rPr>
                <w:rFonts w:eastAsiaTheme="minorEastAsia"/>
                <w:szCs w:val="21"/>
              </w:rPr>
              <w:t>&gt;65</w:t>
            </w:r>
          </w:p>
        </w:tc>
        <w:tc>
          <w:tcPr>
            <w:tcW w:w="1190" w:type="dxa"/>
            <w:vAlign w:val="center"/>
          </w:tcPr>
          <w:p w14:paraId="7D48CCA9">
            <w:pPr>
              <w:spacing w:line="276" w:lineRule="auto"/>
              <w:jc w:val="center"/>
              <w:rPr>
                <w:rFonts w:eastAsiaTheme="minorEastAsia"/>
                <w:szCs w:val="21"/>
              </w:rPr>
            </w:pPr>
            <w:r>
              <w:rPr>
                <w:rFonts w:eastAsiaTheme="minorEastAsia"/>
                <w:szCs w:val="21"/>
              </w:rPr>
              <w:t>&gt;65</w:t>
            </w:r>
          </w:p>
        </w:tc>
        <w:tc>
          <w:tcPr>
            <w:tcW w:w="2127" w:type="dxa"/>
            <w:vAlign w:val="center"/>
          </w:tcPr>
          <w:p w14:paraId="394B7333">
            <w:pPr>
              <w:spacing w:line="276" w:lineRule="auto"/>
              <w:jc w:val="center"/>
              <w:rPr>
                <w:rFonts w:eastAsiaTheme="minorEastAsia"/>
                <w:szCs w:val="21"/>
              </w:rPr>
            </w:pPr>
            <w:r>
              <w:rPr>
                <w:rFonts w:eastAsiaTheme="minorEastAsia"/>
                <w:szCs w:val="21"/>
              </w:rPr>
              <w:t>T0633</w:t>
            </w:r>
          </w:p>
        </w:tc>
      </w:tr>
      <w:tr w14:paraId="09F52733">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8" w:hRule="atLeast"/>
          <w:jc w:val="center"/>
        </w:trPr>
        <w:tc>
          <w:tcPr>
            <w:tcW w:w="4761" w:type="dxa"/>
            <w:gridSpan w:val="2"/>
            <w:vAlign w:val="center"/>
          </w:tcPr>
          <w:p w14:paraId="1344C4BB">
            <w:pPr>
              <w:spacing w:line="276" w:lineRule="auto"/>
              <w:jc w:val="center"/>
              <w:rPr>
                <w:rFonts w:eastAsiaTheme="minorEastAsia"/>
                <w:szCs w:val="21"/>
              </w:rPr>
            </w:pPr>
            <w:r>
              <w:rPr>
                <w:rFonts w:eastAsiaTheme="minorEastAsia"/>
                <w:szCs w:val="21"/>
              </w:rPr>
              <w:t>含水量不大于</w:t>
            </w:r>
          </w:p>
        </w:tc>
        <w:tc>
          <w:tcPr>
            <w:tcW w:w="947" w:type="dxa"/>
            <w:vAlign w:val="center"/>
          </w:tcPr>
          <w:p w14:paraId="65A1A484">
            <w:pPr>
              <w:spacing w:line="276" w:lineRule="auto"/>
              <w:jc w:val="center"/>
              <w:rPr>
                <w:rFonts w:eastAsiaTheme="minorEastAsia"/>
                <w:szCs w:val="21"/>
              </w:rPr>
            </w:pPr>
            <w:r>
              <w:rPr>
                <w:rFonts w:eastAsiaTheme="minorEastAsia"/>
                <w:szCs w:val="21"/>
              </w:rPr>
              <w:t>%</w:t>
            </w:r>
          </w:p>
        </w:tc>
        <w:tc>
          <w:tcPr>
            <w:tcW w:w="1190" w:type="dxa"/>
            <w:vAlign w:val="center"/>
          </w:tcPr>
          <w:p w14:paraId="7F0CB0BB">
            <w:pPr>
              <w:spacing w:line="276" w:lineRule="auto"/>
              <w:jc w:val="center"/>
              <w:rPr>
                <w:rFonts w:eastAsiaTheme="minorEastAsia"/>
                <w:szCs w:val="21"/>
              </w:rPr>
            </w:pPr>
            <w:r>
              <w:rPr>
                <w:rFonts w:eastAsiaTheme="minorEastAsia"/>
                <w:szCs w:val="21"/>
              </w:rPr>
              <w:t>0.2</w:t>
            </w:r>
          </w:p>
        </w:tc>
        <w:tc>
          <w:tcPr>
            <w:tcW w:w="1190" w:type="dxa"/>
            <w:vAlign w:val="center"/>
          </w:tcPr>
          <w:p w14:paraId="22037B06">
            <w:pPr>
              <w:spacing w:line="276" w:lineRule="auto"/>
              <w:jc w:val="center"/>
              <w:rPr>
                <w:rFonts w:eastAsiaTheme="minorEastAsia"/>
                <w:szCs w:val="21"/>
              </w:rPr>
            </w:pPr>
            <w:r>
              <w:rPr>
                <w:rFonts w:eastAsiaTheme="minorEastAsia"/>
                <w:szCs w:val="21"/>
              </w:rPr>
              <w:t>0.2</w:t>
            </w:r>
          </w:p>
        </w:tc>
        <w:tc>
          <w:tcPr>
            <w:tcW w:w="2127" w:type="dxa"/>
            <w:vAlign w:val="center"/>
          </w:tcPr>
          <w:p w14:paraId="03527CE4">
            <w:pPr>
              <w:spacing w:line="276" w:lineRule="auto"/>
              <w:jc w:val="center"/>
              <w:rPr>
                <w:rFonts w:eastAsiaTheme="minorEastAsia"/>
                <w:szCs w:val="21"/>
              </w:rPr>
            </w:pPr>
            <w:r>
              <w:rPr>
                <w:rFonts w:eastAsiaTheme="minorEastAsia"/>
                <w:szCs w:val="21"/>
              </w:rPr>
              <w:t>T0612</w:t>
            </w:r>
          </w:p>
        </w:tc>
      </w:tr>
    </w:tbl>
    <w:p w14:paraId="3FD29A32">
      <w:pPr>
        <w:pStyle w:val="99"/>
        <w:rPr>
          <w:rFonts w:eastAsiaTheme="minorEastAsia"/>
        </w:rPr>
      </w:pPr>
      <w:r>
        <w:rPr>
          <w:rFonts w:eastAsiaTheme="minorEastAsia"/>
        </w:rPr>
        <w:t>沥青混凝土各面层间以及平侧缘石、刚性基层等构筑物与沥青混合料接触面均应喷洒粘层油，参考用量为0.4L/m</w:t>
      </w:r>
      <w:r>
        <w:rPr>
          <w:rFonts w:eastAsiaTheme="minorEastAsia"/>
          <w:vertAlign w:val="superscript"/>
        </w:rPr>
        <w:t>2</w:t>
      </w:r>
      <w:r>
        <w:rPr>
          <w:rFonts w:eastAsiaTheme="minorEastAsia"/>
        </w:rPr>
        <w:t>，施工时应通过试撒确定。</w:t>
      </w:r>
    </w:p>
    <w:p w14:paraId="6201BC99">
      <w:pPr>
        <w:pStyle w:val="99"/>
        <w:rPr>
          <w:rFonts w:eastAsiaTheme="minorEastAsia"/>
        </w:rPr>
      </w:pPr>
      <w:r>
        <w:rPr>
          <w:rFonts w:eastAsiaTheme="minorEastAsia"/>
        </w:rPr>
        <w:t>粘层沥青用量应根据下卧层的种类通过试洒确定并符合下表的要求。</w:t>
      </w:r>
    </w:p>
    <w:p w14:paraId="47641B42">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表5.3 沥青面层粘层沥青的规格与用量</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847"/>
        <w:gridCol w:w="2487"/>
        <w:gridCol w:w="3926"/>
      </w:tblGrid>
      <w:tr w14:paraId="364BD0FB">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2" w:hRule="atLeast"/>
          <w:jc w:val="center"/>
        </w:trPr>
        <w:tc>
          <w:tcPr>
            <w:tcW w:w="3847" w:type="dxa"/>
            <w:vMerge w:val="restart"/>
            <w:vAlign w:val="center"/>
          </w:tcPr>
          <w:p w14:paraId="4ED712CD">
            <w:pPr>
              <w:spacing w:line="276" w:lineRule="auto"/>
              <w:jc w:val="center"/>
              <w:rPr>
                <w:rFonts w:eastAsiaTheme="minorEastAsia"/>
                <w:szCs w:val="21"/>
              </w:rPr>
            </w:pPr>
            <w:r>
              <w:rPr>
                <w:rFonts w:eastAsiaTheme="minorEastAsia"/>
                <w:szCs w:val="21"/>
              </w:rPr>
              <w:t>用途</w:t>
            </w:r>
          </w:p>
        </w:tc>
        <w:tc>
          <w:tcPr>
            <w:tcW w:w="6413" w:type="dxa"/>
            <w:gridSpan w:val="2"/>
            <w:vAlign w:val="center"/>
          </w:tcPr>
          <w:p w14:paraId="45F8031C">
            <w:pPr>
              <w:spacing w:line="276" w:lineRule="auto"/>
              <w:jc w:val="center"/>
              <w:rPr>
                <w:rFonts w:eastAsiaTheme="minorEastAsia"/>
                <w:szCs w:val="21"/>
              </w:rPr>
            </w:pPr>
            <w:r>
              <w:rPr>
                <w:rFonts w:eastAsiaTheme="minorEastAsia"/>
                <w:szCs w:val="21"/>
              </w:rPr>
              <w:t>液体石油沥青</w:t>
            </w:r>
          </w:p>
        </w:tc>
      </w:tr>
      <w:tr w14:paraId="510AEC8B">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0" w:hRule="atLeast"/>
          <w:jc w:val="center"/>
        </w:trPr>
        <w:tc>
          <w:tcPr>
            <w:tcW w:w="3847" w:type="dxa"/>
            <w:vMerge w:val="continue"/>
            <w:vAlign w:val="center"/>
          </w:tcPr>
          <w:p w14:paraId="5CD4747C">
            <w:pPr>
              <w:spacing w:line="276" w:lineRule="auto"/>
              <w:jc w:val="center"/>
              <w:rPr>
                <w:rFonts w:eastAsiaTheme="minorEastAsia"/>
                <w:szCs w:val="21"/>
              </w:rPr>
            </w:pPr>
          </w:p>
        </w:tc>
        <w:tc>
          <w:tcPr>
            <w:tcW w:w="2487" w:type="dxa"/>
            <w:vAlign w:val="center"/>
          </w:tcPr>
          <w:p w14:paraId="10B92CD4">
            <w:pPr>
              <w:spacing w:line="276" w:lineRule="auto"/>
              <w:jc w:val="center"/>
              <w:rPr>
                <w:rFonts w:eastAsiaTheme="minorEastAsia"/>
                <w:szCs w:val="21"/>
              </w:rPr>
            </w:pPr>
            <w:r>
              <w:rPr>
                <w:rFonts w:eastAsiaTheme="minorEastAsia"/>
                <w:szCs w:val="21"/>
              </w:rPr>
              <w:t>规格</w:t>
            </w:r>
          </w:p>
        </w:tc>
        <w:tc>
          <w:tcPr>
            <w:tcW w:w="3926" w:type="dxa"/>
            <w:vAlign w:val="center"/>
          </w:tcPr>
          <w:p w14:paraId="76150D57">
            <w:pPr>
              <w:spacing w:line="276" w:lineRule="auto"/>
              <w:jc w:val="center"/>
              <w:rPr>
                <w:rFonts w:eastAsiaTheme="minorEastAsia"/>
                <w:szCs w:val="21"/>
              </w:rPr>
            </w:pPr>
            <w:r>
              <w:rPr>
                <w:rFonts w:eastAsiaTheme="minorEastAsia"/>
                <w:szCs w:val="21"/>
              </w:rPr>
              <w:t>用量(L/m2)</w:t>
            </w:r>
          </w:p>
        </w:tc>
      </w:tr>
      <w:tr w14:paraId="4285588C">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3847" w:type="dxa"/>
            <w:vAlign w:val="center"/>
          </w:tcPr>
          <w:p w14:paraId="1E53FAFF">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14:paraId="16B9397F">
            <w:pPr>
              <w:spacing w:line="276" w:lineRule="auto"/>
              <w:jc w:val="center"/>
              <w:rPr>
                <w:rFonts w:eastAsiaTheme="minorEastAsia"/>
                <w:szCs w:val="21"/>
              </w:rPr>
            </w:pPr>
            <w:r>
              <w:rPr>
                <w:rFonts w:eastAsiaTheme="minorEastAsia"/>
                <w:szCs w:val="21"/>
              </w:rPr>
              <w:t>AL(M)-5</w:t>
            </w:r>
          </w:p>
        </w:tc>
        <w:tc>
          <w:tcPr>
            <w:tcW w:w="3926" w:type="dxa"/>
            <w:vAlign w:val="center"/>
          </w:tcPr>
          <w:p w14:paraId="5E34132C">
            <w:pPr>
              <w:spacing w:line="276" w:lineRule="auto"/>
              <w:jc w:val="center"/>
              <w:rPr>
                <w:rFonts w:eastAsiaTheme="minorEastAsia"/>
                <w:szCs w:val="21"/>
              </w:rPr>
            </w:pPr>
            <w:r>
              <w:rPr>
                <w:rFonts w:eastAsiaTheme="minorEastAsia"/>
                <w:szCs w:val="21"/>
              </w:rPr>
              <w:t>0.4</w:t>
            </w:r>
          </w:p>
        </w:tc>
      </w:tr>
    </w:tbl>
    <w:p w14:paraId="4F4B1183">
      <w:pPr>
        <w:pStyle w:val="97"/>
        <w:rPr>
          <w:rFonts w:ascii="Times New Roman" w:eastAsiaTheme="minorEastAsia"/>
        </w:rPr>
      </w:pPr>
      <w:r>
        <w:rPr>
          <w:rFonts w:ascii="Times New Roman" w:eastAsiaTheme="minorEastAsia"/>
        </w:rPr>
        <w:t>沥青混合料粗集料</w:t>
      </w:r>
    </w:p>
    <w:p w14:paraId="6E17E2D7">
      <w:pPr>
        <w:pStyle w:val="99"/>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沥青路面的粗集料应选用碎石，与沥青应具有良好的黏附性。常用的石料有玄武岩、安山岩、片麻岩、辉绿岩等，并且粗集料应该洁净、干燥、表面粗糙，质量应符合表5.4的规定。</w:t>
      </w:r>
    </w:p>
    <w:p w14:paraId="08CA56DE">
      <w:pPr>
        <w:pStyle w:val="99"/>
        <w:rPr>
          <w:rFonts w:eastAsiaTheme="minorEastAsia"/>
        </w:rPr>
      </w:pPr>
      <w:r>
        <w:rPr>
          <w:rFonts w:eastAsiaTheme="minorEastAsia"/>
        </w:rPr>
        <w:t>对受热易变形的集料，宜采用经拌和和机烘干后的集料进行检验。</w:t>
      </w:r>
    </w:p>
    <w:p w14:paraId="75D5189E">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表5.4 沥青混合料粗集料质量技术要求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995"/>
        <w:gridCol w:w="1276"/>
        <w:gridCol w:w="1276"/>
        <w:gridCol w:w="3759"/>
      </w:tblGrid>
      <w:tr w14:paraId="6B440A27">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0B9A778">
            <w:pPr>
              <w:spacing w:line="276" w:lineRule="auto"/>
              <w:jc w:val="center"/>
              <w:rPr>
                <w:rFonts w:eastAsiaTheme="minorEastAsia"/>
                <w:szCs w:val="21"/>
              </w:rPr>
            </w:pPr>
            <w:r>
              <w:rPr>
                <w:rFonts w:eastAsiaTheme="minorEastAsia"/>
                <w:szCs w:val="21"/>
              </w:rPr>
              <w:t>指标</w:t>
            </w:r>
          </w:p>
        </w:tc>
        <w:tc>
          <w:tcPr>
            <w:tcW w:w="1276" w:type="dxa"/>
            <w:vAlign w:val="center"/>
          </w:tcPr>
          <w:p w14:paraId="5164FCC4">
            <w:pPr>
              <w:spacing w:line="276" w:lineRule="auto"/>
              <w:jc w:val="center"/>
              <w:rPr>
                <w:rFonts w:eastAsiaTheme="minorEastAsia"/>
                <w:szCs w:val="21"/>
              </w:rPr>
            </w:pPr>
            <w:r>
              <w:rPr>
                <w:rFonts w:eastAsiaTheme="minorEastAsia"/>
                <w:szCs w:val="21"/>
              </w:rPr>
              <w:t>单位</w:t>
            </w:r>
          </w:p>
        </w:tc>
        <w:tc>
          <w:tcPr>
            <w:tcW w:w="1276" w:type="dxa"/>
            <w:vAlign w:val="center"/>
          </w:tcPr>
          <w:p w14:paraId="78B79050">
            <w:pPr>
              <w:spacing w:line="276" w:lineRule="auto"/>
              <w:jc w:val="center"/>
              <w:rPr>
                <w:rFonts w:eastAsiaTheme="minorEastAsia"/>
                <w:szCs w:val="21"/>
              </w:rPr>
            </w:pPr>
            <w:r>
              <w:rPr>
                <w:rFonts w:eastAsiaTheme="minorEastAsia"/>
                <w:szCs w:val="21"/>
              </w:rPr>
              <w:t>指标</w:t>
            </w:r>
          </w:p>
        </w:tc>
        <w:tc>
          <w:tcPr>
            <w:tcW w:w="3759" w:type="dxa"/>
            <w:vAlign w:val="center"/>
          </w:tcPr>
          <w:p w14:paraId="6E0D23F3">
            <w:pPr>
              <w:spacing w:line="276" w:lineRule="auto"/>
              <w:jc w:val="center"/>
              <w:rPr>
                <w:rFonts w:eastAsiaTheme="minorEastAsia"/>
                <w:szCs w:val="21"/>
              </w:rPr>
            </w:pPr>
            <w:r>
              <w:rPr>
                <w:rFonts w:eastAsiaTheme="minorEastAsia"/>
                <w:szCs w:val="21"/>
              </w:rPr>
              <w:t>试验方法</w:t>
            </w:r>
          </w:p>
        </w:tc>
      </w:tr>
      <w:tr w14:paraId="4663253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2EAB68B">
            <w:pPr>
              <w:spacing w:line="276" w:lineRule="auto"/>
              <w:jc w:val="center"/>
              <w:rPr>
                <w:rFonts w:eastAsiaTheme="minorEastAsia"/>
                <w:szCs w:val="21"/>
              </w:rPr>
            </w:pPr>
            <w:r>
              <w:rPr>
                <w:rFonts w:eastAsiaTheme="minorEastAsia"/>
                <w:szCs w:val="21"/>
              </w:rPr>
              <w:t>石料压碎值，不大于</w:t>
            </w:r>
          </w:p>
        </w:tc>
        <w:tc>
          <w:tcPr>
            <w:tcW w:w="1276" w:type="dxa"/>
            <w:vAlign w:val="center"/>
          </w:tcPr>
          <w:p w14:paraId="0B033E45">
            <w:pPr>
              <w:spacing w:line="276" w:lineRule="auto"/>
              <w:jc w:val="center"/>
              <w:rPr>
                <w:rFonts w:eastAsiaTheme="minorEastAsia"/>
                <w:szCs w:val="21"/>
              </w:rPr>
            </w:pPr>
            <w:r>
              <w:rPr>
                <w:rFonts w:eastAsiaTheme="minorEastAsia"/>
                <w:szCs w:val="21"/>
              </w:rPr>
              <w:t>%</w:t>
            </w:r>
          </w:p>
        </w:tc>
        <w:tc>
          <w:tcPr>
            <w:tcW w:w="1276" w:type="dxa"/>
            <w:vAlign w:val="center"/>
          </w:tcPr>
          <w:p w14:paraId="66F6B96A">
            <w:pPr>
              <w:spacing w:line="276" w:lineRule="auto"/>
              <w:jc w:val="center"/>
              <w:rPr>
                <w:rFonts w:eastAsiaTheme="minorEastAsia"/>
                <w:szCs w:val="21"/>
              </w:rPr>
            </w:pPr>
            <w:r>
              <w:rPr>
                <w:rFonts w:eastAsiaTheme="minorEastAsia"/>
                <w:szCs w:val="21"/>
              </w:rPr>
              <w:t>30</w:t>
            </w:r>
          </w:p>
        </w:tc>
        <w:tc>
          <w:tcPr>
            <w:tcW w:w="3759" w:type="dxa"/>
            <w:vAlign w:val="center"/>
          </w:tcPr>
          <w:p w14:paraId="25865B34">
            <w:pPr>
              <w:spacing w:line="276" w:lineRule="auto"/>
              <w:jc w:val="center"/>
              <w:rPr>
                <w:rFonts w:eastAsiaTheme="minorEastAsia"/>
                <w:szCs w:val="21"/>
              </w:rPr>
            </w:pPr>
            <w:r>
              <w:rPr>
                <w:rFonts w:eastAsiaTheme="minorEastAsia"/>
                <w:szCs w:val="21"/>
              </w:rPr>
              <w:t>T0316</w:t>
            </w:r>
          </w:p>
        </w:tc>
      </w:tr>
      <w:tr w14:paraId="2086C372">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679F3DAD">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14:paraId="3A7C2C32">
            <w:pPr>
              <w:spacing w:line="276" w:lineRule="auto"/>
              <w:jc w:val="center"/>
              <w:rPr>
                <w:rFonts w:eastAsiaTheme="minorEastAsia"/>
                <w:szCs w:val="21"/>
              </w:rPr>
            </w:pPr>
            <w:r>
              <w:rPr>
                <w:rFonts w:eastAsiaTheme="minorEastAsia"/>
                <w:szCs w:val="21"/>
              </w:rPr>
              <w:t>%</w:t>
            </w:r>
          </w:p>
        </w:tc>
        <w:tc>
          <w:tcPr>
            <w:tcW w:w="1276" w:type="dxa"/>
            <w:vAlign w:val="center"/>
          </w:tcPr>
          <w:p w14:paraId="6D4DE415">
            <w:pPr>
              <w:spacing w:line="276" w:lineRule="auto"/>
              <w:jc w:val="center"/>
              <w:rPr>
                <w:rFonts w:eastAsiaTheme="minorEastAsia"/>
                <w:szCs w:val="21"/>
              </w:rPr>
            </w:pPr>
            <w:r>
              <w:rPr>
                <w:rFonts w:eastAsiaTheme="minorEastAsia"/>
                <w:szCs w:val="21"/>
              </w:rPr>
              <w:t>35</w:t>
            </w:r>
          </w:p>
        </w:tc>
        <w:tc>
          <w:tcPr>
            <w:tcW w:w="3759" w:type="dxa"/>
            <w:vAlign w:val="center"/>
          </w:tcPr>
          <w:p w14:paraId="14BD4311">
            <w:pPr>
              <w:spacing w:line="276" w:lineRule="auto"/>
              <w:jc w:val="center"/>
              <w:rPr>
                <w:rFonts w:eastAsiaTheme="minorEastAsia"/>
                <w:szCs w:val="21"/>
              </w:rPr>
            </w:pPr>
            <w:r>
              <w:rPr>
                <w:rFonts w:eastAsiaTheme="minorEastAsia"/>
                <w:szCs w:val="21"/>
              </w:rPr>
              <w:t>T0317</w:t>
            </w:r>
          </w:p>
        </w:tc>
      </w:tr>
      <w:tr w14:paraId="223F9C6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5D3233F">
            <w:pPr>
              <w:spacing w:line="276" w:lineRule="auto"/>
              <w:jc w:val="center"/>
              <w:rPr>
                <w:rFonts w:eastAsiaTheme="minorEastAsia"/>
                <w:szCs w:val="21"/>
              </w:rPr>
            </w:pPr>
            <w:r>
              <w:rPr>
                <w:rFonts w:eastAsiaTheme="minorEastAsia"/>
                <w:szCs w:val="21"/>
              </w:rPr>
              <w:t>表观相对密度，不小于</w:t>
            </w:r>
          </w:p>
        </w:tc>
        <w:tc>
          <w:tcPr>
            <w:tcW w:w="1276" w:type="dxa"/>
            <w:vAlign w:val="center"/>
          </w:tcPr>
          <w:p w14:paraId="0F161B6A">
            <w:pPr>
              <w:spacing w:line="276" w:lineRule="auto"/>
              <w:jc w:val="center"/>
              <w:rPr>
                <w:rFonts w:eastAsiaTheme="minorEastAsia"/>
                <w:szCs w:val="21"/>
              </w:rPr>
            </w:pPr>
            <w:r>
              <w:rPr>
                <w:rFonts w:eastAsiaTheme="minorEastAsia"/>
                <w:szCs w:val="21"/>
              </w:rPr>
              <w:t>-</w:t>
            </w:r>
          </w:p>
        </w:tc>
        <w:tc>
          <w:tcPr>
            <w:tcW w:w="1276" w:type="dxa"/>
            <w:vAlign w:val="center"/>
          </w:tcPr>
          <w:p w14:paraId="190B1AD0">
            <w:pPr>
              <w:spacing w:line="276" w:lineRule="auto"/>
              <w:jc w:val="center"/>
              <w:rPr>
                <w:rFonts w:eastAsiaTheme="minorEastAsia"/>
                <w:szCs w:val="21"/>
              </w:rPr>
            </w:pPr>
            <w:r>
              <w:rPr>
                <w:rFonts w:eastAsiaTheme="minorEastAsia"/>
                <w:szCs w:val="21"/>
              </w:rPr>
              <w:t>2.45</w:t>
            </w:r>
          </w:p>
        </w:tc>
        <w:tc>
          <w:tcPr>
            <w:tcW w:w="3759" w:type="dxa"/>
            <w:vAlign w:val="center"/>
          </w:tcPr>
          <w:p w14:paraId="45C6FEB9">
            <w:pPr>
              <w:spacing w:line="276" w:lineRule="auto"/>
              <w:jc w:val="center"/>
              <w:rPr>
                <w:rFonts w:eastAsiaTheme="minorEastAsia"/>
                <w:szCs w:val="21"/>
              </w:rPr>
            </w:pPr>
            <w:r>
              <w:rPr>
                <w:rFonts w:eastAsiaTheme="minorEastAsia"/>
                <w:szCs w:val="21"/>
              </w:rPr>
              <w:t>T0304</w:t>
            </w:r>
          </w:p>
        </w:tc>
      </w:tr>
      <w:tr w14:paraId="6789D0C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CE728B0">
            <w:pPr>
              <w:spacing w:line="276" w:lineRule="auto"/>
              <w:jc w:val="center"/>
              <w:rPr>
                <w:rFonts w:eastAsiaTheme="minorEastAsia"/>
                <w:szCs w:val="21"/>
              </w:rPr>
            </w:pPr>
            <w:r>
              <w:rPr>
                <w:rFonts w:eastAsiaTheme="minorEastAsia"/>
                <w:szCs w:val="21"/>
              </w:rPr>
              <w:t>吸水率，不大于</w:t>
            </w:r>
          </w:p>
        </w:tc>
        <w:tc>
          <w:tcPr>
            <w:tcW w:w="1276" w:type="dxa"/>
            <w:vAlign w:val="center"/>
          </w:tcPr>
          <w:p w14:paraId="28A9A6F1">
            <w:pPr>
              <w:spacing w:line="276" w:lineRule="auto"/>
              <w:jc w:val="center"/>
              <w:rPr>
                <w:rFonts w:eastAsiaTheme="minorEastAsia"/>
                <w:szCs w:val="21"/>
              </w:rPr>
            </w:pPr>
            <w:r>
              <w:rPr>
                <w:rFonts w:eastAsiaTheme="minorEastAsia"/>
                <w:szCs w:val="21"/>
              </w:rPr>
              <w:t>%</w:t>
            </w:r>
          </w:p>
        </w:tc>
        <w:tc>
          <w:tcPr>
            <w:tcW w:w="1276" w:type="dxa"/>
            <w:vAlign w:val="center"/>
          </w:tcPr>
          <w:p w14:paraId="209DD1F9">
            <w:pPr>
              <w:spacing w:line="276" w:lineRule="auto"/>
              <w:jc w:val="center"/>
              <w:rPr>
                <w:rFonts w:eastAsiaTheme="minorEastAsia"/>
                <w:szCs w:val="21"/>
              </w:rPr>
            </w:pPr>
            <w:r>
              <w:rPr>
                <w:rFonts w:eastAsiaTheme="minorEastAsia"/>
                <w:szCs w:val="21"/>
              </w:rPr>
              <w:t>3.0</w:t>
            </w:r>
          </w:p>
        </w:tc>
        <w:tc>
          <w:tcPr>
            <w:tcW w:w="3759" w:type="dxa"/>
            <w:vAlign w:val="center"/>
          </w:tcPr>
          <w:p w14:paraId="2E4B24F8">
            <w:pPr>
              <w:spacing w:line="276" w:lineRule="auto"/>
              <w:jc w:val="center"/>
              <w:rPr>
                <w:rFonts w:eastAsiaTheme="minorEastAsia"/>
                <w:szCs w:val="21"/>
              </w:rPr>
            </w:pPr>
            <w:r>
              <w:rPr>
                <w:rFonts w:eastAsiaTheme="minorEastAsia"/>
                <w:szCs w:val="21"/>
              </w:rPr>
              <w:t>T0304</w:t>
            </w:r>
          </w:p>
        </w:tc>
      </w:tr>
      <w:tr w14:paraId="674892D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1963971F">
            <w:pPr>
              <w:spacing w:line="276" w:lineRule="auto"/>
              <w:jc w:val="center"/>
              <w:rPr>
                <w:rFonts w:eastAsiaTheme="minorEastAsia"/>
                <w:szCs w:val="21"/>
              </w:rPr>
            </w:pPr>
            <w:r>
              <w:rPr>
                <w:rFonts w:eastAsiaTheme="minorEastAsia"/>
                <w:szCs w:val="21"/>
              </w:rPr>
              <w:t>坚固性，不大于</w:t>
            </w:r>
          </w:p>
        </w:tc>
        <w:tc>
          <w:tcPr>
            <w:tcW w:w="1276" w:type="dxa"/>
            <w:vAlign w:val="center"/>
          </w:tcPr>
          <w:p w14:paraId="55913230">
            <w:pPr>
              <w:spacing w:line="276" w:lineRule="auto"/>
              <w:jc w:val="center"/>
              <w:rPr>
                <w:rFonts w:eastAsiaTheme="minorEastAsia"/>
                <w:szCs w:val="21"/>
              </w:rPr>
            </w:pPr>
            <w:r>
              <w:rPr>
                <w:rFonts w:eastAsiaTheme="minorEastAsia"/>
                <w:szCs w:val="21"/>
              </w:rPr>
              <w:t>%</w:t>
            </w:r>
          </w:p>
        </w:tc>
        <w:tc>
          <w:tcPr>
            <w:tcW w:w="1276" w:type="dxa"/>
            <w:vAlign w:val="center"/>
          </w:tcPr>
          <w:p w14:paraId="44390C2F">
            <w:pPr>
              <w:spacing w:line="276" w:lineRule="auto"/>
              <w:jc w:val="center"/>
              <w:rPr>
                <w:rFonts w:eastAsiaTheme="minorEastAsia"/>
                <w:szCs w:val="21"/>
              </w:rPr>
            </w:pPr>
            <w:r>
              <w:rPr>
                <w:rFonts w:eastAsiaTheme="minorEastAsia"/>
                <w:szCs w:val="21"/>
              </w:rPr>
              <w:t>-</w:t>
            </w:r>
          </w:p>
        </w:tc>
        <w:tc>
          <w:tcPr>
            <w:tcW w:w="3759" w:type="dxa"/>
            <w:vAlign w:val="center"/>
          </w:tcPr>
          <w:p w14:paraId="5B1EFD2D">
            <w:pPr>
              <w:spacing w:line="276" w:lineRule="auto"/>
              <w:jc w:val="center"/>
              <w:rPr>
                <w:rFonts w:eastAsiaTheme="minorEastAsia"/>
                <w:szCs w:val="21"/>
              </w:rPr>
            </w:pPr>
            <w:r>
              <w:rPr>
                <w:rFonts w:eastAsiaTheme="minorEastAsia"/>
                <w:szCs w:val="21"/>
              </w:rPr>
              <w:t>T0314</w:t>
            </w:r>
          </w:p>
        </w:tc>
      </w:tr>
      <w:tr w14:paraId="50EFED1D">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3A20721">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14:paraId="0F33326E">
            <w:pPr>
              <w:spacing w:line="276" w:lineRule="auto"/>
              <w:jc w:val="center"/>
              <w:rPr>
                <w:rFonts w:eastAsiaTheme="minorEastAsia"/>
                <w:szCs w:val="21"/>
              </w:rPr>
            </w:pPr>
            <w:r>
              <w:rPr>
                <w:rFonts w:eastAsiaTheme="minorEastAsia"/>
                <w:szCs w:val="21"/>
              </w:rPr>
              <w:t>%</w:t>
            </w:r>
          </w:p>
        </w:tc>
        <w:tc>
          <w:tcPr>
            <w:tcW w:w="1276" w:type="dxa"/>
            <w:vAlign w:val="center"/>
          </w:tcPr>
          <w:p w14:paraId="50BC7288">
            <w:pPr>
              <w:spacing w:line="276" w:lineRule="auto"/>
              <w:jc w:val="center"/>
              <w:rPr>
                <w:rFonts w:eastAsiaTheme="minorEastAsia"/>
                <w:szCs w:val="21"/>
              </w:rPr>
            </w:pPr>
            <w:r>
              <w:rPr>
                <w:rFonts w:eastAsiaTheme="minorEastAsia"/>
                <w:szCs w:val="21"/>
              </w:rPr>
              <w:t>20</w:t>
            </w:r>
          </w:p>
        </w:tc>
        <w:tc>
          <w:tcPr>
            <w:tcW w:w="3759" w:type="dxa"/>
            <w:vMerge w:val="restart"/>
            <w:vAlign w:val="center"/>
          </w:tcPr>
          <w:p w14:paraId="75DAB5BD">
            <w:pPr>
              <w:spacing w:line="276" w:lineRule="auto"/>
              <w:jc w:val="center"/>
              <w:rPr>
                <w:rFonts w:eastAsiaTheme="minorEastAsia"/>
                <w:szCs w:val="21"/>
              </w:rPr>
            </w:pPr>
            <w:r>
              <w:rPr>
                <w:rFonts w:eastAsiaTheme="minorEastAsia"/>
                <w:szCs w:val="21"/>
              </w:rPr>
              <w:t>T0312</w:t>
            </w:r>
          </w:p>
        </w:tc>
      </w:tr>
      <w:tr w14:paraId="12BBB557">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E814389">
            <w:pPr>
              <w:spacing w:line="276" w:lineRule="auto"/>
              <w:jc w:val="center"/>
              <w:rPr>
                <w:rFonts w:eastAsiaTheme="minorEastAsia"/>
                <w:szCs w:val="21"/>
              </w:rPr>
            </w:pPr>
            <w:r>
              <w:rPr>
                <w:rFonts w:eastAsiaTheme="minorEastAsia"/>
                <w:szCs w:val="21"/>
              </w:rPr>
              <w:t>其中粒径大于9.5mm，不大于</w:t>
            </w:r>
          </w:p>
        </w:tc>
        <w:tc>
          <w:tcPr>
            <w:tcW w:w="1276" w:type="dxa"/>
            <w:vAlign w:val="center"/>
          </w:tcPr>
          <w:p w14:paraId="6BB49258">
            <w:pPr>
              <w:spacing w:line="276" w:lineRule="auto"/>
              <w:jc w:val="center"/>
              <w:rPr>
                <w:rFonts w:eastAsiaTheme="minorEastAsia"/>
                <w:szCs w:val="21"/>
              </w:rPr>
            </w:pPr>
            <w:r>
              <w:rPr>
                <w:rFonts w:eastAsiaTheme="minorEastAsia"/>
                <w:szCs w:val="21"/>
              </w:rPr>
              <w:t>%</w:t>
            </w:r>
          </w:p>
        </w:tc>
        <w:tc>
          <w:tcPr>
            <w:tcW w:w="1276" w:type="dxa"/>
            <w:vAlign w:val="center"/>
          </w:tcPr>
          <w:p w14:paraId="6950D6C9">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0503C804">
            <w:pPr>
              <w:spacing w:line="276" w:lineRule="auto"/>
              <w:jc w:val="center"/>
              <w:rPr>
                <w:rFonts w:eastAsiaTheme="minorEastAsia"/>
                <w:szCs w:val="21"/>
              </w:rPr>
            </w:pPr>
          </w:p>
        </w:tc>
      </w:tr>
      <w:tr w14:paraId="4C4EB33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201E2C3">
            <w:pPr>
              <w:spacing w:line="276" w:lineRule="auto"/>
              <w:jc w:val="center"/>
              <w:rPr>
                <w:rFonts w:eastAsiaTheme="minorEastAsia"/>
                <w:szCs w:val="21"/>
              </w:rPr>
            </w:pPr>
            <w:r>
              <w:rPr>
                <w:rFonts w:eastAsiaTheme="minorEastAsia"/>
                <w:szCs w:val="21"/>
              </w:rPr>
              <w:t>其中粒径小于9.5mm，不大于</w:t>
            </w:r>
          </w:p>
        </w:tc>
        <w:tc>
          <w:tcPr>
            <w:tcW w:w="1276" w:type="dxa"/>
            <w:vAlign w:val="center"/>
          </w:tcPr>
          <w:p w14:paraId="45EFB8DC">
            <w:pPr>
              <w:spacing w:line="276" w:lineRule="auto"/>
              <w:jc w:val="center"/>
              <w:rPr>
                <w:rFonts w:eastAsiaTheme="minorEastAsia"/>
                <w:szCs w:val="21"/>
              </w:rPr>
            </w:pPr>
            <w:r>
              <w:rPr>
                <w:rFonts w:eastAsiaTheme="minorEastAsia"/>
                <w:szCs w:val="21"/>
              </w:rPr>
              <w:t>%</w:t>
            </w:r>
          </w:p>
        </w:tc>
        <w:tc>
          <w:tcPr>
            <w:tcW w:w="1276" w:type="dxa"/>
            <w:vAlign w:val="center"/>
          </w:tcPr>
          <w:p w14:paraId="322B4EC0">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115EE37B">
            <w:pPr>
              <w:spacing w:line="276" w:lineRule="auto"/>
              <w:jc w:val="center"/>
              <w:rPr>
                <w:rFonts w:eastAsiaTheme="minorEastAsia"/>
                <w:szCs w:val="21"/>
              </w:rPr>
            </w:pPr>
          </w:p>
        </w:tc>
      </w:tr>
      <w:tr w14:paraId="2C7C6970">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3986ED1C">
            <w:pPr>
              <w:spacing w:line="276" w:lineRule="auto"/>
              <w:jc w:val="center"/>
              <w:rPr>
                <w:rFonts w:eastAsiaTheme="minorEastAsia"/>
                <w:szCs w:val="21"/>
              </w:rPr>
            </w:pPr>
            <w:r>
              <w:rPr>
                <w:rFonts w:eastAsiaTheme="minorEastAsia"/>
                <w:szCs w:val="21"/>
              </w:rPr>
              <w:t>水洗法&lt;0.075mm颗粒含量，不大于</w:t>
            </w:r>
          </w:p>
        </w:tc>
        <w:tc>
          <w:tcPr>
            <w:tcW w:w="1276" w:type="dxa"/>
            <w:vAlign w:val="center"/>
          </w:tcPr>
          <w:p w14:paraId="56B25435">
            <w:pPr>
              <w:spacing w:line="276" w:lineRule="auto"/>
              <w:jc w:val="center"/>
              <w:rPr>
                <w:rFonts w:eastAsiaTheme="minorEastAsia"/>
                <w:szCs w:val="21"/>
              </w:rPr>
            </w:pPr>
            <w:r>
              <w:rPr>
                <w:rFonts w:eastAsiaTheme="minorEastAsia"/>
                <w:szCs w:val="21"/>
              </w:rPr>
              <w:t>%</w:t>
            </w:r>
          </w:p>
        </w:tc>
        <w:tc>
          <w:tcPr>
            <w:tcW w:w="1276" w:type="dxa"/>
            <w:vAlign w:val="center"/>
          </w:tcPr>
          <w:p w14:paraId="43EFC90D">
            <w:pPr>
              <w:spacing w:line="276" w:lineRule="auto"/>
              <w:jc w:val="center"/>
              <w:rPr>
                <w:rFonts w:eastAsiaTheme="minorEastAsia"/>
                <w:szCs w:val="21"/>
              </w:rPr>
            </w:pPr>
            <w:r>
              <w:rPr>
                <w:rFonts w:eastAsiaTheme="minorEastAsia"/>
                <w:szCs w:val="21"/>
              </w:rPr>
              <w:t>1</w:t>
            </w:r>
          </w:p>
        </w:tc>
        <w:tc>
          <w:tcPr>
            <w:tcW w:w="3759" w:type="dxa"/>
            <w:vAlign w:val="center"/>
          </w:tcPr>
          <w:p w14:paraId="0BDB0B4C">
            <w:pPr>
              <w:spacing w:line="276" w:lineRule="auto"/>
              <w:jc w:val="center"/>
              <w:rPr>
                <w:rFonts w:eastAsiaTheme="minorEastAsia"/>
                <w:szCs w:val="21"/>
              </w:rPr>
            </w:pPr>
            <w:r>
              <w:rPr>
                <w:rFonts w:eastAsiaTheme="minorEastAsia"/>
                <w:szCs w:val="21"/>
              </w:rPr>
              <w:t>T0310</w:t>
            </w:r>
          </w:p>
        </w:tc>
      </w:tr>
      <w:tr w14:paraId="3BEC094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D56C3DC">
            <w:pPr>
              <w:spacing w:line="276" w:lineRule="auto"/>
              <w:jc w:val="center"/>
              <w:rPr>
                <w:rFonts w:eastAsiaTheme="minorEastAsia"/>
                <w:szCs w:val="21"/>
              </w:rPr>
            </w:pPr>
            <w:r>
              <w:rPr>
                <w:rFonts w:eastAsiaTheme="minorEastAsia"/>
                <w:szCs w:val="21"/>
              </w:rPr>
              <w:t>软石含量，不大于</w:t>
            </w:r>
          </w:p>
        </w:tc>
        <w:tc>
          <w:tcPr>
            <w:tcW w:w="1276" w:type="dxa"/>
            <w:vAlign w:val="center"/>
          </w:tcPr>
          <w:p w14:paraId="030AF313">
            <w:pPr>
              <w:spacing w:line="276" w:lineRule="auto"/>
              <w:jc w:val="center"/>
              <w:rPr>
                <w:rFonts w:eastAsiaTheme="minorEastAsia"/>
                <w:szCs w:val="21"/>
              </w:rPr>
            </w:pPr>
            <w:r>
              <w:rPr>
                <w:rFonts w:eastAsiaTheme="minorEastAsia"/>
                <w:szCs w:val="21"/>
              </w:rPr>
              <w:t>%</w:t>
            </w:r>
          </w:p>
        </w:tc>
        <w:tc>
          <w:tcPr>
            <w:tcW w:w="1276" w:type="dxa"/>
            <w:vAlign w:val="center"/>
          </w:tcPr>
          <w:p w14:paraId="4CBA39FA">
            <w:pPr>
              <w:spacing w:line="276" w:lineRule="auto"/>
              <w:jc w:val="center"/>
              <w:rPr>
                <w:rFonts w:eastAsiaTheme="minorEastAsia"/>
                <w:szCs w:val="21"/>
              </w:rPr>
            </w:pPr>
            <w:r>
              <w:rPr>
                <w:rFonts w:eastAsiaTheme="minorEastAsia"/>
                <w:szCs w:val="21"/>
              </w:rPr>
              <w:t>5</w:t>
            </w:r>
          </w:p>
        </w:tc>
        <w:tc>
          <w:tcPr>
            <w:tcW w:w="3759" w:type="dxa"/>
            <w:vAlign w:val="center"/>
          </w:tcPr>
          <w:p w14:paraId="2A326C45">
            <w:pPr>
              <w:spacing w:line="276" w:lineRule="auto"/>
              <w:jc w:val="center"/>
              <w:rPr>
                <w:rFonts w:eastAsiaTheme="minorEastAsia"/>
                <w:szCs w:val="21"/>
              </w:rPr>
            </w:pPr>
            <w:r>
              <w:rPr>
                <w:rFonts w:eastAsiaTheme="minorEastAsia"/>
                <w:szCs w:val="21"/>
              </w:rPr>
              <w:t>T0320</w:t>
            </w:r>
          </w:p>
        </w:tc>
      </w:tr>
      <w:tr w14:paraId="588A7E4D">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3995" w:type="dxa"/>
            <w:vAlign w:val="center"/>
          </w:tcPr>
          <w:p w14:paraId="26577DCA">
            <w:pPr>
              <w:spacing w:line="276" w:lineRule="auto"/>
              <w:jc w:val="center"/>
              <w:rPr>
                <w:rFonts w:eastAsiaTheme="minorEastAsia"/>
                <w:szCs w:val="21"/>
              </w:rPr>
            </w:pPr>
            <w:r>
              <w:rPr>
                <w:rFonts w:eastAsiaTheme="minorEastAsia"/>
                <w:szCs w:val="21"/>
              </w:rPr>
              <w:t>石料磨光值PSV，不小于</w:t>
            </w:r>
          </w:p>
        </w:tc>
        <w:tc>
          <w:tcPr>
            <w:tcW w:w="1276" w:type="dxa"/>
            <w:vAlign w:val="center"/>
          </w:tcPr>
          <w:p w14:paraId="15D2D0BD">
            <w:pPr>
              <w:spacing w:line="276" w:lineRule="auto"/>
              <w:jc w:val="center"/>
              <w:rPr>
                <w:rFonts w:eastAsiaTheme="minorEastAsia"/>
                <w:szCs w:val="21"/>
              </w:rPr>
            </w:pPr>
          </w:p>
        </w:tc>
        <w:tc>
          <w:tcPr>
            <w:tcW w:w="1276" w:type="dxa"/>
            <w:vAlign w:val="center"/>
          </w:tcPr>
          <w:p w14:paraId="3110FDCA">
            <w:pPr>
              <w:spacing w:line="276" w:lineRule="auto"/>
              <w:jc w:val="center"/>
              <w:rPr>
                <w:rFonts w:eastAsiaTheme="minorEastAsia"/>
                <w:szCs w:val="21"/>
              </w:rPr>
            </w:pPr>
            <w:r>
              <w:rPr>
                <w:rFonts w:eastAsiaTheme="minorEastAsia"/>
                <w:szCs w:val="21"/>
              </w:rPr>
              <w:t>36</w:t>
            </w:r>
          </w:p>
        </w:tc>
        <w:tc>
          <w:tcPr>
            <w:tcW w:w="3759" w:type="dxa"/>
            <w:vAlign w:val="center"/>
          </w:tcPr>
          <w:p w14:paraId="5BECCC1A">
            <w:pPr>
              <w:spacing w:line="276" w:lineRule="auto"/>
              <w:jc w:val="center"/>
              <w:rPr>
                <w:rFonts w:eastAsiaTheme="minorEastAsia"/>
                <w:szCs w:val="21"/>
              </w:rPr>
            </w:pPr>
            <w:r>
              <w:rPr>
                <w:rFonts w:eastAsiaTheme="minorEastAsia"/>
                <w:szCs w:val="21"/>
              </w:rPr>
              <w:t>T0321</w:t>
            </w:r>
          </w:p>
        </w:tc>
      </w:tr>
      <w:tr w14:paraId="5B124912">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5" w:hRule="atLeast"/>
          <w:jc w:val="center"/>
        </w:trPr>
        <w:tc>
          <w:tcPr>
            <w:tcW w:w="3995" w:type="dxa"/>
            <w:vAlign w:val="center"/>
          </w:tcPr>
          <w:p w14:paraId="0D55B174">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14:paraId="41B82EAE">
            <w:pPr>
              <w:spacing w:line="276" w:lineRule="auto"/>
              <w:jc w:val="center"/>
              <w:rPr>
                <w:rFonts w:eastAsiaTheme="minorEastAsia"/>
                <w:szCs w:val="21"/>
              </w:rPr>
            </w:pPr>
          </w:p>
        </w:tc>
        <w:tc>
          <w:tcPr>
            <w:tcW w:w="1276" w:type="dxa"/>
            <w:vAlign w:val="center"/>
          </w:tcPr>
          <w:p w14:paraId="73488CBD">
            <w:pPr>
              <w:spacing w:line="276" w:lineRule="auto"/>
              <w:jc w:val="center"/>
              <w:rPr>
                <w:rFonts w:eastAsiaTheme="minorEastAsia"/>
                <w:szCs w:val="21"/>
              </w:rPr>
            </w:pPr>
            <w:r>
              <w:rPr>
                <w:rFonts w:eastAsiaTheme="minorEastAsia"/>
                <w:szCs w:val="21"/>
              </w:rPr>
              <w:t>4</w:t>
            </w:r>
          </w:p>
        </w:tc>
        <w:tc>
          <w:tcPr>
            <w:tcW w:w="3759" w:type="dxa"/>
            <w:vAlign w:val="center"/>
          </w:tcPr>
          <w:p w14:paraId="48F8E6C2">
            <w:pPr>
              <w:spacing w:line="276" w:lineRule="auto"/>
              <w:jc w:val="center"/>
              <w:rPr>
                <w:rFonts w:eastAsiaTheme="minorEastAsia"/>
                <w:szCs w:val="21"/>
              </w:rPr>
            </w:pPr>
            <w:r>
              <w:rPr>
                <w:rFonts w:eastAsiaTheme="minorEastAsia"/>
                <w:szCs w:val="21"/>
              </w:rPr>
              <w:t>T0616  T0663</w:t>
            </w:r>
          </w:p>
        </w:tc>
      </w:tr>
    </w:tbl>
    <w:p w14:paraId="694F0A54">
      <w:pPr>
        <w:adjustRightInd w:val="0"/>
        <w:snapToGrid w:val="0"/>
        <w:ind w:firstLine="380" w:firstLineChars="200"/>
        <w:rPr>
          <w:rFonts w:eastAsiaTheme="minorEastAsia"/>
          <w:b/>
          <w:szCs w:val="21"/>
        </w:rPr>
      </w:pPr>
      <w:r>
        <w:rPr>
          <w:rFonts w:eastAsiaTheme="minorEastAsia"/>
          <w:b/>
          <w:szCs w:val="21"/>
        </w:rPr>
        <w:t>注：[1]坚固性试验可根据需要进行。</w:t>
      </w:r>
    </w:p>
    <w:p w14:paraId="768A44C0">
      <w:pPr>
        <w:adjustRightInd w:val="0"/>
        <w:snapToGrid w:val="0"/>
        <w:ind w:firstLine="752" w:firstLineChars="396"/>
        <w:rPr>
          <w:rFonts w:eastAsiaTheme="minorEastAsia"/>
          <w:b/>
          <w:szCs w:val="21"/>
        </w:rPr>
      </w:pPr>
      <w:r>
        <w:rPr>
          <w:rFonts w:eastAsiaTheme="minorEastAsia"/>
          <w:b/>
          <w:szCs w:val="21"/>
        </w:rPr>
        <w:t>[2]对于粒径规格S3～S5规格的粗集料，针片状颗粒含量可不予要求，＜0.075m含量可放宽到3%。</w:t>
      </w:r>
    </w:p>
    <w:p w14:paraId="3F4F9442">
      <w:pPr>
        <w:pStyle w:val="99"/>
        <w:rPr>
          <w:rFonts w:eastAsiaTheme="minorEastAsia"/>
        </w:rPr>
      </w:pPr>
      <w:r>
        <w:rPr>
          <w:rFonts w:eastAsiaTheme="minorEastAsia"/>
        </w:rPr>
        <w:t>粗集料规格应符合表5.5规定。</w:t>
      </w:r>
    </w:p>
    <w:p w14:paraId="4D6AD0D4">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表5.5 沥青混合料用粗集料规格</w:t>
      </w:r>
    </w:p>
    <w:tbl>
      <w:tblPr>
        <w:tblStyle w:val="25"/>
        <w:tblW w:w="10490" w:type="dxa"/>
        <w:tblInd w:w="-176" w:type="dxa"/>
        <w:tblLayout w:type="fixed"/>
        <w:tblCellMar>
          <w:top w:w="0" w:type="dxa"/>
          <w:left w:w="108" w:type="dxa"/>
          <w:bottom w:w="0" w:type="dxa"/>
          <w:right w:w="108" w:type="dxa"/>
        </w:tblCellMar>
      </w:tblPr>
      <w:tblGrid>
        <w:gridCol w:w="568"/>
        <w:gridCol w:w="850"/>
        <w:gridCol w:w="567"/>
        <w:gridCol w:w="709"/>
        <w:gridCol w:w="709"/>
        <w:gridCol w:w="709"/>
        <w:gridCol w:w="708"/>
        <w:gridCol w:w="709"/>
        <w:gridCol w:w="709"/>
        <w:gridCol w:w="709"/>
        <w:gridCol w:w="708"/>
        <w:gridCol w:w="709"/>
        <w:gridCol w:w="709"/>
        <w:gridCol w:w="709"/>
        <w:gridCol w:w="708"/>
      </w:tblGrid>
      <w:tr w14:paraId="456E827C">
        <w:tblPrEx>
          <w:tblCellMar>
            <w:top w:w="0" w:type="dxa"/>
            <w:left w:w="108" w:type="dxa"/>
            <w:bottom w:w="0" w:type="dxa"/>
            <w:right w:w="108" w:type="dxa"/>
          </w:tblCellMar>
        </w:tblPrEx>
        <w:trPr>
          <w:trHeight w:val="185" w:hRule="atLeast"/>
        </w:trPr>
        <w:tc>
          <w:tcPr>
            <w:tcW w:w="568" w:type="dxa"/>
            <w:vMerge w:val="restart"/>
            <w:tcBorders>
              <w:top w:val="single" w:color="auto" w:sz="4" w:space="0"/>
              <w:bottom w:val="single" w:color="000000" w:sz="4" w:space="0"/>
              <w:right w:val="single" w:color="auto" w:sz="4" w:space="0"/>
            </w:tcBorders>
            <w:vAlign w:val="center"/>
          </w:tcPr>
          <w:p w14:paraId="2C0B3535">
            <w:pPr>
              <w:spacing w:line="276" w:lineRule="auto"/>
              <w:jc w:val="center"/>
              <w:rPr>
                <w:rFonts w:eastAsiaTheme="minorEastAsia"/>
                <w:sz w:val="18"/>
                <w:szCs w:val="18"/>
              </w:rPr>
            </w:pPr>
            <w:r>
              <w:rPr>
                <w:rFonts w:eastAsiaTheme="minorEastAsia"/>
                <w:sz w:val="18"/>
                <w:szCs w:val="18"/>
              </w:rPr>
              <w:t>规</w:t>
            </w:r>
          </w:p>
          <w:p w14:paraId="15B3E1B7">
            <w:pPr>
              <w:spacing w:line="276" w:lineRule="auto"/>
              <w:jc w:val="center"/>
              <w:rPr>
                <w:rFonts w:eastAsiaTheme="minorEastAsia"/>
                <w:sz w:val="18"/>
                <w:szCs w:val="18"/>
              </w:rPr>
            </w:pPr>
            <w:r>
              <w:rPr>
                <w:rFonts w:eastAsiaTheme="minorEastAsia"/>
                <w:sz w:val="18"/>
                <w:szCs w:val="18"/>
              </w:rPr>
              <w:t>格</w:t>
            </w:r>
          </w:p>
          <w:p w14:paraId="1BB59E34">
            <w:pPr>
              <w:spacing w:line="276" w:lineRule="auto"/>
              <w:jc w:val="center"/>
              <w:rPr>
                <w:rFonts w:eastAsiaTheme="minorEastAsia"/>
                <w:sz w:val="18"/>
                <w:szCs w:val="18"/>
              </w:rPr>
            </w:pPr>
            <w:r>
              <w:rPr>
                <w:rFonts w:eastAsiaTheme="minorEastAsia"/>
                <w:sz w:val="18"/>
                <w:szCs w:val="18"/>
              </w:rPr>
              <w:t>名</w:t>
            </w:r>
          </w:p>
          <w:p w14:paraId="087011DC">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14:paraId="7A670B52">
            <w:pPr>
              <w:spacing w:line="276" w:lineRule="auto"/>
              <w:jc w:val="center"/>
              <w:rPr>
                <w:rFonts w:eastAsiaTheme="minorEastAsia"/>
                <w:sz w:val="18"/>
                <w:szCs w:val="18"/>
              </w:rPr>
            </w:pPr>
            <w:r>
              <w:rPr>
                <w:rFonts w:eastAsiaTheme="minorEastAsia"/>
                <w:sz w:val="18"/>
                <w:szCs w:val="18"/>
              </w:rPr>
              <w:t>公称</w:t>
            </w:r>
          </w:p>
          <w:p w14:paraId="2BE0739B">
            <w:pPr>
              <w:spacing w:line="276" w:lineRule="auto"/>
              <w:jc w:val="center"/>
              <w:rPr>
                <w:rFonts w:eastAsiaTheme="minorEastAsia"/>
                <w:sz w:val="18"/>
                <w:szCs w:val="18"/>
              </w:rPr>
            </w:pPr>
            <w:r>
              <w:rPr>
                <w:rFonts w:eastAsiaTheme="minorEastAsia"/>
                <w:sz w:val="18"/>
                <w:szCs w:val="18"/>
              </w:rPr>
              <w:t>粒径</w:t>
            </w:r>
          </w:p>
          <w:p w14:paraId="1349A2F1">
            <w:pPr>
              <w:spacing w:line="276" w:lineRule="auto"/>
              <w:jc w:val="center"/>
              <w:rPr>
                <w:rFonts w:eastAsiaTheme="minorEastAsia"/>
                <w:sz w:val="18"/>
                <w:szCs w:val="18"/>
              </w:rPr>
            </w:pPr>
            <w:r>
              <w:rPr>
                <w:rFonts w:eastAsiaTheme="minorEastAsia"/>
                <w:sz w:val="18"/>
                <w:szCs w:val="18"/>
              </w:rPr>
              <w:t>（mm）</w:t>
            </w:r>
          </w:p>
        </w:tc>
        <w:tc>
          <w:tcPr>
            <w:tcW w:w="9072" w:type="dxa"/>
            <w:gridSpan w:val="13"/>
            <w:tcBorders>
              <w:top w:val="single" w:color="auto" w:sz="4" w:space="0"/>
              <w:left w:val="nil"/>
              <w:bottom w:val="single" w:color="auto" w:sz="4" w:space="0"/>
            </w:tcBorders>
            <w:vAlign w:val="center"/>
          </w:tcPr>
          <w:p w14:paraId="203AD1F3">
            <w:pPr>
              <w:spacing w:line="276" w:lineRule="auto"/>
              <w:jc w:val="center"/>
              <w:rPr>
                <w:rFonts w:eastAsiaTheme="minorEastAsia"/>
                <w:sz w:val="18"/>
                <w:szCs w:val="18"/>
              </w:rPr>
            </w:pPr>
            <w:r>
              <w:rPr>
                <w:rFonts w:eastAsiaTheme="minorEastAsia"/>
                <w:sz w:val="18"/>
                <w:szCs w:val="18"/>
              </w:rPr>
              <w:t>通过下列筛孔（mm）的质量百分率（%）</w:t>
            </w:r>
          </w:p>
        </w:tc>
      </w:tr>
      <w:tr w14:paraId="1A373776">
        <w:tblPrEx>
          <w:tblCellMar>
            <w:top w:w="0" w:type="dxa"/>
            <w:left w:w="108" w:type="dxa"/>
            <w:bottom w:w="0" w:type="dxa"/>
            <w:right w:w="108" w:type="dxa"/>
          </w:tblCellMar>
        </w:tblPrEx>
        <w:trPr>
          <w:trHeight w:val="176" w:hRule="atLeast"/>
        </w:trPr>
        <w:tc>
          <w:tcPr>
            <w:tcW w:w="568" w:type="dxa"/>
            <w:vMerge w:val="continue"/>
            <w:tcBorders>
              <w:top w:val="single" w:color="auto" w:sz="4" w:space="0"/>
              <w:bottom w:val="single" w:color="000000" w:sz="4" w:space="0"/>
              <w:right w:val="single" w:color="auto" w:sz="4" w:space="0"/>
            </w:tcBorders>
            <w:vAlign w:val="center"/>
          </w:tcPr>
          <w:p w14:paraId="04FEBB1D">
            <w:pPr>
              <w:spacing w:line="276" w:lineRule="auto"/>
              <w:jc w:val="center"/>
              <w:rPr>
                <w:rFonts w:eastAsiaTheme="minorEastAsia"/>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14:paraId="59121602">
            <w:pPr>
              <w:spacing w:line="276" w:lineRule="auto"/>
              <w:jc w:val="center"/>
              <w:rPr>
                <w:rFonts w:eastAsiaTheme="minorEastAsia"/>
                <w:sz w:val="18"/>
                <w:szCs w:val="18"/>
              </w:rPr>
            </w:pPr>
          </w:p>
        </w:tc>
        <w:tc>
          <w:tcPr>
            <w:tcW w:w="567" w:type="dxa"/>
            <w:tcBorders>
              <w:top w:val="nil"/>
              <w:left w:val="nil"/>
              <w:bottom w:val="single" w:color="auto" w:sz="4" w:space="0"/>
              <w:right w:val="single" w:color="auto" w:sz="4" w:space="0"/>
            </w:tcBorders>
            <w:vAlign w:val="center"/>
          </w:tcPr>
          <w:p w14:paraId="0FCC08D0">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color="auto" w:sz="4" w:space="0"/>
              <w:right w:val="single" w:color="auto" w:sz="4" w:space="0"/>
            </w:tcBorders>
            <w:vAlign w:val="center"/>
          </w:tcPr>
          <w:p w14:paraId="5B5F80FC">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color="auto" w:sz="4" w:space="0"/>
              <w:right w:val="single" w:color="auto" w:sz="4" w:space="0"/>
            </w:tcBorders>
            <w:vAlign w:val="center"/>
          </w:tcPr>
          <w:p w14:paraId="0D3DF0D7">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color="auto" w:sz="4" w:space="0"/>
              <w:right w:val="single" w:color="auto" w:sz="4" w:space="0"/>
            </w:tcBorders>
            <w:vAlign w:val="center"/>
          </w:tcPr>
          <w:p w14:paraId="4F0B1902">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color="auto" w:sz="4" w:space="0"/>
              <w:right w:val="single" w:color="auto" w:sz="4" w:space="0"/>
            </w:tcBorders>
            <w:vAlign w:val="center"/>
          </w:tcPr>
          <w:p w14:paraId="6C36284C">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color="auto" w:sz="4" w:space="0"/>
              <w:right w:val="single" w:color="auto" w:sz="4" w:space="0"/>
            </w:tcBorders>
            <w:vAlign w:val="center"/>
          </w:tcPr>
          <w:p w14:paraId="3AAD2EEA">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color="auto" w:sz="4" w:space="0"/>
              <w:right w:val="single" w:color="auto" w:sz="4" w:space="0"/>
            </w:tcBorders>
            <w:vAlign w:val="center"/>
          </w:tcPr>
          <w:p w14:paraId="44E34D94">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color="auto" w:sz="4" w:space="0"/>
              <w:right w:val="single" w:color="auto" w:sz="4" w:space="0"/>
            </w:tcBorders>
            <w:vAlign w:val="center"/>
          </w:tcPr>
          <w:p w14:paraId="1AB33169">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color="auto" w:sz="4" w:space="0"/>
              <w:right w:val="single" w:color="auto" w:sz="4" w:space="0"/>
            </w:tcBorders>
            <w:vAlign w:val="center"/>
          </w:tcPr>
          <w:p w14:paraId="642623FA">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color="auto" w:sz="4" w:space="0"/>
              <w:right w:val="single" w:color="auto" w:sz="4" w:space="0"/>
            </w:tcBorders>
            <w:vAlign w:val="center"/>
          </w:tcPr>
          <w:p w14:paraId="5556AEB8">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color="auto" w:sz="4" w:space="0"/>
              <w:right w:val="single" w:color="auto" w:sz="4" w:space="0"/>
            </w:tcBorders>
            <w:vAlign w:val="center"/>
          </w:tcPr>
          <w:p w14:paraId="36A319A8">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color="auto" w:sz="4" w:space="0"/>
              <w:right w:val="single" w:color="auto" w:sz="4" w:space="0"/>
            </w:tcBorders>
            <w:vAlign w:val="center"/>
          </w:tcPr>
          <w:p w14:paraId="125912BF">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color="auto" w:sz="4" w:space="0"/>
            </w:tcBorders>
            <w:vAlign w:val="center"/>
          </w:tcPr>
          <w:p w14:paraId="30D6957F">
            <w:pPr>
              <w:spacing w:line="276" w:lineRule="auto"/>
              <w:jc w:val="center"/>
              <w:rPr>
                <w:rFonts w:eastAsiaTheme="minorEastAsia"/>
                <w:sz w:val="18"/>
                <w:szCs w:val="18"/>
              </w:rPr>
            </w:pPr>
            <w:r>
              <w:rPr>
                <w:rFonts w:eastAsiaTheme="minorEastAsia"/>
                <w:sz w:val="18"/>
                <w:szCs w:val="18"/>
              </w:rPr>
              <w:t>0.6</w:t>
            </w:r>
          </w:p>
        </w:tc>
      </w:tr>
      <w:tr w14:paraId="33BA5005">
        <w:tblPrEx>
          <w:tblCellMar>
            <w:top w:w="0" w:type="dxa"/>
            <w:left w:w="108" w:type="dxa"/>
            <w:bottom w:w="0" w:type="dxa"/>
            <w:right w:w="108" w:type="dxa"/>
          </w:tblCellMar>
        </w:tblPrEx>
        <w:trPr>
          <w:trHeight w:val="240" w:hRule="atLeast"/>
        </w:trPr>
        <w:tc>
          <w:tcPr>
            <w:tcW w:w="568" w:type="dxa"/>
            <w:tcBorders>
              <w:top w:val="nil"/>
              <w:bottom w:val="single" w:color="auto" w:sz="4" w:space="0"/>
              <w:right w:val="single" w:color="auto" w:sz="4" w:space="0"/>
            </w:tcBorders>
            <w:vAlign w:val="center"/>
          </w:tcPr>
          <w:p w14:paraId="1F20659B">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color="auto" w:sz="4" w:space="0"/>
              <w:right w:val="single" w:color="auto" w:sz="4" w:space="0"/>
            </w:tcBorders>
            <w:vAlign w:val="center"/>
          </w:tcPr>
          <w:p w14:paraId="6ECFE41C">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color="auto" w:sz="4" w:space="0"/>
              <w:right w:val="single" w:color="auto" w:sz="4" w:space="0"/>
            </w:tcBorders>
            <w:vAlign w:val="center"/>
          </w:tcPr>
          <w:p w14:paraId="67CCDDB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54B0864">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86D7B4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E3B9A68">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66F631F3">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91A07F0">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46B5FB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0030A019">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5DBC7AF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3CE7BE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C77A92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421AF55">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FF8D6B4">
            <w:pPr>
              <w:spacing w:line="276" w:lineRule="auto"/>
              <w:jc w:val="center"/>
              <w:rPr>
                <w:rFonts w:eastAsiaTheme="minorEastAsia"/>
                <w:sz w:val="18"/>
                <w:szCs w:val="18"/>
              </w:rPr>
            </w:pPr>
          </w:p>
        </w:tc>
      </w:tr>
      <w:tr w14:paraId="7ED91481">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7BFFA416">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color="auto" w:sz="4" w:space="0"/>
              <w:right w:val="single" w:color="auto" w:sz="4" w:space="0"/>
            </w:tcBorders>
            <w:vAlign w:val="center"/>
          </w:tcPr>
          <w:p w14:paraId="2F59FF61">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color="auto" w:sz="4" w:space="0"/>
              <w:right w:val="single" w:color="auto" w:sz="4" w:space="0"/>
            </w:tcBorders>
            <w:vAlign w:val="center"/>
          </w:tcPr>
          <w:p w14:paraId="4712D0D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FE94497">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2F991DA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01850437">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78A01440">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67AA989">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11CA240A">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3279D95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AFD29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1AE6BF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309F5A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793138E">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9C38CBC">
            <w:pPr>
              <w:spacing w:line="276" w:lineRule="auto"/>
              <w:jc w:val="center"/>
              <w:rPr>
                <w:rFonts w:eastAsiaTheme="minorEastAsia"/>
                <w:sz w:val="18"/>
                <w:szCs w:val="18"/>
              </w:rPr>
            </w:pPr>
          </w:p>
        </w:tc>
      </w:tr>
      <w:tr w14:paraId="69966BE2">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498DD0CD">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color="auto" w:sz="4" w:space="0"/>
              <w:right w:val="single" w:color="auto" w:sz="4" w:space="0"/>
            </w:tcBorders>
            <w:vAlign w:val="center"/>
          </w:tcPr>
          <w:p w14:paraId="448A3977">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color="auto" w:sz="4" w:space="0"/>
              <w:right w:val="single" w:color="auto" w:sz="4" w:space="0"/>
            </w:tcBorders>
            <w:vAlign w:val="center"/>
          </w:tcPr>
          <w:p w14:paraId="1D99292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BA25E37">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8EE214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613431D">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520E2E9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622714C">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BEA2C2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DA3A9A9">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right w:val="single" w:color="auto" w:sz="4" w:space="0"/>
            </w:tcBorders>
            <w:vAlign w:val="center"/>
          </w:tcPr>
          <w:p w14:paraId="798931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4F11C9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9C3A48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5BB5048">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22DEB787">
            <w:pPr>
              <w:spacing w:line="276" w:lineRule="auto"/>
              <w:jc w:val="center"/>
              <w:rPr>
                <w:rFonts w:eastAsiaTheme="minorEastAsia"/>
                <w:sz w:val="18"/>
                <w:szCs w:val="18"/>
              </w:rPr>
            </w:pPr>
          </w:p>
        </w:tc>
      </w:tr>
      <w:tr w14:paraId="31FCA1FC">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5E89C36D">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color="auto" w:sz="4" w:space="0"/>
              <w:right w:val="single" w:color="auto" w:sz="4" w:space="0"/>
            </w:tcBorders>
            <w:vAlign w:val="center"/>
          </w:tcPr>
          <w:p w14:paraId="60D3FFAB">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color="auto" w:sz="4" w:space="0"/>
              <w:right w:val="single" w:color="auto" w:sz="4" w:space="0"/>
            </w:tcBorders>
            <w:vAlign w:val="center"/>
          </w:tcPr>
          <w:p w14:paraId="70FEB39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6B22F0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052F4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05091363">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0E0AE81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C9E0D8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64EEDBB">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170B0A0">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153D554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2AAC6FA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0D8C6E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B37B00">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5C5316B">
            <w:pPr>
              <w:spacing w:line="276" w:lineRule="auto"/>
              <w:jc w:val="center"/>
              <w:rPr>
                <w:rFonts w:eastAsiaTheme="minorEastAsia"/>
                <w:sz w:val="18"/>
                <w:szCs w:val="18"/>
              </w:rPr>
            </w:pPr>
          </w:p>
        </w:tc>
      </w:tr>
      <w:tr w14:paraId="3A9B9268">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314589EF">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color="auto" w:sz="4" w:space="0"/>
              <w:right w:val="single" w:color="auto" w:sz="4" w:space="0"/>
            </w:tcBorders>
            <w:vAlign w:val="center"/>
          </w:tcPr>
          <w:p w14:paraId="38233B31">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color="auto" w:sz="4" w:space="0"/>
              <w:right w:val="single" w:color="auto" w:sz="4" w:space="0"/>
            </w:tcBorders>
            <w:vAlign w:val="center"/>
          </w:tcPr>
          <w:p w14:paraId="44DA2AB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18056F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DE95E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8406A93">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39CEC5D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1175D1A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DC88DB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3258195">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right w:val="single" w:color="auto" w:sz="4" w:space="0"/>
            </w:tcBorders>
            <w:vAlign w:val="center"/>
          </w:tcPr>
          <w:p w14:paraId="2719659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47DA15B">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466EE04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49813B2">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7CAB2977">
            <w:pPr>
              <w:spacing w:line="276" w:lineRule="auto"/>
              <w:jc w:val="center"/>
              <w:rPr>
                <w:rFonts w:eastAsiaTheme="minorEastAsia"/>
                <w:sz w:val="18"/>
                <w:szCs w:val="18"/>
              </w:rPr>
            </w:pPr>
          </w:p>
        </w:tc>
      </w:tr>
      <w:tr w14:paraId="5F86612A">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6AECA2A6">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color="auto" w:sz="4" w:space="0"/>
              <w:right w:val="single" w:color="auto" w:sz="4" w:space="0"/>
            </w:tcBorders>
            <w:vAlign w:val="center"/>
          </w:tcPr>
          <w:p w14:paraId="69A22CB0">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color="auto" w:sz="4" w:space="0"/>
              <w:right w:val="single" w:color="auto" w:sz="4" w:space="0"/>
            </w:tcBorders>
            <w:vAlign w:val="center"/>
          </w:tcPr>
          <w:p w14:paraId="0588942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71AE64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4DE4B4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F25A3E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F6FAE1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C0470C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26C87B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C1D8AEB">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6D3A699A">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C4964B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2A59C7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7B29A4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1FD19332">
            <w:pPr>
              <w:spacing w:line="276" w:lineRule="auto"/>
              <w:jc w:val="center"/>
              <w:rPr>
                <w:rFonts w:eastAsiaTheme="minorEastAsia"/>
                <w:sz w:val="18"/>
                <w:szCs w:val="18"/>
              </w:rPr>
            </w:pPr>
          </w:p>
        </w:tc>
      </w:tr>
      <w:tr w14:paraId="1F9F80B9">
        <w:tblPrEx>
          <w:tblCellMar>
            <w:top w:w="0" w:type="dxa"/>
            <w:left w:w="108" w:type="dxa"/>
            <w:bottom w:w="0" w:type="dxa"/>
            <w:right w:w="108" w:type="dxa"/>
          </w:tblCellMar>
        </w:tblPrEx>
        <w:trPr>
          <w:trHeight w:val="176" w:hRule="atLeast"/>
        </w:trPr>
        <w:tc>
          <w:tcPr>
            <w:tcW w:w="568" w:type="dxa"/>
            <w:tcBorders>
              <w:top w:val="single" w:color="auto" w:sz="4" w:space="0"/>
              <w:bottom w:val="single" w:color="auto" w:sz="4" w:space="0"/>
              <w:right w:val="single" w:color="auto" w:sz="4" w:space="0"/>
            </w:tcBorders>
            <w:vAlign w:val="center"/>
          </w:tcPr>
          <w:p w14:paraId="28D6C2FC">
            <w:pPr>
              <w:spacing w:line="276" w:lineRule="auto"/>
              <w:jc w:val="center"/>
              <w:rPr>
                <w:rFonts w:eastAsiaTheme="minorEastAsia"/>
                <w:sz w:val="18"/>
                <w:szCs w:val="18"/>
              </w:rPr>
            </w:pPr>
            <w:r>
              <w:rPr>
                <w:rFonts w:eastAsiaTheme="minorEastAsia"/>
                <w:sz w:val="18"/>
                <w:szCs w:val="18"/>
              </w:rPr>
              <w:t>S7</w:t>
            </w:r>
          </w:p>
        </w:tc>
        <w:tc>
          <w:tcPr>
            <w:tcW w:w="850" w:type="dxa"/>
            <w:tcBorders>
              <w:top w:val="single" w:color="auto" w:sz="4" w:space="0"/>
              <w:left w:val="nil"/>
              <w:bottom w:val="single" w:color="auto" w:sz="4" w:space="0"/>
              <w:right w:val="single" w:color="auto" w:sz="4" w:space="0"/>
            </w:tcBorders>
            <w:vAlign w:val="center"/>
          </w:tcPr>
          <w:p w14:paraId="20788666">
            <w:pPr>
              <w:spacing w:line="276" w:lineRule="auto"/>
              <w:jc w:val="center"/>
              <w:rPr>
                <w:rFonts w:eastAsiaTheme="minorEastAsia"/>
                <w:sz w:val="18"/>
                <w:szCs w:val="18"/>
              </w:rPr>
            </w:pPr>
            <w:r>
              <w:rPr>
                <w:rFonts w:eastAsiaTheme="minorEastAsia"/>
                <w:sz w:val="18"/>
                <w:szCs w:val="18"/>
              </w:rPr>
              <w:t>10-30</w:t>
            </w:r>
          </w:p>
        </w:tc>
        <w:tc>
          <w:tcPr>
            <w:tcW w:w="567" w:type="dxa"/>
            <w:tcBorders>
              <w:top w:val="single" w:color="auto" w:sz="4" w:space="0"/>
              <w:left w:val="nil"/>
              <w:bottom w:val="single" w:color="auto" w:sz="4" w:space="0"/>
              <w:right w:val="single" w:color="auto" w:sz="4" w:space="0"/>
            </w:tcBorders>
            <w:vAlign w:val="center"/>
          </w:tcPr>
          <w:p w14:paraId="11F851D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117A11F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63E54BCA">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00780026">
            <w:pPr>
              <w:spacing w:line="276" w:lineRule="auto"/>
              <w:jc w:val="center"/>
              <w:rPr>
                <w:rFonts w:eastAsiaTheme="minorEastAsia"/>
                <w:sz w:val="18"/>
                <w:szCs w:val="18"/>
              </w:rPr>
            </w:pPr>
          </w:p>
        </w:tc>
        <w:tc>
          <w:tcPr>
            <w:tcW w:w="708" w:type="dxa"/>
            <w:tcBorders>
              <w:top w:val="single" w:color="auto" w:sz="4" w:space="0"/>
              <w:left w:val="nil"/>
              <w:bottom w:val="single" w:color="auto" w:sz="4" w:space="0"/>
              <w:right w:val="single" w:color="auto" w:sz="4" w:space="0"/>
            </w:tcBorders>
            <w:vAlign w:val="center"/>
          </w:tcPr>
          <w:p w14:paraId="06DF7FBE">
            <w:pPr>
              <w:spacing w:line="276" w:lineRule="auto"/>
              <w:jc w:val="center"/>
              <w:rPr>
                <w:rFonts w:eastAsiaTheme="minorEastAsia"/>
                <w:sz w:val="18"/>
                <w:szCs w:val="18"/>
              </w:rPr>
            </w:pPr>
            <w:r>
              <w:rPr>
                <w:rFonts w:eastAsiaTheme="minorEastAsia"/>
                <w:sz w:val="18"/>
                <w:szCs w:val="18"/>
              </w:rPr>
              <w:t>100</w:t>
            </w:r>
          </w:p>
        </w:tc>
        <w:tc>
          <w:tcPr>
            <w:tcW w:w="709" w:type="dxa"/>
            <w:tcBorders>
              <w:top w:val="single" w:color="auto" w:sz="4" w:space="0"/>
              <w:left w:val="nil"/>
              <w:bottom w:val="single" w:color="auto" w:sz="4" w:space="0"/>
              <w:right w:val="single" w:color="auto" w:sz="4" w:space="0"/>
            </w:tcBorders>
            <w:vAlign w:val="center"/>
          </w:tcPr>
          <w:p w14:paraId="1694B622">
            <w:pPr>
              <w:spacing w:line="276" w:lineRule="auto"/>
              <w:jc w:val="center"/>
              <w:rPr>
                <w:rFonts w:eastAsiaTheme="minorEastAsia"/>
                <w:sz w:val="18"/>
                <w:szCs w:val="18"/>
              </w:rPr>
            </w:pPr>
            <w:r>
              <w:rPr>
                <w:rFonts w:eastAsiaTheme="minorEastAsia"/>
                <w:sz w:val="18"/>
                <w:szCs w:val="18"/>
              </w:rPr>
              <w:t>90-100</w:t>
            </w:r>
          </w:p>
        </w:tc>
        <w:tc>
          <w:tcPr>
            <w:tcW w:w="709" w:type="dxa"/>
            <w:tcBorders>
              <w:top w:val="single" w:color="auto" w:sz="4" w:space="0"/>
              <w:left w:val="nil"/>
              <w:bottom w:val="single" w:color="auto" w:sz="4" w:space="0"/>
              <w:right w:val="single" w:color="auto" w:sz="4" w:space="0"/>
            </w:tcBorders>
            <w:vAlign w:val="center"/>
          </w:tcPr>
          <w:p w14:paraId="0DB076CB">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46F1A399">
            <w:pPr>
              <w:spacing w:line="276" w:lineRule="auto"/>
              <w:jc w:val="center"/>
              <w:rPr>
                <w:rFonts w:eastAsiaTheme="minorEastAsia"/>
                <w:sz w:val="18"/>
                <w:szCs w:val="18"/>
              </w:rPr>
            </w:pPr>
            <w:r>
              <w:rPr>
                <w:rFonts w:eastAsiaTheme="minorEastAsia"/>
                <w:sz w:val="18"/>
                <w:szCs w:val="18"/>
              </w:rPr>
              <w:t>-</w:t>
            </w:r>
          </w:p>
        </w:tc>
        <w:tc>
          <w:tcPr>
            <w:tcW w:w="708" w:type="dxa"/>
            <w:tcBorders>
              <w:top w:val="single" w:color="auto" w:sz="4" w:space="0"/>
              <w:left w:val="nil"/>
              <w:bottom w:val="single" w:color="auto" w:sz="4" w:space="0"/>
              <w:right w:val="single" w:color="auto" w:sz="4" w:space="0"/>
            </w:tcBorders>
            <w:vAlign w:val="center"/>
          </w:tcPr>
          <w:p w14:paraId="7FD828F8">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42022A61">
            <w:pPr>
              <w:spacing w:line="276" w:lineRule="auto"/>
              <w:jc w:val="center"/>
              <w:rPr>
                <w:rFonts w:eastAsiaTheme="minorEastAsia"/>
                <w:sz w:val="18"/>
                <w:szCs w:val="18"/>
              </w:rPr>
            </w:pPr>
            <w:r>
              <w:rPr>
                <w:rFonts w:eastAsiaTheme="minorEastAsia"/>
                <w:sz w:val="18"/>
                <w:szCs w:val="18"/>
              </w:rPr>
              <w:t>0-15</w:t>
            </w:r>
          </w:p>
        </w:tc>
        <w:tc>
          <w:tcPr>
            <w:tcW w:w="709" w:type="dxa"/>
            <w:tcBorders>
              <w:top w:val="single" w:color="auto" w:sz="4" w:space="0"/>
              <w:left w:val="nil"/>
              <w:bottom w:val="single" w:color="auto" w:sz="4" w:space="0"/>
              <w:right w:val="single" w:color="auto" w:sz="4" w:space="0"/>
            </w:tcBorders>
            <w:vAlign w:val="center"/>
          </w:tcPr>
          <w:p w14:paraId="02CE8DD2">
            <w:pPr>
              <w:spacing w:line="276" w:lineRule="auto"/>
              <w:jc w:val="center"/>
              <w:rPr>
                <w:rFonts w:eastAsiaTheme="minorEastAsia"/>
                <w:sz w:val="18"/>
                <w:szCs w:val="18"/>
              </w:rPr>
            </w:pPr>
            <w:r>
              <w:rPr>
                <w:rFonts w:eastAsiaTheme="minorEastAsia"/>
                <w:sz w:val="18"/>
                <w:szCs w:val="18"/>
              </w:rPr>
              <w:t>0-5</w:t>
            </w:r>
          </w:p>
        </w:tc>
        <w:tc>
          <w:tcPr>
            <w:tcW w:w="709" w:type="dxa"/>
            <w:tcBorders>
              <w:top w:val="single" w:color="auto" w:sz="4" w:space="0"/>
              <w:left w:val="nil"/>
              <w:bottom w:val="single" w:color="auto" w:sz="4" w:space="0"/>
              <w:right w:val="single" w:color="auto" w:sz="4" w:space="0"/>
            </w:tcBorders>
            <w:vAlign w:val="center"/>
          </w:tcPr>
          <w:p w14:paraId="20EF031C">
            <w:pPr>
              <w:spacing w:line="276" w:lineRule="auto"/>
              <w:jc w:val="center"/>
              <w:rPr>
                <w:rFonts w:eastAsiaTheme="minorEastAsia"/>
                <w:sz w:val="18"/>
                <w:szCs w:val="18"/>
              </w:rPr>
            </w:pPr>
          </w:p>
        </w:tc>
        <w:tc>
          <w:tcPr>
            <w:tcW w:w="708" w:type="dxa"/>
            <w:tcBorders>
              <w:top w:val="single" w:color="auto" w:sz="4" w:space="0"/>
              <w:left w:val="nil"/>
              <w:bottom w:val="single" w:color="auto" w:sz="4" w:space="0"/>
            </w:tcBorders>
            <w:vAlign w:val="center"/>
          </w:tcPr>
          <w:p w14:paraId="58701852">
            <w:pPr>
              <w:spacing w:line="276" w:lineRule="auto"/>
              <w:jc w:val="center"/>
              <w:rPr>
                <w:rFonts w:eastAsiaTheme="minorEastAsia"/>
                <w:sz w:val="18"/>
                <w:szCs w:val="18"/>
              </w:rPr>
            </w:pPr>
          </w:p>
        </w:tc>
      </w:tr>
      <w:tr w14:paraId="5DDCABD8">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39D826B5">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color="auto" w:sz="4" w:space="0"/>
              <w:right w:val="single" w:color="auto" w:sz="4" w:space="0"/>
            </w:tcBorders>
            <w:vAlign w:val="center"/>
          </w:tcPr>
          <w:p w14:paraId="5CE7B42F">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color="auto" w:sz="4" w:space="0"/>
              <w:right w:val="single" w:color="auto" w:sz="4" w:space="0"/>
            </w:tcBorders>
            <w:vAlign w:val="center"/>
          </w:tcPr>
          <w:p w14:paraId="72C5346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66B49B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A23E68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BF2B159">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C05307D">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B36943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349623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7DCD06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4D66A60">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6D746F1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5E7120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3E7AA37">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27194541">
            <w:pPr>
              <w:spacing w:line="276" w:lineRule="auto"/>
              <w:jc w:val="center"/>
              <w:rPr>
                <w:rFonts w:eastAsiaTheme="minorEastAsia"/>
                <w:sz w:val="18"/>
                <w:szCs w:val="18"/>
              </w:rPr>
            </w:pPr>
          </w:p>
        </w:tc>
      </w:tr>
      <w:tr w14:paraId="7C1DF449">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6CBF53B2">
            <w:pPr>
              <w:spacing w:line="276" w:lineRule="auto"/>
              <w:jc w:val="center"/>
              <w:rPr>
                <w:rFonts w:eastAsiaTheme="minorEastAsia"/>
                <w:sz w:val="18"/>
                <w:szCs w:val="18"/>
              </w:rPr>
            </w:pPr>
            <w:r>
              <w:rPr>
                <w:rFonts w:eastAsiaTheme="minorEastAsia"/>
                <w:sz w:val="18"/>
                <w:szCs w:val="18"/>
              </w:rPr>
              <w:t>S9</w:t>
            </w:r>
          </w:p>
        </w:tc>
        <w:tc>
          <w:tcPr>
            <w:tcW w:w="850" w:type="dxa"/>
            <w:tcBorders>
              <w:top w:val="nil"/>
              <w:left w:val="nil"/>
              <w:bottom w:val="single" w:color="auto" w:sz="4" w:space="0"/>
              <w:right w:val="single" w:color="auto" w:sz="4" w:space="0"/>
            </w:tcBorders>
            <w:vAlign w:val="center"/>
          </w:tcPr>
          <w:p w14:paraId="3CC5BDA9">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color="auto" w:sz="4" w:space="0"/>
              <w:right w:val="single" w:color="auto" w:sz="4" w:space="0"/>
            </w:tcBorders>
            <w:vAlign w:val="center"/>
          </w:tcPr>
          <w:p w14:paraId="4F559C0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F66DD7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E6467D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FB0A774">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F4382C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C0DF75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D5283DC">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01B752E8">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4646980C">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7EF9BEA">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FA7A962">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02C1A552">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3B91D977">
            <w:pPr>
              <w:spacing w:line="276" w:lineRule="auto"/>
              <w:jc w:val="center"/>
              <w:rPr>
                <w:rFonts w:eastAsiaTheme="minorEastAsia"/>
                <w:sz w:val="18"/>
                <w:szCs w:val="18"/>
              </w:rPr>
            </w:pPr>
          </w:p>
        </w:tc>
      </w:tr>
      <w:tr w14:paraId="0A95CE84">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6384EA7C">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color="auto" w:sz="4" w:space="0"/>
              <w:right w:val="single" w:color="auto" w:sz="4" w:space="0"/>
            </w:tcBorders>
            <w:vAlign w:val="center"/>
          </w:tcPr>
          <w:p w14:paraId="76934DE7">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color="auto" w:sz="4" w:space="0"/>
              <w:right w:val="single" w:color="auto" w:sz="4" w:space="0"/>
            </w:tcBorders>
            <w:vAlign w:val="center"/>
          </w:tcPr>
          <w:p w14:paraId="4D1C19B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640B8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33CDE0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89203D6">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E865C5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845525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0338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E5329DA">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2F9A7967">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43BEFCEE">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1CC4CE9">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625A2AD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B413DDA">
            <w:pPr>
              <w:spacing w:line="276" w:lineRule="auto"/>
              <w:jc w:val="center"/>
              <w:rPr>
                <w:rFonts w:eastAsiaTheme="minorEastAsia"/>
                <w:sz w:val="18"/>
                <w:szCs w:val="18"/>
              </w:rPr>
            </w:pPr>
          </w:p>
        </w:tc>
      </w:tr>
      <w:tr w14:paraId="2421A6A6">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BCAC5D6">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color="auto" w:sz="4" w:space="0"/>
              <w:right w:val="single" w:color="auto" w:sz="4" w:space="0"/>
            </w:tcBorders>
            <w:vAlign w:val="center"/>
          </w:tcPr>
          <w:p w14:paraId="3A3997F5">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color="auto" w:sz="4" w:space="0"/>
              <w:right w:val="single" w:color="auto" w:sz="4" w:space="0"/>
            </w:tcBorders>
            <w:vAlign w:val="center"/>
          </w:tcPr>
          <w:p w14:paraId="485B20F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A96733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0330AA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A3D460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9D7A7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86D562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9FF6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1782D1D">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3907540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361E56E">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3753B3C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262C373">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1703B046">
            <w:pPr>
              <w:spacing w:line="276" w:lineRule="auto"/>
              <w:jc w:val="center"/>
              <w:rPr>
                <w:rFonts w:eastAsiaTheme="minorEastAsia"/>
                <w:sz w:val="18"/>
                <w:szCs w:val="18"/>
              </w:rPr>
            </w:pPr>
          </w:p>
        </w:tc>
      </w:tr>
      <w:tr w14:paraId="15F80818">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5D9BDFD">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color="auto" w:sz="4" w:space="0"/>
              <w:right w:val="single" w:color="auto" w:sz="4" w:space="0"/>
            </w:tcBorders>
            <w:vAlign w:val="center"/>
          </w:tcPr>
          <w:p w14:paraId="7D0E312D">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color="auto" w:sz="4" w:space="0"/>
              <w:right w:val="single" w:color="auto" w:sz="4" w:space="0"/>
            </w:tcBorders>
            <w:vAlign w:val="center"/>
          </w:tcPr>
          <w:p w14:paraId="317A9B1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D65DF6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6887E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103BA42">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240ED4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268914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0F8AE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90FE401">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5390067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A0C226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190318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7955DC3D">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5C3A776A">
            <w:pPr>
              <w:spacing w:line="276" w:lineRule="auto"/>
              <w:jc w:val="center"/>
              <w:rPr>
                <w:rFonts w:eastAsiaTheme="minorEastAsia"/>
                <w:sz w:val="18"/>
                <w:szCs w:val="18"/>
              </w:rPr>
            </w:pPr>
          </w:p>
        </w:tc>
      </w:tr>
      <w:tr w14:paraId="7EC671D7">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227B9C1">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color="auto" w:sz="4" w:space="0"/>
              <w:right w:val="single" w:color="auto" w:sz="4" w:space="0"/>
            </w:tcBorders>
            <w:vAlign w:val="center"/>
          </w:tcPr>
          <w:p w14:paraId="69577338">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color="auto" w:sz="4" w:space="0"/>
              <w:right w:val="single" w:color="auto" w:sz="4" w:space="0"/>
            </w:tcBorders>
            <w:vAlign w:val="center"/>
          </w:tcPr>
          <w:p w14:paraId="7735F7F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FE5FE6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E6AF2C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BD2931">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A7A7F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49E13A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E2AE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B688EA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FA6CDD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710336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4AB72FF">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0287A09A">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color="auto" w:sz="4" w:space="0"/>
            </w:tcBorders>
            <w:vAlign w:val="center"/>
          </w:tcPr>
          <w:p w14:paraId="1AC10809">
            <w:pPr>
              <w:spacing w:line="276" w:lineRule="auto"/>
              <w:jc w:val="center"/>
              <w:rPr>
                <w:rFonts w:eastAsiaTheme="minorEastAsia"/>
                <w:sz w:val="18"/>
                <w:szCs w:val="18"/>
              </w:rPr>
            </w:pPr>
            <w:r>
              <w:rPr>
                <w:rFonts w:eastAsiaTheme="minorEastAsia"/>
                <w:sz w:val="18"/>
                <w:szCs w:val="18"/>
              </w:rPr>
              <w:t>0-5</w:t>
            </w:r>
          </w:p>
        </w:tc>
      </w:tr>
      <w:tr w14:paraId="592451F3">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1184DF3">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color="auto" w:sz="4" w:space="0"/>
              <w:right w:val="single" w:color="auto" w:sz="4" w:space="0"/>
            </w:tcBorders>
            <w:vAlign w:val="center"/>
          </w:tcPr>
          <w:p w14:paraId="0FD31C47">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color="auto" w:sz="4" w:space="0"/>
              <w:right w:val="single" w:color="auto" w:sz="4" w:space="0"/>
            </w:tcBorders>
            <w:vAlign w:val="center"/>
          </w:tcPr>
          <w:p w14:paraId="4053E9E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BFAC48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C2F276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9E886C4">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984686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361774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BF806A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9F453B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E74090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975473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3FBF65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389F119">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tcBorders>
            <w:vAlign w:val="center"/>
          </w:tcPr>
          <w:p w14:paraId="15AA5053">
            <w:pPr>
              <w:spacing w:line="276" w:lineRule="auto"/>
              <w:jc w:val="center"/>
              <w:rPr>
                <w:rFonts w:eastAsiaTheme="minorEastAsia"/>
                <w:sz w:val="18"/>
                <w:szCs w:val="18"/>
              </w:rPr>
            </w:pPr>
            <w:r>
              <w:rPr>
                <w:rFonts w:eastAsiaTheme="minorEastAsia"/>
                <w:sz w:val="18"/>
                <w:szCs w:val="18"/>
              </w:rPr>
              <w:t>0-3</w:t>
            </w:r>
          </w:p>
        </w:tc>
      </w:tr>
    </w:tbl>
    <w:p w14:paraId="3D4712BC">
      <w:pPr>
        <w:pStyle w:val="97"/>
        <w:rPr>
          <w:rFonts w:ascii="Times New Roman" w:eastAsiaTheme="minorEastAsia"/>
        </w:rPr>
      </w:pPr>
      <w:r>
        <w:rPr>
          <w:rFonts w:ascii="Times New Roman" w:eastAsiaTheme="minorEastAsia"/>
        </w:rPr>
        <w:t>沥青混合料细集料</w:t>
      </w:r>
    </w:p>
    <w:p w14:paraId="027FFC21">
      <w:pPr>
        <w:pStyle w:val="99"/>
        <w:rPr>
          <w:rFonts w:eastAsiaTheme="minorEastAsia"/>
        </w:rPr>
      </w:pPr>
      <w:r>
        <w:rPr>
          <w:rFonts w:eastAsiaTheme="minorEastAsia"/>
        </w:rPr>
        <w:t>沥青路面的细集料包括天然砂、机制砂、石屑。细集料应洁净、干燥、无风化、无杂质，并有适当的颗粒级配，其质量应符合表5.6的规定。</w:t>
      </w:r>
    </w:p>
    <w:p w14:paraId="36FD11E3">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表5.6 沥青混合料用细集料质量要求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6085"/>
        <w:gridCol w:w="696"/>
        <w:gridCol w:w="1896"/>
        <w:gridCol w:w="1547"/>
      </w:tblGrid>
      <w:tr w14:paraId="3EFF3B6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53" w:hRule="atLeast"/>
          <w:jc w:val="center"/>
        </w:trPr>
        <w:tc>
          <w:tcPr>
            <w:tcW w:w="6085" w:type="dxa"/>
            <w:vAlign w:val="center"/>
          </w:tcPr>
          <w:p w14:paraId="33DAB997">
            <w:pPr>
              <w:spacing w:line="276" w:lineRule="auto"/>
              <w:jc w:val="center"/>
              <w:rPr>
                <w:rFonts w:eastAsiaTheme="minorEastAsia"/>
                <w:szCs w:val="21"/>
              </w:rPr>
            </w:pPr>
            <w:r>
              <w:rPr>
                <w:rFonts w:eastAsiaTheme="minorEastAsia"/>
                <w:szCs w:val="21"/>
              </w:rPr>
              <w:t>项目</w:t>
            </w:r>
          </w:p>
        </w:tc>
        <w:tc>
          <w:tcPr>
            <w:tcW w:w="696" w:type="dxa"/>
            <w:vAlign w:val="center"/>
          </w:tcPr>
          <w:p w14:paraId="27894B03">
            <w:pPr>
              <w:spacing w:line="276" w:lineRule="auto"/>
              <w:jc w:val="center"/>
              <w:rPr>
                <w:rFonts w:eastAsiaTheme="minorEastAsia"/>
                <w:szCs w:val="21"/>
              </w:rPr>
            </w:pPr>
            <w:r>
              <w:rPr>
                <w:rFonts w:eastAsiaTheme="minorEastAsia"/>
                <w:szCs w:val="21"/>
              </w:rPr>
              <w:t>单位</w:t>
            </w:r>
          </w:p>
        </w:tc>
        <w:tc>
          <w:tcPr>
            <w:tcW w:w="1896" w:type="dxa"/>
            <w:vAlign w:val="center"/>
          </w:tcPr>
          <w:p w14:paraId="3B4E1AC2">
            <w:pPr>
              <w:spacing w:line="276" w:lineRule="auto"/>
              <w:jc w:val="center"/>
              <w:rPr>
                <w:rFonts w:eastAsiaTheme="minorEastAsia"/>
                <w:szCs w:val="21"/>
              </w:rPr>
            </w:pPr>
            <w:r>
              <w:rPr>
                <w:rFonts w:eastAsiaTheme="minorEastAsia"/>
                <w:szCs w:val="21"/>
              </w:rPr>
              <w:t>支路指标</w:t>
            </w:r>
          </w:p>
        </w:tc>
        <w:tc>
          <w:tcPr>
            <w:tcW w:w="1547" w:type="dxa"/>
            <w:vAlign w:val="center"/>
          </w:tcPr>
          <w:p w14:paraId="0CA00D36">
            <w:pPr>
              <w:spacing w:line="276" w:lineRule="auto"/>
              <w:jc w:val="center"/>
              <w:rPr>
                <w:rFonts w:eastAsiaTheme="minorEastAsia"/>
                <w:szCs w:val="21"/>
              </w:rPr>
            </w:pPr>
            <w:r>
              <w:rPr>
                <w:rFonts w:eastAsiaTheme="minorEastAsia"/>
                <w:szCs w:val="21"/>
              </w:rPr>
              <w:t>试验方法</w:t>
            </w:r>
          </w:p>
        </w:tc>
      </w:tr>
      <w:tr w14:paraId="7D007DE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43219EF5">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14:paraId="2BC563F1">
            <w:pPr>
              <w:spacing w:line="276" w:lineRule="auto"/>
              <w:jc w:val="center"/>
              <w:rPr>
                <w:rFonts w:eastAsiaTheme="minorEastAsia"/>
                <w:szCs w:val="21"/>
              </w:rPr>
            </w:pPr>
            <w:r>
              <w:rPr>
                <w:rFonts w:eastAsiaTheme="minorEastAsia"/>
                <w:szCs w:val="21"/>
              </w:rPr>
              <w:t>－</w:t>
            </w:r>
          </w:p>
        </w:tc>
        <w:tc>
          <w:tcPr>
            <w:tcW w:w="1896" w:type="dxa"/>
            <w:vAlign w:val="center"/>
          </w:tcPr>
          <w:p w14:paraId="02745E67">
            <w:pPr>
              <w:spacing w:line="276" w:lineRule="auto"/>
              <w:jc w:val="center"/>
              <w:rPr>
                <w:rFonts w:eastAsiaTheme="minorEastAsia"/>
                <w:szCs w:val="21"/>
              </w:rPr>
            </w:pPr>
            <w:r>
              <w:rPr>
                <w:rFonts w:eastAsiaTheme="minorEastAsia"/>
                <w:szCs w:val="21"/>
              </w:rPr>
              <w:t>2.45</w:t>
            </w:r>
          </w:p>
        </w:tc>
        <w:tc>
          <w:tcPr>
            <w:tcW w:w="1547" w:type="dxa"/>
            <w:vAlign w:val="center"/>
          </w:tcPr>
          <w:p w14:paraId="444669AB">
            <w:pPr>
              <w:spacing w:line="276" w:lineRule="auto"/>
              <w:jc w:val="center"/>
              <w:rPr>
                <w:rFonts w:eastAsiaTheme="minorEastAsia"/>
                <w:szCs w:val="21"/>
              </w:rPr>
            </w:pPr>
            <w:r>
              <w:rPr>
                <w:rFonts w:eastAsiaTheme="minorEastAsia"/>
                <w:szCs w:val="21"/>
              </w:rPr>
              <w:t>T0328</w:t>
            </w:r>
          </w:p>
        </w:tc>
      </w:tr>
      <w:tr w14:paraId="2B892E7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68" w:hRule="atLeast"/>
          <w:jc w:val="center"/>
        </w:trPr>
        <w:tc>
          <w:tcPr>
            <w:tcW w:w="6085" w:type="dxa"/>
            <w:vAlign w:val="center"/>
          </w:tcPr>
          <w:p w14:paraId="5DB81374">
            <w:pPr>
              <w:spacing w:line="276" w:lineRule="auto"/>
              <w:jc w:val="center"/>
              <w:rPr>
                <w:rFonts w:eastAsiaTheme="minorEastAsia"/>
                <w:szCs w:val="21"/>
              </w:rPr>
            </w:pPr>
            <w:r>
              <w:rPr>
                <w:rFonts w:eastAsiaTheme="minorEastAsia"/>
                <w:szCs w:val="21"/>
              </w:rPr>
              <w:t>坚固性（&gt;0.3mm部分），不小于</w:t>
            </w:r>
          </w:p>
        </w:tc>
        <w:tc>
          <w:tcPr>
            <w:tcW w:w="696" w:type="dxa"/>
            <w:vAlign w:val="center"/>
          </w:tcPr>
          <w:p w14:paraId="4DE02725">
            <w:pPr>
              <w:spacing w:line="276" w:lineRule="auto"/>
              <w:jc w:val="center"/>
              <w:rPr>
                <w:rFonts w:eastAsiaTheme="minorEastAsia"/>
                <w:szCs w:val="21"/>
              </w:rPr>
            </w:pPr>
            <w:r>
              <w:rPr>
                <w:rFonts w:eastAsiaTheme="minorEastAsia"/>
                <w:szCs w:val="21"/>
              </w:rPr>
              <w:t>%</w:t>
            </w:r>
          </w:p>
        </w:tc>
        <w:tc>
          <w:tcPr>
            <w:tcW w:w="1896" w:type="dxa"/>
            <w:vAlign w:val="center"/>
          </w:tcPr>
          <w:p w14:paraId="20C54C89">
            <w:pPr>
              <w:spacing w:line="276" w:lineRule="auto"/>
              <w:jc w:val="center"/>
              <w:rPr>
                <w:rFonts w:eastAsiaTheme="minorEastAsia"/>
                <w:szCs w:val="21"/>
              </w:rPr>
            </w:pPr>
            <w:r>
              <w:rPr>
                <w:rFonts w:eastAsiaTheme="minorEastAsia"/>
                <w:szCs w:val="21"/>
              </w:rPr>
              <w:t>-</w:t>
            </w:r>
          </w:p>
        </w:tc>
        <w:tc>
          <w:tcPr>
            <w:tcW w:w="1547" w:type="dxa"/>
            <w:vAlign w:val="center"/>
          </w:tcPr>
          <w:p w14:paraId="399B5BD4">
            <w:pPr>
              <w:spacing w:line="276" w:lineRule="auto"/>
              <w:jc w:val="center"/>
              <w:rPr>
                <w:rFonts w:eastAsiaTheme="minorEastAsia"/>
                <w:szCs w:val="21"/>
              </w:rPr>
            </w:pPr>
            <w:r>
              <w:rPr>
                <w:rFonts w:eastAsiaTheme="minorEastAsia"/>
                <w:szCs w:val="21"/>
              </w:rPr>
              <w:t>T0340</w:t>
            </w:r>
          </w:p>
        </w:tc>
      </w:tr>
      <w:tr w14:paraId="0434732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21CDD356">
            <w:pPr>
              <w:spacing w:line="276" w:lineRule="auto"/>
              <w:jc w:val="center"/>
              <w:rPr>
                <w:rFonts w:eastAsiaTheme="minorEastAsia"/>
                <w:szCs w:val="21"/>
              </w:rPr>
            </w:pPr>
            <w:r>
              <w:rPr>
                <w:rFonts w:eastAsiaTheme="minorEastAsia"/>
                <w:szCs w:val="21"/>
              </w:rPr>
              <w:t>含泥量（小于0.075mm的含量），不大于</w:t>
            </w:r>
          </w:p>
        </w:tc>
        <w:tc>
          <w:tcPr>
            <w:tcW w:w="696" w:type="dxa"/>
            <w:vAlign w:val="center"/>
          </w:tcPr>
          <w:p w14:paraId="4421EEB4">
            <w:pPr>
              <w:spacing w:line="276" w:lineRule="auto"/>
              <w:jc w:val="center"/>
              <w:rPr>
                <w:rFonts w:eastAsiaTheme="minorEastAsia"/>
                <w:szCs w:val="21"/>
              </w:rPr>
            </w:pPr>
            <w:r>
              <w:rPr>
                <w:rFonts w:eastAsiaTheme="minorEastAsia"/>
                <w:szCs w:val="21"/>
              </w:rPr>
              <w:t>％</w:t>
            </w:r>
          </w:p>
        </w:tc>
        <w:tc>
          <w:tcPr>
            <w:tcW w:w="1896" w:type="dxa"/>
            <w:vAlign w:val="center"/>
          </w:tcPr>
          <w:p w14:paraId="1AE963E6">
            <w:pPr>
              <w:spacing w:line="276" w:lineRule="auto"/>
              <w:jc w:val="center"/>
              <w:rPr>
                <w:rFonts w:eastAsiaTheme="minorEastAsia"/>
                <w:szCs w:val="21"/>
              </w:rPr>
            </w:pPr>
            <w:r>
              <w:rPr>
                <w:rFonts w:eastAsiaTheme="minorEastAsia"/>
                <w:szCs w:val="21"/>
              </w:rPr>
              <w:t>5</w:t>
            </w:r>
          </w:p>
        </w:tc>
        <w:tc>
          <w:tcPr>
            <w:tcW w:w="1547" w:type="dxa"/>
            <w:vAlign w:val="center"/>
          </w:tcPr>
          <w:p w14:paraId="41E7EFC5">
            <w:pPr>
              <w:spacing w:line="276" w:lineRule="auto"/>
              <w:jc w:val="center"/>
              <w:rPr>
                <w:rFonts w:eastAsiaTheme="minorEastAsia"/>
                <w:szCs w:val="21"/>
              </w:rPr>
            </w:pPr>
            <w:r>
              <w:rPr>
                <w:rFonts w:eastAsiaTheme="minorEastAsia"/>
                <w:szCs w:val="21"/>
              </w:rPr>
              <w:t>T0333</w:t>
            </w:r>
          </w:p>
        </w:tc>
      </w:tr>
      <w:tr w14:paraId="6EF3CA6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5C6547A8">
            <w:pPr>
              <w:spacing w:line="276" w:lineRule="auto"/>
              <w:jc w:val="center"/>
              <w:rPr>
                <w:rFonts w:eastAsiaTheme="minorEastAsia"/>
                <w:szCs w:val="21"/>
              </w:rPr>
            </w:pPr>
            <w:r>
              <w:rPr>
                <w:rFonts w:eastAsiaTheme="minorEastAsia"/>
                <w:szCs w:val="21"/>
              </w:rPr>
              <w:t>砂当量，不小于</w:t>
            </w:r>
          </w:p>
        </w:tc>
        <w:tc>
          <w:tcPr>
            <w:tcW w:w="696" w:type="dxa"/>
            <w:vAlign w:val="center"/>
          </w:tcPr>
          <w:p w14:paraId="507CF86E">
            <w:pPr>
              <w:spacing w:line="276" w:lineRule="auto"/>
              <w:jc w:val="center"/>
              <w:rPr>
                <w:rFonts w:eastAsiaTheme="minorEastAsia"/>
                <w:szCs w:val="21"/>
              </w:rPr>
            </w:pPr>
            <w:r>
              <w:rPr>
                <w:rFonts w:eastAsiaTheme="minorEastAsia"/>
                <w:szCs w:val="21"/>
              </w:rPr>
              <w:t>％</w:t>
            </w:r>
          </w:p>
        </w:tc>
        <w:tc>
          <w:tcPr>
            <w:tcW w:w="1896" w:type="dxa"/>
            <w:vAlign w:val="center"/>
          </w:tcPr>
          <w:p w14:paraId="3EC62CFC">
            <w:pPr>
              <w:spacing w:line="276" w:lineRule="auto"/>
              <w:jc w:val="center"/>
              <w:rPr>
                <w:rFonts w:eastAsiaTheme="minorEastAsia"/>
                <w:szCs w:val="21"/>
              </w:rPr>
            </w:pPr>
            <w:r>
              <w:rPr>
                <w:rFonts w:eastAsiaTheme="minorEastAsia"/>
                <w:szCs w:val="21"/>
              </w:rPr>
              <w:t>50</w:t>
            </w:r>
          </w:p>
        </w:tc>
        <w:tc>
          <w:tcPr>
            <w:tcW w:w="1547" w:type="dxa"/>
            <w:vAlign w:val="center"/>
          </w:tcPr>
          <w:p w14:paraId="0A86BA66">
            <w:pPr>
              <w:spacing w:line="276" w:lineRule="auto"/>
              <w:jc w:val="center"/>
              <w:rPr>
                <w:rFonts w:eastAsiaTheme="minorEastAsia"/>
                <w:szCs w:val="21"/>
              </w:rPr>
            </w:pPr>
            <w:r>
              <w:rPr>
                <w:rFonts w:eastAsiaTheme="minorEastAsia"/>
                <w:szCs w:val="21"/>
              </w:rPr>
              <w:t>T0334</w:t>
            </w:r>
          </w:p>
        </w:tc>
      </w:tr>
      <w:tr w14:paraId="6D2B45D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2E2FF4DA">
            <w:pPr>
              <w:spacing w:line="276" w:lineRule="auto"/>
              <w:jc w:val="center"/>
              <w:rPr>
                <w:rFonts w:eastAsiaTheme="minorEastAsia"/>
                <w:szCs w:val="21"/>
              </w:rPr>
            </w:pPr>
            <w:r>
              <w:rPr>
                <w:rFonts w:eastAsiaTheme="minorEastAsia"/>
                <w:szCs w:val="21"/>
              </w:rPr>
              <w:t>亚甲蓝值，不大于</w:t>
            </w:r>
          </w:p>
        </w:tc>
        <w:tc>
          <w:tcPr>
            <w:tcW w:w="696" w:type="dxa"/>
            <w:vAlign w:val="center"/>
          </w:tcPr>
          <w:p w14:paraId="6031966B">
            <w:pPr>
              <w:spacing w:line="276" w:lineRule="auto"/>
              <w:jc w:val="center"/>
              <w:rPr>
                <w:rFonts w:eastAsiaTheme="minorEastAsia"/>
                <w:szCs w:val="21"/>
              </w:rPr>
            </w:pPr>
            <w:r>
              <w:rPr>
                <w:rFonts w:eastAsiaTheme="minorEastAsia"/>
                <w:szCs w:val="21"/>
              </w:rPr>
              <w:t>g/kg</w:t>
            </w:r>
          </w:p>
        </w:tc>
        <w:tc>
          <w:tcPr>
            <w:tcW w:w="1896" w:type="dxa"/>
            <w:vAlign w:val="center"/>
          </w:tcPr>
          <w:p w14:paraId="491578B5">
            <w:pPr>
              <w:spacing w:line="276" w:lineRule="auto"/>
              <w:jc w:val="center"/>
              <w:rPr>
                <w:rFonts w:eastAsiaTheme="minorEastAsia"/>
                <w:szCs w:val="21"/>
              </w:rPr>
            </w:pPr>
            <w:r>
              <w:rPr>
                <w:rFonts w:eastAsiaTheme="minorEastAsia"/>
                <w:szCs w:val="21"/>
              </w:rPr>
              <w:t>-</w:t>
            </w:r>
          </w:p>
        </w:tc>
        <w:tc>
          <w:tcPr>
            <w:tcW w:w="1547" w:type="dxa"/>
            <w:vAlign w:val="center"/>
          </w:tcPr>
          <w:p w14:paraId="12E19F33">
            <w:pPr>
              <w:spacing w:line="276" w:lineRule="auto"/>
              <w:jc w:val="center"/>
              <w:rPr>
                <w:rFonts w:eastAsiaTheme="minorEastAsia"/>
                <w:szCs w:val="21"/>
              </w:rPr>
            </w:pPr>
            <w:r>
              <w:rPr>
                <w:rFonts w:eastAsiaTheme="minorEastAsia"/>
                <w:szCs w:val="21"/>
              </w:rPr>
              <w:t>T0349</w:t>
            </w:r>
          </w:p>
        </w:tc>
      </w:tr>
      <w:tr w14:paraId="6285462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9FF1E48">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14:paraId="7E161FB0">
            <w:pPr>
              <w:spacing w:line="276" w:lineRule="auto"/>
              <w:jc w:val="center"/>
              <w:rPr>
                <w:rFonts w:eastAsiaTheme="minorEastAsia"/>
                <w:szCs w:val="21"/>
              </w:rPr>
            </w:pPr>
            <w:r>
              <w:rPr>
                <w:rFonts w:eastAsiaTheme="minorEastAsia"/>
                <w:szCs w:val="21"/>
              </w:rPr>
              <w:t>s</w:t>
            </w:r>
          </w:p>
        </w:tc>
        <w:tc>
          <w:tcPr>
            <w:tcW w:w="1896" w:type="dxa"/>
            <w:vAlign w:val="center"/>
          </w:tcPr>
          <w:p w14:paraId="7CF44347">
            <w:pPr>
              <w:spacing w:line="276" w:lineRule="auto"/>
              <w:jc w:val="center"/>
              <w:rPr>
                <w:rFonts w:eastAsiaTheme="minorEastAsia"/>
                <w:szCs w:val="21"/>
              </w:rPr>
            </w:pPr>
            <w:r>
              <w:rPr>
                <w:rFonts w:eastAsiaTheme="minorEastAsia"/>
                <w:szCs w:val="21"/>
              </w:rPr>
              <w:t>-</w:t>
            </w:r>
          </w:p>
        </w:tc>
        <w:tc>
          <w:tcPr>
            <w:tcW w:w="1547" w:type="dxa"/>
            <w:vAlign w:val="center"/>
          </w:tcPr>
          <w:p w14:paraId="7447BCEE">
            <w:pPr>
              <w:spacing w:line="276" w:lineRule="auto"/>
              <w:jc w:val="center"/>
              <w:rPr>
                <w:rFonts w:eastAsiaTheme="minorEastAsia"/>
                <w:szCs w:val="21"/>
              </w:rPr>
            </w:pPr>
            <w:r>
              <w:rPr>
                <w:rFonts w:eastAsiaTheme="minorEastAsia"/>
                <w:szCs w:val="21"/>
              </w:rPr>
              <w:t>T0345</w:t>
            </w:r>
          </w:p>
        </w:tc>
      </w:tr>
    </w:tbl>
    <w:p w14:paraId="23262772">
      <w:pPr>
        <w:pStyle w:val="99"/>
        <w:rPr>
          <w:rFonts w:eastAsiaTheme="minorEastAsia"/>
        </w:rPr>
      </w:pPr>
      <w:r>
        <w:rPr>
          <w:rFonts w:eastAsiaTheme="minorEastAsia"/>
        </w:rPr>
        <w:t>天然砂可采用河砂或是海砂，通常采用粗、中砂，其规格应符合表5.7规定。砂的含泥量超过规定时应水洗后使用，海砂中的贝壳类材料必须筛除。</w:t>
      </w:r>
    </w:p>
    <w:p w14:paraId="7E2162D8">
      <w:pPr>
        <w:pStyle w:val="99"/>
        <w:spacing w:line="480" w:lineRule="auto"/>
        <w:ind w:firstLine="422"/>
        <w:jc w:val="center"/>
        <w:rPr>
          <w:rFonts w:eastAsiaTheme="minorEastAsia"/>
          <w:b/>
          <w:sz w:val="21"/>
          <w:szCs w:val="21"/>
        </w:rPr>
      </w:pPr>
      <w:r>
        <w:rPr>
          <w:rFonts w:eastAsiaTheme="minorEastAsia"/>
          <w:b/>
          <w:sz w:val="21"/>
          <w:szCs w:val="21"/>
        </w:rPr>
        <w:t>表5.7 沥青混合料用天然砂规格</w:t>
      </w:r>
    </w:p>
    <w:tbl>
      <w:tblPr>
        <w:tblStyle w:val="25"/>
        <w:tblW w:w="10272" w:type="dxa"/>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5126"/>
        <w:gridCol w:w="1112"/>
        <w:gridCol w:w="1112"/>
        <w:gridCol w:w="2922"/>
      </w:tblGrid>
      <w:tr w14:paraId="4FC34B0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Merge w:val="restart"/>
            <w:vAlign w:val="center"/>
          </w:tcPr>
          <w:p w14:paraId="7C58573A">
            <w:pPr>
              <w:spacing w:line="276" w:lineRule="auto"/>
              <w:jc w:val="center"/>
              <w:rPr>
                <w:rFonts w:eastAsiaTheme="minorEastAsia"/>
                <w:szCs w:val="21"/>
              </w:rPr>
            </w:pPr>
            <w:r>
              <w:rPr>
                <w:rFonts w:eastAsiaTheme="minorEastAsia"/>
                <w:szCs w:val="21"/>
              </w:rPr>
              <w:t>方孔筛（mm）</w:t>
            </w:r>
          </w:p>
        </w:tc>
        <w:tc>
          <w:tcPr>
            <w:tcW w:w="5146" w:type="dxa"/>
            <w:gridSpan w:val="3"/>
            <w:vAlign w:val="center"/>
          </w:tcPr>
          <w:p w14:paraId="065F0B57">
            <w:pPr>
              <w:spacing w:line="276" w:lineRule="auto"/>
              <w:jc w:val="center"/>
              <w:rPr>
                <w:rFonts w:eastAsiaTheme="minorEastAsia"/>
                <w:szCs w:val="21"/>
              </w:rPr>
            </w:pPr>
            <w:r>
              <w:rPr>
                <w:rFonts w:eastAsiaTheme="minorEastAsia"/>
                <w:szCs w:val="21"/>
              </w:rPr>
              <w:t>通过各孔的质量百分率（％）</w:t>
            </w:r>
          </w:p>
        </w:tc>
      </w:tr>
      <w:tr w14:paraId="6ABF6A5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41" w:hRule="atLeast"/>
          <w:jc w:val="center"/>
        </w:trPr>
        <w:tc>
          <w:tcPr>
            <w:tcW w:w="5126" w:type="dxa"/>
            <w:vMerge w:val="continue"/>
            <w:vAlign w:val="center"/>
          </w:tcPr>
          <w:p w14:paraId="4A92163D">
            <w:pPr>
              <w:spacing w:line="276" w:lineRule="auto"/>
              <w:jc w:val="center"/>
              <w:rPr>
                <w:rFonts w:eastAsiaTheme="minorEastAsia"/>
                <w:szCs w:val="21"/>
              </w:rPr>
            </w:pPr>
          </w:p>
        </w:tc>
        <w:tc>
          <w:tcPr>
            <w:tcW w:w="1112" w:type="dxa"/>
            <w:vAlign w:val="center"/>
          </w:tcPr>
          <w:p w14:paraId="50AA32BB">
            <w:pPr>
              <w:spacing w:line="276" w:lineRule="auto"/>
              <w:jc w:val="center"/>
              <w:rPr>
                <w:rFonts w:eastAsiaTheme="minorEastAsia"/>
                <w:szCs w:val="21"/>
              </w:rPr>
            </w:pPr>
            <w:r>
              <w:rPr>
                <w:rFonts w:eastAsiaTheme="minorEastAsia"/>
                <w:szCs w:val="21"/>
              </w:rPr>
              <w:t>粗砂</w:t>
            </w:r>
          </w:p>
        </w:tc>
        <w:tc>
          <w:tcPr>
            <w:tcW w:w="1112" w:type="dxa"/>
            <w:vAlign w:val="center"/>
          </w:tcPr>
          <w:p w14:paraId="4F4E2E03">
            <w:pPr>
              <w:spacing w:line="276" w:lineRule="auto"/>
              <w:jc w:val="center"/>
              <w:rPr>
                <w:rFonts w:eastAsiaTheme="minorEastAsia"/>
                <w:szCs w:val="21"/>
              </w:rPr>
            </w:pPr>
            <w:r>
              <w:rPr>
                <w:rFonts w:eastAsiaTheme="minorEastAsia"/>
                <w:szCs w:val="21"/>
              </w:rPr>
              <w:t>中砂</w:t>
            </w:r>
          </w:p>
        </w:tc>
        <w:tc>
          <w:tcPr>
            <w:tcW w:w="2922" w:type="dxa"/>
            <w:vAlign w:val="center"/>
          </w:tcPr>
          <w:p w14:paraId="663580FB">
            <w:pPr>
              <w:spacing w:line="276" w:lineRule="auto"/>
              <w:jc w:val="center"/>
              <w:rPr>
                <w:rFonts w:eastAsiaTheme="minorEastAsia"/>
                <w:szCs w:val="21"/>
              </w:rPr>
            </w:pPr>
            <w:r>
              <w:rPr>
                <w:rFonts w:eastAsiaTheme="minorEastAsia"/>
                <w:szCs w:val="21"/>
              </w:rPr>
              <w:t>细砂</w:t>
            </w:r>
          </w:p>
        </w:tc>
      </w:tr>
      <w:tr w14:paraId="68ADE7B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8" w:hRule="atLeast"/>
          <w:jc w:val="center"/>
        </w:trPr>
        <w:tc>
          <w:tcPr>
            <w:tcW w:w="5126" w:type="dxa"/>
            <w:vAlign w:val="center"/>
          </w:tcPr>
          <w:p w14:paraId="7F511AA1">
            <w:pPr>
              <w:spacing w:line="276" w:lineRule="auto"/>
              <w:jc w:val="center"/>
              <w:rPr>
                <w:rFonts w:eastAsiaTheme="minorEastAsia"/>
                <w:szCs w:val="21"/>
              </w:rPr>
            </w:pPr>
            <w:r>
              <w:rPr>
                <w:rFonts w:eastAsiaTheme="minorEastAsia"/>
                <w:szCs w:val="21"/>
              </w:rPr>
              <w:t>9.5</w:t>
            </w:r>
          </w:p>
        </w:tc>
        <w:tc>
          <w:tcPr>
            <w:tcW w:w="1112" w:type="dxa"/>
            <w:vAlign w:val="center"/>
          </w:tcPr>
          <w:p w14:paraId="7B8BF765">
            <w:pPr>
              <w:spacing w:line="276" w:lineRule="auto"/>
              <w:jc w:val="center"/>
              <w:rPr>
                <w:rFonts w:eastAsiaTheme="minorEastAsia"/>
                <w:szCs w:val="21"/>
              </w:rPr>
            </w:pPr>
            <w:r>
              <w:rPr>
                <w:rFonts w:eastAsiaTheme="minorEastAsia"/>
                <w:szCs w:val="21"/>
              </w:rPr>
              <w:t>100</w:t>
            </w:r>
          </w:p>
        </w:tc>
        <w:tc>
          <w:tcPr>
            <w:tcW w:w="1112" w:type="dxa"/>
            <w:vAlign w:val="center"/>
          </w:tcPr>
          <w:p w14:paraId="78844117">
            <w:pPr>
              <w:spacing w:line="276" w:lineRule="auto"/>
              <w:jc w:val="center"/>
              <w:rPr>
                <w:rFonts w:eastAsiaTheme="minorEastAsia"/>
                <w:szCs w:val="21"/>
              </w:rPr>
            </w:pPr>
            <w:r>
              <w:rPr>
                <w:rFonts w:eastAsiaTheme="minorEastAsia"/>
                <w:szCs w:val="21"/>
              </w:rPr>
              <w:t>100</w:t>
            </w:r>
          </w:p>
        </w:tc>
        <w:tc>
          <w:tcPr>
            <w:tcW w:w="2922" w:type="dxa"/>
            <w:vAlign w:val="center"/>
          </w:tcPr>
          <w:p w14:paraId="16F8F6D9">
            <w:pPr>
              <w:spacing w:line="276" w:lineRule="auto"/>
              <w:jc w:val="center"/>
              <w:rPr>
                <w:rFonts w:eastAsiaTheme="minorEastAsia"/>
                <w:szCs w:val="21"/>
              </w:rPr>
            </w:pPr>
            <w:r>
              <w:rPr>
                <w:rFonts w:eastAsiaTheme="minorEastAsia"/>
                <w:szCs w:val="21"/>
              </w:rPr>
              <w:t>100</w:t>
            </w:r>
          </w:p>
        </w:tc>
      </w:tr>
      <w:tr w14:paraId="71D3AE5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635DA53E">
            <w:pPr>
              <w:spacing w:line="276" w:lineRule="auto"/>
              <w:jc w:val="center"/>
              <w:rPr>
                <w:rFonts w:eastAsiaTheme="minorEastAsia"/>
                <w:szCs w:val="21"/>
              </w:rPr>
            </w:pPr>
            <w:r>
              <w:rPr>
                <w:rFonts w:eastAsiaTheme="minorEastAsia"/>
                <w:szCs w:val="21"/>
              </w:rPr>
              <w:t>4.75</w:t>
            </w:r>
          </w:p>
        </w:tc>
        <w:tc>
          <w:tcPr>
            <w:tcW w:w="1112" w:type="dxa"/>
            <w:vAlign w:val="center"/>
          </w:tcPr>
          <w:p w14:paraId="66B12CDC">
            <w:pPr>
              <w:spacing w:line="276" w:lineRule="auto"/>
              <w:jc w:val="center"/>
              <w:rPr>
                <w:rFonts w:eastAsiaTheme="minorEastAsia"/>
                <w:szCs w:val="21"/>
              </w:rPr>
            </w:pPr>
            <w:r>
              <w:rPr>
                <w:rFonts w:eastAsiaTheme="minorEastAsia"/>
                <w:szCs w:val="21"/>
              </w:rPr>
              <w:t>90～100</w:t>
            </w:r>
          </w:p>
        </w:tc>
        <w:tc>
          <w:tcPr>
            <w:tcW w:w="1112" w:type="dxa"/>
            <w:vAlign w:val="center"/>
          </w:tcPr>
          <w:p w14:paraId="69B4144E">
            <w:pPr>
              <w:spacing w:line="276" w:lineRule="auto"/>
              <w:jc w:val="center"/>
              <w:rPr>
                <w:rFonts w:eastAsiaTheme="minorEastAsia"/>
                <w:szCs w:val="21"/>
              </w:rPr>
            </w:pPr>
            <w:r>
              <w:rPr>
                <w:rFonts w:eastAsiaTheme="minorEastAsia"/>
                <w:szCs w:val="21"/>
              </w:rPr>
              <w:t>90～100</w:t>
            </w:r>
          </w:p>
        </w:tc>
        <w:tc>
          <w:tcPr>
            <w:tcW w:w="2922" w:type="dxa"/>
            <w:vAlign w:val="center"/>
          </w:tcPr>
          <w:p w14:paraId="09B96A10">
            <w:pPr>
              <w:spacing w:line="276" w:lineRule="auto"/>
              <w:jc w:val="center"/>
              <w:rPr>
                <w:rFonts w:eastAsiaTheme="minorEastAsia"/>
                <w:szCs w:val="21"/>
              </w:rPr>
            </w:pPr>
            <w:r>
              <w:rPr>
                <w:rFonts w:eastAsiaTheme="minorEastAsia"/>
                <w:szCs w:val="21"/>
              </w:rPr>
              <w:t>90～100</w:t>
            </w:r>
          </w:p>
        </w:tc>
      </w:tr>
      <w:tr w14:paraId="16A2BAE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325EC49F">
            <w:pPr>
              <w:spacing w:line="276" w:lineRule="auto"/>
              <w:jc w:val="center"/>
              <w:rPr>
                <w:rFonts w:eastAsiaTheme="minorEastAsia"/>
                <w:szCs w:val="21"/>
              </w:rPr>
            </w:pPr>
            <w:r>
              <w:rPr>
                <w:rFonts w:eastAsiaTheme="minorEastAsia"/>
                <w:szCs w:val="21"/>
              </w:rPr>
              <w:t>2.36</w:t>
            </w:r>
          </w:p>
        </w:tc>
        <w:tc>
          <w:tcPr>
            <w:tcW w:w="1112" w:type="dxa"/>
            <w:vAlign w:val="center"/>
          </w:tcPr>
          <w:p w14:paraId="35C7B930">
            <w:pPr>
              <w:spacing w:line="276" w:lineRule="auto"/>
              <w:jc w:val="center"/>
              <w:rPr>
                <w:rFonts w:eastAsiaTheme="minorEastAsia"/>
                <w:szCs w:val="21"/>
              </w:rPr>
            </w:pPr>
            <w:r>
              <w:rPr>
                <w:rFonts w:eastAsiaTheme="minorEastAsia"/>
                <w:szCs w:val="21"/>
              </w:rPr>
              <w:t>65～95</w:t>
            </w:r>
          </w:p>
        </w:tc>
        <w:tc>
          <w:tcPr>
            <w:tcW w:w="1112" w:type="dxa"/>
            <w:vAlign w:val="center"/>
          </w:tcPr>
          <w:p w14:paraId="486A620E">
            <w:pPr>
              <w:spacing w:line="276" w:lineRule="auto"/>
              <w:jc w:val="center"/>
              <w:rPr>
                <w:rFonts w:eastAsiaTheme="minorEastAsia"/>
                <w:szCs w:val="21"/>
              </w:rPr>
            </w:pPr>
            <w:r>
              <w:rPr>
                <w:rFonts w:eastAsiaTheme="minorEastAsia"/>
                <w:szCs w:val="21"/>
              </w:rPr>
              <w:t>75～90</w:t>
            </w:r>
          </w:p>
        </w:tc>
        <w:tc>
          <w:tcPr>
            <w:tcW w:w="2922" w:type="dxa"/>
            <w:vAlign w:val="center"/>
          </w:tcPr>
          <w:p w14:paraId="7770AD46">
            <w:pPr>
              <w:spacing w:line="276" w:lineRule="auto"/>
              <w:jc w:val="center"/>
              <w:rPr>
                <w:rFonts w:eastAsiaTheme="minorEastAsia"/>
                <w:szCs w:val="21"/>
              </w:rPr>
            </w:pPr>
            <w:r>
              <w:rPr>
                <w:rFonts w:eastAsiaTheme="minorEastAsia"/>
                <w:szCs w:val="21"/>
              </w:rPr>
              <w:t>85～100</w:t>
            </w:r>
          </w:p>
        </w:tc>
      </w:tr>
      <w:tr w14:paraId="4FCFD40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634BA2F3">
            <w:pPr>
              <w:spacing w:line="276" w:lineRule="auto"/>
              <w:jc w:val="center"/>
              <w:rPr>
                <w:rFonts w:eastAsiaTheme="minorEastAsia"/>
                <w:szCs w:val="21"/>
              </w:rPr>
            </w:pPr>
            <w:r>
              <w:rPr>
                <w:rFonts w:eastAsiaTheme="minorEastAsia"/>
                <w:szCs w:val="21"/>
              </w:rPr>
              <w:t>1.18</w:t>
            </w:r>
          </w:p>
        </w:tc>
        <w:tc>
          <w:tcPr>
            <w:tcW w:w="1112" w:type="dxa"/>
            <w:vAlign w:val="center"/>
          </w:tcPr>
          <w:p w14:paraId="18DEB8D2">
            <w:pPr>
              <w:spacing w:line="276" w:lineRule="auto"/>
              <w:jc w:val="center"/>
              <w:rPr>
                <w:rFonts w:eastAsiaTheme="minorEastAsia"/>
                <w:szCs w:val="21"/>
              </w:rPr>
            </w:pPr>
            <w:r>
              <w:rPr>
                <w:rFonts w:eastAsiaTheme="minorEastAsia"/>
                <w:szCs w:val="21"/>
              </w:rPr>
              <w:t>35～65</w:t>
            </w:r>
          </w:p>
        </w:tc>
        <w:tc>
          <w:tcPr>
            <w:tcW w:w="1112" w:type="dxa"/>
            <w:vAlign w:val="center"/>
          </w:tcPr>
          <w:p w14:paraId="3D990959">
            <w:pPr>
              <w:spacing w:line="276" w:lineRule="auto"/>
              <w:jc w:val="center"/>
              <w:rPr>
                <w:rFonts w:eastAsiaTheme="minorEastAsia"/>
                <w:szCs w:val="21"/>
              </w:rPr>
            </w:pPr>
            <w:r>
              <w:rPr>
                <w:rFonts w:eastAsiaTheme="minorEastAsia"/>
                <w:szCs w:val="21"/>
              </w:rPr>
              <w:t>50～90</w:t>
            </w:r>
          </w:p>
        </w:tc>
        <w:tc>
          <w:tcPr>
            <w:tcW w:w="2922" w:type="dxa"/>
            <w:vAlign w:val="center"/>
          </w:tcPr>
          <w:p w14:paraId="5D76C66B">
            <w:pPr>
              <w:spacing w:line="276" w:lineRule="auto"/>
              <w:jc w:val="center"/>
              <w:rPr>
                <w:rFonts w:eastAsiaTheme="minorEastAsia"/>
                <w:szCs w:val="21"/>
              </w:rPr>
            </w:pPr>
            <w:r>
              <w:rPr>
                <w:rFonts w:eastAsiaTheme="minorEastAsia"/>
                <w:szCs w:val="21"/>
              </w:rPr>
              <w:t>75～100</w:t>
            </w:r>
          </w:p>
        </w:tc>
      </w:tr>
      <w:tr w14:paraId="491D46D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622F297A">
            <w:pPr>
              <w:spacing w:line="276" w:lineRule="auto"/>
              <w:jc w:val="center"/>
              <w:rPr>
                <w:rFonts w:eastAsiaTheme="minorEastAsia"/>
                <w:szCs w:val="21"/>
              </w:rPr>
            </w:pPr>
            <w:r>
              <w:rPr>
                <w:rFonts w:eastAsiaTheme="minorEastAsia"/>
                <w:szCs w:val="21"/>
              </w:rPr>
              <w:t>0.6</w:t>
            </w:r>
          </w:p>
        </w:tc>
        <w:tc>
          <w:tcPr>
            <w:tcW w:w="1112" w:type="dxa"/>
            <w:vAlign w:val="center"/>
          </w:tcPr>
          <w:p w14:paraId="19C1E610">
            <w:pPr>
              <w:spacing w:line="276" w:lineRule="auto"/>
              <w:jc w:val="center"/>
              <w:rPr>
                <w:rFonts w:eastAsiaTheme="minorEastAsia"/>
                <w:szCs w:val="21"/>
              </w:rPr>
            </w:pPr>
            <w:r>
              <w:rPr>
                <w:rFonts w:eastAsiaTheme="minorEastAsia"/>
                <w:szCs w:val="21"/>
              </w:rPr>
              <w:t>15～30</w:t>
            </w:r>
          </w:p>
        </w:tc>
        <w:tc>
          <w:tcPr>
            <w:tcW w:w="1112" w:type="dxa"/>
            <w:vAlign w:val="center"/>
          </w:tcPr>
          <w:p w14:paraId="6BB094D6">
            <w:pPr>
              <w:spacing w:line="276" w:lineRule="auto"/>
              <w:jc w:val="center"/>
              <w:rPr>
                <w:rFonts w:eastAsiaTheme="minorEastAsia"/>
                <w:szCs w:val="21"/>
              </w:rPr>
            </w:pPr>
            <w:r>
              <w:rPr>
                <w:rFonts w:eastAsiaTheme="minorEastAsia"/>
                <w:szCs w:val="21"/>
              </w:rPr>
              <w:t>30～60</w:t>
            </w:r>
          </w:p>
        </w:tc>
        <w:tc>
          <w:tcPr>
            <w:tcW w:w="2922" w:type="dxa"/>
            <w:vAlign w:val="center"/>
          </w:tcPr>
          <w:p w14:paraId="1D95A314">
            <w:pPr>
              <w:spacing w:line="276" w:lineRule="auto"/>
              <w:jc w:val="center"/>
              <w:rPr>
                <w:rFonts w:eastAsiaTheme="minorEastAsia"/>
                <w:szCs w:val="21"/>
              </w:rPr>
            </w:pPr>
            <w:r>
              <w:rPr>
                <w:rFonts w:eastAsiaTheme="minorEastAsia"/>
                <w:szCs w:val="21"/>
              </w:rPr>
              <w:t>60～84</w:t>
            </w:r>
          </w:p>
        </w:tc>
      </w:tr>
      <w:tr w14:paraId="15975FB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03F334CB">
            <w:pPr>
              <w:spacing w:line="276" w:lineRule="auto"/>
              <w:jc w:val="center"/>
              <w:rPr>
                <w:rFonts w:eastAsiaTheme="minorEastAsia"/>
                <w:szCs w:val="21"/>
              </w:rPr>
            </w:pPr>
            <w:r>
              <w:rPr>
                <w:rFonts w:eastAsiaTheme="minorEastAsia"/>
                <w:szCs w:val="21"/>
              </w:rPr>
              <w:t>0.3</w:t>
            </w:r>
          </w:p>
        </w:tc>
        <w:tc>
          <w:tcPr>
            <w:tcW w:w="1112" w:type="dxa"/>
            <w:vAlign w:val="center"/>
          </w:tcPr>
          <w:p w14:paraId="08C7322D">
            <w:pPr>
              <w:spacing w:line="276" w:lineRule="auto"/>
              <w:jc w:val="center"/>
              <w:rPr>
                <w:rFonts w:eastAsiaTheme="minorEastAsia"/>
                <w:szCs w:val="21"/>
              </w:rPr>
            </w:pPr>
            <w:r>
              <w:rPr>
                <w:rFonts w:eastAsiaTheme="minorEastAsia"/>
                <w:szCs w:val="21"/>
              </w:rPr>
              <w:t>5～20</w:t>
            </w:r>
          </w:p>
        </w:tc>
        <w:tc>
          <w:tcPr>
            <w:tcW w:w="1112" w:type="dxa"/>
            <w:vAlign w:val="center"/>
          </w:tcPr>
          <w:p w14:paraId="27975D0C">
            <w:pPr>
              <w:spacing w:line="276" w:lineRule="auto"/>
              <w:jc w:val="center"/>
              <w:rPr>
                <w:rFonts w:eastAsiaTheme="minorEastAsia"/>
                <w:szCs w:val="21"/>
              </w:rPr>
            </w:pPr>
            <w:r>
              <w:rPr>
                <w:rFonts w:eastAsiaTheme="minorEastAsia"/>
                <w:szCs w:val="21"/>
              </w:rPr>
              <w:t>8～30</w:t>
            </w:r>
          </w:p>
        </w:tc>
        <w:tc>
          <w:tcPr>
            <w:tcW w:w="2922" w:type="dxa"/>
            <w:vAlign w:val="center"/>
          </w:tcPr>
          <w:p w14:paraId="2AE88EDA">
            <w:pPr>
              <w:spacing w:line="276" w:lineRule="auto"/>
              <w:jc w:val="center"/>
              <w:rPr>
                <w:rFonts w:eastAsiaTheme="minorEastAsia"/>
                <w:szCs w:val="21"/>
              </w:rPr>
            </w:pPr>
            <w:r>
              <w:rPr>
                <w:rFonts w:eastAsiaTheme="minorEastAsia"/>
                <w:szCs w:val="21"/>
              </w:rPr>
              <w:t>15～45</w:t>
            </w:r>
          </w:p>
        </w:tc>
      </w:tr>
      <w:tr w14:paraId="5FE6405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4CF2929D">
            <w:pPr>
              <w:spacing w:line="276" w:lineRule="auto"/>
              <w:jc w:val="center"/>
              <w:rPr>
                <w:rFonts w:eastAsiaTheme="minorEastAsia"/>
                <w:szCs w:val="21"/>
              </w:rPr>
            </w:pPr>
            <w:r>
              <w:rPr>
                <w:rFonts w:eastAsiaTheme="minorEastAsia"/>
                <w:szCs w:val="21"/>
              </w:rPr>
              <w:t>0.15</w:t>
            </w:r>
          </w:p>
        </w:tc>
        <w:tc>
          <w:tcPr>
            <w:tcW w:w="1112" w:type="dxa"/>
            <w:vAlign w:val="center"/>
          </w:tcPr>
          <w:p w14:paraId="7B70CF5A">
            <w:pPr>
              <w:spacing w:line="276" w:lineRule="auto"/>
              <w:jc w:val="center"/>
              <w:rPr>
                <w:rFonts w:eastAsiaTheme="minorEastAsia"/>
                <w:szCs w:val="21"/>
              </w:rPr>
            </w:pPr>
            <w:r>
              <w:rPr>
                <w:rFonts w:eastAsiaTheme="minorEastAsia"/>
                <w:szCs w:val="21"/>
              </w:rPr>
              <w:t>0～10</w:t>
            </w:r>
          </w:p>
        </w:tc>
        <w:tc>
          <w:tcPr>
            <w:tcW w:w="1112" w:type="dxa"/>
            <w:vAlign w:val="center"/>
          </w:tcPr>
          <w:p w14:paraId="51B3EB4F">
            <w:pPr>
              <w:spacing w:line="276" w:lineRule="auto"/>
              <w:jc w:val="center"/>
              <w:rPr>
                <w:rFonts w:eastAsiaTheme="minorEastAsia"/>
                <w:szCs w:val="21"/>
              </w:rPr>
            </w:pPr>
            <w:r>
              <w:rPr>
                <w:rFonts w:eastAsiaTheme="minorEastAsia"/>
                <w:szCs w:val="21"/>
              </w:rPr>
              <w:t>0～10</w:t>
            </w:r>
          </w:p>
        </w:tc>
        <w:tc>
          <w:tcPr>
            <w:tcW w:w="2922" w:type="dxa"/>
            <w:vAlign w:val="center"/>
          </w:tcPr>
          <w:p w14:paraId="3E44636E">
            <w:pPr>
              <w:spacing w:line="276" w:lineRule="auto"/>
              <w:jc w:val="center"/>
              <w:rPr>
                <w:rFonts w:eastAsiaTheme="minorEastAsia"/>
                <w:szCs w:val="21"/>
              </w:rPr>
            </w:pPr>
            <w:r>
              <w:rPr>
                <w:rFonts w:eastAsiaTheme="minorEastAsia"/>
                <w:szCs w:val="21"/>
              </w:rPr>
              <w:t>0～10</w:t>
            </w:r>
          </w:p>
        </w:tc>
      </w:tr>
      <w:tr w14:paraId="4F55E77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5B77B7E1">
            <w:pPr>
              <w:spacing w:line="276" w:lineRule="auto"/>
              <w:jc w:val="center"/>
              <w:rPr>
                <w:rFonts w:eastAsiaTheme="minorEastAsia"/>
                <w:szCs w:val="21"/>
              </w:rPr>
            </w:pPr>
            <w:r>
              <w:rPr>
                <w:rFonts w:eastAsiaTheme="minorEastAsia"/>
                <w:szCs w:val="21"/>
              </w:rPr>
              <w:t>0.075</w:t>
            </w:r>
          </w:p>
        </w:tc>
        <w:tc>
          <w:tcPr>
            <w:tcW w:w="1112" w:type="dxa"/>
            <w:vAlign w:val="center"/>
          </w:tcPr>
          <w:p w14:paraId="47B1771F">
            <w:pPr>
              <w:spacing w:line="276" w:lineRule="auto"/>
              <w:jc w:val="center"/>
              <w:rPr>
                <w:rFonts w:eastAsiaTheme="minorEastAsia"/>
                <w:szCs w:val="21"/>
              </w:rPr>
            </w:pPr>
            <w:r>
              <w:rPr>
                <w:rFonts w:eastAsiaTheme="minorEastAsia"/>
                <w:szCs w:val="21"/>
              </w:rPr>
              <w:t>0～5</w:t>
            </w:r>
          </w:p>
        </w:tc>
        <w:tc>
          <w:tcPr>
            <w:tcW w:w="1112" w:type="dxa"/>
            <w:vAlign w:val="center"/>
          </w:tcPr>
          <w:p w14:paraId="72D87D7B">
            <w:pPr>
              <w:spacing w:line="276" w:lineRule="auto"/>
              <w:jc w:val="center"/>
              <w:rPr>
                <w:rFonts w:eastAsiaTheme="minorEastAsia"/>
                <w:szCs w:val="21"/>
              </w:rPr>
            </w:pPr>
            <w:r>
              <w:rPr>
                <w:rFonts w:eastAsiaTheme="minorEastAsia"/>
                <w:szCs w:val="21"/>
              </w:rPr>
              <w:t>0～5</w:t>
            </w:r>
          </w:p>
        </w:tc>
        <w:tc>
          <w:tcPr>
            <w:tcW w:w="2922" w:type="dxa"/>
            <w:vAlign w:val="center"/>
          </w:tcPr>
          <w:p w14:paraId="72BF2A43">
            <w:pPr>
              <w:spacing w:line="276" w:lineRule="auto"/>
              <w:jc w:val="center"/>
              <w:rPr>
                <w:rFonts w:eastAsiaTheme="minorEastAsia"/>
                <w:szCs w:val="21"/>
              </w:rPr>
            </w:pPr>
            <w:r>
              <w:rPr>
                <w:rFonts w:eastAsiaTheme="minorEastAsia"/>
                <w:szCs w:val="21"/>
              </w:rPr>
              <w:t>0～5</w:t>
            </w:r>
          </w:p>
        </w:tc>
      </w:tr>
    </w:tbl>
    <w:p w14:paraId="55709254">
      <w:pPr>
        <w:pStyle w:val="99"/>
        <w:rPr>
          <w:rFonts w:eastAsiaTheme="minorEastAsia"/>
        </w:rPr>
      </w:pPr>
      <w:r>
        <w:rPr>
          <w:rFonts w:eastAsiaTheme="minorEastAsia"/>
        </w:rPr>
        <w:t>机制砂宜采用专用的机制砂制造，并选用优质石料生产，其级配应符合S16的要求</w:t>
      </w:r>
      <w:r>
        <w:rPr>
          <w:rFonts w:hint="eastAsia" w:eastAsiaTheme="minorEastAsia"/>
        </w:rPr>
        <w:t>，</w:t>
      </w:r>
      <w:r>
        <w:rPr>
          <w:rFonts w:eastAsiaTheme="minorEastAsia"/>
        </w:rPr>
        <w:t>石屑是采用采石场破碎石料时通过4.75mm或是2.36mm的筛下部分</w:t>
      </w:r>
      <w:r>
        <w:rPr>
          <w:rFonts w:hint="eastAsia" w:eastAsiaTheme="minorEastAsia"/>
        </w:rPr>
        <w:t>，</w:t>
      </w:r>
      <w:r>
        <w:rPr>
          <w:rFonts w:eastAsiaTheme="minorEastAsia"/>
        </w:rPr>
        <w:t>技术要求应符合表5.8的要求。</w:t>
      </w:r>
    </w:p>
    <w:p w14:paraId="16B9D9D7">
      <w:pPr>
        <w:pStyle w:val="99"/>
        <w:spacing w:line="480" w:lineRule="auto"/>
        <w:ind w:firstLine="0" w:firstLineChars="0"/>
        <w:jc w:val="center"/>
        <w:rPr>
          <w:rFonts w:eastAsiaTheme="minorEastAsia"/>
        </w:rPr>
      </w:pPr>
      <w:r>
        <w:rPr>
          <w:rFonts w:eastAsiaTheme="minorEastAsia"/>
          <w:b/>
          <w:sz w:val="21"/>
          <w:szCs w:val="21"/>
        </w:rPr>
        <w:t>表5.8 沥青混合料用机制砂或石屑规格</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887"/>
        <w:gridCol w:w="1559"/>
        <w:gridCol w:w="992"/>
        <w:gridCol w:w="993"/>
        <w:gridCol w:w="992"/>
        <w:gridCol w:w="992"/>
        <w:gridCol w:w="992"/>
        <w:gridCol w:w="993"/>
        <w:gridCol w:w="992"/>
        <w:gridCol w:w="933"/>
      </w:tblGrid>
      <w:tr w14:paraId="6F3865C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restart"/>
            <w:vAlign w:val="center"/>
          </w:tcPr>
          <w:p w14:paraId="3B5F5349">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14:paraId="120EF2C4">
            <w:pPr>
              <w:spacing w:line="276" w:lineRule="auto"/>
              <w:jc w:val="center"/>
              <w:rPr>
                <w:rFonts w:eastAsiaTheme="minorEastAsia"/>
                <w:szCs w:val="21"/>
              </w:rPr>
            </w:pPr>
            <w:r>
              <w:rPr>
                <w:rFonts w:eastAsiaTheme="minorEastAsia"/>
                <w:szCs w:val="21"/>
              </w:rPr>
              <w:t>公称粒径</w:t>
            </w:r>
          </w:p>
          <w:p w14:paraId="1EF4BAE4">
            <w:pPr>
              <w:spacing w:line="276" w:lineRule="auto"/>
              <w:jc w:val="center"/>
              <w:rPr>
                <w:rFonts w:eastAsiaTheme="minorEastAsia"/>
                <w:szCs w:val="21"/>
              </w:rPr>
            </w:pPr>
            <w:r>
              <w:rPr>
                <w:rFonts w:eastAsiaTheme="minorEastAsia"/>
                <w:szCs w:val="21"/>
              </w:rPr>
              <w:t>方孔筛(mm)</w:t>
            </w:r>
          </w:p>
        </w:tc>
        <w:tc>
          <w:tcPr>
            <w:tcW w:w="7879" w:type="dxa"/>
            <w:gridSpan w:val="8"/>
            <w:vAlign w:val="center"/>
          </w:tcPr>
          <w:p w14:paraId="61A71B30">
            <w:pPr>
              <w:spacing w:line="276" w:lineRule="auto"/>
              <w:jc w:val="center"/>
              <w:rPr>
                <w:rFonts w:eastAsiaTheme="minorEastAsia"/>
                <w:szCs w:val="21"/>
              </w:rPr>
            </w:pPr>
            <w:r>
              <w:rPr>
                <w:rFonts w:eastAsiaTheme="minorEastAsia"/>
                <w:szCs w:val="21"/>
              </w:rPr>
              <w:t>水洗法通过各筛孔的质量百分率（％）</w:t>
            </w:r>
          </w:p>
        </w:tc>
      </w:tr>
      <w:tr w14:paraId="4F003F7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continue"/>
            <w:vAlign w:val="center"/>
          </w:tcPr>
          <w:p w14:paraId="733DE0ED">
            <w:pPr>
              <w:spacing w:line="276" w:lineRule="auto"/>
              <w:jc w:val="center"/>
              <w:rPr>
                <w:rFonts w:eastAsiaTheme="minorEastAsia"/>
                <w:szCs w:val="21"/>
              </w:rPr>
            </w:pPr>
          </w:p>
        </w:tc>
        <w:tc>
          <w:tcPr>
            <w:tcW w:w="1559" w:type="dxa"/>
            <w:vMerge w:val="continue"/>
            <w:vAlign w:val="center"/>
          </w:tcPr>
          <w:p w14:paraId="101FE1F3">
            <w:pPr>
              <w:spacing w:line="276" w:lineRule="auto"/>
              <w:jc w:val="center"/>
              <w:rPr>
                <w:rFonts w:eastAsiaTheme="minorEastAsia"/>
                <w:szCs w:val="21"/>
              </w:rPr>
            </w:pPr>
          </w:p>
        </w:tc>
        <w:tc>
          <w:tcPr>
            <w:tcW w:w="992" w:type="dxa"/>
            <w:vAlign w:val="center"/>
          </w:tcPr>
          <w:p w14:paraId="01026CE1">
            <w:pPr>
              <w:spacing w:line="276" w:lineRule="auto"/>
              <w:jc w:val="center"/>
              <w:rPr>
                <w:rFonts w:eastAsiaTheme="minorEastAsia"/>
                <w:szCs w:val="21"/>
              </w:rPr>
            </w:pPr>
            <w:r>
              <w:rPr>
                <w:rFonts w:eastAsiaTheme="minorEastAsia"/>
                <w:szCs w:val="21"/>
              </w:rPr>
              <w:t>9.5</w:t>
            </w:r>
          </w:p>
        </w:tc>
        <w:tc>
          <w:tcPr>
            <w:tcW w:w="993" w:type="dxa"/>
            <w:vAlign w:val="center"/>
          </w:tcPr>
          <w:p w14:paraId="6D6B66D4">
            <w:pPr>
              <w:spacing w:line="276" w:lineRule="auto"/>
              <w:jc w:val="center"/>
              <w:rPr>
                <w:rFonts w:eastAsiaTheme="minorEastAsia"/>
                <w:szCs w:val="21"/>
              </w:rPr>
            </w:pPr>
            <w:r>
              <w:rPr>
                <w:rFonts w:eastAsiaTheme="minorEastAsia"/>
                <w:szCs w:val="21"/>
              </w:rPr>
              <w:t>4.75</w:t>
            </w:r>
          </w:p>
        </w:tc>
        <w:tc>
          <w:tcPr>
            <w:tcW w:w="992" w:type="dxa"/>
            <w:vAlign w:val="center"/>
          </w:tcPr>
          <w:p w14:paraId="61D9175F">
            <w:pPr>
              <w:spacing w:line="276" w:lineRule="auto"/>
              <w:jc w:val="center"/>
              <w:rPr>
                <w:rFonts w:eastAsiaTheme="minorEastAsia"/>
                <w:szCs w:val="21"/>
              </w:rPr>
            </w:pPr>
            <w:r>
              <w:rPr>
                <w:rFonts w:eastAsiaTheme="minorEastAsia"/>
                <w:szCs w:val="21"/>
              </w:rPr>
              <w:t>2.36</w:t>
            </w:r>
          </w:p>
        </w:tc>
        <w:tc>
          <w:tcPr>
            <w:tcW w:w="992" w:type="dxa"/>
            <w:vAlign w:val="center"/>
          </w:tcPr>
          <w:p w14:paraId="75117EDC">
            <w:pPr>
              <w:spacing w:line="276" w:lineRule="auto"/>
              <w:jc w:val="center"/>
              <w:rPr>
                <w:rFonts w:eastAsiaTheme="minorEastAsia"/>
                <w:szCs w:val="21"/>
              </w:rPr>
            </w:pPr>
            <w:r>
              <w:rPr>
                <w:rFonts w:eastAsiaTheme="minorEastAsia"/>
                <w:szCs w:val="21"/>
              </w:rPr>
              <w:t>1.18</w:t>
            </w:r>
          </w:p>
        </w:tc>
        <w:tc>
          <w:tcPr>
            <w:tcW w:w="992" w:type="dxa"/>
            <w:vAlign w:val="center"/>
          </w:tcPr>
          <w:p w14:paraId="0EF20672">
            <w:pPr>
              <w:spacing w:line="276" w:lineRule="auto"/>
              <w:jc w:val="center"/>
              <w:rPr>
                <w:rFonts w:eastAsiaTheme="minorEastAsia"/>
                <w:szCs w:val="21"/>
              </w:rPr>
            </w:pPr>
            <w:r>
              <w:rPr>
                <w:rFonts w:eastAsiaTheme="minorEastAsia"/>
                <w:szCs w:val="21"/>
              </w:rPr>
              <w:t>0.6</w:t>
            </w:r>
          </w:p>
        </w:tc>
        <w:tc>
          <w:tcPr>
            <w:tcW w:w="993" w:type="dxa"/>
            <w:vAlign w:val="center"/>
          </w:tcPr>
          <w:p w14:paraId="4DAA39F0">
            <w:pPr>
              <w:spacing w:line="276" w:lineRule="auto"/>
              <w:jc w:val="center"/>
              <w:rPr>
                <w:rFonts w:eastAsiaTheme="minorEastAsia"/>
                <w:szCs w:val="21"/>
              </w:rPr>
            </w:pPr>
            <w:r>
              <w:rPr>
                <w:rFonts w:eastAsiaTheme="minorEastAsia"/>
                <w:szCs w:val="21"/>
              </w:rPr>
              <w:t>0.3</w:t>
            </w:r>
          </w:p>
        </w:tc>
        <w:tc>
          <w:tcPr>
            <w:tcW w:w="992" w:type="dxa"/>
            <w:vAlign w:val="center"/>
          </w:tcPr>
          <w:p w14:paraId="6B737B21">
            <w:pPr>
              <w:spacing w:line="276" w:lineRule="auto"/>
              <w:jc w:val="center"/>
              <w:rPr>
                <w:rFonts w:eastAsiaTheme="minorEastAsia"/>
                <w:szCs w:val="21"/>
              </w:rPr>
            </w:pPr>
            <w:r>
              <w:rPr>
                <w:rFonts w:eastAsiaTheme="minorEastAsia"/>
                <w:szCs w:val="21"/>
              </w:rPr>
              <w:t>0.15</w:t>
            </w:r>
          </w:p>
        </w:tc>
        <w:tc>
          <w:tcPr>
            <w:tcW w:w="933" w:type="dxa"/>
            <w:vAlign w:val="center"/>
          </w:tcPr>
          <w:p w14:paraId="4C1610D1">
            <w:pPr>
              <w:spacing w:line="276" w:lineRule="auto"/>
              <w:jc w:val="center"/>
              <w:rPr>
                <w:rFonts w:eastAsiaTheme="minorEastAsia"/>
                <w:szCs w:val="21"/>
              </w:rPr>
            </w:pPr>
            <w:r>
              <w:rPr>
                <w:rFonts w:eastAsiaTheme="minorEastAsia"/>
                <w:szCs w:val="21"/>
              </w:rPr>
              <w:t>0.075</w:t>
            </w:r>
          </w:p>
        </w:tc>
      </w:tr>
      <w:tr w14:paraId="6093210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1A029A14">
            <w:pPr>
              <w:spacing w:line="276" w:lineRule="auto"/>
              <w:jc w:val="center"/>
              <w:rPr>
                <w:rFonts w:eastAsiaTheme="minorEastAsia"/>
                <w:szCs w:val="21"/>
              </w:rPr>
            </w:pPr>
            <w:r>
              <w:rPr>
                <w:rFonts w:eastAsiaTheme="minorEastAsia"/>
                <w:szCs w:val="21"/>
              </w:rPr>
              <w:t>S14</w:t>
            </w:r>
          </w:p>
        </w:tc>
        <w:tc>
          <w:tcPr>
            <w:tcW w:w="1559" w:type="dxa"/>
            <w:vAlign w:val="center"/>
          </w:tcPr>
          <w:p w14:paraId="56724D31">
            <w:pPr>
              <w:spacing w:line="276" w:lineRule="auto"/>
              <w:jc w:val="center"/>
              <w:rPr>
                <w:rFonts w:eastAsiaTheme="minorEastAsia"/>
                <w:szCs w:val="21"/>
              </w:rPr>
            </w:pPr>
            <w:r>
              <w:rPr>
                <w:rFonts w:eastAsiaTheme="minorEastAsia"/>
                <w:szCs w:val="21"/>
              </w:rPr>
              <w:t>3～5</w:t>
            </w:r>
          </w:p>
        </w:tc>
        <w:tc>
          <w:tcPr>
            <w:tcW w:w="992" w:type="dxa"/>
            <w:vAlign w:val="center"/>
          </w:tcPr>
          <w:p w14:paraId="6A63C14E">
            <w:pPr>
              <w:spacing w:line="276" w:lineRule="auto"/>
              <w:jc w:val="center"/>
              <w:rPr>
                <w:rFonts w:eastAsiaTheme="minorEastAsia"/>
                <w:szCs w:val="21"/>
              </w:rPr>
            </w:pPr>
            <w:r>
              <w:rPr>
                <w:rFonts w:eastAsiaTheme="minorEastAsia"/>
                <w:szCs w:val="21"/>
              </w:rPr>
              <w:t>100</w:t>
            </w:r>
          </w:p>
        </w:tc>
        <w:tc>
          <w:tcPr>
            <w:tcW w:w="993" w:type="dxa"/>
            <w:vAlign w:val="center"/>
          </w:tcPr>
          <w:p w14:paraId="22E3ECB5">
            <w:pPr>
              <w:spacing w:line="276" w:lineRule="auto"/>
              <w:jc w:val="center"/>
              <w:rPr>
                <w:rFonts w:eastAsiaTheme="minorEastAsia"/>
                <w:szCs w:val="21"/>
              </w:rPr>
            </w:pPr>
            <w:r>
              <w:rPr>
                <w:rFonts w:eastAsiaTheme="minorEastAsia"/>
                <w:szCs w:val="21"/>
              </w:rPr>
              <w:t>90～100</w:t>
            </w:r>
          </w:p>
        </w:tc>
        <w:tc>
          <w:tcPr>
            <w:tcW w:w="992" w:type="dxa"/>
            <w:vAlign w:val="center"/>
          </w:tcPr>
          <w:p w14:paraId="6D735619">
            <w:pPr>
              <w:spacing w:line="276" w:lineRule="auto"/>
              <w:jc w:val="center"/>
              <w:rPr>
                <w:rFonts w:eastAsiaTheme="minorEastAsia"/>
                <w:szCs w:val="21"/>
              </w:rPr>
            </w:pPr>
            <w:r>
              <w:rPr>
                <w:rFonts w:eastAsiaTheme="minorEastAsia"/>
                <w:szCs w:val="21"/>
              </w:rPr>
              <w:t>0～15</w:t>
            </w:r>
          </w:p>
        </w:tc>
        <w:tc>
          <w:tcPr>
            <w:tcW w:w="992" w:type="dxa"/>
            <w:vAlign w:val="center"/>
          </w:tcPr>
          <w:p w14:paraId="7C7E6479">
            <w:pPr>
              <w:spacing w:line="276" w:lineRule="auto"/>
              <w:jc w:val="center"/>
              <w:rPr>
                <w:rFonts w:eastAsiaTheme="minorEastAsia"/>
                <w:szCs w:val="21"/>
              </w:rPr>
            </w:pPr>
          </w:p>
        </w:tc>
        <w:tc>
          <w:tcPr>
            <w:tcW w:w="992" w:type="dxa"/>
            <w:vAlign w:val="center"/>
          </w:tcPr>
          <w:p w14:paraId="221CF23C">
            <w:pPr>
              <w:spacing w:line="276" w:lineRule="auto"/>
              <w:jc w:val="center"/>
              <w:rPr>
                <w:rFonts w:eastAsiaTheme="minorEastAsia"/>
                <w:szCs w:val="21"/>
              </w:rPr>
            </w:pPr>
            <w:r>
              <w:rPr>
                <w:rFonts w:eastAsiaTheme="minorEastAsia"/>
                <w:szCs w:val="21"/>
              </w:rPr>
              <w:t>0～3</w:t>
            </w:r>
          </w:p>
        </w:tc>
        <w:tc>
          <w:tcPr>
            <w:tcW w:w="993" w:type="dxa"/>
            <w:vAlign w:val="center"/>
          </w:tcPr>
          <w:p w14:paraId="5D872E43">
            <w:pPr>
              <w:spacing w:line="276" w:lineRule="auto"/>
              <w:jc w:val="center"/>
              <w:rPr>
                <w:rFonts w:eastAsiaTheme="minorEastAsia"/>
                <w:szCs w:val="21"/>
              </w:rPr>
            </w:pPr>
          </w:p>
        </w:tc>
        <w:tc>
          <w:tcPr>
            <w:tcW w:w="992" w:type="dxa"/>
            <w:vAlign w:val="center"/>
          </w:tcPr>
          <w:p w14:paraId="746A76C5">
            <w:pPr>
              <w:spacing w:line="276" w:lineRule="auto"/>
              <w:jc w:val="center"/>
              <w:rPr>
                <w:rFonts w:eastAsiaTheme="minorEastAsia"/>
                <w:szCs w:val="21"/>
              </w:rPr>
            </w:pPr>
          </w:p>
        </w:tc>
        <w:tc>
          <w:tcPr>
            <w:tcW w:w="933" w:type="dxa"/>
            <w:vAlign w:val="center"/>
          </w:tcPr>
          <w:p w14:paraId="73BBB368">
            <w:pPr>
              <w:spacing w:line="276" w:lineRule="auto"/>
              <w:jc w:val="center"/>
              <w:rPr>
                <w:rFonts w:eastAsiaTheme="minorEastAsia"/>
                <w:szCs w:val="21"/>
              </w:rPr>
            </w:pPr>
          </w:p>
        </w:tc>
      </w:tr>
      <w:tr w14:paraId="75BAF81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21C1D1A7">
            <w:pPr>
              <w:spacing w:line="276" w:lineRule="auto"/>
              <w:jc w:val="center"/>
              <w:rPr>
                <w:rFonts w:eastAsiaTheme="minorEastAsia"/>
                <w:szCs w:val="21"/>
              </w:rPr>
            </w:pPr>
            <w:r>
              <w:rPr>
                <w:rFonts w:eastAsiaTheme="minorEastAsia"/>
                <w:szCs w:val="21"/>
              </w:rPr>
              <w:t>S15</w:t>
            </w:r>
          </w:p>
        </w:tc>
        <w:tc>
          <w:tcPr>
            <w:tcW w:w="1559" w:type="dxa"/>
            <w:vAlign w:val="center"/>
          </w:tcPr>
          <w:p w14:paraId="7C8EBFDF">
            <w:pPr>
              <w:spacing w:line="276" w:lineRule="auto"/>
              <w:jc w:val="center"/>
              <w:rPr>
                <w:rFonts w:eastAsiaTheme="minorEastAsia"/>
                <w:szCs w:val="21"/>
              </w:rPr>
            </w:pPr>
            <w:r>
              <w:rPr>
                <w:rFonts w:eastAsiaTheme="minorEastAsia"/>
                <w:szCs w:val="21"/>
              </w:rPr>
              <w:t>0～5</w:t>
            </w:r>
          </w:p>
        </w:tc>
        <w:tc>
          <w:tcPr>
            <w:tcW w:w="992" w:type="dxa"/>
            <w:vAlign w:val="center"/>
          </w:tcPr>
          <w:p w14:paraId="3EAD8BC9">
            <w:pPr>
              <w:spacing w:line="276" w:lineRule="auto"/>
              <w:jc w:val="center"/>
              <w:rPr>
                <w:rFonts w:eastAsiaTheme="minorEastAsia"/>
                <w:szCs w:val="21"/>
              </w:rPr>
            </w:pPr>
            <w:r>
              <w:rPr>
                <w:rFonts w:eastAsiaTheme="minorEastAsia"/>
                <w:szCs w:val="21"/>
              </w:rPr>
              <w:t>100</w:t>
            </w:r>
          </w:p>
        </w:tc>
        <w:tc>
          <w:tcPr>
            <w:tcW w:w="993" w:type="dxa"/>
            <w:vAlign w:val="center"/>
          </w:tcPr>
          <w:p w14:paraId="22B01B31">
            <w:pPr>
              <w:spacing w:line="276" w:lineRule="auto"/>
              <w:jc w:val="center"/>
              <w:rPr>
                <w:rFonts w:eastAsiaTheme="minorEastAsia"/>
                <w:szCs w:val="21"/>
              </w:rPr>
            </w:pPr>
            <w:r>
              <w:rPr>
                <w:rFonts w:eastAsiaTheme="minorEastAsia"/>
                <w:szCs w:val="21"/>
              </w:rPr>
              <w:t>90～100</w:t>
            </w:r>
          </w:p>
        </w:tc>
        <w:tc>
          <w:tcPr>
            <w:tcW w:w="992" w:type="dxa"/>
            <w:vAlign w:val="center"/>
          </w:tcPr>
          <w:p w14:paraId="13775EB0">
            <w:pPr>
              <w:spacing w:line="276" w:lineRule="auto"/>
              <w:jc w:val="center"/>
              <w:rPr>
                <w:rFonts w:eastAsiaTheme="minorEastAsia"/>
                <w:szCs w:val="21"/>
              </w:rPr>
            </w:pPr>
            <w:r>
              <w:rPr>
                <w:rFonts w:eastAsiaTheme="minorEastAsia"/>
                <w:szCs w:val="21"/>
              </w:rPr>
              <w:t>60～90</w:t>
            </w:r>
          </w:p>
        </w:tc>
        <w:tc>
          <w:tcPr>
            <w:tcW w:w="992" w:type="dxa"/>
            <w:vAlign w:val="center"/>
          </w:tcPr>
          <w:p w14:paraId="05C26722">
            <w:pPr>
              <w:spacing w:line="276" w:lineRule="auto"/>
              <w:jc w:val="center"/>
              <w:rPr>
                <w:rFonts w:eastAsiaTheme="minorEastAsia"/>
                <w:szCs w:val="21"/>
              </w:rPr>
            </w:pPr>
            <w:r>
              <w:rPr>
                <w:rFonts w:eastAsiaTheme="minorEastAsia"/>
                <w:szCs w:val="21"/>
              </w:rPr>
              <w:t>40～75</w:t>
            </w:r>
          </w:p>
        </w:tc>
        <w:tc>
          <w:tcPr>
            <w:tcW w:w="992" w:type="dxa"/>
            <w:vAlign w:val="center"/>
          </w:tcPr>
          <w:p w14:paraId="72741750">
            <w:pPr>
              <w:spacing w:line="276" w:lineRule="auto"/>
              <w:jc w:val="center"/>
              <w:rPr>
                <w:rFonts w:eastAsiaTheme="minorEastAsia"/>
                <w:szCs w:val="21"/>
              </w:rPr>
            </w:pPr>
            <w:r>
              <w:rPr>
                <w:rFonts w:eastAsiaTheme="minorEastAsia"/>
                <w:szCs w:val="21"/>
              </w:rPr>
              <w:t>20～55</w:t>
            </w:r>
          </w:p>
        </w:tc>
        <w:tc>
          <w:tcPr>
            <w:tcW w:w="993" w:type="dxa"/>
            <w:vAlign w:val="center"/>
          </w:tcPr>
          <w:p w14:paraId="469BD13C">
            <w:pPr>
              <w:spacing w:line="276" w:lineRule="auto"/>
              <w:jc w:val="center"/>
              <w:rPr>
                <w:rFonts w:eastAsiaTheme="minorEastAsia"/>
                <w:szCs w:val="21"/>
              </w:rPr>
            </w:pPr>
            <w:r>
              <w:rPr>
                <w:rFonts w:eastAsiaTheme="minorEastAsia"/>
                <w:szCs w:val="21"/>
              </w:rPr>
              <w:t>7～40</w:t>
            </w:r>
          </w:p>
        </w:tc>
        <w:tc>
          <w:tcPr>
            <w:tcW w:w="992" w:type="dxa"/>
            <w:vAlign w:val="center"/>
          </w:tcPr>
          <w:p w14:paraId="48F0C2D6">
            <w:pPr>
              <w:spacing w:line="276" w:lineRule="auto"/>
              <w:jc w:val="center"/>
              <w:rPr>
                <w:rFonts w:eastAsiaTheme="minorEastAsia"/>
                <w:szCs w:val="21"/>
              </w:rPr>
            </w:pPr>
            <w:r>
              <w:rPr>
                <w:rFonts w:eastAsiaTheme="minorEastAsia"/>
                <w:szCs w:val="21"/>
              </w:rPr>
              <w:t>2～20</w:t>
            </w:r>
          </w:p>
        </w:tc>
        <w:tc>
          <w:tcPr>
            <w:tcW w:w="933" w:type="dxa"/>
            <w:vAlign w:val="center"/>
          </w:tcPr>
          <w:p w14:paraId="73F3C9CE">
            <w:pPr>
              <w:spacing w:line="276" w:lineRule="auto"/>
              <w:jc w:val="center"/>
              <w:rPr>
                <w:rFonts w:eastAsiaTheme="minorEastAsia"/>
                <w:szCs w:val="21"/>
              </w:rPr>
            </w:pPr>
            <w:r>
              <w:rPr>
                <w:rFonts w:eastAsiaTheme="minorEastAsia"/>
                <w:szCs w:val="21"/>
              </w:rPr>
              <w:t>0～10</w:t>
            </w:r>
          </w:p>
        </w:tc>
      </w:tr>
      <w:tr w14:paraId="59636E8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459E477B">
            <w:pPr>
              <w:spacing w:line="276" w:lineRule="auto"/>
              <w:jc w:val="center"/>
              <w:rPr>
                <w:rFonts w:eastAsiaTheme="minorEastAsia"/>
                <w:szCs w:val="21"/>
              </w:rPr>
            </w:pPr>
            <w:r>
              <w:rPr>
                <w:rFonts w:eastAsiaTheme="minorEastAsia"/>
                <w:szCs w:val="21"/>
              </w:rPr>
              <w:t>S16</w:t>
            </w:r>
          </w:p>
        </w:tc>
        <w:tc>
          <w:tcPr>
            <w:tcW w:w="1559" w:type="dxa"/>
            <w:vAlign w:val="center"/>
          </w:tcPr>
          <w:p w14:paraId="6A119C3F">
            <w:pPr>
              <w:spacing w:line="276" w:lineRule="auto"/>
              <w:jc w:val="center"/>
              <w:rPr>
                <w:rFonts w:eastAsiaTheme="minorEastAsia"/>
                <w:szCs w:val="21"/>
              </w:rPr>
            </w:pPr>
            <w:r>
              <w:rPr>
                <w:rFonts w:eastAsiaTheme="minorEastAsia"/>
                <w:szCs w:val="21"/>
              </w:rPr>
              <w:t>0～3</w:t>
            </w:r>
          </w:p>
        </w:tc>
        <w:tc>
          <w:tcPr>
            <w:tcW w:w="992" w:type="dxa"/>
            <w:vAlign w:val="center"/>
          </w:tcPr>
          <w:p w14:paraId="091F85A4">
            <w:pPr>
              <w:spacing w:line="276" w:lineRule="auto"/>
              <w:jc w:val="center"/>
              <w:rPr>
                <w:rFonts w:eastAsiaTheme="minorEastAsia"/>
                <w:szCs w:val="21"/>
              </w:rPr>
            </w:pPr>
            <w:r>
              <w:rPr>
                <w:rFonts w:eastAsiaTheme="minorEastAsia"/>
                <w:szCs w:val="21"/>
              </w:rPr>
              <w:t>－</w:t>
            </w:r>
          </w:p>
        </w:tc>
        <w:tc>
          <w:tcPr>
            <w:tcW w:w="993" w:type="dxa"/>
            <w:vAlign w:val="center"/>
          </w:tcPr>
          <w:p w14:paraId="04C66502">
            <w:pPr>
              <w:spacing w:line="276" w:lineRule="auto"/>
              <w:jc w:val="center"/>
              <w:rPr>
                <w:rFonts w:eastAsiaTheme="minorEastAsia"/>
                <w:szCs w:val="21"/>
              </w:rPr>
            </w:pPr>
            <w:r>
              <w:rPr>
                <w:rFonts w:eastAsiaTheme="minorEastAsia"/>
                <w:szCs w:val="21"/>
              </w:rPr>
              <w:t>100</w:t>
            </w:r>
          </w:p>
        </w:tc>
        <w:tc>
          <w:tcPr>
            <w:tcW w:w="992" w:type="dxa"/>
            <w:vAlign w:val="center"/>
          </w:tcPr>
          <w:p w14:paraId="0F8F37C8">
            <w:pPr>
              <w:spacing w:line="276" w:lineRule="auto"/>
              <w:jc w:val="center"/>
              <w:rPr>
                <w:rFonts w:eastAsiaTheme="minorEastAsia"/>
                <w:szCs w:val="21"/>
              </w:rPr>
            </w:pPr>
            <w:r>
              <w:rPr>
                <w:rFonts w:eastAsiaTheme="minorEastAsia"/>
                <w:szCs w:val="21"/>
              </w:rPr>
              <w:t>80～100</w:t>
            </w:r>
          </w:p>
        </w:tc>
        <w:tc>
          <w:tcPr>
            <w:tcW w:w="992" w:type="dxa"/>
            <w:vAlign w:val="center"/>
          </w:tcPr>
          <w:p w14:paraId="539D4ED7">
            <w:pPr>
              <w:spacing w:line="276" w:lineRule="auto"/>
              <w:jc w:val="center"/>
              <w:rPr>
                <w:rFonts w:eastAsiaTheme="minorEastAsia"/>
                <w:szCs w:val="21"/>
              </w:rPr>
            </w:pPr>
            <w:r>
              <w:rPr>
                <w:rFonts w:eastAsiaTheme="minorEastAsia"/>
                <w:szCs w:val="21"/>
              </w:rPr>
              <w:t>50～80</w:t>
            </w:r>
          </w:p>
        </w:tc>
        <w:tc>
          <w:tcPr>
            <w:tcW w:w="992" w:type="dxa"/>
            <w:vAlign w:val="center"/>
          </w:tcPr>
          <w:p w14:paraId="55141802">
            <w:pPr>
              <w:spacing w:line="276" w:lineRule="auto"/>
              <w:jc w:val="center"/>
              <w:rPr>
                <w:rFonts w:eastAsiaTheme="minorEastAsia"/>
                <w:szCs w:val="21"/>
              </w:rPr>
            </w:pPr>
            <w:r>
              <w:rPr>
                <w:rFonts w:eastAsiaTheme="minorEastAsia"/>
                <w:szCs w:val="21"/>
              </w:rPr>
              <w:t>25～60</w:t>
            </w:r>
          </w:p>
        </w:tc>
        <w:tc>
          <w:tcPr>
            <w:tcW w:w="993" w:type="dxa"/>
            <w:vAlign w:val="center"/>
          </w:tcPr>
          <w:p w14:paraId="5D7392CD">
            <w:pPr>
              <w:spacing w:line="276" w:lineRule="auto"/>
              <w:jc w:val="center"/>
              <w:rPr>
                <w:rFonts w:eastAsiaTheme="minorEastAsia"/>
                <w:szCs w:val="21"/>
              </w:rPr>
            </w:pPr>
            <w:r>
              <w:rPr>
                <w:rFonts w:eastAsiaTheme="minorEastAsia"/>
                <w:szCs w:val="21"/>
              </w:rPr>
              <w:t>8～45</w:t>
            </w:r>
          </w:p>
        </w:tc>
        <w:tc>
          <w:tcPr>
            <w:tcW w:w="992" w:type="dxa"/>
            <w:vAlign w:val="center"/>
          </w:tcPr>
          <w:p w14:paraId="15C71790">
            <w:pPr>
              <w:spacing w:line="276" w:lineRule="auto"/>
              <w:jc w:val="center"/>
              <w:rPr>
                <w:rFonts w:eastAsiaTheme="minorEastAsia"/>
                <w:szCs w:val="21"/>
              </w:rPr>
            </w:pPr>
            <w:r>
              <w:rPr>
                <w:rFonts w:eastAsiaTheme="minorEastAsia"/>
                <w:szCs w:val="21"/>
              </w:rPr>
              <w:t>0～25</w:t>
            </w:r>
          </w:p>
        </w:tc>
        <w:tc>
          <w:tcPr>
            <w:tcW w:w="933" w:type="dxa"/>
            <w:vAlign w:val="center"/>
          </w:tcPr>
          <w:p w14:paraId="0F892003">
            <w:pPr>
              <w:spacing w:line="276" w:lineRule="auto"/>
              <w:jc w:val="center"/>
              <w:rPr>
                <w:rFonts w:eastAsiaTheme="minorEastAsia"/>
                <w:szCs w:val="21"/>
              </w:rPr>
            </w:pPr>
            <w:r>
              <w:rPr>
                <w:rFonts w:eastAsiaTheme="minorEastAsia"/>
                <w:szCs w:val="21"/>
              </w:rPr>
              <w:t>0～15</w:t>
            </w:r>
          </w:p>
        </w:tc>
      </w:tr>
    </w:tbl>
    <w:p w14:paraId="19377BAF">
      <w:pPr>
        <w:pStyle w:val="97"/>
        <w:rPr>
          <w:rFonts w:ascii="Times New Roman" w:eastAsiaTheme="minorEastAsia"/>
        </w:rPr>
      </w:pPr>
      <w:r>
        <w:rPr>
          <w:rFonts w:ascii="Times New Roman" w:eastAsiaTheme="minorEastAsia"/>
        </w:rPr>
        <w:t>沥青混合料填料</w:t>
      </w:r>
    </w:p>
    <w:p w14:paraId="3D14759F">
      <w:pPr>
        <w:pStyle w:val="99"/>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沥青混合料的矿粉必须采用石灰岩或岩浆岩的强基性岩石等憎水性石料经磨细得到的矿粉，原石料中的泥土杂质应除净。矿粉应干燥、洁净，能自由地从矿粉仓流出，其质量应符合表5.9的要求。</w:t>
      </w:r>
    </w:p>
    <w:p w14:paraId="2DA9302A">
      <w:pPr>
        <w:pStyle w:val="99"/>
        <w:spacing w:line="480" w:lineRule="auto"/>
        <w:ind w:firstLine="0" w:firstLineChars="0"/>
        <w:jc w:val="center"/>
        <w:rPr>
          <w:rFonts w:eastAsiaTheme="minorEastAsia"/>
          <w:szCs w:val="24"/>
        </w:rPr>
      </w:pPr>
      <w:r>
        <w:rPr>
          <w:rFonts w:eastAsiaTheme="minorEastAsia"/>
          <w:b/>
          <w:sz w:val="21"/>
          <w:szCs w:val="21"/>
        </w:rPr>
        <w:t>表5.9 沥青混合料用矿粉质量要求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4669"/>
        <w:gridCol w:w="1176"/>
        <w:gridCol w:w="2136"/>
        <w:gridCol w:w="2318"/>
      </w:tblGrid>
      <w:tr w14:paraId="4B3035B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64B5ECEA">
            <w:pPr>
              <w:spacing w:line="276" w:lineRule="auto"/>
              <w:jc w:val="center"/>
              <w:rPr>
                <w:rFonts w:eastAsiaTheme="minorEastAsia"/>
                <w:szCs w:val="24"/>
              </w:rPr>
            </w:pPr>
            <w:r>
              <w:rPr>
                <w:rFonts w:eastAsiaTheme="minorEastAsia"/>
                <w:szCs w:val="24"/>
              </w:rPr>
              <w:t>项目</w:t>
            </w:r>
          </w:p>
        </w:tc>
        <w:tc>
          <w:tcPr>
            <w:tcW w:w="1176" w:type="dxa"/>
            <w:vAlign w:val="center"/>
          </w:tcPr>
          <w:p w14:paraId="4B5E62D3">
            <w:pPr>
              <w:spacing w:line="276" w:lineRule="auto"/>
              <w:jc w:val="center"/>
              <w:rPr>
                <w:rFonts w:eastAsiaTheme="minorEastAsia"/>
                <w:szCs w:val="24"/>
              </w:rPr>
            </w:pPr>
            <w:r>
              <w:rPr>
                <w:rFonts w:eastAsiaTheme="minorEastAsia"/>
                <w:szCs w:val="24"/>
              </w:rPr>
              <w:t>单位</w:t>
            </w:r>
          </w:p>
        </w:tc>
        <w:tc>
          <w:tcPr>
            <w:tcW w:w="2136" w:type="dxa"/>
            <w:vAlign w:val="center"/>
          </w:tcPr>
          <w:p w14:paraId="40AD96AC">
            <w:pPr>
              <w:spacing w:line="276" w:lineRule="auto"/>
              <w:jc w:val="center"/>
              <w:rPr>
                <w:rFonts w:eastAsiaTheme="minorEastAsia"/>
                <w:szCs w:val="24"/>
              </w:rPr>
            </w:pPr>
            <w:r>
              <w:rPr>
                <w:rFonts w:eastAsiaTheme="minorEastAsia"/>
                <w:szCs w:val="24"/>
              </w:rPr>
              <w:t>支路指标</w:t>
            </w:r>
          </w:p>
        </w:tc>
        <w:tc>
          <w:tcPr>
            <w:tcW w:w="2318" w:type="dxa"/>
            <w:vAlign w:val="center"/>
          </w:tcPr>
          <w:p w14:paraId="76D9C86A">
            <w:pPr>
              <w:spacing w:line="276" w:lineRule="auto"/>
              <w:jc w:val="center"/>
              <w:rPr>
                <w:rFonts w:eastAsiaTheme="minorEastAsia"/>
                <w:szCs w:val="24"/>
              </w:rPr>
            </w:pPr>
            <w:r>
              <w:rPr>
                <w:rFonts w:eastAsiaTheme="minorEastAsia"/>
                <w:szCs w:val="24"/>
              </w:rPr>
              <w:t>实验方法</w:t>
            </w:r>
          </w:p>
        </w:tc>
      </w:tr>
      <w:tr w14:paraId="2009B59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1047BD5">
            <w:pPr>
              <w:spacing w:line="276" w:lineRule="auto"/>
              <w:jc w:val="center"/>
              <w:rPr>
                <w:rFonts w:eastAsiaTheme="minorEastAsia"/>
                <w:szCs w:val="24"/>
              </w:rPr>
            </w:pPr>
            <w:r>
              <w:rPr>
                <w:rFonts w:eastAsiaTheme="minorEastAsia"/>
                <w:szCs w:val="24"/>
              </w:rPr>
              <w:t>表观密度，不小于</w:t>
            </w:r>
          </w:p>
        </w:tc>
        <w:tc>
          <w:tcPr>
            <w:tcW w:w="1176" w:type="dxa"/>
            <w:vAlign w:val="center"/>
          </w:tcPr>
          <w:p w14:paraId="4B896842">
            <w:pPr>
              <w:spacing w:line="276" w:lineRule="auto"/>
              <w:jc w:val="center"/>
              <w:rPr>
                <w:rFonts w:eastAsiaTheme="minorEastAsia"/>
                <w:szCs w:val="24"/>
              </w:rPr>
            </w:pPr>
            <w:r>
              <w:rPr>
                <w:rFonts w:eastAsiaTheme="minorEastAsia"/>
                <w:szCs w:val="24"/>
              </w:rPr>
              <w:t>t/m3</w:t>
            </w:r>
          </w:p>
        </w:tc>
        <w:tc>
          <w:tcPr>
            <w:tcW w:w="2136" w:type="dxa"/>
            <w:vAlign w:val="center"/>
          </w:tcPr>
          <w:p w14:paraId="27FFF1E1">
            <w:pPr>
              <w:spacing w:line="276" w:lineRule="auto"/>
              <w:jc w:val="center"/>
              <w:rPr>
                <w:rFonts w:eastAsiaTheme="minorEastAsia"/>
                <w:szCs w:val="24"/>
              </w:rPr>
            </w:pPr>
            <w:r>
              <w:rPr>
                <w:rFonts w:eastAsiaTheme="minorEastAsia"/>
                <w:szCs w:val="24"/>
              </w:rPr>
              <w:t>2.45</w:t>
            </w:r>
          </w:p>
        </w:tc>
        <w:tc>
          <w:tcPr>
            <w:tcW w:w="2318" w:type="dxa"/>
            <w:vAlign w:val="center"/>
          </w:tcPr>
          <w:p w14:paraId="3A417CF1">
            <w:pPr>
              <w:spacing w:line="276" w:lineRule="auto"/>
              <w:jc w:val="center"/>
              <w:rPr>
                <w:rFonts w:eastAsiaTheme="minorEastAsia"/>
                <w:szCs w:val="24"/>
              </w:rPr>
            </w:pPr>
            <w:r>
              <w:rPr>
                <w:rFonts w:eastAsiaTheme="minorEastAsia"/>
                <w:szCs w:val="24"/>
              </w:rPr>
              <w:t>T0352</w:t>
            </w:r>
          </w:p>
        </w:tc>
      </w:tr>
      <w:tr w14:paraId="260CC2B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4706B5D5">
            <w:pPr>
              <w:spacing w:line="276" w:lineRule="auto"/>
              <w:jc w:val="center"/>
              <w:rPr>
                <w:rFonts w:eastAsiaTheme="minorEastAsia"/>
                <w:szCs w:val="24"/>
              </w:rPr>
            </w:pPr>
            <w:r>
              <w:rPr>
                <w:rFonts w:eastAsiaTheme="minorEastAsia"/>
                <w:szCs w:val="24"/>
              </w:rPr>
              <w:t>含水量，不大于</w:t>
            </w:r>
          </w:p>
        </w:tc>
        <w:tc>
          <w:tcPr>
            <w:tcW w:w="1176" w:type="dxa"/>
            <w:vAlign w:val="center"/>
          </w:tcPr>
          <w:p w14:paraId="6AD01317">
            <w:pPr>
              <w:spacing w:line="276" w:lineRule="auto"/>
              <w:jc w:val="center"/>
              <w:rPr>
                <w:rFonts w:eastAsiaTheme="minorEastAsia"/>
                <w:szCs w:val="24"/>
              </w:rPr>
            </w:pPr>
            <w:r>
              <w:rPr>
                <w:rFonts w:eastAsiaTheme="minorEastAsia"/>
                <w:szCs w:val="24"/>
              </w:rPr>
              <w:t>％</w:t>
            </w:r>
          </w:p>
        </w:tc>
        <w:tc>
          <w:tcPr>
            <w:tcW w:w="2136" w:type="dxa"/>
            <w:vAlign w:val="center"/>
          </w:tcPr>
          <w:p w14:paraId="528F6805">
            <w:pPr>
              <w:spacing w:line="276" w:lineRule="auto"/>
              <w:jc w:val="center"/>
              <w:rPr>
                <w:rFonts w:eastAsiaTheme="minorEastAsia"/>
                <w:szCs w:val="24"/>
              </w:rPr>
            </w:pPr>
            <w:r>
              <w:rPr>
                <w:rFonts w:eastAsiaTheme="minorEastAsia"/>
                <w:szCs w:val="24"/>
              </w:rPr>
              <w:t>1</w:t>
            </w:r>
          </w:p>
        </w:tc>
        <w:tc>
          <w:tcPr>
            <w:tcW w:w="2318" w:type="dxa"/>
            <w:vAlign w:val="center"/>
          </w:tcPr>
          <w:p w14:paraId="608602E2">
            <w:pPr>
              <w:spacing w:line="276" w:lineRule="auto"/>
              <w:jc w:val="center"/>
              <w:rPr>
                <w:rFonts w:eastAsiaTheme="minorEastAsia"/>
                <w:szCs w:val="24"/>
              </w:rPr>
            </w:pPr>
            <w:r>
              <w:rPr>
                <w:rFonts w:eastAsiaTheme="minorEastAsia"/>
                <w:szCs w:val="24"/>
              </w:rPr>
              <w:t>T0103烘干法</w:t>
            </w:r>
          </w:p>
        </w:tc>
      </w:tr>
      <w:tr w14:paraId="683D69D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09" w:hRule="atLeast"/>
          <w:jc w:val="center"/>
        </w:trPr>
        <w:tc>
          <w:tcPr>
            <w:tcW w:w="4669" w:type="dxa"/>
            <w:vAlign w:val="center"/>
          </w:tcPr>
          <w:p w14:paraId="581B9D26">
            <w:pPr>
              <w:spacing w:line="276" w:lineRule="auto"/>
              <w:jc w:val="center"/>
              <w:rPr>
                <w:rFonts w:eastAsiaTheme="minorEastAsia"/>
                <w:szCs w:val="24"/>
              </w:rPr>
            </w:pPr>
            <w:r>
              <w:rPr>
                <w:rFonts w:eastAsiaTheme="minorEastAsia"/>
                <w:szCs w:val="24"/>
              </w:rPr>
              <w:t>粒度范围&lt;0.600mm</w:t>
            </w:r>
          </w:p>
        </w:tc>
        <w:tc>
          <w:tcPr>
            <w:tcW w:w="1176" w:type="dxa"/>
            <w:vAlign w:val="center"/>
          </w:tcPr>
          <w:p w14:paraId="48109067">
            <w:pPr>
              <w:spacing w:line="276" w:lineRule="auto"/>
              <w:jc w:val="center"/>
              <w:rPr>
                <w:rFonts w:eastAsiaTheme="minorEastAsia"/>
                <w:szCs w:val="24"/>
              </w:rPr>
            </w:pPr>
            <w:r>
              <w:rPr>
                <w:rFonts w:eastAsiaTheme="minorEastAsia"/>
                <w:szCs w:val="24"/>
              </w:rPr>
              <w:t>％</w:t>
            </w:r>
          </w:p>
        </w:tc>
        <w:tc>
          <w:tcPr>
            <w:tcW w:w="2136" w:type="dxa"/>
            <w:vAlign w:val="center"/>
          </w:tcPr>
          <w:p w14:paraId="34F24461">
            <w:pPr>
              <w:spacing w:line="276" w:lineRule="auto"/>
              <w:jc w:val="center"/>
              <w:rPr>
                <w:rFonts w:eastAsiaTheme="minorEastAsia"/>
                <w:szCs w:val="24"/>
              </w:rPr>
            </w:pPr>
            <w:r>
              <w:rPr>
                <w:rFonts w:eastAsiaTheme="minorEastAsia"/>
                <w:szCs w:val="24"/>
              </w:rPr>
              <w:t>100</w:t>
            </w:r>
          </w:p>
        </w:tc>
        <w:tc>
          <w:tcPr>
            <w:tcW w:w="2318" w:type="dxa"/>
            <w:vMerge w:val="restart"/>
            <w:vAlign w:val="center"/>
          </w:tcPr>
          <w:p w14:paraId="26AC9539">
            <w:pPr>
              <w:spacing w:line="276" w:lineRule="auto"/>
              <w:jc w:val="center"/>
              <w:rPr>
                <w:rFonts w:eastAsiaTheme="minorEastAsia"/>
                <w:szCs w:val="24"/>
              </w:rPr>
            </w:pPr>
            <w:r>
              <w:rPr>
                <w:rFonts w:eastAsiaTheme="minorEastAsia"/>
                <w:szCs w:val="24"/>
              </w:rPr>
              <w:t>T0351</w:t>
            </w:r>
          </w:p>
        </w:tc>
      </w:tr>
      <w:tr w14:paraId="2724BBD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4DC629AD">
            <w:pPr>
              <w:spacing w:line="276" w:lineRule="auto"/>
              <w:jc w:val="center"/>
              <w:rPr>
                <w:rFonts w:eastAsiaTheme="minorEastAsia"/>
                <w:szCs w:val="24"/>
              </w:rPr>
            </w:pPr>
            <w:r>
              <w:rPr>
                <w:rFonts w:eastAsiaTheme="minorEastAsia"/>
                <w:szCs w:val="24"/>
              </w:rPr>
              <w:t>&lt;0.150mm</w:t>
            </w:r>
          </w:p>
        </w:tc>
        <w:tc>
          <w:tcPr>
            <w:tcW w:w="1176" w:type="dxa"/>
            <w:vAlign w:val="center"/>
          </w:tcPr>
          <w:p w14:paraId="38DA0DE7">
            <w:pPr>
              <w:spacing w:line="276" w:lineRule="auto"/>
              <w:jc w:val="center"/>
              <w:rPr>
                <w:rFonts w:eastAsiaTheme="minorEastAsia"/>
                <w:szCs w:val="24"/>
              </w:rPr>
            </w:pPr>
            <w:r>
              <w:rPr>
                <w:rFonts w:eastAsiaTheme="minorEastAsia"/>
                <w:szCs w:val="24"/>
              </w:rPr>
              <w:t>％</w:t>
            </w:r>
          </w:p>
        </w:tc>
        <w:tc>
          <w:tcPr>
            <w:tcW w:w="2136" w:type="dxa"/>
            <w:vAlign w:val="center"/>
          </w:tcPr>
          <w:p w14:paraId="229A7E37">
            <w:pPr>
              <w:spacing w:line="276" w:lineRule="auto"/>
              <w:jc w:val="center"/>
              <w:rPr>
                <w:rFonts w:eastAsiaTheme="minorEastAsia"/>
                <w:szCs w:val="24"/>
              </w:rPr>
            </w:pPr>
            <w:r>
              <w:rPr>
                <w:rFonts w:eastAsiaTheme="minorEastAsia"/>
                <w:szCs w:val="24"/>
              </w:rPr>
              <w:t>90～100</w:t>
            </w:r>
          </w:p>
        </w:tc>
        <w:tc>
          <w:tcPr>
            <w:tcW w:w="2318" w:type="dxa"/>
            <w:vMerge w:val="continue"/>
            <w:vAlign w:val="center"/>
          </w:tcPr>
          <w:p w14:paraId="59ADCE4C">
            <w:pPr>
              <w:spacing w:line="276" w:lineRule="auto"/>
              <w:jc w:val="center"/>
              <w:rPr>
                <w:rFonts w:eastAsiaTheme="minorEastAsia"/>
                <w:szCs w:val="24"/>
              </w:rPr>
            </w:pPr>
          </w:p>
        </w:tc>
      </w:tr>
      <w:tr w14:paraId="0A3546F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85EAB7D">
            <w:pPr>
              <w:spacing w:line="276" w:lineRule="auto"/>
              <w:jc w:val="center"/>
              <w:rPr>
                <w:rFonts w:eastAsiaTheme="minorEastAsia"/>
                <w:szCs w:val="24"/>
              </w:rPr>
            </w:pPr>
            <w:r>
              <w:rPr>
                <w:rFonts w:eastAsiaTheme="minorEastAsia"/>
                <w:szCs w:val="24"/>
              </w:rPr>
              <w:t>&lt;0.075mm</w:t>
            </w:r>
          </w:p>
        </w:tc>
        <w:tc>
          <w:tcPr>
            <w:tcW w:w="1176" w:type="dxa"/>
            <w:vAlign w:val="center"/>
          </w:tcPr>
          <w:p w14:paraId="17D96530">
            <w:pPr>
              <w:spacing w:line="276" w:lineRule="auto"/>
              <w:jc w:val="center"/>
              <w:rPr>
                <w:rFonts w:eastAsiaTheme="minorEastAsia"/>
                <w:szCs w:val="24"/>
              </w:rPr>
            </w:pPr>
            <w:r>
              <w:rPr>
                <w:rFonts w:eastAsiaTheme="minorEastAsia"/>
                <w:szCs w:val="24"/>
              </w:rPr>
              <w:t>％</w:t>
            </w:r>
          </w:p>
        </w:tc>
        <w:tc>
          <w:tcPr>
            <w:tcW w:w="2136" w:type="dxa"/>
            <w:vAlign w:val="center"/>
          </w:tcPr>
          <w:p w14:paraId="38B482BE">
            <w:pPr>
              <w:spacing w:line="276" w:lineRule="auto"/>
              <w:jc w:val="center"/>
              <w:rPr>
                <w:rFonts w:eastAsiaTheme="minorEastAsia"/>
                <w:szCs w:val="24"/>
              </w:rPr>
            </w:pPr>
            <w:r>
              <w:rPr>
                <w:rFonts w:eastAsiaTheme="minorEastAsia"/>
                <w:szCs w:val="24"/>
              </w:rPr>
              <w:t>70～100</w:t>
            </w:r>
          </w:p>
        </w:tc>
        <w:tc>
          <w:tcPr>
            <w:tcW w:w="2318" w:type="dxa"/>
            <w:vMerge w:val="continue"/>
            <w:vAlign w:val="center"/>
          </w:tcPr>
          <w:p w14:paraId="798A82CA">
            <w:pPr>
              <w:spacing w:line="276" w:lineRule="auto"/>
              <w:jc w:val="center"/>
              <w:rPr>
                <w:rFonts w:eastAsiaTheme="minorEastAsia"/>
                <w:szCs w:val="24"/>
              </w:rPr>
            </w:pPr>
          </w:p>
        </w:tc>
      </w:tr>
      <w:tr w14:paraId="7381260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5007DE9">
            <w:pPr>
              <w:spacing w:line="276" w:lineRule="auto"/>
              <w:jc w:val="center"/>
              <w:rPr>
                <w:rFonts w:eastAsiaTheme="minorEastAsia"/>
                <w:szCs w:val="24"/>
              </w:rPr>
            </w:pPr>
            <w:r>
              <w:rPr>
                <w:rFonts w:eastAsiaTheme="minorEastAsia"/>
                <w:szCs w:val="24"/>
              </w:rPr>
              <w:t>外观</w:t>
            </w:r>
          </w:p>
        </w:tc>
        <w:tc>
          <w:tcPr>
            <w:tcW w:w="1176" w:type="dxa"/>
            <w:vAlign w:val="center"/>
          </w:tcPr>
          <w:p w14:paraId="1337BFC9">
            <w:pPr>
              <w:spacing w:line="276" w:lineRule="auto"/>
              <w:jc w:val="center"/>
              <w:rPr>
                <w:rFonts w:eastAsiaTheme="minorEastAsia"/>
                <w:szCs w:val="24"/>
              </w:rPr>
            </w:pPr>
            <w:r>
              <w:rPr>
                <w:rFonts w:eastAsiaTheme="minorEastAsia"/>
                <w:szCs w:val="24"/>
              </w:rPr>
              <w:t>－</w:t>
            </w:r>
          </w:p>
        </w:tc>
        <w:tc>
          <w:tcPr>
            <w:tcW w:w="2136" w:type="dxa"/>
            <w:vAlign w:val="center"/>
          </w:tcPr>
          <w:p w14:paraId="7499FB5D">
            <w:pPr>
              <w:spacing w:line="276" w:lineRule="auto"/>
              <w:jc w:val="center"/>
              <w:rPr>
                <w:rFonts w:eastAsiaTheme="minorEastAsia"/>
                <w:szCs w:val="24"/>
              </w:rPr>
            </w:pPr>
            <w:r>
              <w:rPr>
                <w:rFonts w:eastAsiaTheme="minorEastAsia"/>
                <w:szCs w:val="24"/>
              </w:rPr>
              <w:t>-</w:t>
            </w:r>
          </w:p>
        </w:tc>
        <w:tc>
          <w:tcPr>
            <w:tcW w:w="2318" w:type="dxa"/>
            <w:vAlign w:val="center"/>
          </w:tcPr>
          <w:p w14:paraId="0B42FC41">
            <w:pPr>
              <w:spacing w:line="276" w:lineRule="auto"/>
              <w:jc w:val="center"/>
              <w:rPr>
                <w:rFonts w:eastAsiaTheme="minorEastAsia"/>
                <w:szCs w:val="24"/>
              </w:rPr>
            </w:pPr>
          </w:p>
        </w:tc>
      </w:tr>
      <w:tr w14:paraId="57A6B02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53ED0E08">
            <w:pPr>
              <w:spacing w:line="276" w:lineRule="auto"/>
              <w:jc w:val="center"/>
              <w:rPr>
                <w:rFonts w:eastAsiaTheme="minorEastAsia"/>
                <w:szCs w:val="24"/>
              </w:rPr>
            </w:pPr>
            <w:r>
              <w:rPr>
                <w:rFonts w:eastAsiaTheme="minorEastAsia"/>
                <w:szCs w:val="24"/>
              </w:rPr>
              <w:t>亲水系数</w:t>
            </w:r>
          </w:p>
        </w:tc>
        <w:tc>
          <w:tcPr>
            <w:tcW w:w="1176" w:type="dxa"/>
            <w:vAlign w:val="center"/>
          </w:tcPr>
          <w:p w14:paraId="2DDB71B5">
            <w:pPr>
              <w:spacing w:line="276" w:lineRule="auto"/>
              <w:jc w:val="center"/>
              <w:rPr>
                <w:rFonts w:eastAsiaTheme="minorEastAsia"/>
                <w:szCs w:val="24"/>
              </w:rPr>
            </w:pPr>
            <w:r>
              <w:rPr>
                <w:rFonts w:eastAsiaTheme="minorEastAsia"/>
                <w:szCs w:val="24"/>
              </w:rPr>
              <w:t>－</w:t>
            </w:r>
          </w:p>
        </w:tc>
        <w:tc>
          <w:tcPr>
            <w:tcW w:w="2136" w:type="dxa"/>
            <w:vAlign w:val="center"/>
          </w:tcPr>
          <w:p w14:paraId="7F9FDAFB">
            <w:pPr>
              <w:spacing w:line="276" w:lineRule="auto"/>
              <w:jc w:val="center"/>
              <w:rPr>
                <w:rFonts w:eastAsiaTheme="minorEastAsia"/>
                <w:szCs w:val="24"/>
              </w:rPr>
            </w:pPr>
            <w:r>
              <w:rPr>
                <w:rFonts w:eastAsiaTheme="minorEastAsia"/>
                <w:szCs w:val="24"/>
              </w:rPr>
              <w:t>T0353</w:t>
            </w:r>
          </w:p>
        </w:tc>
        <w:tc>
          <w:tcPr>
            <w:tcW w:w="2318" w:type="dxa"/>
            <w:vAlign w:val="center"/>
          </w:tcPr>
          <w:p w14:paraId="7FB372A9">
            <w:pPr>
              <w:spacing w:line="276" w:lineRule="auto"/>
              <w:jc w:val="center"/>
              <w:rPr>
                <w:rFonts w:eastAsiaTheme="minorEastAsia"/>
                <w:szCs w:val="24"/>
              </w:rPr>
            </w:pPr>
            <w:r>
              <w:rPr>
                <w:rFonts w:eastAsiaTheme="minorEastAsia"/>
                <w:szCs w:val="24"/>
              </w:rPr>
              <w:t>T0353</w:t>
            </w:r>
          </w:p>
        </w:tc>
      </w:tr>
      <w:tr w14:paraId="2BD2ED3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1143BB9">
            <w:pPr>
              <w:spacing w:line="276" w:lineRule="auto"/>
              <w:jc w:val="center"/>
              <w:rPr>
                <w:rFonts w:eastAsiaTheme="minorEastAsia"/>
                <w:szCs w:val="24"/>
              </w:rPr>
            </w:pPr>
            <w:r>
              <w:rPr>
                <w:rFonts w:eastAsiaTheme="minorEastAsia"/>
                <w:szCs w:val="24"/>
              </w:rPr>
              <w:t>塑性指数</w:t>
            </w:r>
          </w:p>
        </w:tc>
        <w:tc>
          <w:tcPr>
            <w:tcW w:w="1176" w:type="dxa"/>
            <w:vAlign w:val="center"/>
          </w:tcPr>
          <w:p w14:paraId="7A362539">
            <w:pPr>
              <w:spacing w:line="276" w:lineRule="auto"/>
              <w:jc w:val="center"/>
              <w:rPr>
                <w:rFonts w:eastAsiaTheme="minorEastAsia"/>
                <w:szCs w:val="24"/>
              </w:rPr>
            </w:pPr>
            <w:r>
              <w:rPr>
                <w:rFonts w:eastAsiaTheme="minorEastAsia"/>
                <w:szCs w:val="24"/>
              </w:rPr>
              <w:t>%</w:t>
            </w:r>
          </w:p>
        </w:tc>
        <w:tc>
          <w:tcPr>
            <w:tcW w:w="2136" w:type="dxa"/>
            <w:vAlign w:val="center"/>
          </w:tcPr>
          <w:p w14:paraId="4C81D5CB">
            <w:pPr>
              <w:spacing w:line="276" w:lineRule="auto"/>
              <w:jc w:val="center"/>
              <w:rPr>
                <w:rFonts w:eastAsiaTheme="minorEastAsia"/>
                <w:szCs w:val="24"/>
              </w:rPr>
            </w:pPr>
            <w:r>
              <w:rPr>
                <w:rFonts w:eastAsiaTheme="minorEastAsia"/>
                <w:szCs w:val="24"/>
              </w:rPr>
              <w:t>T0354</w:t>
            </w:r>
          </w:p>
        </w:tc>
        <w:tc>
          <w:tcPr>
            <w:tcW w:w="2318" w:type="dxa"/>
            <w:vAlign w:val="center"/>
          </w:tcPr>
          <w:p w14:paraId="08BF015C">
            <w:pPr>
              <w:spacing w:line="276" w:lineRule="auto"/>
              <w:jc w:val="center"/>
              <w:rPr>
                <w:rFonts w:eastAsiaTheme="minorEastAsia"/>
                <w:szCs w:val="24"/>
              </w:rPr>
            </w:pPr>
            <w:r>
              <w:rPr>
                <w:rFonts w:eastAsiaTheme="minorEastAsia"/>
                <w:szCs w:val="24"/>
              </w:rPr>
              <w:t>T0354</w:t>
            </w:r>
          </w:p>
        </w:tc>
      </w:tr>
      <w:tr w14:paraId="0A2CDD8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24E7E110">
            <w:pPr>
              <w:spacing w:line="276" w:lineRule="auto"/>
              <w:jc w:val="center"/>
              <w:rPr>
                <w:rFonts w:eastAsiaTheme="minorEastAsia"/>
                <w:szCs w:val="24"/>
              </w:rPr>
            </w:pPr>
            <w:r>
              <w:rPr>
                <w:rFonts w:eastAsiaTheme="minorEastAsia"/>
                <w:szCs w:val="24"/>
              </w:rPr>
              <w:t>加热安定性</w:t>
            </w:r>
          </w:p>
        </w:tc>
        <w:tc>
          <w:tcPr>
            <w:tcW w:w="1176" w:type="dxa"/>
            <w:vAlign w:val="center"/>
          </w:tcPr>
          <w:p w14:paraId="36893E8F">
            <w:pPr>
              <w:spacing w:line="276" w:lineRule="auto"/>
              <w:jc w:val="center"/>
              <w:rPr>
                <w:rFonts w:eastAsiaTheme="minorEastAsia"/>
                <w:szCs w:val="24"/>
              </w:rPr>
            </w:pPr>
            <w:r>
              <w:rPr>
                <w:rFonts w:eastAsiaTheme="minorEastAsia"/>
                <w:szCs w:val="24"/>
              </w:rPr>
              <w:t>－</w:t>
            </w:r>
          </w:p>
        </w:tc>
        <w:tc>
          <w:tcPr>
            <w:tcW w:w="2136" w:type="dxa"/>
            <w:vAlign w:val="center"/>
          </w:tcPr>
          <w:p w14:paraId="20A6E98F">
            <w:pPr>
              <w:spacing w:line="276" w:lineRule="auto"/>
              <w:jc w:val="center"/>
              <w:rPr>
                <w:rFonts w:eastAsiaTheme="minorEastAsia"/>
                <w:szCs w:val="24"/>
              </w:rPr>
            </w:pPr>
            <w:r>
              <w:rPr>
                <w:rFonts w:eastAsiaTheme="minorEastAsia"/>
                <w:szCs w:val="24"/>
              </w:rPr>
              <w:t>T0355</w:t>
            </w:r>
          </w:p>
        </w:tc>
        <w:tc>
          <w:tcPr>
            <w:tcW w:w="2318" w:type="dxa"/>
            <w:vAlign w:val="center"/>
          </w:tcPr>
          <w:p w14:paraId="6F9B2D86">
            <w:pPr>
              <w:spacing w:line="276" w:lineRule="auto"/>
              <w:jc w:val="center"/>
              <w:rPr>
                <w:rFonts w:eastAsiaTheme="minorEastAsia"/>
                <w:szCs w:val="24"/>
              </w:rPr>
            </w:pPr>
            <w:r>
              <w:rPr>
                <w:rFonts w:eastAsiaTheme="minorEastAsia"/>
                <w:szCs w:val="24"/>
              </w:rPr>
              <w:t>T0355</w:t>
            </w:r>
          </w:p>
        </w:tc>
      </w:tr>
    </w:tbl>
    <w:p w14:paraId="0F462522">
      <w:pPr>
        <w:pStyle w:val="97"/>
        <w:rPr>
          <w:rFonts w:ascii="Times New Roman" w:eastAsiaTheme="minorEastAsia"/>
        </w:rPr>
      </w:pPr>
      <w:r>
        <w:rPr>
          <w:rFonts w:ascii="Times New Roman" w:eastAsiaTheme="minorEastAsia"/>
        </w:rPr>
        <w:t>沥青混合料马歇尔试验配合比设计技术标准</w:t>
      </w:r>
    </w:p>
    <w:p w14:paraId="053DBDB4">
      <w:pPr>
        <w:pStyle w:val="99"/>
        <w:rPr>
          <w:rFonts w:eastAsiaTheme="minorEastAsia"/>
        </w:rPr>
      </w:pPr>
      <w:r>
        <w:rPr>
          <w:rFonts w:eastAsiaTheme="minorEastAsia"/>
        </w:rPr>
        <w:t>沥青混合料技术要求应符合表5.10的要求，并有良好的施工性能。</w:t>
      </w:r>
    </w:p>
    <w:p w14:paraId="69186633">
      <w:pPr>
        <w:pStyle w:val="99"/>
        <w:spacing w:line="480" w:lineRule="auto"/>
        <w:ind w:firstLine="422"/>
        <w:jc w:val="center"/>
        <w:rPr>
          <w:rFonts w:eastAsiaTheme="minorEastAsia"/>
          <w:b/>
          <w:sz w:val="21"/>
          <w:szCs w:val="21"/>
        </w:rPr>
      </w:pPr>
      <w:r>
        <w:rPr>
          <w:rFonts w:eastAsiaTheme="minorEastAsia"/>
          <w:b/>
          <w:sz w:val="21"/>
          <w:szCs w:val="21"/>
        </w:rPr>
        <w:t>表5.10 沥青混合料马歇尔试验配合比设计技术标准</w:t>
      </w:r>
    </w:p>
    <w:tbl>
      <w:tblPr>
        <w:tblStyle w:val="25"/>
        <w:tblW w:w="0" w:type="auto"/>
        <w:jc w:val="center"/>
        <w:tblLayout w:type="fixed"/>
        <w:tblCellMar>
          <w:top w:w="0" w:type="dxa"/>
          <w:left w:w="108" w:type="dxa"/>
          <w:bottom w:w="0" w:type="dxa"/>
          <w:right w:w="108" w:type="dxa"/>
        </w:tblCellMar>
      </w:tblPr>
      <w:tblGrid>
        <w:gridCol w:w="3814"/>
        <w:gridCol w:w="1797"/>
        <w:gridCol w:w="1031"/>
        <w:gridCol w:w="3821"/>
      </w:tblGrid>
      <w:tr w14:paraId="19907907">
        <w:tblPrEx>
          <w:tblCellMar>
            <w:top w:w="0" w:type="dxa"/>
            <w:left w:w="108" w:type="dxa"/>
            <w:bottom w:w="0" w:type="dxa"/>
            <w:right w:w="108" w:type="dxa"/>
          </w:tblCellMar>
        </w:tblPrEx>
        <w:trPr>
          <w:trHeight w:val="278" w:hRule="atLeast"/>
          <w:jc w:val="center"/>
        </w:trPr>
        <w:tc>
          <w:tcPr>
            <w:tcW w:w="5611" w:type="dxa"/>
            <w:gridSpan w:val="2"/>
            <w:vMerge w:val="restart"/>
            <w:tcBorders>
              <w:top w:val="single" w:color="auto" w:sz="4" w:space="0"/>
              <w:bottom w:val="single" w:color="auto" w:sz="4" w:space="0"/>
              <w:right w:val="single" w:color="auto" w:sz="4" w:space="0"/>
            </w:tcBorders>
            <w:vAlign w:val="center"/>
          </w:tcPr>
          <w:p w14:paraId="6B6D08CF">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color="auto" w:sz="4" w:space="0"/>
              <w:left w:val="single" w:color="auto" w:sz="4" w:space="0"/>
              <w:bottom w:val="single" w:color="auto" w:sz="4" w:space="0"/>
              <w:right w:val="single" w:color="auto" w:sz="4" w:space="0"/>
            </w:tcBorders>
            <w:vAlign w:val="center"/>
          </w:tcPr>
          <w:p w14:paraId="3307218F">
            <w:pPr>
              <w:spacing w:line="276" w:lineRule="auto"/>
              <w:jc w:val="center"/>
              <w:rPr>
                <w:rFonts w:eastAsiaTheme="minorEastAsia"/>
                <w:szCs w:val="21"/>
              </w:rPr>
            </w:pPr>
            <w:r>
              <w:rPr>
                <w:rFonts w:eastAsiaTheme="minorEastAsia"/>
                <w:szCs w:val="21"/>
              </w:rPr>
              <w:t>单位</w:t>
            </w:r>
          </w:p>
        </w:tc>
        <w:tc>
          <w:tcPr>
            <w:tcW w:w="3821" w:type="dxa"/>
            <w:vMerge w:val="restart"/>
            <w:tcBorders>
              <w:top w:val="single" w:color="auto" w:sz="4" w:space="0"/>
              <w:left w:val="single" w:color="auto" w:sz="4" w:space="0"/>
              <w:bottom w:val="single" w:color="auto" w:sz="4" w:space="0"/>
            </w:tcBorders>
            <w:vAlign w:val="center"/>
          </w:tcPr>
          <w:p w14:paraId="025595A9">
            <w:pPr>
              <w:spacing w:line="276" w:lineRule="auto"/>
              <w:jc w:val="center"/>
              <w:rPr>
                <w:rFonts w:eastAsiaTheme="minorEastAsia"/>
                <w:szCs w:val="21"/>
              </w:rPr>
            </w:pPr>
            <w:r>
              <w:rPr>
                <w:rFonts w:eastAsiaTheme="minorEastAsia"/>
                <w:szCs w:val="21"/>
              </w:rPr>
              <w:t>支路</w:t>
            </w:r>
          </w:p>
        </w:tc>
      </w:tr>
      <w:tr w14:paraId="197C4D37">
        <w:tblPrEx>
          <w:tblCellMar>
            <w:top w:w="0" w:type="dxa"/>
            <w:left w:w="108" w:type="dxa"/>
            <w:bottom w:w="0" w:type="dxa"/>
            <w:right w:w="108" w:type="dxa"/>
          </w:tblCellMar>
        </w:tblPrEx>
        <w:trPr>
          <w:trHeight w:val="278" w:hRule="atLeast"/>
          <w:jc w:val="center"/>
        </w:trPr>
        <w:tc>
          <w:tcPr>
            <w:tcW w:w="5611" w:type="dxa"/>
            <w:gridSpan w:val="2"/>
            <w:vMerge w:val="continue"/>
            <w:tcBorders>
              <w:top w:val="single" w:color="auto" w:sz="4" w:space="0"/>
              <w:bottom w:val="single" w:color="auto" w:sz="4" w:space="0"/>
              <w:right w:val="single" w:color="auto" w:sz="4" w:space="0"/>
            </w:tcBorders>
            <w:vAlign w:val="center"/>
          </w:tcPr>
          <w:p w14:paraId="2D56349F">
            <w:pPr>
              <w:spacing w:line="276" w:lineRule="auto"/>
              <w:jc w:val="center"/>
              <w:rPr>
                <w:rFonts w:eastAsiaTheme="minorEastAsia"/>
                <w:szCs w:val="21"/>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4A31169F">
            <w:pPr>
              <w:spacing w:line="276" w:lineRule="auto"/>
              <w:jc w:val="center"/>
              <w:rPr>
                <w:rFonts w:eastAsiaTheme="minorEastAsia"/>
                <w:szCs w:val="21"/>
              </w:rPr>
            </w:pPr>
          </w:p>
        </w:tc>
        <w:tc>
          <w:tcPr>
            <w:tcW w:w="3821" w:type="dxa"/>
            <w:vMerge w:val="continue"/>
            <w:tcBorders>
              <w:top w:val="nil"/>
              <w:left w:val="nil"/>
              <w:bottom w:val="single" w:color="auto" w:sz="4" w:space="0"/>
            </w:tcBorders>
            <w:vAlign w:val="center"/>
          </w:tcPr>
          <w:p w14:paraId="33A2920D">
            <w:pPr>
              <w:spacing w:line="276" w:lineRule="auto"/>
              <w:jc w:val="center"/>
              <w:rPr>
                <w:rFonts w:eastAsiaTheme="minorEastAsia"/>
                <w:szCs w:val="21"/>
              </w:rPr>
            </w:pPr>
          </w:p>
        </w:tc>
      </w:tr>
      <w:tr w14:paraId="19AB4A9E">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01B93EEE">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color="auto" w:sz="4" w:space="0"/>
              <w:right w:val="single" w:color="auto" w:sz="4" w:space="0"/>
            </w:tcBorders>
            <w:vAlign w:val="center"/>
          </w:tcPr>
          <w:p w14:paraId="4C43B820">
            <w:pPr>
              <w:spacing w:line="276" w:lineRule="auto"/>
              <w:jc w:val="center"/>
              <w:rPr>
                <w:rFonts w:eastAsiaTheme="minorEastAsia"/>
                <w:szCs w:val="21"/>
              </w:rPr>
            </w:pPr>
            <w:r>
              <w:rPr>
                <w:rFonts w:eastAsiaTheme="minorEastAsia"/>
                <w:szCs w:val="21"/>
              </w:rPr>
              <w:t>次</w:t>
            </w:r>
          </w:p>
        </w:tc>
        <w:tc>
          <w:tcPr>
            <w:tcW w:w="3821" w:type="dxa"/>
            <w:tcBorders>
              <w:top w:val="single" w:color="auto" w:sz="4" w:space="0"/>
              <w:left w:val="nil"/>
              <w:bottom w:val="single" w:color="auto" w:sz="4" w:space="0"/>
            </w:tcBorders>
            <w:vAlign w:val="center"/>
          </w:tcPr>
          <w:p w14:paraId="79427059">
            <w:pPr>
              <w:spacing w:line="276" w:lineRule="auto"/>
              <w:jc w:val="center"/>
              <w:rPr>
                <w:rFonts w:eastAsiaTheme="minorEastAsia"/>
                <w:szCs w:val="21"/>
              </w:rPr>
            </w:pPr>
            <w:r>
              <w:rPr>
                <w:rFonts w:eastAsiaTheme="minorEastAsia"/>
                <w:szCs w:val="21"/>
              </w:rPr>
              <w:t>50</w:t>
            </w:r>
          </w:p>
        </w:tc>
      </w:tr>
      <w:tr w14:paraId="59C6AFDF">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4151234">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color="auto" w:sz="4" w:space="0"/>
              <w:right w:val="single" w:color="auto" w:sz="4" w:space="0"/>
            </w:tcBorders>
            <w:vAlign w:val="center"/>
          </w:tcPr>
          <w:p w14:paraId="3A7C9898">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0B539AC2">
            <w:pPr>
              <w:spacing w:line="276" w:lineRule="auto"/>
              <w:jc w:val="center"/>
              <w:rPr>
                <w:rFonts w:eastAsiaTheme="minorEastAsia"/>
                <w:szCs w:val="21"/>
              </w:rPr>
            </w:pPr>
            <w:r>
              <w:rPr>
                <w:rFonts w:eastAsiaTheme="minorEastAsia"/>
                <w:szCs w:val="21"/>
              </w:rPr>
              <w:t>φ101.6×63.5</w:t>
            </w:r>
          </w:p>
        </w:tc>
      </w:tr>
      <w:tr w14:paraId="156E1BE8">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3133995F">
            <w:pPr>
              <w:spacing w:line="276" w:lineRule="auto"/>
              <w:jc w:val="center"/>
              <w:rPr>
                <w:rFonts w:eastAsiaTheme="minorEastAsia"/>
                <w:szCs w:val="21"/>
              </w:rPr>
            </w:pPr>
            <w:r>
              <w:rPr>
                <w:rFonts w:eastAsiaTheme="minorEastAsia"/>
                <w:szCs w:val="21"/>
              </w:rPr>
              <w:t>稳定度MS，不小于</w:t>
            </w:r>
          </w:p>
        </w:tc>
        <w:tc>
          <w:tcPr>
            <w:tcW w:w="1031" w:type="dxa"/>
            <w:tcBorders>
              <w:top w:val="nil"/>
              <w:left w:val="nil"/>
              <w:bottom w:val="single" w:color="auto" w:sz="4" w:space="0"/>
              <w:right w:val="single" w:color="auto" w:sz="4" w:space="0"/>
            </w:tcBorders>
            <w:vAlign w:val="center"/>
          </w:tcPr>
          <w:p w14:paraId="76044093">
            <w:pPr>
              <w:spacing w:line="276" w:lineRule="auto"/>
              <w:jc w:val="center"/>
              <w:rPr>
                <w:rFonts w:eastAsiaTheme="minorEastAsia"/>
                <w:szCs w:val="21"/>
              </w:rPr>
            </w:pPr>
            <w:r>
              <w:rPr>
                <w:rFonts w:eastAsiaTheme="minorEastAsia"/>
                <w:szCs w:val="21"/>
              </w:rPr>
              <w:t>kN</w:t>
            </w:r>
          </w:p>
        </w:tc>
        <w:tc>
          <w:tcPr>
            <w:tcW w:w="3821" w:type="dxa"/>
            <w:tcBorders>
              <w:top w:val="single" w:color="auto" w:sz="4" w:space="0"/>
              <w:left w:val="nil"/>
              <w:bottom w:val="single" w:color="auto" w:sz="4" w:space="0"/>
            </w:tcBorders>
            <w:vAlign w:val="center"/>
          </w:tcPr>
          <w:p w14:paraId="66F5156A">
            <w:pPr>
              <w:spacing w:line="276" w:lineRule="auto"/>
              <w:jc w:val="center"/>
              <w:rPr>
                <w:rFonts w:eastAsiaTheme="minorEastAsia"/>
                <w:szCs w:val="21"/>
              </w:rPr>
            </w:pPr>
            <w:r>
              <w:rPr>
                <w:rFonts w:eastAsiaTheme="minorEastAsia"/>
                <w:szCs w:val="21"/>
              </w:rPr>
              <w:t>5</w:t>
            </w:r>
          </w:p>
        </w:tc>
      </w:tr>
      <w:tr w14:paraId="3A2FCA99">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0094EDEC">
            <w:pPr>
              <w:spacing w:line="276" w:lineRule="auto"/>
              <w:jc w:val="center"/>
              <w:rPr>
                <w:rFonts w:eastAsiaTheme="minorEastAsia"/>
                <w:szCs w:val="21"/>
              </w:rPr>
            </w:pPr>
            <w:r>
              <w:rPr>
                <w:rFonts w:eastAsiaTheme="minorEastAsia"/>
                <w:szCs w:val="21"/>
              </w:rPr>
              <w:t>流值FL</w:t>
            </w:r>
          </w:p>
        </w:tc>
        <w:tc>
          <w:tcPr>
            <w:tcW w:w="1031" w:type="dxa"/>
            <w:tcBorders>
              <w:top w:val="nil"/>
              <w:left w:val="nil"/>
              <w:bottom w:val="single" w:color="auto" w:sz="4" w:space="0"/>
              <w:right w:val="single" w:color="auto" w:sz="4" w:space="0"/>
            </w:tcBorders>
            <w:vAlign w:val="center"/>
          </w:tcPr>
          <w:p w14:paraId="73494D23">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79B96195">
            <w:pPr>
              <w:spacing w:line="276" w:lineRule="auto"/>
              <w:jc w:val="center"/>
              <w:rPr>
                <w:rFonts w:eastAsiaTheme="minorEastAsia"/>
                <w:szCs w:val="21"/>
              </w:rPr>
            </w:pPr>
            <w:r>
              <w:rPr>
                <w:rFonts w:eastAsiaTheme="minorEastAsia"/>
                <w:szCs w:val="21"/>
              </w:rPr>
              <w:t>2～4.5</w:t>
            </w:r>
          </w:p>
        </w:tc>
      </w:tr>
      <w:tr w14:paraId="653AEB6B">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0D8B7071">
            <w:pPr>
              <w:spacing w:line="276" w:lineRule="auto"/>
              <w:jc w:val="center"/>
              <w:rPr>
                <w:rFonts w:eastAsiaTheme="minorEastAsia"/>
                <w:szCs w:val="21"/>
              </w:rPr>
            </w:pPr>
            <w:r>
              <w:rPr>
                <w:rFonts w:eastAsiaTheme="minorEastAsia"/>
                <w:szCs w:val="21"/>
              </w:rPr>
              <w:t>空隙率VV</w:t>
            </w:r>
          </w:p>
        </w:tc>
        <w:tc>
          <w:tcPr>
            <w:tcW w:w="1797" w:type="dxa"/>
            <w:tcBorders>
              <w:top w:val="nil"/>
              <w:left w:val="nil"/>
              <w:bottom w:val="single" w:color="auto" w:sz="4" w:space="0"/>
              <w:right w:val="single" w:color="auto" w:sz="4" w:space="0"/>
            </w:tcBorders>
            <w:vAlign w:val="center"/>
          </w:tcPr>
          <w:p w14:paraId="1814537B">
            <w:pPr>
              <w:spacing w:line="276" w:lineRule="auto"/>
              <w:jc w:val="center"/>
              <w:rPr>
                <w:rFonts w:eastAsiaTheme="minorEastAsia"/>
                <w:szCs w:val="21"/>
              </w:rPr>
            </w:pPr>
            <w:r>
              <w:rPr>
                <w:rFonts w:eastAsiaTheme="minorEastAsia"/>
                <w:szCs w:val="21"/>
              </w:rPr>
              <w:t>深约90mm以内</w:t>
            </w:r>
          </w:p>
        </w:tc>
        <w:tc>
          <w:tcPr>
            <w:tcW w:w="1031" w:type="dxa"/>
            <w:tcBorders>
              <w:top w:val="nil"/>
              <w:left w:val="nil"/>
              <w:bottom w:val="single" w:color="auto" w:sz="4" w:space="0"/>
              <w:right w:val="single" w:color="auto" w:sz="4" w:space="0"/>
            </w:tcBorders>
            <w:vAlign w:val="center"/>
          </w:tcPr>
          <w:p w14:paraId="193698D8">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455FA5CF">
            <w:pPr>
              <w:spacing w:line="276" w:lineRule="auto"/>
              <w:jc w:val="center"/>
              <w:rPr>
                <w:rFonts w:eastAsiaTheme="minorEastAsia"/>
                <w:szCs w:val="21"/>
              </w:rPr>
            </w:pPr>
            <w:r>
              <w:rPr>
                <w:rFonts w:eastAsiaTheme="minorEastAsia"/>
                <w:szCs w:val="21"/>
              </w:rPr>
              <w:t>3～6</w:t>
            </w:r>
          </w:p>
        </w:tc>
      </w:tr>
      <w:tr w14:paraId="02F43540">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BBF1E8D">
            <w:pPr>
              <w:spacing w:line="276" w:lineRule="auto"/>
              <w:jc w:val="center"/>
              <w:rPr>
                <w:rFonts w:eastAsiaTheme="minorEastAsia"/>
                <w:szCs w:val="21"/>
              </w:rPr>
            </w:pPr>
          </w:p>
        </w:tc>
        <w:tc>
          <w:tcPr>
            <w:tcW w:w="1797" w:type="dxa"/>
            <w:tcBorders>
              <w:top w:val="nil"/>
              <w:left w:val="nil"/>
              <w:bottom w:val="single" w:color="auto" w:sz="4" w:space="0"/>
              <w:right w:val="single" w:color="auto" w:sz="4" w:space="0"/>
            </w:tcBorders>
            <w:vAlign w:val="center"/>
          </w:tcPr>
          <w:p w14:paraId="509B616B">
            <w:pPr>
              <w:spacing w:line="276" w:lineRule="auto"/>
              <w:jc w:val="center"/>
              <w:rPr>
                <w:rFonts w:eastAsiaTheme="minorEastAsia"/>
                <w:szCs w:val="21"/>
              </w:rPr>
            </w:pPr>
            <w:r>
              <w:rPr>
                <w:rFonts w:eastAsiaTheme="minorEastAsia"/>
                <w:szCs w:val="21"/>
              </w:rPr>
              <w:t>深约90mm以下</w:t>
            </w:r>
          </w:p>
        </w:tc>
        <w:tc>
          <w:tcPr>
            <w:tcW w:w="1031" w:type="dxa"/>
            <w:tcBorders>
              <w:top w:val="nil"/>
              <w:left w:val="nil"/>
              <w:bottom w:val="single" w:color="auto" w:sz="4" w:space="0"/>
              <w:right w:val="single" w:color="auto" w:sz="4" w:space="0"/>
            </w:tcBorders>
            <w:vAlign w:val="center"/>
          </w:tcPr>
          <w:p w14:paraId="2362323D">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3650690A">
            <w:pPr>
              <w:spacing w:line="276" w:lineRule="auto"/>
              <w:jc w:val="center"/>
              <w:rPr>
                <w:rFonts w:eastAsiaTheme="minorEastAsia"/>
                <w:szCs w:val="21"/>
              </w:rPr>
            </w:pPr>
            <w:r>
              <w:rPr>
                <w:rFonts w:eastAsiaTheme="minorEastAsia"/>
                <w:szCs w:val="21"/>
              </w:rPr>
              <w:t>3～6</w:t>
            </w:r>
          </w:p>
        </w:tc>
      </w:tr>
      <w:tr w14:paraId="218784D9">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36E676CC">
            <w:pPr>
              <w:spacing w:line="276" w:lineRule="auto"/>
              <w:jc w:val="center"/>
              <w:rPr>
                <w:rFonts w:eastAsiaTheme="minorEastAsia"/>
                <w:szCs w:val="21"/>
              </w:rPr>
            </w:pPr>
            <w:r>
              <w:rPr>
                <w:rFonts w:eastAsiaTheme="minorEastAsia"/>
                <w:szCs w:val="21"/>
              </w:rPr>
              <w:t>矿料</w:t>
            </w:r>
          </w:p>
          <w:p w14:paraId="367267FC">
            <w:pPr>
              <w:spacing w:line="276" w:lineRule="auto"/>
              <w:jc w:val="center"/>
              <w:rPr>
                <w:rFonts w:eastAsiaTheme="minorEastAsia"/>
                <w:szCs w:val="21"/>
              </w:rPr>
            </w:pPr>
            <w:r>
              <w:rPr>
                <w:rFonts w:eastAsiaTheme="minorEastAsia"/>
                <w:szCs w:val="21"/>
              </w:rPr>
              <w:t>间隙率</w:t>
            </w:r>
          </w:p>
          <w:p w14:paraId="5F1A1325">
            <w:pPr>
              <w:spacing w:line="276" w:lineRule="auto"/>
              <w:jc w:val="center"/>
              <w:rPr>
                <w:rFonts w:eastAsiaTheme="minorEastAsia"/>
                <w:szCs w:val="21"/>
              </w:rPr>
            </w:pPr>
            <w:r>
              <w:rPr>
                <w:rFonts w:eastAsiaTheme="minorEastAsia"/>
                <w:szCs w:val="21"/>
              </w:rPr>
              <w:t>VMA（％），</w:t>
            </w:r>
          </w:p>
          <w:p w14:paraId="5365D46D">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color="auto" w:sz="4" w:space="0"/>
              <w:left w:val="single" w:color="auto" w:sz="4" w:space="0"/>
              <w:bottom w:val="single" w:color="auto" w:sz="4" w:space="0"/>
              <w:right w:val="single" w:color="auto" w:sz="4" w:space="0"/>
            </w:tcBorders>
            <w:vAlign w:val="center"/>
          </w:tcPr>
          <w:p w14:paraId="36F8A116">
            <w:pPr>
              <w:spacing w:line="276" w:lineRule="auto"/>
              <w:jc w:val="center"/>
              <w:rPr>
                <w:rFonts w:eastAsiaTheme="minorEastAsia"/>
                <w:szCs w:val="21"/>
              </w:rPr>
            </w:pPr>
            <w:r>
              <w:rPr>
                <w:rFonts w:eastAsiaTheme="minorEastAsia"/>
                <w:szCs w:val="21"/>
              </w:rPr>
              <w:t>设计空隙率（％）</w:t>
            </w:r>
          </w:p>
        </w:tc>
        <w:tc>
          <w:tcPr>
            <w:tcW w:w="3821" w:type="dxa"/>
            <w:tcBorders>
              <w:top w:val="single" w:color="auto" w:sz="4" w:space="0"/>
              <w:left w:val="nil"/>
              <w:bottom w:val="single" w:color="auto" w:sz="4" w:space="0"/>
            </w:tcBorders>
            <w:vAlign w:val="center"/>
          </w:tcPr>
          <w:p w14:paraId="3B0BA6EA">
            <w:pPr>
              <w:spacing w:line="276" w:lineRule="auto"/>
              <w:jc w:val="center"/>
              <w:rPr>
                <w:rFonts w:eastAsiaTheme="minorEastAsia"/>
                <w:szCs w:val="21"/>
              </w:rPr>
            </w:pPr>
            <w:r>
              <w:rPr>
                <w:rFonts w:eastAsiaTheme="minorEastAsia"/>
                <w:szCs w:val="21"/>
              </w:rPr>
              <w:t>9.5</w:t>
            </w:r>
          </w:p>
        </w:tc>
      </w:tr>
      <w:tr w14:paraId="7BFADA3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748750A8">
            <w:pPr>
              <w:spacing w:line="276" w:lineRule="auto"/>
              <w:jc w:val="center"/>
              <w:rPr>
                <w:rFonts w:eastAsiaTheme="minorEastAsia"/>
                <w:szCs w:val="21"/>
              </w:rPr>
            </w:pPr>
          </w:p>
        </w:tc>
        <w:tc>
          <w:tcPr>
            <w:tcW w:w="2828" w:type="dxa"/>
            <w:gridSpan w:val="2"/>
            <w:vMerge w:val="continue"/>
            <w:tcBorders>
              <w:top w:val="single" w:color="auto" w:sz="4" w:space="0"/>
              <w:left w:val="single" w:color="auto" w:sz="4" w:space="0"/>
              <w:bottom w:val="single" w:color="auto" w:sz="4" w:space="0"/>
              <w:right w:val="single" w:color="auto" w:sz="4" w:space="0"/>
            </w:tcBorders>
            <w:vAlign w:val="center"/>
          </w:tcPr>
          <w:p w14:paraId="4A6D5124">
            <w:pPr>
              <w:spacing w:line="276" w:lineRule="auto"/>
              <w:jc w:val="center"/>
              <w:rPr>
                <w:rFonts w:eastAsiaTheme="minorEastAsia"/>
                <w:szCs w:val="21"/>
              </w:rPr>
            </w:pPr>
          </w:p>
        </w:tc>
        <w:tc>
          <w:tcPr>
            <w:tcW w:w="3821" w:type="dxa"/>
            <w:tcBorders>
              <w:top w:val="single" w:color="auto" w:sz="4" w:space="0"/>
              <w:left w:val="nil"/>
              <w:bottom w:val="single" w:color="auto" w:sz="4" w:space="0"/>
            </w:tcBorders>
            <w:vAlign w:val="center"/>
          </w:tcPr>
          <w:p w14:paraId="653C4D4F">
            <w:pPr>
              <w:spacing w:line="276" w:lineRule="auto"/>
              <w:jc w:val="center"/>
              <w:rPr>
                <w:rFonts w:eastAsiaTheme="minorEastAsia"/>
                <w:szCs w:val="21"/>
              </w:rPr>
            </w:pPr>
            <w:r>
              <w:rPr>
                <w:rFonts w:eastAsiaTheme="minorEastAsia"/>
                <w:szCs w:val="21"/>
              </w:rPr>
              <w:t>9.5</w:t>
            </w:r>
          </w:p>
        </w:tc>
      </w:tr>
      <w:tr w14:paraId="12E23C4D">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07BAC467">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B277857">
            <w:pPr>
              <w:spacing w:line="276" w:lineRule="auto"/>
              <w:jc w:val="center"/>
              <w:rPr>
                <w:rFonts w:eastAsiaTheme="minorEastAsia"/>
                <w:szCs w:val="21"/>
              </w:rPr>
            </w:pPr>
            <w:r>
              <w:rPr>
                <w:rFonts w:eastAsiaTheme="minorEastAsia"/>
                <w:szCs w:val="21"/>
              </w:rPr>
              <w:t>2</w:t>
            </w:r>
          </w:p>
        </w:tc>
        <w:tc>
          <w:tcPr>
            <w:tcW w:w="3821" w:type="dxa"/>
            <w:tcBorders>
              <w:top w:val="single" w:color="auto" w:sz="4" w:space="0"/>
              <w:left w:val="nil"/>
              <w:bottom w:val="single" w:color="auto" w:sz="4" w:space="0"/>
            </w:tcBorders>
            <w:vAlign w:val="center"/>
          </w:tcPr>
          <w:p w14:paraId="606F4BD1">
            <w:pPr>
              <w:spacing w:line="276" w:lineRule="auto"/>
              <w:jc w:val="center"/>
              <w:rPr>
                <w:rFonts w:eastAsiaTheme="minorEastAsia"/>
                <w:szCs w:val="21"/>
              </w:rPr>
            </w:pPr>
            <w:r>
              <w:rPr>
                <w:rFonts w:eastAsiaTheme="minorEastAsia"/>
                <w:szCs w:val="21"/>
              </w:rPr>
              <w:t>13</w:t>
            </w:r>
          </w:p>
        </w:tc>
      </w:tr>
      <w:tr w14:paraId="2CADA465">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59544CD1">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432872F3">
            <w:pPr>
              <w:spacing w:line="276" w:lineRule="auto"/>
              <w:jc w:val="center"/>
              <w:rPr>
                <w:rFonts w:eastAsiaTheme="minorEastAsia"/>
                <w:szCs w:val="21"/>
              </w:rPr>
            </w:pPr>
            <w:r>
              <w:rPr>
                <w:rFonts w:eastAsiaTheme="minorEastAsia"/>
                <w:szCs w:val="21"/>
              </w:rPr>
              <w:t>3</w:t>
            </w:r>
          </w:p>
        </w:tc>
        <w:tc>
          <w:tcPr>
            <w:tcW w:w="3821" w:type="dxa"/>
            <w:tcBorders>
              <w:top w:val="single" w:color="auto" w:sz="4" w:space="0"/>
              <w:left w:val="nil"/>
              <w:bottom w:val="single" w:color="auto" w:sz="4" w:space="0"/>
            </w:tcBorders>
            <w:vAlign w:val="center"/>
          </w:tcPr>
          <w:p w14:paraId="572F44FA">
            <w:pPr>
              <w:spacing w:line="276" w:lineRule="auto"/>
              <w:jc w:val="center"/>
              <w:rPr>
                <w:rFonts w:eastAsiaTheme="minorEastAsia"/>
                <w:szCs w:val="21"/>
              </w:rPr>
            </w:pPr>
            <w:r>
              <w:rPr>
                <w:rFonts w:eastAsiaTheme="minorEastAsia"/>
                <w:szCs w:val="21"/>
              </w:rPr>
              <w:t>14</w:t>
            </w:r>
          </w:p>
        </w:tc>
      </w:tr>
      <w:tr w14:paraId="53C5A34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ACBC798">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07FDDEB4">
            <w:pPr>
              <w:spacing w:line="276" w:lineRule="auto"/>
              <w:jc w:val="center"/>
              <w:rPr>
                <w:rFonts w:eastAsiaTheme="minorEastAsia"/>
                <w:szCs w:val="21"/>
              </w:rPr>
            </w:pPr>
            <w:r>
              <w:rPr>
                <w:rFonts w:eastAsiaTheme="minorEastAsia"/>
                <w:szCs w:val="21"/>
              </w:rPr>
              <w:t>4</w:t>
            </w:r>
          </w:p>
        </w:tc>
        <w:tc>
          <w:tcPr>
            <w:tcW w:w="3821" w:type="dxa"/>
            <w:tcBorders>
              <w:top w:val="single" w:color="auto" w:sz="4" w:space="0"/>
              <w:left w:val="nil"/>
              <w:bottom w:val="single" w:color="auto" w:sz="4" w:space="0"/>
            </w:tcBorders>
            <w:vAlign w:val="center"/>
          </w:tcPr>
          <w:p w14:paraId="01DD1778">
            <w:pPr>
              <w:spacing w:line="276" w:lineRule="auto"/>
              <w:jc w:val="center"/>
              <w:rPr>
                <w:rFonts w:eastAsiaTheme="minorEastAsia"/>
                <w:szCs w:val="21"/>
              </w:rPr>
            </w:pPr>
            <w:r>
              <w:rPr>
                <w:rFonts w:eastAsiaTheme="minorEastAsia"/>
                <w:szCs w:val="21"/>
              </w:rPr>
              <w:t>15</w:t>
            </w:r>
          </w:p>
        </w:tc>
      </w:tr>
      <w:tr w14:paraId="73D3DD5F">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18BF65B">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17E514E">
            <w:pPr>
              <w:spacing w:line="276" w:lineRule="auto"/>
              <w:jc w:val="center"/>
              <w:rPr>
                <w:rFonts w:eastAsiaTheme="minorEastAsia"/>
                <w:szCs w:val="21"/>
              </w:rPr>
            </w:pPr>
            <w:r>
              <w:rPr>
                <w:rFonts w:eastAsiaTheme="minorEastAsia"/>
                <w:szCs w:val="21"/>
              </w:rPr>
              <w:t>5</w:t>
            </w:r>
          </w:p>
        </w:tc>
        <w:tc>
          <w:tcPr>
            <w:tcW w:w="3821" w:type="dxa"/>
            <w:tcBorders>
              <w:top w:val="single" w:color="auto" w:sz="4" w:space="0"/>
              <w:left w:val="nil"/>
              <w:bottom w:val="single" w:color="auto" w:sz="4" w:space="0"/>
            </w:tcBorders>
            <w:vAlign w:val="center"/>
          </w:tcPr>
          <w:p w14:paraId="5813FF01">
            <w:pPr>
              <w:spacing w:line="276" w:lineRule="auto"/>
              <w:jc w:val="center"/>
              <w:rPr>
                <w:rFonts w:eastAsiaTheme="minorEastAsia"/>
                <w:szCs w:val="21"/>
              </w:rPr>
            </w:pPr>
            <w:r>
              <w:rPr>
                <w:rFonts w:eastAsiaTheme="minorEastAsia"/>
                <w:szCs w:val="21"/>
              </w:rPr>
              <w:t>16</w:t>
            </w:r>
          </w:p>
        </w:tc>
      </w:tr>
      <w:tr w14:paraId="393F0C69">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641FABA">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45DB996">
            <w:pPr>
              <w:spacing w:line="276" w:lineRule="auto"/>
              <w:jc w:val="center"/>
              <w:rPr>
                <w:rFonts w:eastAsiaTheme="minorEastAsia"/>
                <w:szCs w:val="21"/>
              </w:rPr>
            </w:pPr>
            <w:r>
              <w:rPr>
                <w:rFonts w:eastAsiaTheme="minorEastAsia"/>
                <w:szCs w:val="21"/>
              </w:rPr>
              <w:t>6</w:t>
            </w:r>
          </w:p>
        </w:tc>
        <w:tc>
          <w:tcPr>
            <w:tcW w:w="3821" w:type="dxa"/>
            <w:tcBorders>
              <w:top w:val="single" w:color="auto" w:sz="4" w:space="0"/>
              <w:left w:val="nil"/>
              <w:bottom w:val="single" w:color="auto" w:sz="4" w:space="0"/>
            </w:tcBorders>
            <w:vAlign w:val="center"/>
          </w:tcPr>
          <w:p w14:paraId="2503B4E5">
            <w:pPr>
              <w:spacing w:line="276" w:lineRule="auto"/>
              <w:jc w:val="center"/>
              <w:rPr>
                <w:rFonts w:eastAsiaTheme="minorEastAsia"/>
                <w:szCs w:val="21"/>
              </w:rPr>
            </w:pPr>
            <w:r>
              <w:rPr>
                <w:rFonts w:eastAsiaTheme="minorEastAsia"/>
                <w:szCs w:val="21"/>
              </w:rPr>
              <w:t>17</w:t>
            </w:r>
          </w:p>
        </w:tc>
      </w:tr>
      <w:tr w14:paraId="2529740A">
        <w:tblPrEx>
          <w:tblCellMar>
            <w:top w:w="0" w:type="dxa"/>
            <w:left w:w="108" w:type="dxa"/>
            <w:bottom w:w="0" w:type="dxa"/>
            <w:right w:w="108" w:type="dxa"/>
          </w:tblCellMar>
        </w:tblPrEx>
        <w:trPr>
          <w:trHeight w:val="40" w:hRule="atLeast"/>
          <w:jc w:val="center"/>
        </w:trPr>
        <w:tc>
          <w:tcPr>
            <w:tcW w:w="6642" w:type="dxa"/>
            <w:gridSpan w:val="3"/>
            <w:tcBorders>
              <w:top w:val="single" w:color="auto" w:sz="4" w:space="0"/>
              <w:bottom w:val="single" w:color="auto" w:sz="4" w:space="0"/>
              <w:right w:val="single" w:color="auto" w:sz="4" w:space="0"/>
            </w:tcBorders>
            <w:vAlign w:val="center"/>
          </w:tcPr>
          <w:p w14:paraId="16833152">
            <w:pPr>
              <w:spacing w:line="276" w:lineRule="auto"/>
              <w:jc w:val="center"/>
              <w:rPr>
                <w:rFonts w:eastAsiaTheme="minorEastAsia"/>
                <w:szCs w:val="21"/>
              </w:rPr>
            </w:pPr>
            <w:r>
              <w:rPr>
                <w:rFonts w:eastAsiaTheme="minorEastAsia"/>
                <w:szCs w:val="21"/>
              </w:rPr>
              <w:t>沥青饱和度VFA（%）</w:t>
            </w:r>
          </w:p>
        </w:tc>
        <w:tc>
          <w:tcPr>
            <w:tcW w:w="3821" w:type="dxa"/>
            <w:tcBorders>
              <w:top w:val="single" w:color="auto" w:sz="4" w:space="0"/>
              <w:left w:val="nil"/>
              <w:bottom w:val="single" w:color="auto" w:sz="4" w:space="0"/>
            </w:tcBorders>
            <w:vAlign w:val="center"/>
          </w:tcPr>
          <w:p w14:paraId="1A0EE1B6">
            <w:pPr>
              <w:spacing w:line="276" w:lineRule="auto"/>
              <w:jc w:val="center"/>
              <w:rPr>
                <w:rFonts w:eastAsiaTheme="minorEastAsia"/>
                <w:szCs w:val="21"/>
              </w:rPr>
            </w:pPr>
            <w:r>
              <w:rPr>
                <w:rFonts w:eastAsiaTheme="minorEastAsia"/>
                <w:szCs w:val="21"/>
              </w:rPr>
              <w:t>70～85</w:t>
            </w:r>
          </w:p>
        </w:tc>
      </w:tr>
    </w:tbl>
    <w:p w14:paraId="4341B87C">
      <w:pPr>
        <w:pStyle w:val="97"/>
        <w:rPr>
          <w:rFonts w:ascii="Times New Roman" w:eastAsiaTheme="minorEastAsia"/>
        </w:rPr>
      </w:pPr>
      <w:r>
        <w:rPr>
          <w:rFonts w:ascii="Times New Roman" w:eastAsiaTheme="minorEastAsia"/>
        </w:rPr>
        <w:t>沥青混合料配合比设计和性能实验</w:t>
      </w:r>
    </w:p>
    <w:p w14:paraId="24D53708">
      <w:pPr>
        <w:pStyle w:val="99"/>
        <w:rPr>
          <w:rFonts w:eastAsiaTheme="minorEastAsia"/>
        </w:rPr>
      </w:pPr>
      <w:r>
        <w:rPr>
          <w:rFonts w:eastAsiaTheme="minorEastAsia"/>
        </w:rPr>
        <w:t>沥青混合料的配合比设计应遵循《公路沥青路面施工技术规范》（JTG F40－2004）的有关规定执行，必须进行热拌沥青混合料的目标配合比设计、生产配合比设计及生产配合比验证三个阶段，确定矿料级配及最佳沥青用量。</w:t>
      </w:r>
    </w:p>
    <w:p w14:paraId="79906D1E">
      <w:pPr>
        <w:pStyle w:val="99"/>
        <w:rPr>
          <w:rFonts w:eastAsiaTheme="minorEastAsia"/>
        </w:rPr>
      </w:pPr>
      <w:r>
        <w:rPr>
          <w:rFonts w:eastAsiaTheme="minorEastAsia"/>
        </w:rPr>
        <w:t>各层的沥青混合料的配合比设计采用马歇尔设计方法进行，并具有良好的施工性能。</w:t>
      </w:r>
    </w:p>
    <w:p w14:paraId="15A94812">
      <w:pPr>
        <w:pStyle w:val="99"/>
        <w:rPr>
          <w:rFonts w:eastAsiaTheme="minorEastAsia"/>
        </w:rPr>
      </w:pPr>
      <w:r>
        <w:rPr>
          <w:rFonts w:eastAsiaTheme="minorEastAsia"/>
        </w:rPr>
        <w:t>各层沥青混合料的工程设计矿料级配范围（参考）见下表。</w:t>
      </w:r>
    </w:p>
    <w:p w14:paraId="2FF33150">
      <w:pPr>
        <w:pStyle w:val="99"/>
        <w:spacing w:line="480" w:lineRule="auto"/>
        <w:ind w:firstLine="422"/>
        <w:jc w:val="center"/>
        <w:rPr>
          <w:rFonts w:eastAsiaTheme="minorEastAsia"/>
          <w:b/>
          <w:sz w:val="21"/>
          <w:szCs w:val="21"/>
        </w:rPr>
      </w:pPr>
      <w:r>
        <w:rPr>
          <w:rFonts w:eastAsiaTheme="minorEastAsia"/>
          <w:b/>
          <w:sz w:val="21"/>
          <w:szCs w:val="21"/>
        </w:rPr>
        <w:t>表5.11 沥青混合料矿料级配范围</w:t>
      </w:r>
    </w:p>
    <w:tbl>
      <w:tblPr>
        <w:tblStyle w:val="25"/>
        <w:tblW w:w="0" w:type="auto"/>
        <w:jc w:val="center"/>
        <w:tblLayout w:type="fixed"/>
        <w:tblCellMar>
          <w:top w:w="0" w:type="dxa"/>
          <w:left w:w="108" w:type="dxa"/>
          <w:bottom w:w="0" w:type="dxa"/>
          <w:right w:w="108" w:type="dxa"/>
        </w:tblCellMar>
      </w:tblPr>
      <w:tblGrid>
        <w:gridCol w:w="668"/>
        <w:gridCol w:w="578"/>
        <w:gridCol w:w="759"/>
        <w:gridCol w:w="759"/>
        <w:gridCol w:w="759"/>
        <w:gridCol w:w="759"/>
        <w:gridCol w:w="668"/>
        <w:gridCol w:w="668"/>
        <w:gridCol w:w="668"/>
        <w:gridCol w:w="668"/>
        <w:gridCol w:w="668"/>
        <w:gridCol w:w="578"/>
        <w:gridCol w:w="578"/>
        <w:gridCol w:w="671"/>
        <w:gridCol w:w="759"/>
      </w:tblGrid>
      <w:tr w14:paraId="49AE25A5">
        <w:tblPrEx>
          <w:tblCellMar>
            <w:top w:w="0" w:type="dxa"/>
            <w:left w:w="108" w:type="dxa"/>
            <w:bottom w:w="0" w:type="dxa"/>
            <w:right w:w="108" w:type="dxa"/>
          </w:tblCellMar>
        </w:tblPrEx>
        <w:trPr>
          <w:trHeight w:val="416" w:hRule="atLeast"/>
          <w:jc w:val="center"/>
        </w:trPr>
        <w:tc>
          <w:tcPr>
            <w:tcW w:w="668" w:type="dxa"/>
            <w:vMerge w:val="restart"/>
            <w:tcBorders>
              <w:top w:val="single" w:color="auto" w:sz="4" w:space="0"/>
              <w:bottom w:val="single" w:color="auto" w:sz="4" w:space="0"/>
              <w:right w:val="single" w:color="auto" w:sz="4" w:space="0"/>
            </w:tcBorders>
            <w:vAlign w:val="center"/>
          </w:tcPr>
          <w:p w14:paraId="17AD6D6C">
            <w:pPr>
              <w:spacing w:line="276" w:lineRule="auto"/>
              <w:jc w:val="center"/>
              <w:rPr>
                <w:rFonts w:eastAsiaTheme="minorEastAsia"/>
                <w:sz w:val="18"/>
                <w:szCs w:val="18"/>
              </w:rPr>
            </w:pPr>
            <w:r>
              <w:rPr>
                <w:rFonts w:eastAsiaTheme="minorEastAsia"/>
                <w:sz w:val="18"/>
                <w:szCs w:val="18"/>
              </w:rPr>
              <w:t>级配</w:t>
            </w:r>
          </w:p>
          <w:p w14:paraId="2CE5DB32">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color="auto" w:sz="4" w:space="0"/>
              <w:left w:val="nil"/>
              <w:bottom w:val="single" w:color="auto" w:sz="4" w:space="0"/>
              <w:right w:val="single" w:color="auto" w:sz="4" w:space="0"/>
            </w:tcBorders>
            <w:vAlign w:val="center"/>
          </w:tcPr>
          <w:p w14:paraId="75727AE2">
            <w:pPr>
              <w:spacing w:line="276" w:lineRule="auto"/>
              <w:jc w:val="center"/>
              <w:rPr>
                <w:rFonts w:eastAsiaTheme="minorEastAsia"/>
                <w:sz w:val="18"/>
                <w:szCs w:val="18"/>
              </w:rPr>
            </w:pPr>
            <w:r>
              <w:rPr>
                <w:rFonts w:eastAsiaTheme="minorEastAsia"/>
                <w:sz w:val="18"/>
                <w:szCs w:val="18"/>
              </w:rPr>
              <w:t>通过下列筛孔（mm）的质量百分率（%）</w:t>
            </w:r>
          </w:p>
        </w:tc>
        <w:tc>
          <w:tcPr>
            <w:tcW w:w="759" w:type="dxa"/>
            <w:vMerge w:val="restart"/>
            <w:tcBorders>
              <w:top w:val="single" w:color="auto" w:sz="4" w:space="0"/>
              <w:left w:val="nil"/>
            </w:tcBorders>
            <w:vAlign w:val="center"/>
          </w:tcPr>
          <w:p w14:paraId="1C920335">
            <w:pPr>
              <w:spacing w:line="276" w:lineRule="auto"/>
              <w:jc w:val="center"/>
              <w:rPr>
                <w:rFonts w:eastAsiaTheme="minorEastAsia"/>
                <w:sz w:val="18"/>
                <w:szCs w:val="18"/>
              </w:rPr>
            </w:pPr>
            <w:r>
              <w:rPr>
                <w:rFonts w:eastAsiaTheme="minorEastAsia"/>
                <w:sz w:val="18"/>
                <w:szCs w:val="18"/>
              </w:rPr>
              <w:t>油石比</w:t>
            </w:r>
          </w:p>
          <w:p w14:paraId="4916E6E5">
            <w:pPr>
              <w:spacing w:line="276" w:lineRule="auto"/>
              <w:jc w:val="center"/>
              <w:rPr>
                <w:rFonts w:eastAsiaTheme="minorEastAsia"/>
                <w:sz w:val="18"/>
                <w:szCs w:val="18"/>
              </w:rPr>
            </w:pPr>
            <w:r>
              <w:rPr>
                <w:rFonts w:eastAsiaTheme="minorEastAsia"/>
                <w:sz w:val="18"/>
                <w:szCs w:val="18"/>
              </w:rPr>
              <w:t>（%）</w:t>
            </w:r>
          </w:p>
        </w:tc>
      </w:tr>
      <w:tr w14:paraId="48062C31">
        <w:tblPrEx>
          <w:tblCellMar>
            <w:top w:w="0" w:type="dxa"/>
            <w:left w:w="108" w:type="dxa"/>
            <w:bottom w:w="0" w:type="dxa"/>
            <w:right w:w="108" w:type="dxa"/>
          </w:tblCellMar>
        </w:tblPrEx>
        <w:trPr>
          <w:trHeight w:val="416" w:hRule="atLeast"/>
          <w:jc w:val="center"/>
        </w:trPr>
        <w:tc>
          <w:tcPr>
            <w:tcW w:w="668" w:type="dxa"/>
            <w:vMerge w:val="continue"/>
            <w:tcBorders>
              <w:top w:val="single" w:color="auto" w:sz="4" w:space="0"/>
              <w:bottom w:val="single" w:color="auto" w:sz="4" w:space="0"/>
              <w:right w:val="single" w:color="auto" w:sz="4" w:space="0"/>
            </w:tcBorders>
            <w:vAlign w:val="center"/>
          </w:tcPr>
          <w:p w14:paraId="36BA6C8C">
            <w:pPr>
              <w:spacing w:line="276" w:lineRule="auto"/>
              <w:jc w:val="center"/>
              <w:rPr>
                <w:rFonts w:eastAsiaTheme="minorEastAsia"/>
                <w:sz w:val="18"/>
                <w:szCs w:val="18"/>
              </w:rPr>
            </w:pPr>
          </w:p>
        </w:tc>
        <w:tc>
          <w:tcPr>
            <w:tcW w:w="578" w:type="dxa"/>
            <w:tcBorders>
              <w:top w:val="nil"/>
              <w:left w:val="nil"/>
              <w:bottom w:val="single" w:color="auto" w:sz="4" w:space="0"/>
              <w:right w:val="single" w:color="auto" w:sz="4" w:space="0"/>
            </w:tcBorders>
            <w:vAlign w:val="center"/>
          </w:tcPr>
          <w:p w14:paraId="3735507E">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color="auto" w:sz="4" w:space="0"/>
              <w:right w:val="single" w:color="auto" w:sz="4" w:space="0"/>
            </w:tcBorders>
            <w:vAlign w:val="center"/>
          </w:tcPr>
          <w:p w14:paraId="7B1F5381">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color="auto" w:sz="4" w:space="0"/>
              <w:right w:val="single" w:color="auto" w:sz="4" w:space="0"/>
            </w:tcBorders>
            <w:vAlign w:val="center"/>
          </w:tcPr>
          <w:p w14:paraId="2113C62A">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color="auto" w:sz="4" w:space="0"/>
              <w:right w:val="single" w:color="auto" w:sz="4" w:space="0"/>
            </w:tcBorders>
            <w:vAlign w:val="center"/>
          </w:tcPr>
          <w:p w14:paraId="0F943CE1">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color="auto" w:sz="4" w:space="0"/>
              <w:right w:val="single" w:color="auto" w:sz="4" w:space="0"/>
            </w:tcBorders>
            <w:vAlign w:val="center"/>
          </w:tcPr>
          <w:p w14:paraId="526DE6E5">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color="auto" w:sz="4" w:space="0"/>
              <w:right w:val="single" w:color="auto" w:sz="4" w:space="0"/>
            </w:tcBorders>
            <w:vAlign w:val="center"/>
          </w:tcPr>
          <w:p w14:paraId="7D242CA2">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color="auto" w:sz="4" w:space="0"/>
              <w:right w:val="single" w:color="auto" w:sz="4" w:space="0"/>
            </w:tcBorders>
            <w:vAlign w:val="center"/>
          </w:tcPr>
          <w:p w14:paraId="3B8CB4D3">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color="auto" w:sz="4" w:space="0"/>
              <w:right w:val="single" w:color="auto" w:sz="4" w:space="0"/>
            </w:tcBorders>
            <w:vAlign w:val="center"/>
          </w:tcPr>
          <w:p w14:paraId="3E1FDD00">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color="auto" w:sz="4" w:space="0"/>
              <w:right w:val="single" w:color="auto" w:sz="4" w:space="0"/>
            </w:tcBorders>
            <w:vAlign w:val="center"/>
          </w:tcPr>
          <w:p w14:paraId="3FF45292">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color="auto" w:sz="4" w:space="0"/>
              <w:right w:val="single" w:color="auto" w:sz="4" w:space="0"/>
            </w:tcBorders>
            <w:vAlign w:val="center"/>
          </w:tcPr>
          <w:p w14:paraId="6580DA49">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color="auto" w:sz="4" w:space="0"/>
              <w:right w:val="single" w:color="auto" w:sz="4" w:space="0"/>
            </w:tcBorders>
            <w:vAlign w:val="center"/>
          </w:tcPr>
          <w:p w14:paraId="20787101">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color="auto" w:sz="4" w:space="0"/>
              <w:right w:val="single" w:color="auto" w:sz="4" w:space="0"/>
            </w:tcBorders>
            <w:vAlign w:val="center"/>
          </w:tcPr>
          <w:p w14:paraId="22EE75D4">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color="auto" w:sz="4" w:space="0"/>
              <w:right w:val="single" w:color="auto" w:sz="4" w:space="0"/>
            </w:tcBorders>
            <w:vAlign w:val="center"/>
          </w:tcPr>
          <w:p w14:paraId="61DB3B0F">
            <w:pPr>
              <w:spacing w:line="276" w:lineRule="auto"/>
              <w:jc w:val="center"/>
              <w:rPr>
                <w:rFonts w:eastAsiaTheme="minorEastAsia"/>
                <w:sz w:val="18"/>
                <w:szCs w:val="18"/>
              </w:rPr>
            </w:pPr>
            <w:r>
              <w:rPr>
                <w:rFonts w:eastAsiaTheme="minorEastAsia"/>
                <w:sz w:val="18"/>
                <w:szCs w:val="18"/>
              </w:rPr>
              <w:t>0.075</w:t>
            </w:r>
          </w:p>
        </w:tc>
        <w:tc>
          <w:tcPr>
            <w:tcW w:w="759" w:type="dxa"/>
            <w:vMerge w:val="continue"/>
            <w:tcBorders>
              <w:left w:val="nil"/>
              <w:bottom w:val="single" w:color="auto" w:sz="4" w:space="0"/>
            </w:tcBorders>
            <w:vAlign w:val="center"/>
          </w:tcPr>
          <w:p w14:paraId="1981457B">
            <w:pPr>
              <w:spacing w:line="276" w:lineRule="auto"/>
              <w:jc w:val="center"/>
              <w:rPr>
                <w:rFonts w:eastAsiaTheme="minorEastAsia"/>
                <w:sz w:val="18"/>
                <w:szCs w:val="18"/>
              </w:rPr>
            </w:pPr>
          </w:p>
        </w:tc>
      </w:tr>
      <w:tr w14:paraId="4C2DB6C6">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6752724D">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color="auto" w:sz="4" w:space="0"/>
              <w:right w:val="single" w:color="auto" w:sz="4" w:space="0"/>
            </w:tcBorders>
            <w:vAlign w:val="center"/>
          </w:tcPr>
          <w:p w14:paraId="0DFB368E">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6333E9EA">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7D8486E4">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color="auto" w:sz="4" w:space="0"/>
              <w:right w:val="single" w:color="auto" w:sz="4" w:space="0"/>
            </w:tcBorders>
            <w:vAlign w:val="center"/>
          </w:tcPr>
          <w:p w14:paraId="0F6FE9A9">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color="auto" w:sz="4" w:space="0"/>
              <w:right w:val="single" w:color="auto" w:sz="4" w:space="0"/>
            </w:tcBorders>
            <w:vAlign w:val="center"/>
          </w:tcPr>
          <w:p w14:paraId="379ADC30">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color="auto" w:sz="4" w:space="0"/>
              <w:right w:val="single" w:color="auto" w:sz="4" w:space="0"/>
            </w:tcBorders>
            <w:vAlign w:val="center"/>
          </w:tcPr>
          <w:p w14:paraId="2C7D270B">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color="auto" w:sz="4" w:space="0"/>
              <w:right w:val="single" w:color="auto" w:sz="4" w:space="0"/>
            </w:tcBorders>
            <w:vAlign w:val="center"/>
          </w:tcPr>
          <w:p w14:paraId="53EE7BDC">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color="auto" w:sz="4" w:space="0"/>
              <w:right w:val="single" w:color="auto" w:sz="4" w:space="0"/>
            </w:tcBorders>
            <w:vAlign w:val="center"/>
          </w:tcPr>
          <w:p w14:paraId="02C7AEAA">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color="auto" w:sz="4" w:space="0"/>
              <w:right w:val="single" w:color="auto" w:sz="4" w:space="0"/>
            </w:tcBorders>
            <w:vAlign w:val="center"/>
          </w:tcPr>
          <w:p w14:paraId="635E4CC4">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color="auto" w:sz="4" w:space="0"/>
              <w:right w:val="single" w:color="auto" w:sz="4" w:space="0"/>
            </w:tcBorders>
            <w:vAlign w:val="center"/>
          </w:tcPr>
          <w:p w14:paraId="5B5E6A2A">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color="auto" w:sz="4" w:space="0"/>
              <w:right w:val="single" w:color="auto" w:sz="4" w:space="0"/>
            </w:tcBorders>
            <w:vAlign w:val="center"/>
          </w:tcPr>
          <w:p w14:paraId="047E3DA5">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color="auto" w:sz="4" w:space="0"/>
              <w:right w:val="single" w:color="auto" w:sz="4" w:space="0"/>
            </w:tcBorders>
            <w:vAlign w:val="center"/>
          </w:tcPr>
          <w:p w14:paraId="62F30184">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color="auto" w:sz="4" w:space="0"/>
              <w:right w:val="single" w:color="auto" w:sz="4" w:space="0"/>
            </w:tcBorders>
            <w:vAlign w:val="center"/>
          </w:tcPr>
          <w:p w14:paraId="56A4E0A7">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color="auto" w:sz="4" w:space="0"/>
            </w:tcBorders>
            <w:vAlign w:val="center"/>
          </w:tcPr>
          <w:p w14:paraId="635A481D">
            <w:pPr>
              <w:spacing w:line="276" w:lineRule="auto"/>
              <w:jc w:val="center"/>
              <w:rPr>
                <w:rFonts w:eastAsiaTheme="minorEastAsia"/>
                <w:sz w:val="18"/>
                <w:szCs w:val="18"/>
              </w:rPr>
            </w:pPr>
            <w:r>
              <w:rPr>
                <w:rFonts w:eastAsiaTheme="minorEastAsia"/>
                <w:sz w:val="18"/>
                <w:szCs w:val="18"/>
              </w:rPr>
              <w:t>4-6</w:t>
            </w:r>
          </w:p>
        </w:tc>
      </w:tr>
      <w:tr w14:paraId="39B31695">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258B1AD2">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color="auto" w:sz="4" w:space="0"/>
              <w:right w:val="single" w:color="auto" w:sz="4" w:space="0"/>
            </w:tcBorders>
            <w:vAlign w:val="center"/>
          </w:tcPr>
          <w:p w14:paraId="689A1D8C">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34A37FC0">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13287A24">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22E7143E">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3E64E11D">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color="auto" w:sz="4" w:space="0"/>
              <w:right w:val="single" w:color="auto" w:sz="4" w:space="0"/>
            </w:tcBorders>
            <w:vAlign w:val="center"/>
          </w:tcPr>
          <w:p w14:paraId="575A74FF">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color="auto" w:sz="4" w:space="0"/>
              <w:right w:val="single" w:color="auto" w:sz="4" w:space="0"/>
            </w:tcBorders>
            <w:vAlign w:val="center"/>
          </w:tcPr>
          <w:p w14:paraId="30BED35F">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color="auto" w:sz="4" w:space="0"/>
              <w:right w:val="single" w:color="auto" w:sz="4" w:space="0"/>
            </w:tcBorders>
            <w:vAlign w:val="center"/>
          </w:tcPr>
          <w:p w14:paraId="5809A006">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color="auto" w:sz="4" w:space="0"/>
              <w:right w:val="single" w:color="auto" w:sz="4" w:space="0"/>
            </w:tcBorders>
            <w:vAlign w:val="center"/>
          </w:tcPr>
          <w:p w14:paraId="09A38381">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color="auto" w:sz="4" w:space="0"/>
              <w:right w:val="single" w:color="auto" w:sz="4" w:space="0"/>
            </w:tcBorders>
            <w:vAlign w:val="center"/>
          </w:tcPr>
          <w:p w14:paraId="2A1A4B8A">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color="auto" w:sz="4" w:space="0"/>
              <w:right w:val="single" w:color="auto" w:sz="4" w:space="0"/>
            </w:tcBorders>
            <w:vAlign w:val="center"/>
          </w:tcPr>
          <w:p w14:paraId="15635F7F">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color="auto" w:sz="4" w:space="0"/>
              <w:right w:val="single" w:color="auto" w:sz="4" w:space="0"/>
            </w:tcBorders>
            <w:vAlign w:val="center"/>
          </w:tcPr>
          <w:p w14:paraId="6333915E">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color="auto" w:sz="4" w:space="0"/>
              <w:right w:val="single" w:color="auto" w:sz="4" w:space="0"/>
            </w:tcBorders>
            <w:vAlign w:val="center"/>
          </w:tcPr>
          <w:p w14:paraId="37BC4023">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color="auto" w:sz="4" w:space="0"/>
            </w:tcBorders>
            <w:vAlign w:val="center"/>
          </w:tcPr>
          <w:p w14:paraId="4F16F132">
            <w:pPr>
              <w:spacing w:line="276" w:lineRule="auto"/>
              <w:jc w:val="center"/>
              <w:rPr>
                <w:rFonts w:eastAsiaTheme="minorEastAsia"/>
                <w:sz w:val="18"/>
                <w:szCs w:val="18"/>
              </w:rPr>
            </w:pPr>
            <w:r>
              <w:rPr>
                <w:rFonts w:eastAsiaTheme="minorEastAsia"/>
                <w:sz w:val="18"/>
                <w:szCs w:val="18"/>
              </w:rPr>
              <w:t>4-6</w:t>
            </w:r>
          </w:p>
        </w:tc>
      </w:tr>
    </w:tbl>
    <w:p w14:paraId="75106DAD">
      <w:pPr>
        <w:pStyle w:val="99"/>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14:paraId="0AA9520B">
      <w:pPr>
        <w:pStyle w:val="99"/>
        <w:rPr>
          <w:rFonts w:eastAsiaTheme="minorEastAsia"/>
        </w:rPr>
      </w:pPr>
      <w:r>
        <w:rPr>
          <w:rFonts w:eastAsiaTheme="minorEastAsia"/>
        </w:rPr>
        <w:t>对于沥青混凝土AC各面层，需在配合比设计的基础上进行各种使用性能检验，不符合要求时必须更换材料或重新进行配合比设计。使用性能检验技术指标见下表。</w:t>
      </w:r>
    </w:p>
    <w:p w14:paraId="2DD9EE12">
      <w:pPr>
        <w:pStyle w:val="99"/>
        <w:spacing w:line="480" w:lineRule="auto"/>
        <w:ind w:firstLine="0" w:firstLineChars="0"/>
        <w:jc w:val="center"/>
        <w:rPr>
          <w:rFonts w:eastAsiaTheme="minorEastAsia"/>
          <w:b/>
          <w:sz w:val="21"/>
          <w:szCs w:val="21"/>
        </w:rPr>
      </w:pPr>
      <w:r>
        <w:rPr>
          <w:rFonts w:eastAsiaTheme="minorEastAsia"/>
          <w:b/>
          <w:sz w:val="21"/>
          <w:szCs w:val="21"/>
        </w:rPr>
        <w:t>表5.12 沥青混合料性能试验技术要求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726"/>
        <w:gridCol w:w="1572"/>
        <w:gridCol w:w="68"/>
        <w:gridCol w:w="1505"/>
        <w:gridCol w:w="1279"/>
      </w:tblGrid>
      <w:tr w14:paraId="67E504C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6A7AA119">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14:paraId="6428B2EC">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14:paraId="4D370E91">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14:paraId="25869C3D">
            <w:pPr>
              <w:adjustRightInd w:val="0"/>
              <w:snapToGrid w:val="0"/>
              <w:spacing w:line="276" w:lineRule="auto"/>
              <w:jc w:val="center"/>
              <w:rPr>
                <w:rFonts w:eastAsiaTheme="minorEastAsia"/>
                <w:szCs w:val="21"/>
              </w:rPr>
            </w:pPr>
            <w:r>
              <w:rPr>
                <w:rFonts w:eastAsiaTheme="minorEastAsia"/>
                <w:szCs w:val="21"/>
              </w:rPr>
              <w:t>试验方法</w:t>
            </w:r>
          </w:p>
        </w:tc>
      </w:tr>
      <w:tr w14:paraId="23D83E4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1" w:hRule="exact"/>
          <w:jc w:val="center"/>
        </w:trPr>
        <w:tc>
          <w:tcPr>
            <w:tcW w:w="8150" w:type="dxa"/>
            <w:gridSpan w:val="5"/>
            <w:vAlign w:val="center"/>
          </w:tcPr>
          <w:p w14:paraId="00CB00E3">
            <w:pPr>
              <w:adjustRightInd w:val="0"/>
              <w:snapToGrid w:val="0"/>
              <w:spacing w:line="276" w:lineRule="auto"/>
              <w:jc w:val="center"/>
              <w:rPr>
                <w:rFonts w:eastAsiaTheme="minorEastAsia"/>
                <w:szCs w:val="21"/>
              </w:rPr>
            </w:pPr>
            <w:r>
              <w:rPr>
                <w:rFonts w:eastAsiaTheme="minorEastAsia"/>
                <w:szCs w:val="21"/>
              </w:rPr>
              <w:t>1、高温抗车辙试验</w:t>
            </w:r>
          </w:p>
        </w:tc>
      </w:tr>
      <w:tr w14:paraId="717E86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7" w:hRule="exact"/>
          <w:jc w:val="center"/>
        </w:trPr>
        <w:tc>
          <w:tcPr>
            <w:tcW w:w="3726" w:type="dxa"/>
            <w:vAlign w:val="center"/>
          </w:tcPr>
          <w:p w14:paraId="6D9BBD5C">
            <w:pPr>
              <w:adjustRightInd w:val="0"/>
              <w:snapToGrid w:val="0"/>
              <w:spacing w:line="276" w:lineRule="auto"/>
              <w:jc w:val="center"/>
              <w:rPr>
                <w:rFonts w:eastAsiaTheme="minorEastAsia"/>
                <w:szCs w:val="21"/>
              </w:rPr>
            </w:pPr>
            <w:r>
              <w:rPr>
                <w:rFonts w:eastAsiaTheme="minorEastAsia"/>
                <w:szCs w:val="21"/>
              </w:rPr>
              <w:t>动稳定度，不小于(次/mm)</w:t>
            </w:r>
          </w:p>
        </w:tc>
        <w:tc>
          <w:tcPr>
            <w:tcW w:w="1640" w:type="dxa"/>
            <w:gridSpan w:val="2"/>
            <w:vAlign w:val="center"/>
          </w:tcPr>
          <w:p w14:paraId="62006206">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14:paraId="3A55EBDF">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14:paraId="476F7BD2">
            <w:pPr>
              <w:adjustRightInd w:val="0"/>
              <w:snapToGrid w:val="0"/>
              <w:spacing w:line="276" w:lineRule="auto"/>
              <w:jc w:val="center"/>
              <w:rPr>
                <w:rFonts w:eastAsiaTheme="minorEastAsia"/>
                <w:szCs w:val="21"/>
              </w:rPr>
            </w:pPr>
            <w:r>
              <w:rPr>
                <w:rFonts w:eastAsiaTheme="minorEastAsia"/>
                <w:szCs w:val="21"/>
              </w:rPr>
              <w:t>T0719</w:t>
            </w:r>
          </w:p>
        </w:tc>
      </w:tr>
      <w:tr w14:paraId="160AD94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0" w:hRule="exact"/>
          <w:jc w:val="center"/>
        </w:trPr>
        <w:tc>
          <w:tcPr>
            <w:tcW w:w="8150" w:type="dxa"/>
            <w:gridSpan w:val="5"/>
            <w:vAlign w:val="center"/>
          </w:tcPr>
          <w:p w14:paraId="3DA0F90B">
            <w:pPr>
              <w:adjustRightInd w:val="0"/>
              <w:snapToGrid w:val="0"/>
              <w:spacing w:line="276" w:lineRule="auto"/>
              <w:jc w:val="center"/>
              <w:rPr>
                <w:rFonts w:eastAsiaTheme="minorEastAsia"/>
                <w:szCs w:val="21"/>
              </w:rPr>
            </w:pPr>
            <w:r>
              <w:rPr>
                <w:rFonts w:eastAsiaTheme="minorEastAsia"/>
                <w:szCs w:val="21"/>
              </w:rPr>
              <w:t>2、水稳定性试验</w:t>
            </w:r>
          </w:p>
        </w:tc>
      </w:tr>
      <w:tr w14:paraId="2DE1907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6CB292D1">
            <w:pPr>
              <w:adjustRightInd w:val="0"/>
              <w:snapToGrid w:val="0"/>
              <w:spacing w:line="276" w:lineRule="auto"/>
              <w:jc w:val="center"/>
              <w:rPr>
                <w:rFonts w:eastAsiaTheme="minorEastAsia"/>
                <w:szCs w:val="21"/>
              </w:rPr>
            </w:pPr>
            <w:r>
              <w:rPr>
                <w:rFonts w:eastAsiaTheme="minorEastAsia"/>
                <w:szCs w:val="21"/>
              </w:rPr>
              <w:t>浸水马歇尔残留稳定度(%)，不小于</w:t>
            </w:r>
          </w:p>
        </w:tc>
        <w:tc>
          <w:tcPr>
            <w:tcW w:w="1572" w:type="dxa"/>
            <w:vAlign w:val="center"/>
          </w:tcPr>
          <w:p w14:paraId="0E44382A">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14:paraId="1F650EEC">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14:paraId="65D850C1">
            <w:pPr>
              <w:adjustRightInd w:val="0"/>
              <w:snapToGrid w:val="0"/>
              <w:spacing w:line="276" w:lineRule="auto"/>
              <w:jc w:val="center"/>
              <w:rPr>
                <w:rFonts w:eastAsiaTheme="minorEastAsia"/>
                <w:szCs w:val="21"/>
              </w:rPr>
            </w:pPr>
            <w:r>
              <w:rPr>
                <w:rFonts w:eastAsiaTheme="minorEastAsia"/>
                <w:szCs w:val="21"/>
              </w:rPr>
              <w:t>T0709</w:t>
            </w:r>
          </w:p>
        </w:tc>
      </w:tr>
      <w:tr w14:paraId="569FF64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9" w:hRule="exact"/>
          <w:jc w:val="center"/>
        </w:trPr>
        <w:tc>
          <w:tcPr>
            <w:tcW w:w="3726" w:type="dxa"/>
            <w:vAlign w:val="center"/>
          </w:tcPr>
          <w:p w14:paraId="06EC600C">
            <w:pPr>
              <w:adjustRightInd w:val="0"/>
              <w:snapToGrid w:val="0"/>
              <w:spacing w:line="276" w:lineRule="auto"/>
              <w:jc w:val="center"/>
              <w:rPr>
                <w:rFonts w:eastAsiaTheme="minorEastAsia"/>
                <w:szCs w:val="21"/>
              </w:rPr>
            </w:pPr>
            <w:r>
              <w:rPr>
                <w:rFonts w:eastAsiaTheme="minorEastAsia"/>
                <w:szCs w:val="21"/>
              </w:rPr>
              <w:t>冻融劈裂残留强度比(%),不小于</w:t>
            </w:r>
          </w:p>
        </w:tc>
        <w:tc>
          <w:tcPr>
            <w:tcW w:w="1572" w:type="dxa"/>
            <w:vAlign w:val="center"/>
          </w:tcPr>
          <w:p w14:paraId="37019FF3">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14:paraId="1E1B87EB">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14:paraId="230C2FB5">
            <w:pPr>
              <w:adjustRightInd w:val="0"/>
              <w:snapToGrid w:val="0"/>
              <w:spacing w:line="276" w:lineRule="auto"/>
              <w:jc w:val="center"/>
              <w:rPr>
                <w:rFonts w:eastAsiaTheme="minorEastAsia"/>
                <w:szCs w:val="21"/>
              </w:rPr>
            </w:pPr>
            <w:r>
              <w:rPr>
                <w:rFonts w:eastAsiaTheme="minorEastAsia"/>
                <w:szCs w:val="21"/>
              </w:rPr>
              <w:t>T0729</w:t>
            </w:r>
          </w:p>
        </w:tc>
      </w:tr>
      <w:tr w14:paraId="346E4C9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3" w:hRule="exact"/>
          <w:jc w:val="center"/>
        </w:trPr>
        <w:tc>
          <w:tcPr>
            <w:tcW w:w="8150" w:type="dxa"/>
            <w:gridSpan w:val="5"/>
            <w:vAlign w:val="center"/>
          </w:tcPr>
          <w:p w14:paraId="559DBCCE">
            <w:pPr>
              <w:adjustRightInd w:val="0"/>
              <w:snapToGrid w:val="0"/>
              <w:spacing w:line="276" w:lineRule="auto"/>
              <w:jc w:val="center"/>
              <w:rPr>
                <w:rFonts w:eastAsiaTheme="minorEastAsia"/>
                <w:szCs w:val="21"/>
              </w:rPr>
            </w:pPr>
            <w:r>
              <w:rPr>
                <w:rFonts w:eastAsiaTheme="minorEastAsia"/>
                <w:szCs w:val="21"/>
              </w:rPr>
              <w:t>3、低温弯曲试验(-10℃，50mm/min)</w:t>
            </w:r>
          </w:p>
        </w:tc>
      </w:tr>
      <w:tr w14:paraId="43AC301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9" w:hRule="exact"/>
          <w:jc w:val="center"/>
        </w:trPr>
        <w:tc>
          <w:tcPr>
            <w:tcW w:w="3726" w:type="dxa"/>
            <w:vAlign w:val="center"/>
          </w:tcPr>
          <w:p w14:paraId="7E566DC8">
            <w:pPr>
              <w:adjustRightInd w:val="0"/>
              <w:snapToGrid w:val="0"/>
              <w:spacing w:line="276" w:lineRule="auto"/>
              <w:jc w:val="center"/>
              <w:rPr>
                <w:rFonts w:eastAsiaTheme="minorEastAsia"/>
                <w:szCs w:val="21"/>
              </w:rPr>
            </w:pPr>
            <w:r>
              <w:rPr>
                <w:rFonts w:eastAsiaTheme="minorEastAsia"/>
                <w:szCs w:val="21"/>
              </w:rPr>
              <w:t>破坏应变（με），不小于</w:t>
            </w:r>
          </w:p>
        </w:tc>
        <w:tc>
          <w:tcPr>
            <w:tcW w:w="1640" w:type="dxa"/>
            <w:gridSpan w:val="2"/>
            <w:vAlign w:val="center"/>
          </w:tcPr>
          <w:p w14:paraId="421D50DA">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14:paraId="4DE7C7A3">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14:paraId="7289CBEB">
            <w:pPr>
              <w:adjustRightInd w:val="0"/>
              <w:snapToGrid w:val="0"/>
              <w:spacing w:line="276" w:lineRule="auto"/>
              <w:jc w:val="center"/>
              <w:rPr>
                <w:rFonts w:eastAsiaTheme="minorEastAsia"/>
                <w:szCs w:val="21"/>
              </w:rPr>
            </w:pPr>
            <w:r>
              <w:rPr>
                <w:rFonts w:eastAsiaTheme="minorEastAsia"/>
                <w:szCs w:val="21"/>
              </w:rPr>
              <w:t>T0715</w:t>
            </w:r>
          </w:p>
        </w:tc>
      </w:tr>
      <w:tr w14:paraId="12B81E5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1" w:hRule="exact"/>
          <w:jc w:val="center"/>
        </w:trPr>
        <w:tc>
          <w:tcPr>
            <w:tcW w:w="8150" w:type="dxa"/>
            <w:gridSpan w:val="5"/>
            <w:vAlign w:val="center"/>
          </w:tcPr>
          <w:p w14:paraId="530E4A90">
            <w:pPr>
              <w:adjustRightInd w:val="0"/>
              <w:snapToGrid w:val="0"/>
              <w:spacing w:line="276" w:lineRule="auto"/>
              <w:jc w:val="center"/>
              <w:rPr>
                <w:rFonts w:eastAsiaTheme="minorEastAsia"/>
                <w:szCs w:val="21"/>
              </w:rPr>
            </w:pPr>
            <w:r>
              <w:rPr>
                <w:rFonts w:eastAsiaTheme="minorEastAsia"/>
                <w:szCs w:val="21"/>
              </w:rPr>
              <w:t>4、室内渗水试验</w:t>
            </w:r>
          </w:p>
        </w:tc>
      </w:tr>
      <w:tr w14:paraId="69AAA10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6" w:hRule="exact"/>
          <w:jc w:val="center"/>
        </w:trPr>
        <w:tc>
          <w:tcPr>
            <w:tcW w:w="3726" w:type="dxa"/>
            <w:vAlign w:val="center"/>
          </w:tcPr>
          <w:p w14:paraId="19B24A9B">
            <w:pPr>
              <w:adjustRightInd w:val="0"/>
              <w:snapToGrid w:val="0"/>
              <w:spacing w:line="276" w:lineRule="auto"/>
              <w:jc w:val="center"/>
              <w:rPr>
                <w:rFonts w:eastAsiaTheme="minorEastAsia"/>
                <w:szCs w:val="21"/>
              </w:rPr>
            </w:pPr>
            <w:r>
              <w:rPr>
                <w:rFonts w:eastAsiaTheme="minorEastAsia"/>
                <w:szCs w:val="21"/>
              </w:rPr>
              <w:t>渗水系数，不大于(mL/min)</w:t>
            </w:r>
          </w:p>
        </w:tc>
        <w:tc>
          <w:tcPr>
            <w:tcW w:w="3145" w:type="dxa"/>
            <w:gridSpan w:val="3"/>
            <w:vAlign w:val="center"/>
          </w:tcPr>
          <w:p w14:paraId="211276F8">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14:paraId="397D6926">
            <w:pPr>
              <w:adjustRightInd w:val="0"/>
              <w:snapToGrid w:val="0"/>
              <w:spacing w:line="276" w:lineRule="auto"/>
              <w:jc w:val="center"/>
              <w:rPr>
                <w:rFonts w:eastAsiaTheme="minorEastAsia"/>
                <w:szCs w:val="21"/>
              </w:rPr>
            </w:pPr>
            <w:r>
              <w:rPr>
                <w:rFonts w:eastAsiaTheme="minorEastAsia"/>
                <w:szCs w:val="21"/>
              </w:rPr>
              <w:t>T0730</w:t>
            </w:r>
          </w:p>
        </w:tc>
      </w:tr>
    </w:tbl>
    <w:p w14:paraId="420A00A2">
      <w:pPr>
        <w:pStyle w:val="97"/>
        <w:rPr>
          <w:rFonts w:ascii="Times New Roman" w:eastAsiaTheme="minorEastAsia"/>
        </w:rPr>
      </w:pPr>
      <w:r>
        <w:rPr>
          <w:rFonts w:ascii="Times New Roman" w:eastAsiaTheme="minorEastAsia"/>
        </w:rPr>
        <w:t>沥青混合料抗滑性能</w:t>
      </w:r>
    </w:p>
    <w:p w14:paraId="60C0B8D6">
      <w:pPr>
        <w:pStyle w:val="99"/>
        <w:rPr>
          <w:rFonts w:eastAsiaTheme="minorEastAsia"/>
        </w:rPr>
      </w:pPr>
      <w:r>
        <w:rPr>
          <w:rFonts w:eastAsiaTheme="minorEastAsia"/>
        </w:rPr>
        <w:t>沥青混合料表面层应具有良好的抗滑性能，抗滑性能以横向力系数SFC60和路面宏观构造深度TD（mm）为主要指标。</w:t>
      </w:r>
    </w:p>
    <w:p w14:paraId="7B4508D8">
      <w:pPr>
        <w:pStyle w:val="99"/>
        <w:spacing w:line="480" w:lineRule="auto"/>
        <w:ind w:firstLine="422"/>
        <w:jc w:val="center"/>
        <w:rPr>
          <w:rFonts w:eastAsiaTheme="minorEastAsia"/>
          <w:b/>
          <w:sz w:val="21"/>
          <w:szCs w:val="21"/>
        </w:rPr>
      </w:pPr>
      <w:r>
        <w:rPr>
          <w:rFonts w:eastAsiaTheme="minorEastAsia"/>
          <w:b/>
          <w:sz w:val="21"/>
          <w:szCs w:val="21"/>
        </w:rPr>
        <w:t>表5.13 沥青路面抗滑性能指标</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105"/>
        <w:gridCol w:w="3212"/>
        <w:gridCol w:w="4025"/>
      </w:tblGrid>
      <w:tr w14:paraId="0494989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9" w:hRule="atLeast"/>
          <w:jc w:val="center"/>
        </w:trPr>
        <w:tc>
          <w:tcPr>
            <w:tcW w:w="10342" w:type="dxa"/>
            <w:gridSpan w:val="3"/>
            <w:vAlign w:val="center"/>
          </w:tcPr>
          <w:p w14:paraId="334FC0FE">
            <w:pPr>
              <w:adjustRightInd w:val="0"/>
              <w:snapToGrid w:val="0"/>
              <w:spacing w:line="240" w:lineRule="auto"/>
              <w:jc w:val="center"/>
              <w:rPr>
                <w:rFonts w:eastAsiaTheme="minorEastAsia"/>
                <w:szCs w:val="21"/>
              </w:rPr>
            </w:pPr>
            <w:r>
              <w:rPr>
                <w:rFonts w:eastAsiaTheme="minorEastAsia"/>
                <w:szCs w:val="21"/>
              </w:rPr>
              <w:t>质量验收值</w:t>
            </w:r>
          </w:p>
        </w:tc>
      </w:tr>
      <w:tr w14:paraId="6A0E260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1" w:hRule="atLeast"/>
          <w:jc w:val="center"/>
        </w:trPr>
        <w:tc>
          <w:tcPr>
            <w:tcW w:w="3105" w:type="dxa"/>
            <w:vAlign w:val="center"/>
          </w:tcPr>
          <w:p w14:paraId="3D530526">
            <w:pPr>
              <w:adjustRightInd w:val="0"/>
              <w:snapToGrid w:val="0"/>
              <w:spacing w:line="240" w:lineRule="auto"/>
              <w:jc w:val="center"/>
              <w:rPr>
                <w:rFonts w:eastAsiaTheme="minorEastAsia"/>
                <w:szCs w:val="21"/>
              </w:rPr>
            </w:pPr>
            <w:r>
              <w:rPr>
                <w:rFonts w:eastAsiaTheme="minorEastAsia"/>
                <w:szCs w:val="21"/>
              </w:rPr>
              <w:t>横向力系数SFC60</w:t>
            </w:r>
          </w:p>
        </w:tc>
        <w:tc>
          <w:tcPr>
            <w:tcW w:w="3212" w:type="dxa"/>
            <w:vAlign w:val="center"/>
          </w:tcPr>
          <w:p w14:paraId="43DEC1B0">
            <w:pPr>
              <w:adjustRightInd w:val="0"/>
              <w:snapToGrid w:val="0"/>
              <w:spacing w:line="240" w:lineRule="auto"/>
              <w:jc w:val="center"/>
              <w:rPr>
                <w:rFonts w:eastAsiaTheme="minorEastAsia"/>
                <w:szCs w:val="21"/>
              </w:rPr>
            </w:pPr>
            <w:r>
              <w:rPr>
                <w:rFonts w:eastAsiaTheme="minorEastAsia"/>
                <w:szCs w:val="21"/>
              </w:rPr>
              <w:t>构造深度TD（mm）</w:t>
            </w:r>
          </w:p>
        </w:tc>
        <w:tc>
          <w:tcPr>
            <w:tcW w:w="4025" w:type="dxa"/>
            <w:vAlign w:val="center"/>
          </w:tcPr>
          <w:p w14:paraId="4D28A597">
            <w:pPr>
              <w:adjustRightInd w:val="0"/>
              <w:snapToGrid w:val="0"/>
              <w:spacing w:line="240" w:lineRule="auto"/>
              <w:jc w:val="center"/>
              <w:rPr>
                <w:rFonts w:eastAsiaTheme="minorEastAsia"/>
                <w:szCs w:val="21"/>
              </w:rPr>
            </w:pPr>
            <w:r>
              <w:rPr>
                <w:rFonts w:eastAsiaTheme="minorEastAsia"/>
                <w:szCs w:val="21"/>
              </w:rPr>
              <w:t>试验方法</w:t>
            </w:r>
          </w:p>
        </w:tc>
      </w:tr>
      <w:tr w14:paraId="702D7EF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5" w:hRule="atLeast"/>
          <w:jc w:val="center"/>
        </w:trPr>
        <w:tc>
          <w:tcPr>
            <w:tcW w:w="3105" w:type="dxa"/>
            <w:vAlign w:val="center"/>
          </w:tcPr>
          <w:p w14:paraId="600DE1ED">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14:paraId="36F73664">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14:paraId="79733334">
            <w:pPr>
              <w:adjustRightInd w:val="0"/>
              <w:snapToGrid w:val="0"/>
              <w:spacing w:line="240" w:lineRule="auto"/>
              <w:jc w:val="center"/>
              <w:rPr>
                <w:rFonts w:eastAsiaTheme="minorEastAsia"/>
                <w:szCs w:val="21"/>
              </w:rPr>
            </w:pPr>
            <w:r>
              <w:rPr>
                <w:rFonts w:eastAsiaTheme="minorEastAsia"/>
                <w:szCs w:val="21"/>
              </w:rPr>
              <w:t>T0965，T0961、T0963</w:t>
            </w:r>
          </w:p>
        </w:tc>
      </w:tr>
    </w:tbl>
    <w:p w14:paraId="3158E57A">
      <w:pPr>
        <w:pStyle w:val="97"/>
        <w:rPr>
          <w:rFonts w:ascii="Times New Roman" w:eastAsiaTheme="minorEastAsia"/>
        </w:rPr>
      </w:pPr>
      <w:r>
        <w:rPr>
          <w:rFonts w:ascii="Times New Roman" w:eastAsiaTheme="minorEastAsia"/>
        </w:rPr>
        <w:t>沥青混合料施工要求</w:t>
      </w:r>
    </w:p>
    <w:p w14:paraId="7AC2A01D">
      <w:pPr>
        <w:pStyle w:val="99"/>
        <w:rPr>
          <w:rFonts w:eastAsiaTheme="minorEastAsia"/>
        </w:rPr>
      </w:pPr>
      <w:r>
        <w:rPr>
          <w:rFonts w:eastAsiaTheme="minorEastAsia"/>
        </w:rPr>
        <w:t>为保证沥青混合料的压实度，应重点控制碾压工艺，同时保证抽检压实度机动车道≥95%（重型）。沥青混合料的配合比设计、拌和、运输、摊铺、压实及成型和养护均应按《公路沥青路面施工技术规范》（JTG F40－2004）严格执行。</w:t>
      </w:r>
    </w:p>
    <w:p w14:paraId="1068D17F">
      <w:pPr>
        <w:pStyle w:val="97"/>
        <w:rPr>
          <w:rFonts w:ascii="Times New Roman" w:eastAsiaTheme="minorEastAsia"/>
        </w:rPr>
      </w:pPr>
      <w:r>
        <w:rPr>
          <w:rFonts w:ascii="Times New Roman" w:eastAsiaTheme="minorEastAsia"/>
        </w:rPr>
        <w:t>路面结构基层及底基层</w:t>
      </w:r>
    </w:p>
    <w:p w14:paraId="57B62EC4">
      <w:pPr>
        <w:pStyle w:val="101"/>
        <w:outlineLvl w:val="9"/>
        <w:rPr>
          <w:rFonts w:ascii="Times New Roman" w:eastAsiaTheme="minorEastAsia"/>
        </w:rPr>
      </w:pPr>
      <w:r>
        <w:rPr>
          <w:rFonts w:hint="eastAsia" w:ascii="Times New Roman" w:eastAsiaTheme="minorEastAsia"/>
        </w:rPr>
        <w:t>1</w:t>
      </w:r>
      <w:r>
        <w:rPr>
          <w:rFonts w:ascii="Times New Roman" w:eastAsiaTheme="minorEastAsia"/>
        </w:rPr>
        <w:t>.水泥稳定碎石</w:t>
      </w:r>
    </w:p>
    <w:p w14:paraId="25D439FA">
      <w:pPr>
        <w:pStyle w:val="99"/>
        <w:adjustRightInd w:val="0"/>
        <w:snapToGrid w:val="0"/>
      </w:pPr>
      <w:r>
        <w:t>水泥稳定碎石混合料中碎石级配范围，应符合表5.14的要求：</w:t>
      </w:r>
    </w:p>
    <w:p w14:paraId="148AEF2D">
      <w:pPr>
        <w:pStyle w:val="99"/>
        <w:ind w:firstLine="422"/>
        <w:jc w:val="center"/>
        <w:rPr>
          <w:rFonts w:eastAsiaTheme="minorEastAsia"/>
          <w:b/>
          <w:sz w:val="21"/>
          <w:szCs w:val="21"/>
        </w:rPr>
      </w:pPr>
      <w:r>
        <w:rPr>
          <w:rFonts w:eastAsiaTheme="minorEastAsia"/>
          <w:b/>
          <w:sz w:val="21"/>
          <w:szCs w:val="21"/>
        </w:rPr>
        <w:t>表5.14 骨架密实型水泥稳定类集料级配</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58"/>
        <w:gridCol w:w="913"/>
        <w:gridCol w:w="913"/>
        <w:gridCol w:w="1369"/>
        <w:gridCol w:w="829"/>
        <w:gridCol w:w="996"/>
        <w:gridCol w:w="913"/>
        <w:gridCol w:w="1027"/>
        <w:gridCol w:w="1571"/>
      </w:tblGrid>
      <w:tr w14:paraId="69B938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6" w:hRule="atLeast"/>
          <w:jc w:val="center"/>
        </w:trPr>
        <w:tc>
          <w:tcPr>
            <w:tcW w:w="1658" w:type="dxa"/>
            <w:vMerge w:val="restart"/>
            <w:tcBorders>
              <w:top w:val="single" w:color="auto" w:sz="4" w:space="0"/>
              <w:left w:val="nil"/>
              <w:bottom w:val="single" w:color="auto" w:sz="6" w:space="0"/>
              <w:right w:val="single" w:color="auto" w:sz="4" w:space="0"/>
            </w:tcBorders>
            <w:vAlign w:val="center"/>
          </w:tcPr>
          <w:p w14:paraId="08729897">
            <w:pPr>
              <w:spacing w:line="240" w:lineRule="auto"/>
              <w:jc w:val="center"/>
              <w:rPr>
                <w:szCs w:val="21"/>
              </w:rPr>
            </w:pPr>
            <w:r>
              <w:rPr>
                <w:szCs w:val="21"/>
              </w:rPr>
              <w:t>层位</w:t>
            </w:r>
          </w:p>
        </w:tc>
        <w:tc>
          <w:tcPr>
            <w:tcW w:w="8531" w:type="dxa"/>
            <w:gridSpan w:val="8"/>
            <w:tcBorders>
              <w:top w:val="single" w:color="auto" w:sz="4" w:space="0"/>
              <w:left w:val="single" w:color="auto" w:sz="4" w:space="0"/>
              <w:bottom w:val="single" w:color="auto" w:sz="6" w:space="0"/>
              <w:right w:val="nil"/>
            </w:tcBorders>
          </w:tcPr>
          <w:p w14:paraId="130EB993">
            <w:pPr>
              <w:spacing w:line="240" w:lineRule="auto"/>
              <w:jc w:val="center"/>
              <w:rPr>
                <w:szCs w:val="21"/>
              </w:rPr>
            </w:pPr>
            <w:r>
              <w:rPr>
                <w:szCs w:val="21"/>
              </w:rPr>
              <w:t>通过下列筛孔（mm）的质量百分率（%）</w:t>
            </w:r>
          </w:p>
        </w:tc>
      </w:tr>
      <w:tr w14:paraId="060703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 w:hRule="atLeast"/>
          <w:jc w:val="center"/>
        </w:trPr>
        <w:tc>
          <w:tcPr>
            <w:tcW w:w="1658" w:type="dxa"/>
            <w:vMerge w:val="continue"/>
            <w:tcBorders>
              <w:top w:val="single" w:color="auto" w:sz="6" w:space="0"/>
              <w:left w:val="nil"/>
              <w:bottom w:val="single" w:color="auto" w:sz="6" w:space="0"/>
              <w:right w:val="single" w:color="auto" w:sz="4" w:space="0"/>
            </w:tcBorders>
            <w:vAlign w:val="center"/>
          </w:tcPr>
          <w:p w14:paraId="4D57A71E">
            <w:pPr>
              <w:spacing w:line="240" w:lineRule="auto"/>
              <w:rPr>
                <w:szCs w:val="21"/>
              </w:rPr>
            </w:pPr>
          </w:p>
        </w:tc>
        <w:tc>
          <w:tcPr>
            <w:tcW w:w="913" w:type="dxa"/>
            <w:tcBorders>
              <w:top w:val="single" w:color="auto" w:sz="6" w:space="0"/>
              <w:left w:val="single" w:color="auto" w:sz="4" w:space="0"/>
              <w:bottom w:val="single" w:color="auto" w:sz="6" w:space="0"/>
              <w:right w:val="single" w:color="auto" w:sz="4" w:space="0"/>
            </w:tcBorders>
          </w:tcPr>
          <w:p w14:paraId="3686921D">
            <w:pPr>
              <w:spacing w:line="240" w:lineRule="auto"/>
              <w:jc w:val="center"/>
              <w:rPr>
                <w:szCs w:val="21"/>
              </w:rPr>
            </w:pPr>
            <w:r>
              <w:rPr>
                <w:szCs w:val="21"/>
              </w:rPr>
              <w:t>37.5</w:t>
            </w:r>
          </w:p>
        </w:tc>
        <w:tc>
          <w:tcPr>
            <w:tcW w:w="913" w:type="dxa"/>
            <w:tcBorders>
              <w:top w:val="single" w:color="auto" w:sz="6" w:space="0"/>
              <w:left w:val="single" w:color="auto" w:sz="4" w:space="0"/>
              <w:bottom w:val="single" w:color="auto" w:sz="6" w:space="0"/>
              <w:right w:val="single" w:color="auto" w:sz="4" w:space="0"/>
            </w:tcBorders>
            <w:vAlign w:val="center"/>
          </w:tcPr>
          <w:p w14:paraId="77D2AC91">
            <w:pPr>
              <w:spacing w:line="240" w:lineRule="auto"/>
              <w:jc w:val="center"/>
              <w:rPr>
                <w:szCs w:val="21"/>
              </w:rPr>
            </w:pPr>
            <w:r>
              <w:rPr>
                <w:szCs w:val="21"/>
              </w:rPr>
              <w:t>31.5</w:t>
            </w:r>
          </w:p>
        </w:tc>
        <w:tc>
          <w:tcPr>
            <w:tcW w:w="1369" w:type="dxa"/>
            <w:tcBorders>
              <w:top w:val="single" w:color="auto" w:sz="6" w:space="0"/>
              <w:left w:val="single" w:color="auto" w:sz="4" w:space="0"/>
              <w:bottom w:val="single" w:color="auto" w:sz="6" w:space="0"/>
              <w:right w:val="single" w:color="auto" w:sz="4" w:space="0"/>
            </w:tcBorders>
            <w:vAlign w:val="center"/>
          </w:tcPr>
          <w:p w14:paraId="02A886BC">
            <w:pPr>
              <w:spacing w:line="240" w:lineRule="auto"/>
              <w:jc w:val="center"/>
              <w:rPr>
                <w:szCs w:val="21"/>
              </w:rPr>
            </w:pPr>
            <w:r>
              <w:rPr>
                <w:szCs w:val="21"/>
              </w:rPr>
              <w:t>19.0</w:t>
            </w:r>
          </w:p>
        </w:tc>
        <w:tc>
          <w:tcPr>
            <w:tcW w:w="829" w:type="dxa"/>
            <w:tcBorders>
              <w:top w:val="single" w:color="auto" w:sz="6" w:space="0"/>
              <w:left w:val="single" w:color="auto" w:sz="4" w:space="0"/>
              <w:bottom w:val="single" w:color="auto" w:sz="6" w:space="0"/>
              <w:right w:val="single" w:color="auto" w:sz="4" w:space="0"/>
            </w:tcBorders>
            <w:vAlign w:val="center"/>
          </w:tcPr>
          <w:p w14:paraId="6405B630">
            <w:pPr>
              <w:spacing w:line="240" w:lineRule="auto"/>
              <w:jc w:val="center"/>
              <w:rPr>
                <w:szCs w:val="21"/>
              </w:rPr>
            </w:pPr>
            <w:r>
              <w:rPr>
                <w:szCs w:val="21"/>
              </w:rPr>
              <w:t>9.5</w:t>
            </w:r>
          </w:p>
        </w:tc>
        <w:tc>
          <w:tcPr>
            <w:tcW w:w="996" w:type="dxa"/>
            <w:tcBorders>
              <w:top w:val="single" w:color="auto" w:sz="6" w:space="0"/>
              <w:left w:val="single" w:color="auto" w:sz="4" w:space="0"/>
              <w:bottom w:val="single" w:color="auto" w:sz="6" w:space="0"/>
              <w:right w:val="single" w:color="auto" w:sz="4" w:space="0"/>
            </w:tcBorders>
            <w:vAlign w:val="center"/>
          </w:tcPr>
          <w:p w14:paraId="14AFC044">
            <w:pPr>
              <w:spacing w:line="240" w:lineRule="auto"/>
              <w:jc w:val="center"/>
              <w:rPr>
                <w:szCs w:val="21"/>
              </w:rPr>
            </w:pPr>
            <w:r>
              <w:rPr>
                <w:szCs w:val="21"/>
              </w:rPr>
              <w:t>4.75</w:t>
            </w:r>
          </w:p>
        </w:tc>
        <w:tc>
          <w:tcPr>
            <w:tcW w:w="913" w:type="dxa"/>
            <w:tcBorders>
              <w:top w:val="single" w:color="auto" w:sz="6" w:space="0"/>
              <w:left w:val="single" w:color="auto" w:sz="4" w:space="0"/>
              <w:bottom w:val="single" w:color="auto" w:sz="6" w:space="0"/>
              <w:right w:val="single" w:color="auto" w:sz="4" w:space="0"/>
            </w:tcBorders>
            <w:vAlign w:val="center"/>
          </w:tcPr>
          <w:p w14:paraId="12A76825">
            <w:pPr>
              <w:spacing w:line="240" w:lineRule="auto"/>
              <w:jc w:val="center"/>
              <w:rPr>
                <w:szCs w:val="21"/>
              </w:rPr>
            </w:pPr>
            <w:r>
              <w:rPr>
                <w:szCs w:val="21"/>
              </w:rPr>
              <w:t>2.36</w:t>
            </w:r>
          </w:p>
        </w:tc>
        <w:tc>
          <w:tcPr>
            <w:tcW w:w="1027" w:type="dxa"/>
            <w:tcBorders>
              <w:top w:val="single" w:color="auto" w:sz="6" w:space="0"/>
              <w:left w:val="single" w:color="auto" w:sz="4" w:space="0"/>
              <w:bottom w:val="single" w:color="auto" w:sz="6" w:space="0"/>
              <w:right w:val="single" w:color="auto" w:sz="4" w:space="0"/>
            </w:tcBorders>
            <w:vAlign w:val="center"/>
          </w:tcPr>
          <w:p w14:paraId="6033FA98">
            <w:pPr>
              <w:spacing w:line="240" w:lineRule="auto"/>
              <w:jc w:val="center"/>
              <w:rPr>
                <w:szCs w:val="21"/>
              </w:rPr>
            </w:pPr>
            <w:r>
              <w:rPr>
                <w:szCs w:val="21"/>
              </w:rPr>
              <w:t>0.6</w:t>
            </w:r>
          </w:p>
        </w:tc>
        <w:tc>
          <w:tcPr>
            <w:tcW w:w="1569" w:type="dxa"/>
            <w:tcBorders>
              <w:top w:val="single" w:color="auto" w:sz="6" w:space="0"/>
              <w:left w:val="single" w:color="auto" w:sz="4" w:space="0"/>
              <w:bottom w:val="single" w:color="auto" w:sz="6" w:space="0"/>
              <w:right w:val="nil"/>
            </w:tcBorders>
            <w:vAlign w:val="center"/>
          </w:tcPr>
          <w:p w14:paraId="00EFFE95">
            <w:pPr>
              <w:spacing w:line="240" w:lineRule="auto"/>
              <w:jc w:val="center"/>
              <w:rPr>
                <w:szCs w:val="21"/>
              </w:rPr>
            </w:pPr>
            <w:r>
              <w:rPr>
                <w:szCs w:val="21"/>
              </w:rPr>
              <w:t>0.075</w:t>
            </w:r>
          </w:p>
        </w:tc>
      </w:tr>
      <w:tr w14:paraId="2E791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72" w:hRule="atLeast"/>
          <w:jc w:val="center"/>
        </w:trPr>
        <w:tc>
          <w:tcPr>
            <w:tcW w:w="1658" w:type="dxa"/>
            <w:tcBorders>
              <w:top w:val="single" w:color="auto" w:sz="6" w:space="0"/>
              <w:left w:val="nil"/>
              <w:bottom w:val="single" w:color="auto" w:sz="4" w:space="0"/>
              <w:right w:val="single" w:color="auto" w:sz="4" w:space="0"/>
            </w:tcBorders>
            <w:vAlign w:val="center"/>
          </w:tcPr>
          <w:p w14:paraId="044FF65A">
            <w:pPr>
              <w:spacing w:line="240" w:lineRule="auto"/>
              <w:jc w:val="center"/>
              <w:rPr>
                <w:szCs w:val="21"/>
              </w:rPr>
            </w:pPr>
            <w:r>
              <w:rPr>
                <w:szCs w:val="21"/>
              </w:rPr>
              <w:t>基层</w:t>
            </w:r>
          </w:p>
        </w:tc>
        <w:tc>
          <w:tcPr>
            <w:tcW w:w="913" w:type="dxa"/>
            <w:tcBorders>
              <w:top w:val="single" w:color="auto" w:sz="6" w:space="0"/>
              <w:left w:val="single" w:color="auto" w:sz="4" w:space="0"/>
              <w:bottom w:val="single" w:color="auto" w:sz="4" w:space="0"/>
              <w:right w:val="single" w:color="auto" w:sz="4" w:space="0"/>
            </w:tcBorders>
          </w:tcPr>
          <w:p w14:paraId="636FF15B">
            <w:pPr>
              <w:spacing w:line="240" w:lineRule="auto"/>
              <w:jc w:val="center"/>
              <w:rPr>
                <w:szCs w:val="21"/>
              </w:rPr>
            </w:pPr>
            <w:r>
              <w:rPr>
                <w:szCs w:val="21"/>
              </w:rPr>
              <w:t>100</w:t>
            </w:r>
          </w:p>
        </w:tc>
        <w:tc>
          <w:tcPr>
            <w:tcW w:w="913" w:type="dxa"/>
            <w:tcBorders>
              <w:top w:val="single" w:color="auto" w:sz="6" w:space="0"/>
              <w:left w:val="single" w:color="auto" w:sz="4" w:space="0"/>
              <w:bottom w:val="single" w:color="auto" w:sz="4" w:space="0"/>
              <w:right w:val="single" w:color="auto" w:sz="4" w:space="0"/>
            </w:tcBorders>
            <w:vAlign w:val="center"/>
          </w:tcPr>
          <w:p w14:paraId="4FE69BCB">
            <w:pPr>
              <w:spacing w:line="240" w:lineRule="auto"/>
              <w:jc w:val="center"/>
              <w:rPr>
                <w:szCs w:val="21"/>
              </w:rPr>
            </w:pPr>
            <w:r>
              <w:rPr>
                <w:szCs w:val="21"/>
              </w:rPr>
              <w:t>90~100</w:t>
            </w:r>
          </w:p>
        </w:tc>
        <w:tc>
          <w:tcPr>
            <w:tcW w:w="1369" w:type="dxa"/>
            <w:tcBorders>
              <w:top w:val="single" w:color="auto" w:sz="6" w:space="0"/>
              <w:left w:val="single" w:color="auto" w:sz="4" w:space="0"/>
              <w:bottom w:val="single" w:color="auto" w:sz="4" w:space="0"/>
              <w:right w:val="single" w:color="auto" w:sz="4" w:space="0"/>
            </w:tcBorders>
            <w:vAlign w:val="center"/>
          </w:tcPr>
          <w:p w14:paraId="6D01EB05">
            <w:pPr>
              <w:spacing w:line="240" w:lineRule="auto"/>
              <w:jc w:val="center"/>
              <w:rPr>
                <w:szCs w:val="21"/>
              </w:rPr>
            </w:pPr>
            <w:r>
              <w:rPr>
                <w:szCs w:val="21"/>
              </w:rPr>
              <w:t>67~90</w:t>
            </w:r>
          </w:p>
        </w:tc>
        <w:tc>
          <w:tcPr>
            <w:tcW w:w="829" w:type="dxa"/>
            <w:tcBorders>
              <w:top w:val="single" w:color="auto" w:sz="6" w:space="0"/>
              <w:left w:val="single" w:color="auto" w:sz="4" w:space="0"/>
              <w:bottom w:val="single" w:color="auto" w:sz="4" w:space="0"/>
              <w:right w:val="single" w:color="auto" w:sz="4" w:space="0"/>
            </w:tcBorders>
            <w:vAlign w:val="center"/>
          </w:tcPr>
          <w:p w14:paraId="3016BC96">
            <w:pPr>
              <w:spacing w:line="240" w:lineRule="auto"/>
              <w:jc w:val="center"/>
              <w:rPr>
                <w:szCs w:val="21"/>
              </w:rPr>
            </w:pPr>
            <w:r>
              <w:rPr>
                <w:szCs w:val="21"/>
              </w:rPr>
              <w:t>45~68</w:t>
            </w:r>
          </w:p>
        </w:tc>
        <w:tc>
          <w:tcPr>
            <w:tcW w:w="996" w:type="dxa"/>
            <w:tcBorders>
              <w:top w:val="single" w:color="auto" w:sz="6" w:space="0"/>
              <w:left w:val="single" w:color="auto" w:sz="4" w:space="0"/>
              <w:bottom w:val="single" w:color="auto" w:sz="4" w:space="0"/>
              <w:right w:val="single" w:color="auto" w:sz="4" w:space="0"/>
            </w:tcBorders>
            <w:vAlign w:val="center"/>
          </w:tcPr>
          <w:p w14:paraId="7ED318A3">
            <w:pPr>
              <w:spacing w:line="240" w:lineRule="auto"/>
              <w:jc w:val="center"/>
              <w:rPr>
                <w:szCs w:val="21"/>
              </w:rPr>
            </w:pPr>
            <w:r>
              <w:rPr>
                <w:szCs w:val="21"/>
              </w:rPr>
              <w:t>29~50</w:t>
            </w:r>
          </w:p>
        </w:tc>
        <w:tc>
          <w:tcPr>
            <w:tcW w:w="913" w:type="dxa"/>
            <w:tcBorders>
              <w:top w:val="single" w:color="auto" w:sz="6" w:space="0"/>
              <w:left w:val="single" w:color="auto" w:sz="4" w:space="0"/>
              <w:bottom w:val="single" w:color="auto" w:sz="4" w:space="0"/>
              <w:right w:val="single" w:color="auto" w:sz="4" w:space="0"/>
            </w:tcBorders>
            <w:vAlign w:val="center"/>
          </w:tcPr>
          <w:p w14:paraId="14AEEBC2">
            <w:pPr>
              <w:spacing w:line="240" w:lineRule="auto"/>
              <w:jc w:val="center"/>
              <w:rPr>
                <w:szCs w:val="21"/>
              </w:rPr>
            </w:pPr>
            <w:r>
              <w:rPr>
                <w:szCs w:val="21"/>
              </w:rPr>
              <w:t>18~38</w:t>
            </w:r>
          </w:p>
        </w:tc>
        <w:tc>
          <w:tcPr>
            <w:tcW w:w="1027" w:type="dxa"/>
            <w:tcBorders>
              <w:top w:val="single" w:color="auto" w:sz="6" w:space="0"/>
              <w:left w:val="single" w:color="auto" w:sz="4" w:space="0"/>
              <w:bottom w:val="single" w:color="auto" w:sz="4" w:space="0"/>
              <w:right w:val="single" w:color="auto" w:sz="4" w:space="0"/>
            </w:tcBorders>
            <w:vAlign w:val="center"/>
          </w:tcPr>
          <w:p w14:paraId="6E217605">
            <w:pPr>
              <w:spacing w:line="240" w:lineRule="auto"/>
              <w:jc w:val="center"/>
              <w:rPr>
                <w:szCs w:val="21"/>
              </w:rPr>
            </w:pPr>
            <w:r>
              <w:rPr>
                <w:szCs w:val="21"/>
              </w:rPr>
              <w:t>8~22</w:t>
            </w:r>
          </w:p>
        </w:tc>
        <w:tc>
          <w:tcPr>
            <w:tcW w:w="1569" w:type="dxa"/>
            <w:tcBorders>
              <w:top w:val="single" w:color="auto" w:sz="6" w:space="0"/>
              <w:left w:val="single" w:color="auto" w:sz="4" w:space="0"/>
              <w:bottom w:val="single" w:color="auto" w:sz="4" w:space="0"/>
              <w:right w:val="nil"/>
            </w:tcBorders>
            <w:vAlign w:val="center"/>
          </w:tcPr>
          <w:p w14:paraId="2E6FAF32">
            <w:pPr>
              <w:spacing w:line="240" w:lineRule="auto"/>
              <w:jc w:val="center"/>
              <w:rPr>
                <w:szCs w:val="21"/>
              </w:rPr>
            </w:pPr>
            <w:r>
              <w:rPr>
                <w:szCs w:val="21"/>
              </w:rPr>
              <w:t>0~7</w:t>
            </w:r>
          </w:p>
        </w:tc>
      </w:tr>
    </w:tbl>
    <w:p w14:paraId="3E7BF960">
      <w:pPr>
        <w:pStyle w:val="99"/>
        <w:adjustRightInd w:val="0"/>
        <w:snapToGrid w:val="0"/>
        <w:ind w:firstLine="0" w:firstLineChars="0"/>
      </w:pPr>
      <w:r>
        <w:t>1）水泥</w:t>
      </w:r>
    </w:p>
    <w:p w14:paraId="171B64D2">
      <w:pPr>
        <w:pStyle w:val="99"/>
        <w:adjustRightInd w:val="0"/>
        <w:snapToGrid w:val="0"/>
        <w:rPr>
          <w:rFonts w:eastAsiaTheme="minorEastAsia"/>
        </w:rPr>
      </w:pPr>
      <w:r>
        <w:t>应选用初凝时间大于3h，终凝时间不小于6h的42.5级普通硅酸盐水泥、矿渣硅酸盐、火山灰硅酸盐水泥</w:t>
      </w:r>
      <w:r>
        <w:rPr>
          <w:rFonts w:eastAsiaTheme="minorEastAsia"/>
        </w:rPr>
        <w:t>。</w:t>
      </w:r>
    </w:p>
    <w:p w14:paraId="7CC5C35C">
      <w:pPr>
        <w:pStyle w:val="99"/>
        <w:adjustRightInd w:val="0"/>
        <w:snapToGrid w:val="0"/>
        <w:rPr>
          <w:rFonts w:eastAsiaTheme="minorEastAsia"/>
        </w:rPr>
      </w:pPr>
      <w:r>
        <w:rPr>
          <w:rFonts w:eastAsiaTheme="minorEastAsia"/>
        </w:rPr>
        <w:t>水泥应有出厂合格证与生产日期，复验合格方可使用。</w:t>
      </w:r>
    </w:p>
    <w:p w14:paraId="35FCCCFF">
      <w:pPr>
        <w:pStyle w:val="99"/>
        <w:adjustRightInd w:val="0"/>
        <w:snapToGrid w:val="0"/>
      </w:pPr>
      <w:r>
        <w:rPr>
          <w:rFonts w:eastAsiaTheme="minorEastAsia"/>
        </w:rPr>
        <w:t>水泥贮存期超过3</w:t>
      </w:r>
      <w:r>
        <w:t>个月或受潮，应进行性能试验，合格后方可使用。不得使用快硬及早强水泥。</w:t>
      </w:r>
    </w:p>
    <w:p w14:paraId="5CABC268">
      <w:pPr>
        <w:pStyle w:val="99"/>
        <w:adjustRightInd w:val="0"/>
        <w:snapToGrid w:val="0"/>
        <w:ind w:firstLine="0" w:firstLineChars="0"/>
      </w:pPr>
      <w:r>
        <w:t>2）碎石</w:t>
      </w:r>
    </w:p>
    <w:p w14:paraId="59544334">
      <w:pPr>
        <w:pStyle w:val="99"/>
        <w:adjustRightInd w:val="0"/>
        <w:snapToGrid w:val="0"/>
      </w:pPr>
      <w:r>
        <w:t>轧制碎石的材料可以是各种类型的岩石（软质岩石除外）、圆石或矿渣，压实度不小于98%，压碎值不大于30%。圆石的粒径应是碎石最大粒径的3倍以上。碎石中针片状颗粒的总含量应不超过18%。碎石中不应有粘土块、植物等有害物质。</w:t>
      </w:r>
    </w:p>
    <w:p w14:paraId="056963AC">
      <w:pPr>
        <w:pStyle w:val="99"/>
        <w:adjustRightInd w:val="0"/>
        <w:snapToGrid w:val="0"/>
      </w:pPr>
      <w:r>
        <w:t>当作基层时,粒料最大粒径不宜超过37.5mm,当作底基层时，粒料最大粒径不应超过53cm。</w:t>
      </w:r>
    </w:p>
    <w:p w14:paraId="7AB11E5C">
      <w:pPr>
        <w:pStyle w:val="99"/>
        <w:adjustRightInd w:val="0"/>
        <w:snapToGrid w:val="0"/>
        <w:rPr>
          <w:b/>
        </w:rPr>
      </w:pPr>
      <w:r>
        <w:t>关于水泥稳定碎石配制及施工工艺的要求</w:t>
      </w:r>
      <w:r>
        <w:rPr>
          <w:b/>
        </w:rPr>
        <w:t>：</w:t>
      </w:r>
    </w:p>
    <w:p w14:paraId="6B80CABA">
      <w:pPr>
        <w:pStyle w:val="99"/>
        <w:adjustRightInd w:val="0"/>
        <w:snapToGrid w:val="0"/>
        <w:ind w:firstLine="0" w:firstLineChars="0"/>
      </w:pPr>
      <w:r>
        <w:t>a、配制</w:t>
      </w:r>
    </w:p>
    <w:p w14:paraId="738BBC40">
      <w:pPr>
        <w:tabs>
          <w:tab w:val="left" w:pos="360"/>
          <w:tab w:val="left" w:pos="900"/>
        </w:tabs>
        <w:adjustRightInd w:val="0"/>
        <w:snapToGrid w:val="0"/>
        <w:rPr>
          <w:w w:val="100"/>
          <w:kern w:val="0"/>
          <w:sz w:val="24"/>
        </w:rPr>
      </w:pPr>
      <w:r>
        <w:rPr>
          <w:w w:val="100"/>
          <w:kern w:val="0"/>
          <w:sz w:val="24"/>
        </w:rPr>
        <w:t>（1）水泥稳定碎石层施工期的最低气温要求在5℃以上，并在第一次冰冻来到之前半个月到一个月完成。</w:t>
      </w:r>
    </w:p>
    <w:p w14:paraId="3C0F1B64">
      <w:pPr>
        <w:pStyle w:val="93"/>
        <w:tabs>
          <w:tab w:val="left" w:pos="360"/>
          <w:tab w:val="left" w:pos="900"/>
        </w:tabs>
        <w:adjustRightInd w:val="0"/>
        <w:snapToGrid w:val="0"/>
        <w:ind w:firstLine="0" w:firstLineChars="0"/>
        <w:rPr>
          <w:rFonts w:ascii="Times New Roman" w:eastAsia="宋体"/>
          <w:sz w:val="24"/>
        </w:rPr>
      </w:pPr>
      <w:r>
        <w:rPr>
          <w:rFonts w:ascii="Times New Roman"/>
          <w:sz w:val="24"/>
        </w:rPr>
        <w:t>（2）</w:t>
      </w:r>
      <w:r>
        <w:rPr>
          <w:rFonts w:ascii="Times New Roman" w:eastAsia="宋体"/>
          <w:sz w:val="24"/>
        </w:rPr>
        <w:t>水泥稳定碎石材料7d抗压强度，对本工程要求达到3MPa；</w:t>
      </w:r>
    </w:p>
    <w:p w14:paraId="07042198">
      <w:pPr>
        <w:tabs>
          <w:tab w:val="left" w:pos="360"/>
          <w:tab w:val="left" w:pos="900"/>
        </w:tabs>
        <w:adjustRightInd w:val="0"/>
        <w:snapToGrid w:val="0"/>
        <w:rPr>
          <w:w w:val="100"/>
          <w:kern w:val="0"/>
          <w:sz w:val="24"/>
        </w:rPr>
      </w:pPr>
      <w:r>
        <w:rPr>
          <w:w w:val="100"/>
          <w:kern w:val="0"/>
          <w:sz w:val="24"/>
        </w:rPr>
        <w:t>（3）城镇道路中使用水泥稳定碎石土类材料，宜集中拌制；</w:t>
      </w:r>
    </w:p>
    <w:p w14:paraId="0D1923D3">
      <w:pPr>
        <w:tabs>
          <w:tab w:val="left" w:pos="360"/>
          <w:tab w:val="left" w:pos="900"/>
        </w:tabs>
        <w:adjustRightInd w:val="0"/>
        <w:snapToGrid w:val="0"/>
        <w:rPr>
          <w:w w:val="100"/>
          <w:kern w:val="0"/>
          <w:sz w:val="24"/>
        </w:rPr>
      </w:pPr>
      <w:r>
        <w:rPr>
          <w:w w:val="100"/>
          <w:kern w:val="0"/>
          <w:sz w:val="24"/>
        </w:rPr>
        <w:t>（4）水泥稳定土类材料自搅拌至摊铺完成，不应超过3h。应按当班施工长度计算用料量。</w:t>
      </w:r>
    </w:p>
    <w:p w14:paraId="00A0EBB2">
      <w:pPr>
        <w:pStyle w:val="99"/>
        <w:adjustRightInd w:val="0"/>
        <w:snapToGrid w:val="0"/>
        <w:ind w:firstLine="0" w:firstLineChars="0"/>
      </w:pPr>
      <w:r>
        <w:t>b、施工</w:t>
      </w:r>
    </w:p>
    <w:p w14:paraId="48C8ECC5">
      <w:pPr>
        <w:tabs>
          <w:tab w:val="left" w:pos="360"/>
          <w:tab w:val="left" w:pos="900"/>
        </w:tabs>
        <w:adjustRightInd w:val="0"/>
        <w:snapToGrid w:val="0"/>
        <w:rPr>
          <w:w w:val="100"/>
          <w:kern w:val="0"/>
          <w:sz w:val="24"/>
        </w:rPr>
      </w:pPr>
      <w:r>
        <w:rPr>
          <w:w w:val="100"/>
          <w:kern w:val="0"/>
          <w:sz w:val="24"/>
        </w:rPr>
        <w:t>（1）施工宜采用专用摊铺机械摊铺，摊铺要均匀，如有粗细料离析现象，应以人工或机械补充拌匀；</w:t>
      </w:r>
    </w:p>
    <w:p w14:paraId="1BD5276D">
      <w:pPr>
        <w:tabs>
          <w:tab w:val="left" w:pos="360"/>
          <w:tab w:val="left" w:pos="900"/>
        </w:tabs>
        <w:adjustRightInd w:val="0"/>
        <w:snapToGrid w:val="0"/>
        <w:rPr>
          <w:w w:val="100"/>
          <w:kern w:val="0"/>
          <w:sz w:val="24"/>
        </w:rPr>
      </w:pPr>
      <w:r>
        <w:rPr>
          <w:w w:val="100"/>
          <w:kern w:val="0"/>
          <w:sz w:val="24"/>
        </w:rPr>
        <w:t>（2）摊铺后立即用平地机初步刮平和整型。</w:t>
      </w:r>
    </w:p>
    <w:p w14:paraId="58FE9B58">
      <w:pPr>
        <w:tabs>
          <w:tab w:val="left" w:pos="360"/>
          <w:tab w:val="left" w:pos="900"/>
        </w:tabs>
        <w:adjustRightInd w:val="0"/>
        <w:snapToGrid w:val="0"/>
        <w:rPr>
          <w:w w:val="100"/>
          <w:kern w:val="0"/>
          <w:sz w:val="24"/>
        </w:rPr>
      </w:pPr>
      <w:r>
        <w:rPr>
          <w:w w:val="100"/>
          <w:kern w:val="0"/>
          <w:sz w:val="24"/>
        </w:rPr>
        <w:t>（3）整型后，当混合料的含水率等于或略大于最佳含水率（1%~2%）时，立即用压路机在全宽范围内开始碾压。</w:t>
      </w:r>
    </w:p>
    <w:p w14:paraId="24FEF247">
      <w:pPr>
        <w:tabs>
          <w:tab w:val="left" w:pos="360"/>
          <w:tab w:val="left" w:pos="900"/>
        </w:tabs>
        <w:adjustRightInd w:val="0"/>
        <w:snapToGrid w:val="0"/>
        <w:rPr>
          <w:w w:val="100"/>
          <w:kern w:val="0"/>
          <w:sz w:val="24"/>
        </w:rPr>
      </w:pPr>
      <w:r>
        <w:rPr>
          <w:w w:val="100"/>
          <w:kern w:val="0"/>
          <w:sz w:val="24"/>
        </w:rPr>
        <w:t>（4）碾压过程中，水泥稳定碎石的表面应始终保持潮湿，可补洒少量的水。</w:t>
      </w:r>
    </w:p>
    <w:p w14:paraId="1C239995">
      <w:pPr>
        <w:tabs>
          <w:tab w:val="left" w:pos="360"/>
          <w:tab w:val="left" w:pos="900"/>
        </w:tabs>
        <w:adjustRightInd w:val="0"/>
        <w:snapToGrid w:val="0"/>
        <w:rPr>
          <w:w w:val="100"/>
          <w:kern w:val="0"/>
          <w:sz w:val="24"/>
        </w:rPr>
      </w:pPr>
      <w:r>
        <w:rPr>
          <w:w w:val="100"/>
          <w:kern w:val="0"/>
          <w:sz w:val="24"/>
        </w:rPr>
        <w:t>（5）碾压过程中如出现“弹簧、松散、起皮”等现象，应及时翻开重新拌和或其他方法处理，以达到质量要求。</w:t>
      </w:r>
    </w:p>
    <w:p w14:paraId="6FE23C50">
      <w:pPr>
        <w:tabs>
          <w:tab w:val="left" w:pos="360"/>
          <w:tab w:val="left" w:pos="900"/>
        </w:tabs>
        <w:adjustRightInd w:val="0"/>
        <w:snapToGrid w:val="0"/>
        <w:rPr>
          <w:w w:val="100"/>
          <w:kern w:val="0"/>
          <w:sz w:val="24"/>
        </w:rPr>
      </w:pPr>
      <w:r>
        <w:rPr>
          <w:w w:val="100"/>
          <w:kern w:val="0"/>
          <w:sz w:val="24"/>
        </w:rPr>
        <w:t>（6）碾压过程结束前，用平地机再终平一次，使其纵向顺适、满足路拱和标高的设计要求。</w:t>
      </w:r>
    </w:p>
    <w:p w14:paraId="0413C7CB">
      <w:pPr>
        <w:tabs>
          <w:tab w:val="left" w:pos="360"/>
          <w:tab w:val="left" w:pos="900"/>
        </w:tabs>
        <w:adjustRightInd w:val="0"/>
        <w:snapToGrid w:val="0"/>
        <w:rPr>
          <w:w w:val="100"/>
          <w:kern w:val="0"/>
          <w:sz w:val="24"/>
        </w:rPr>
      </w:pPr>
      <w:r>
        <w:rPr>
          <w:w w:val="100"/>
          <w:kern w:val="0"/>
          <w:sz w:val="24"/>
        </w:rPr>
        <w:t>（7）经过摊铺整型的水泥稳定碎石当天应全部压实，两天工作段的衔接出，应搭接拌和。</w:t>
      </w:r>
    </w:p>
    <w:p w14:paraId="73E93484">
      <w:pPr>
        <w:tabs>
          <w:tab w:val="left" w:pos="360"/>
          <w:tab w:val="left" w:pos="900"/>
        </w:tabs>
        <w:adjustRightInd w:val="0"/>
        <w:snapToGrid w:val="0"/>
        <w:rPr>
          <w:w w:val="100"/>
          <w:kern w:val="0"/>
          <w:sz w:val="24"/>
        </w:rPr>
      </w:pPr>
      <w:r>
        <w:rPr>
          <w:w w:val="100"/>
          <w:kern w:val="0"/>
          <w:sz w:val="24"/>
        </w:rPr>
        <w:t>c、关于水泥稳定碎石养生及交通管制的要求</w:t>
      </w:r>
    </w:p>
    <w:p w14:paraId="632BE6D5">
      <w:pPr>
        <w:tabs>
          <w:tab w:val="left" w:pos="360"/>
          <w:tab w:val="left" w:pos="900"/>
        </w:tabs>
        <w:adjustRightInd w:val="0"/>
        <w:snapToGrid w:val="0"/>
        <w:rPr>
          <w:w w:val="100"/>
          <w:kern w:val="0"/>
          <w:sz w:val="24"/>
        </w:rPr>
      </w:pPr>
      <w:r>
        <w:rPr>
          <w:w w:val="100"/>
          <w:kern w:val="0"/>
          <w:sz w:val="24"/>
        </w:rPr>
        <w:t>（1）每一段碾压完成并经压实度检测合格后，应立即开始养生。</w:t>
      </w:r>
    </w:p>
    <w:p w14:paraId="5E5821E3">
      <w:pPr>
        <w:tabs>
          <w:tab w:val="left" w:pos="360"/>
          <w:tab w:val="left" w:pos="900"/>
        </w:tabs>
        <w:adjustRightInd w:val="0"/>
        <w:snapToGrid w:val="0"/>
        <w:rPr>
          <w:w w:val="100"/>
          <w:kern w:val="0"/>
          <w:sz w:val="24"/>
        </w:rPr>
      </w:pPr>
      <w:r>
        <w:rPr>
          <w:w w:val="100"/>
          <w:kern w:val="0"/>
          <w:sz w:val="24"/>
        </w:rPr>
        <w:t>（2）宜采用土工布洒水养生，土工布覆盖要到位、牢固，避免被风吹起。</w:t>
      </w:r>
    </w:p>
    <w:p w14:paraId="1071819F">
      <w:pPr>
        <w:tabs>
          <w:tab w:val="left" w:pos="360"/>
          <w:tab w:val="left" w:pos="900"/>
        </w:tabs>
        <w:adjustRightInd w:val="0"/>
        <w:snapToGrid w:val="0"/>
        <w:rPr>
          <w:w w:val="100"/>
          <w:kern w:val="0"/>
          <w:sz w:val="24"/>
        </w:rPr>
      </w:pPr>
      <w:r>
        <w:rPr>
          <w:w w:val="100"/>
          <w:kern w:val="0"/>
          <w:sz w:val="24"/>
        </w:rPr>
        <w:t>（3）洒水量应保持土工布湿润即可，不宜过大，洒水次数应视天气温度高低确定。</w:t>
      </w:r>
    </w:p>
    <w:p w14:paraId="182D56AE">
      <w:pPr>
        <w:tabs>
          <w:tab w:val="left" w:pos="360"/>
          <w:tab w:val="left" w:pos="900"/>
        </w:tabs>
        <w:adjustRightInd w:val="0"/>
        <w:snapToGrid w:val="0"/>
        <w:rPr>
          <w:w w:val="100"/>
          <w:kern w:val="0"/>
          <w:sz w:val="24"/>
        </w:rPr>
      </w:pPr>
      <w:r>
        <w:rPr>
          <w:w w:val="100"/>
          <w:kern w:val="0"/>
          <w:sz w:val="24"/>
        </w:rPr>
        <w:t>（4）养生期间除洒水车外，应封闭交通，不能封闭交通时应限制重载车辆通行，其它车辆速度不能超过30km/h。</w:t>
      </w:r>
    </w:p>
    <w:p w14:paraId="186A7B81">
      <w:pPr>
        <w:pStyle w:val="101"/>
        <w:outlineLvl w:val="9"/>
        <w:rPr>
          <w:rFonts w:ascii="Times New Roman" w:eastAsiaTheme="minorEastAsia"/>
        </w:rPr>
      </w:pPr>
      <w:r>
        <w:rPr>
          <w:rFonts w:hint="eastAsia" w:ascii="Times New Roman" w:eastAsiaTheme="minorEastAsia"/>
        </w:rPr>
        <w:t>2</w:t>
      </w:r>
      <w:r>
        <w:rPr>
          <w:rFonts w:ascii="Times New Roman" w:eastAsiaTheme="minorEastAsia"/>
        </w:rPr>
        <w:t>.级配碎石</w:t>
      </w:r>
    </w:p>
    <w:p w14:paraId="1E04AE14">
      <w:pPr>
        <w:widowControl/>
        <w:adjustRightInd w:val="0"/>
        <w:snapToGrid w:val="0"/>
        <w:ind w:firstLine="480" w:firstLineChars="200"/>
        <w:jc w:val="left"/>
        <w:rPr>
          <w:rFonts w:eastAsiaTheme="minorEastAsia"/>
          <w:w w:val="100"/>
          <w:kern w:val="0"/>
          <w:sz w:val="24"/>
        </w:rPr>
      </w:pPr>
      <w:r>
        <w:rPr>
          <w:rFonts w:eastAsiaTheme="minorEastAsia"/>
          <w:w w:val="100"/>
          <w:kern w:val="0"/>
          <w:sz w:val="24"/>
        </w:rPr>
        <w:t>当用级配碎石用做道路底基层时，其最大粒径应控制在37.5mm以内；级配碎石颗粒范围和技术指标应满足下表的规定。</w:t>
      </w:r>
    </w:p>
    <w:p w14:paraId="74E8E12C">
      <w:pPr>
        <w:pStyle w:val="99"/>
        <w:ind w:firstLine="422"/>
        <w:jc w:val="center"/>
        <w:rPr>
          <w:rFonts w:eastAsiaTheme="minorEastAsia"/>
          <w:b/>
          <w:sz w:val="21"/>
          <w:szCs w:val="21"/>
        </w:rPr>
      </w:pPr>
      <w:r>
        <w:rPr>
          <w:rFonts w:eastAsiaTheme="minorEastAsia"/>
          <w:b/>
          <w:sz w:val="21"/>
          <w:szCs w:val="21"/>
        </w:rPr>
        <w:t>表5.15 碎石级配范围</w:t>
      </w:r>
    </w:p>
    <w:tbl>
      <w:tblPr>
        <w:tblStyle w:val="25"/>
        <w:tblW w:w="973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835"/>
        <w:gridCol w:w="835"/>
        <w:gridCol w:w="835"/>
        <w:gridCol w:w="835"/>
        <w:gridCol w:w="835"/>
        <w:gridCol w:w="835"/>
        <w:gridCol w:w="835"/>
        <w:gridCol w:w="835"/>
        <w:gridCol w:w="835"/>
      </w:tblGrid>
      <w:tr w14:paraId="369C59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6C9891B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筛孔尺寸（mm）</w:t>
            </w:r>
          </w:p>
        </w:tc>
        <w:tc>
          <w:tcPr>
            <w:tcW w:w="835" w:type="dxa"/>
            <w:vAlign w:val="center"/>
          </w:tcPr>
          <w:p w14:paraId="1EF6247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53</w:t>
            </w:r>
          </w:p>
        </w:tc>
        <w:tc>
          <w:tcPr>
            <w:tcW w:w="835" w:type="dxa"/>
            <w:vAlign w:val="center"/>
          </w:tcPr>
          <w:p w14:paraId="16F8E6E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37.5</w:t>
            </w:r>
          </w:p>
        </w:tc>
        <w:tc>
          <w:tcPr>
            <w:tcW w:w="835" w:type="dxa"/>
            <w:vAlign w:val="center"/>
          </w:tcPr>
          <w:p w14:paraId="68150E67">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31.5</w:t>
            </w:r>
          </w:p>
        </w:tc>
        <w:tc>
          <w:tcPr>
            <w:tcW w:w="835" w:type="dxa"/>
            <w:vAlign w:val="center"/>
          </w:tcPr>
          <w:p w14:paraId="5EFFDC6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19.0</w:t>
            </w:r>
          </w:p>
        </w:tc>
        <w:tc>
          <w:tcPr>
            <w:tcW w:w="835" w:type="dxa"/>
            <w:vAlign w:val="center"/>
          </w:tcPr>
          <w:p w14:paraId="6BC9FCF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9.5</w:t>
            </w:r>
          </w:p>
        </w:tc>
        <w:tc>
          <w:tcPr>
            <w:tcW w:w="835" w:type="dxa"/>
            <w:vAlign w:val="center"/>
          </w:tcPr>
          <w:p w14:paraId="4F664F6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4.75</w:t>
            </w:r>
          </w:p>
        </w:tc>
        <w:tc>
          <w:tcPr>
            <w:tcW w:w="835" w:type="dxa"/>
            <w:vAlign w:val="center"/>
          </w:tcPr>
          <w:p w14:paraId="0FED757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2.36</w:t>
            </w:r>
          </w:p>
        </w:tc>
        <w:tc>
          <w:tcPr>
            <w:tcW w:w="835" w:type="dxa"/>
          </w:tcPr>
          <w:p w14:paraId="7F748E8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0.6</w:t>
            </w:r>
          </w:p>
        </w:tc>
        <w:tc>
          <w:tcPr>
            <w:tcW w:w="835" w:type="dxa"/>
            <w:vAlign w:val="center"/>
          </w:tcPr>
          <w:p w14:paraId="6517A44F">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0.075</w:t>
            </w:r>
          </w:p>
        </w:tc>
      </w:tr>
      <w:tr w14:paraId="79CB18D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47E3F946">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通过质量百分率（%）</w:t>
            </w:r>
          </w:p>
        </w:tc>
        <w:tc>
          <w:tcPr>
            <w:tcW w:w="835" w:type="dxa"/>
            <w:vAlign w:val="center"/>
          </w:tcPr>
          <w:p w14:paraId="2DEF85E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835" w:type="dxa"/>
            <w:vAlign w:val="center"/>
          </w:tcPr>
          <w:p w14:paraId="5045051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100</w:t>
            </w:r>
          </w:p>
        </w:tc>
        <w:tc>
          <w:tcPr>
            <w:tcW w:w="835" w:type="dxa"/>
            <w:vAlign w:val="center"/>
          </w:tcPr>
          <w:p w14:paraId="11C8EC2F">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90~100</w:t>
            </w:r>
          </w:p>
        </w:tc>
        <w:tc>
          <w:tcPr>
            <w:tcW w:w="835" w:type="dxa"/>
            <w:vAlign w:val="center"/>
          </w:tcPr>
          <w:p w14:paraId="599B3E1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73~88</w:t>
            </w:r>
          </w:p>
        </w:tc>
        <w:tc>
          <w:tcPr>
            <w:tcW w:w="835" w:type="dxa"/>
            <w:vAlign w:val="center"/>
          </w:tcPr>
          <w:p w14:paraId="0D35D32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49~69</w:t>
            </w:r>
          </w:p>
        </w:tc>
        <w:tc>
          <w:tcPr>
            <w:tcW w:w="835" w:type="dxa"/>
            <w:vAlign w:val="center"/>
          </w:tcPr>
          <w:p w14:paraId="6377FF06">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29~54</w:t>
            </w:r>
          </w:p>
        </w:tc>
        <w:tc>
          <w:tcPr>
            <w:tcW w:w="835" w:type="dxa"/>
            <w:vAlign w:val="center"/>
          </w:tcPr>
          <w:p w14:paraId="6291333C">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17~37</w:t>
            </w:r>
          </w:p>
        </w:tc>
        <w:tc>
          <w:tcPr>
            <w:tcW w:w="835" w:type="dxa"/>
          </w:tcPr>
          <w:p w14:paraId="25C11E2B">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8~20</w:t>
            </w:r>
          </w:p>
        </w:tc>
        <w:tc>
          <w:tcPr>
            <w:tcW w:w="835" w:type="dxa"/>
          </w:tcPr>
          <w:p w14:paraId="55F4297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0~7</w:t>
            </w:r>
          </w:p>
        </w:tc>
      </w:tr>
    </w:tbl>
    <w:p w14:paraId="33425D82">
      <w:pPr>
        <w:pStyle w:val="95"/>
        <w:ind w:left="846" w:hanging="846"/>
        <w:rPr>
          <w:rFonts w:ascii="Times New Roman" w:eastAsiaTheme="minorEastAsia"/>
        </w:rPr>
      </w:pPr>
      <w:r>
        <w:rPr>
          <w:rFonts w:ascii="Times New Roman" w:eastAsiaTheme="minorEastAsia"/>
        </w:rPr>
        <w:t>道路用缘石</w:t>
      </w:r>
    </w:p>
    <w:p w14:paraId="613FA9BE">
      <w:pPr>
        <w:pStyle w:val="99"/>
        <w:rPr>
          <w:rFonts w:eastAsiaTheme="minorEastAsia"/>
        </w:rPr>
      </w:pPr>
      <w:r>
        <w:rPr>
          <w:rFonts w:eastAsiaTheme="minorEastAsia"/>
        </w:rPr>
        <w:t>缘石材质为石材，石质应一致，无裂纹和风化等现象，放射性水平应满足放射性比活度小于等于1000Bq/kg镭当量浓度，石材强度应满足下表要求。可选择满足要求的相应种类石材。</w:t>
      </w:r>
    </w:p>
    <w:p w14:paraId="5D444084">
      <w:pPr>
        <w:pStyle w:val="99"/>
        <w:rPr>
          <w:rFonts w:eastAsiaTheme="minorEastAsia"/>
        </w:rPr>
      </w:pPr>
      <w:r>
        <w:rPr>
          <w:rFonts w:eastAsiaTheme="minorEastAsia"/>
        </w:rPr>
        <w:t>路缘石施工缝直线段灌缝最大缝宽度10mm，采用1：3水泥砂浆。</w:t>
      </w:r>
    </w:p>
    <w:p w14:paraId="062E3834">
      <w:pPr>
        <w:jc w:val="center"/>
        <w:rPr>
          <w:rFonts w:eastAsiaTheme="minorEastAsia"/>
          <w:b/>
          <w:szCs w:val="21"/>
        </w:rPr>
      </w:pPr>
      <w:r>
        <w:rPr>
          <w:rFonts w:eastAsiaTheme="minorEastAsia"/>
          <w:b/>
          <w:w w:val="100"/>
          <w:kern w:val="0"/>
        </w:rPr>
        <w:t>表5.17石材强度技术指标</w:t>
      </w:r>
    </w:p>
    <w:tbl>
      <w:tblPr>
        <w:tblStyle w:val="25"/>
        <w:tblW w:w="10241" w:type="dxa"/>
        <w:jc w:val="center"/>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2480"/>
        <w:gridCol w:w="2421"/>
        <w:gridCol w:w="1975"/>
        <w:gridCol w:w="3365"/>
      </w:tblGrid>
      <w:tr w14:paraId="731305DC">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3F7BE947">
            <w:pPr>
              <w:spacing w:line="276" w:lineRule="auto"/>
              <w:jc w:val="center"/>
              <w:rPr>
                <w:rFonts w:eastAsiaTheme="minorEastAsia"/>
                <w:szCs w:val="21"/>
              </w:rPr>
            </w:pPr>
            <w:r>
              <w:rPr>
                <w:rFonts w:eastAsiaTheme="minorEastAsia"/>
                <w:szCs w:val="21"/>
              </w:rPr>
              <w:t>岩石类别</w:t>
            </w:r>
          </w:p>
        </w:tc>
        <w:tc>
          <w:tcPr>
            <w:tcW w:w="2421" w:type="dxa"/>
            <w:vAlign w:val="center"/>
          </w:tcPr>
          <w:p w14:paraId="04309FCE">
            <w:pPr>
              <w:spacing w:line="276" w:lineRule="auto"/>
              <w:jc w:val="center"/>
              <w:rPr>
                <w:rFonts w:eastAsiaTheme="minorEastAsia"/>
                <w:szCs w:val="21"/>
              </w:rPr>
            </w:pPr>
            <w:r>
              <w:rPr>
                <w:rFonts w:eastAsiaTheme="minorEastAsia"/>
                <w:szCs w:val="21"/>
              </w:rPr>
              <w:t>保水极限抗压强度(MPa)</w:t>
            </w:r>
          </w:p>
        </w:tc>
        <w:tc>
          <w:tcPr>
            <w:tcW w:w="1975" w:type="dxa"/>
            <w:vAlign w:val="center"/>
          </w:tcPr>
          <w:p w14:paraId="49F29C53">
            <w:pPr>
              <w:spacing w:line="276" w:lineRule="auto"/>
              <w:jc w:val="center"/>
              <w:rPr>
                <w:rFonts w:eastAsiaTheme="minorEastAsia"/>
                <w:szCs w:val="21"/>
              </w:rPr>
            </w:pPr>
            <w:r>
              <w:rPr>
                <w:rFonts w:eastAsiaTheme="minorEastAsia"/>
                <w:szCs w:val="21"/>
              </w:rPr>
              <w:t>磨耗率洛杉矶法%</w:t>
            </w:r>
          </w:p>
        </w:tc>
        <w:tc>
          <w:tcPr>
            <w:tcW w:w="3365" w:type="dxa"/>
            <w:vAlign w:val="center"/>
          </w:tcPr>
          <w:p w14:paraId="29CF9ACE">
            <w:pPr>
              <w:spacing w:line="276" w:lineRule="auto"/>
              <w:jc w:val="center"/>
              <w:rPr>
                <w:rFonts w:eastAsiaTheme="minorEastAsia"/>
                <w:szCs w:val="21"/>
              </w:rPr>
            </w:pPr>
            <w:r>
              <w:rPr>
                <w:rFonts w:eastAsiaTheme="minorEastAsia"/>
                <w:szCs w:val="21"/>
              </w:rPr>
              <w:t>磨耗率狄法尔法%</w:t>
            </w:r>
          </w:p>
        </w:tc>
      </w:tr>
      <w:tr w14:paraId="6F7B1A06">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21" w:hRule="atLeast"/>
          <w:jc w:val="center"/>
        </w:trPr>
        <w:tc>
          <w:tcPr>
            <w:tcW w:w="2480" w:type="dxa"/>
            <w:vAlign w:val="center"/>
          </w:tcPr>
          <w:p w14:paraId="602E8043">
            <w:pPr>
              <w:spacing w:line="276" w:lineRule="auto"/>
              <w:jc w:val="center"/>
              <w:rPr>
                <w:rFonts w:eastAsiaTheme="minorEastAsia"/>
                <w:szCs w:val="21"/>
              </w:rPr>
            </w:pPr>
            <w:r>
              <w:rPr>
                <w:rFonts w:eastAsiaTheme="minorEastAsia"/>
                <w:szCs w:val="21"/>
              </w:rPr>
              <w:t>岩浆岩类</w:t>
            </w:r>
          </w:p>
        </w:tc>
        <w:tc>
          <w:tcPr>
            <w:tcW w:w="2421" w:type="dxa"/>
            <w:vAlign w:val="center"/>
          </w:tcPr>
          <w:p w14:paraId="6A4B6561">
            <w:pPr>
              <w:spacing w:line="276" w:lineRule="auto"/>
              <w:jc w:val="center"/>
              <w:rPr>
                <w:rFonts w:eastAsiaTheme="minorEastAsia"/>
                <w:szCs w:val="21"/>
              </w:rPr>
            </w:pPr>
            <w:r>
              <w:rPr>
                <w:rFonts w:eastAsiaTheme="minorEastAsia"/>
                <w:szCs w:val="21"/>
              </w:rPr>
              <w:t>&gt;100</w:t>
            </w:r>
          </w:p>
        </w:tc>
        <w:tc>
          <w:tcPr>
            <w:tcW w:w="1975" w:type="dxa"/>
            <w:vAlign w:val="center"/>
          </w:tcPr>
          <w:p w14:paraId="32ABCEF3">
            <w:pPr>
              <w:spacing w:line="276" w:lineRule="auto"/>
              <w:jc w:val="center"/>
              <w:rPr>
                <w:rFonts w:eastAsiaTheme="minorEastAsia"/>
                <w:szCs w:val="21"/>
              </w:rPr>
            </w:pPr>
            <w:r>
              <w:rPr>
                <w:rFonts w:eastAsiaTheme="minorEastAsia"/>
                <w:szCs w:val="21"/>
              </w:rPr>
              <w:t>&lt;30</w:t>
            </w:r>
          </w:p>
        </w:tc>
        <w:tc>
          <w:tcPr>
            <w:tcW w:w="3365" w:type="dxa"/>
            <w:vAlign w:val="center"/>
          </w:tcPr>
          <w:p w14:paraId="4CACA5F4">
            <w:pPr>
              <w:spacing w:line="276" w:lineRule="auto"/>
              <w:jc w:val="center"/>
              <w:rPr>
                <w:rFonts w:eastAsiaTheme="minorEastAsia"/>
                <w:szCs w:val="21"/>
              </w:rPr>
            </w:pPr>
            <w:r>
              <w:rPr>
                <w:rFonts w:eastAsiaTheme="minorEastAsia"/>
                <w:szCs w:val="21"/>
              </w:rPr>
              <w:t>&lt;5</w:t>
            </w:r>
          </w:p>
        </w:tc>
      </w:tr>
      <w:tr w14:paraId="7E22E721">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73666FCB">
            <w:pPr>
              <w:spacing w:line="276" w:lineRule="auto"/>
              <w:jc w:val="center"/>
              <w:rPr>
                <w:rFonts w:eastAsiaTheme="minorEastAsia"/>
                <w:szCs w:val="21"/>
              </w:rPr>
            </w:pPr>
            <w:r>
              <w:rPr>
                <w:rFonts w:eastAsiaTheme="minorEastAsia"/>
                <w:szCs w:val="21"/>
              </w:rPr>
              <w:t>石灰岩类</w:t>
            </w:r>
          </w:p>
        </w:tc>
        <w:tc>
          <w:tcPr>
            <w:tcW w:w="2421" w:type="dxa"/>
            <w:vAlign w:val="center"/>
          </w:tcPr>
          <w:p w14:paraId="10D5A602">
            <w:pPr>
              <w:spacing w:line="276" w:lineRule="auto"/>
              <w:jc w:val="center"/>
              <w:rPr>
                <w:rFonts w:eastAsiaTheme="minorEastAsia"/>
                <w:szCs w:val="21"/>
              </w:rPr>
            </w:pPr>
            <w:r>
              <w:rPr>
                <w:rFonts w:eastAsiaTheme="minorEastAsia"/>
                <w:szCs w:val="21"/>
              </w:rPr>
              <w:t>&gt;80</w:t>
            </w:r>
          </w:p>
        </w:tc>
        <w:tc>
          <w:tcPr>
            <w:tcW w:w="1975" w:type="dxa"/>
            <w:vAlign w:val="center"/>
          </w:tcPr>
          <w:p w14:paraId="54CB9DB3">
            <w:pPr>
              <w:spacing w:line="276" w:lineRule="auto"/>
              <w:jc w:val="center"/>
              <w:rPr>
                <w:rFonts w:eastAsiaTheme="minorEastAsia"/>
                <w:szCs w:val="21"/>
              </w:rPr>
            </w:pPr>
            <w:r>
              <w:rPr>
                <w:rFonts w:eastAsiaTheme="minorEastAsia"/>
                <w:szCs w:val="21"/>
              </w:rPr>
              <w:t>&lt;35</w:t>
            </w:r>
          </w:p>
        </w:tc>
        <w:tc>
          <w:tcPr>
            <w:tcW w:w="3365" w:type="dxa"/>
            <w:vAlign w:val="center"/>
          </w:tcPr>
          <w:p w14:paraId="211BEA82">
            <w:pPr>
              <w:spacing w:line="276" w:lineRule="auto"/>
              <w:jc w:val="center"/>
              <w:rPr>
                <w:rFonts w:eastAsiaTheme="minorEastAsia"/>
                <w:szCs w:val="21"/>
              </w:rPr>
            </w:pPr>
            <w:r>
              <w:rPr>
                <w:rFonts w:eastAsiaTheme="minorEastAsia"/>
                <w:szCs w:val="21"/>
              </w:rPr>
              <w:t>&lt;6</w:t>
            </w:r>
          </w:p>
        </w:tc>
      </w:tr>
    </w:tbl>
    <w:p w14:paraId="0CF5DAF7">
      <w:pPr>
        <w:pStyle w:val="95"/>
        <w:ind w:left="846" w:hanging="846"/>
        <w:rPr>
          <w:rFonts w:ascii="Times New Roman" w:eastAsiaTheme="minorEastAsia"/>
        </w:rPr>
      </w:pPr>
      <w:r>
        <w:rPr>
          <w:rFonts w:ascii="Times New Roman" w:eastAsiaTheme="minorEastAsia"/>
        </w:rPr>
        <w:t>山皮石质量要求</w:t>
      </w:r>
    </w:p>
    <w:p w14:paraId="1E545BAA">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rPr>
        <w:t>1）</w:t>
      </w:r>
      <w:r>
        <w:rPr>
          <w:rFonts w:ascii="Times New Roman" w:eastAsiaTheme="minorEastAsia"/>
          <w:b w:val="0"/>
          <w:szCs w:val="24"/>
        </w:rPr>
        <w:t>山皮石中石料的最大粒径控制在2/3hcm以内，同时要求山皮石料具有较好的自然级配；</w:t>
      </w:r>
    </w:p>
    <w:p w14:paraId="608A83FD">
      <w:pPr>
        <w:pStyle w:val="97"/>
        <w:numPr>
          <w:ilvl w:val="0"/>
          <w:numId w:val="0"/>
        </w:numPr>
        <w:ind w:left="480"/>
        <w:outlineLvl w:val="9"/>
        <w:rPr>
          <w:rFonts w:ascii="Times New Roman" w:eastAsiaTheme="minorEastAsia"/>
          <w:b w:val="0"/>
          <w:szCs w:val="24"/>
        </w:rPr>
      </w:pPr>
      <w:r>
        <w:rPr>
          <w:rFonts w:ascii="Times New Roman" w:eastAsiaTheme="minorEastAsia"/>
          <w:b w:val="0"/>
          <w:szCs w:val="24"/>
        </w:rPr>
        <w:t>2）填料的最大含土量控制在5%以内，并且不应含腐植土等杂物；</w:t>
      </w:r>
    </w:p>
    <w:p w14:paraId="61813E22">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szCs w:val="24"/>
        </w:rPr>
        <w:t>3）山皮石中石料的抗压强度不小于30Mpa；</w:t>
      </w:r>
    </w:p>
    <w:p w14:paraId="3CABA074">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szCs w:val="24"/>
        </w:rPr>
        <w:t>4）密实系数不小于0.94。</w:t>
      </w:r>
    </w:p>
    <w:p w14:paraId="187F4FB8">
      <w:pPr>
        <w:pStyle w:val="95"/>
        <w:ind w:left="846" w:hanging="846"/>
        <w:rPr>
          <w:rFonts w:ascii="Times New Roman" w:eastAsiaTheme="minorEastAsia"/>
        </w:rPr>
      </w:pPr>
      <w:r>
        <w:rPr>
          <w:rFonts w:ascii="Times New Roman" w:eastAsiaTheme="minorEastAsia"/>
        </w:rPr>
        <w:t>玻纤土工格栅主要技术指标</w:t>
      </w:r>
    </w:p>
    <w:p w14:paraId="752F38B0">
      <w:pPr>
        <w:pStyle w:val="99"/>
        <w:rPr>
          <w:rFonts w:eastAsiaTheme="minorEastAsia"/>
        </w:rPr>
      </w:pPr>
      <w:r>
        <w:rPr>
          <w:rFonts w:eastAsiaTheme="minorEastAsia"/>
        </w:rPr>
        <w:t>1）玻纤土工格栅主要技术指标</w:t>
      </w:r>
    </w:p>
    <w:p w14:paraId="4DD5AB00">
      <w:pPr>
        <w:pStyle w:val="99"/>
        <w:rPr>
          <w:rFonts w:eastAsiaTheme="minorEastAsia"/>
        </w:rPr>
      </w:pPr>
      <w:r>
        <w:rPr>
          <w:rFonts w:eastAsiaTheme="minorEastAsia"/>
        </w:rPr>
        <w:t>抗拉强度＞50kN/m</w:t>
      </w:r>
    </w:p>
    <w:p w14:paraId="601A1012">
      <w:pPr>
        <w:pStyle w:val="99"/>
        <w:rPr>
          <w:rFonts w:eastAsiaTheme="minorEastAsia"/>
        </w:rPr>
      </w:pPr>
      <w:r>
        <w:rPr>
          <w:rFonts w:eastAsiaTheme="minorEastAsia"/>
        </w:rPr>
        <w:t>耐温性≥170℃</w:t>
      </w:r>
    </w:p>
    <w:p w14:paraId="5D474973">
      <w:pPr>
        <w:pStyle w:val="99"/>
        <w:rPr>
          <w:rFonts w:eastAsiaTheme="minorEastAsia"/>
        </w:rPr>
      </w:pPr>
      <w:r>
        <w:rPr>
          <w:rFonts w:eastAsiaTheme="minorEastAsia"/>
        </w:rPr>
        <w:t>孔眼尺寸：沥青面层骨料最大粒径的50%-100%</w:t>
      </w:r>
    </w:p>
    <w:p w14:paraId="63DCE4DF">
      <w:pPr>
        <w:pStyle w:val="99"/>
        <w:rPr>
          <w:rFonts w:eastAsiaTheme="minorEastAsia"/>
        </w:rPr>
      </w:pPr>
      <w:r>
        <w:rPr>
          <w:rFonts w:eastAsiaTheme="minorEastAsia"/>
        </w:rPr>
        <w:t>单位面积质量≤200 g/m</w:t>
      </w:r>
      <w:r>
        <w:rPr>
          <w:rFonts w:eastAsiaTheme="minorEastAsia"/>
          <w:vertAlign w:val="superscript"/>
        </w:rPr>
        <w:t>2</w:t>
      </w:r>
    </w:p>
    <w:p w14:paraId="71B4248F">
      <w:pPr>
        <w:pStyle w:val="99"/>
        <w:rPr>
          <w:rFonts w:eastAsiaTheme="minorEastAsia"/>
        </w:rPr>
      </w:pPr>
      <w:r>
        <w:rPr>
          <w:rFonts w:eastAsiaTheme="minorEastAsia"/>
        </w:rPr>
        <w:t>新旧路搭接处土工合成材料宽度不宜小于1m。</w:t>
      </w:r>
    </w:p>
    <w:p w14:paraId="57FFB130">
      <w:pPr>
        <w:pStyle w:val="99"/>
        <w:rPr>
          <w:rFonts w:eastAsiaTheme="minorEastAsia"/>
        </w:rPr>
      </w:pPr>
      <w:r>
        <w:rPr>
          <w:rFonts w:eastAsiaTheme="minorEastAsia"/>
        </w:rPr>
        <w:t>玻纤格栅宜先铺设，再撒布热沥青粘层油，粘层油用量0.4-0.6kg/㎡，保证铺设平顺。</w:t>
      </w:r>
    </w:p>
    <w:p w14:paraId="7567CED3">
      <w:pPr>
        <w:pStyle w:val="99"/>
        <w:rPr>
          <w:rFonts w:eastAsiaTheme="minorEastAsia"/>
        </w:rPr>
      </w:pPr>
      <w:r>
        <w:rPr>
          <w:rFonts w:eastAsiaTheme="minorEastAsia"/>
        </w:rPr>
        <w:t>施工车辆不得在土工合成材料表面转弯，出现摊铺机车轮打滑时，应在粘层油表面撒布石屑，石屑用量3-5m³/1000㎡。</w:t>
      </w:r>
    </w:p>
    <w:p w14:paraId="4D7C654D">
      <w:pPr>
        <w:pStyle w:val="99"/>
        <w:rPr>
          <w:rFonts w:eastAsiaTheme="minorEastAsia"/>
        </w:rPr>
      </w:pPr>
      <w:r>
        <w:rPr>
          <w:rFonts w:eastAsiaTheme="minorEastAsia"/>
        </w:rPr>
        <w:t>2）玻纤土工格栅施工要求：</w:t>
      </w:r>
    </w:p>
    <w:p w14:paraId="6208999F">
      <w:pPr>
        <w:pStyle w:val="99"/>
        <w:rPr>
          <w:rFonts w:eastAsiaTheme="minorEastAsia"/>
        </w:rPr>
      </w:pPr>
      <w:r>
        <w:rPr>
          <w:rFonts w:eastAsiaTheme="minorEastAsia"/>
        </w:rPr>
        <w:t>1、格栅搭接距离：</w:t>
      </w:r>
    </w:p>
    <w:p w14:paraId="3B2ACC00">
      <w:pPr>
        <w:pStyle w:val="99"/>
        <w:rPr>
          <w:rFonts w:eastAsiaTheme="minorEastAsia"/>
        </w:rPr>
      </w:pPr>
      <w:r>
        <w:rPr>
          <w:rFonts w:eastAsiaTheme="minorEastAsia"/>
        </w:rPr>
        <w:t>纵向接头搭接距离不小于20cm，横向搭接距离不小于15cm，纵向搭接应根据沥青摊铺方向，将前一幅处于后一幅之上。</w:t>
      </w:r>
    </w:p>
    <w:p w14:paraId="21BB8905">
      <w:pPr>
        <w:pStyle w:val="99"/>
        <w:rPr>
          <w:rFonts w:eastAsiaTheme="minorEastAsia"/>
        </w:rPr>
      </w:pPr>
      <w:r>
        <w:rPr>
          <w:rFonts w:eastAsiaTheme="minorEastAsia"/>
        </w:rPr>
        <w:t>2、格栅固定方法（钉子固定法）：</w:t>
      </w:r>
    </w:p>
    <w:p w14:paraId="4B7B53ED">
      <w:pPr>
        <w:pStyle w:val="99"/>
        <w:rPr>
          <w:rFonts w:eastAsiaTheme="minorEastAsia"/>
        </w:rPr>
      </w:pPr>
      <w:r>
        <w:rPr>
          <w:rFonts w:eastAsiaTheme="minorEastAsia"/>
        </w:rPr>
        <w:t>a、所需材料：</w:t>
      </w:r>
    </w:p>
    <w:p w14:paraId="5367AFDF">
      <w:pPr>
        <w:pStyle w:val="99"/>
        <w:rPr>
          <w:rFonts w:eastAsiaTheme="minorEastAsia"/>
        </w:rPr>
      </w:pPr>
      <w:r>
        <w:rPr>
          <w:rFonts w:hint="eastAsia" w:ascii="宋体" w:hAnsi="宋体" w:cs="宋体"/>
        </w:rPr>
        <w:t>①</w:t>
      </w:r>
      <w:r>
        <w:rPr>
          <w:rFonts w:eastAsiaTheme="minorEastAsia"/>
        </w:rPr>
        <w:t>、40*40*0.3mm的固定铁皮，要求平整不翘脚；</w:t>
      </w:r>
    </w:p>
    <w:p w14:paraId="5A9562E3">
      <w:pPr>
        <w:pStyle w:val="99"/>
        <w:rPr>
          <w:rFonts w:eastAsiaTheme="minorEastAsia"/>
        </w:rPr>
      </w:pPr>
      <w:r>
        <w:rPr>
          <w:rFonts w:hint="eastAsia" w:ascii="宋体" w:hAnsi="宋体" w:cs="宋体"/>
        </w:rPr>
        <w:t>②</w:t>
      </w:r>
      <w:r>
        <w:rPr>
          <w:rFonts w:eastAsiaTheme="minorEastAsia"/>
        </w:rPr>
        <w:t>、2英寸（5cm）钢钉</w:t>
      </w:r>
    </w:p>
    <w:p w14:paraId="2F31BCEE">
      <w:pPr>
        <w:pStyle w:val="99"/>
        <w:rPr>
          <w:rFonts w:eastAsiaTheme="minorEastAsia"/>
        </w:rPr>
      </w:pPr>
      <w:r>
        <w:rPr>
          <w:rFonts w:eastAsiaTheme="minorEastAsia"/>
        </w:rPr>
        <w:t>b、施工方法：</w:t>
      </w:r>
    </w:p>
    <w:p w14:paraId="2988096F">
      <w:pPr>
        <w:pStyle w:val="99"/>
        <w:rPr>
          <w:rFonts w:eastAsiaTheme="minorEastAsia"/>
        </w:rPr>
      </w:pPr>
      <w:r>
        <w:rPr>
          <w:rFonts w:eastAsiaTheme="minorEastAsia"/>
        </w:rPr>
        <w:t>采用钉子固定法铺设玻纤土工格栅时，先将一端用固定铁皮和钉子固定在下层结构上，钉子可用锤子钉入或射钉枪射入，再将格栅纵向拉紧并固定，每段长度2-5m。不能将钉子直接钉于玻纤格栅上，也不能用锤子直接敲击玻纤格栅，固定好后若发现钉子断裂或铁皮松动，则需重新固定。</w:t>
      </w:r>
    </w:p>
    <w:p w14:paraId="321801EF">
      <w:pPr>
        <w:pStyle w:val="94"/>
        <w:rPr>
          <w:rFonts w:ascii="Times New Roman" w:eastAsiaTheme="minorEastAsia"/>
        </w:rPr>
      </w:pPr>
      <w:r>
        <w:rPr>
          <w:rFonts w:ascii="Times New Roman" w:eastAsiaTheme="minorEastAsia"/>
        </w:rPr>
        <w:t>道路项目“危大工程”设计要求</w:t>
      </w:r>
    </w:p>
    <w:p w14:paraId="14EE5040">
      <w:pPr>
        <w:pStyle w:val="99"/>
        <w:rPr>
          <w:rFonts w:eastAsiaTheme="minorEastAsia"/>
        </w:rPr>
      </w:pPr>
      <w:r>
        <w:rPr>
          <w:rFonts w:eastAsiaTheme="minorEastAsia"/>
        </w:rPr>
        <w:t>根据住建部印发的《危险性较大的分部分项工程安全管理规定》及《住房城乡建设部办公厅关于实施&lt;危险性较大的分部分项工程安全管理规定&gt;有关问题的通知》，本工程的危大工程识别点为：</w:t>
      </w:r>
    </w:p>
    <w:p w14:paraId="691290D1">
      <w:pPr>
        <w:pStyle w:val="99"/>
        <w:rPr>
          <w:rFonts w:eastAsiaTheme="minorEastAsia"/>
        </w:rPr>
      </w:pPr>
      <w:r>
        <w:rPr>
          <w:rFonts w:eastAsiaTheme="minorEastAsia"/>
        </w:rPr>
        <w:t>（1）拆除工程：可能影响行人、交通、电力设施、通讯设施或其它建、构筑物安全的拆除工程；</w:t>
      </w:r>
    </w:p>
    <w:p w14:paraId="01486B65">
      <w:pPr>
        <w:pStyle w:val="99"/>
        <w:rPr>
          <w:rFonts w:eastAsiaTheme="minorEastAsia"/>
        </w:rPr>
      </w:pPr>
      <w:r>
        <w:rPr>
          <w:rFonts w:eastAsiaTheme="minorEastAsia"/>
        </w:rPr>
        <w:t>（2）基坑开挖工程：开挖深度超过3m（含3m）的基坑（槽）的土方开挖、支护、降水工程；</w:t>
      </w:r>
    </w:p>
    <w:p w14:paraId="25504836">
      <w:pPr>
        <w:pStyle w:val="99"/>
        <w:rPr>
          <w:rFonts w:eastAsiaTheme="minorEastAsia"/>
        </w:rPr>
      </w:pPr>
      <w:r>
        <w:rPr>
          <w:rFonts w:eastAsiaTheme="minorEastAsia"/>
        </w:rPr>
        <w:t>（3）装配式建筑混凝土预制构件安装工程：混凝土模块式检查井的安装。</w:t>
      </w:r>
    </w:p>
    <w:p w14:paraId="6B868C84">
      <w:pPr>
        <w:pStyle w:val="99"/>
        <w:rPr>
          <w:rFonts w:eastAsiaTheme="minorEastAsia"/>
        </w:rPr>
      </w:pPr>
      <w:r>
        <w:rPr>
          <w:rFonts w:eastAsiaTheme="minorEastAsia"/>
        </w:rPr>
        <w:t>工程实施过程中应按照相关规定做好安全防护措施，保证工程安全。</w:t>
      </w:r>
    </w:p>
    <w:p w14:paraId="12BC8273">
      <w:pPr>
        <w:pStyle w:val="99"/>
        <w:rPr>
          <w:rFonts w:eastAsiaTheme="minorEastAsia"/>
        </w:rPr>
      </w:pPr>
      <w:r>
        <w:rPr>
          <w:rFonts w:eastAsiaTheme="minorEastAsia"/>
        </w:rPr>
        <w:t>施工注意事项：</w:t>
      </w:r>
    </w:p>
    <w:p w14:paraId="4A4E9DC7">
      <w:pPr>
        <w:pStyle w:val="99"/>
        <w:rPr>
          <w:rFonts w:eastAsiaTheme="minorEastAsia"/>
        </w:rPr>
      </w:pPr>
      <w:r>
        <w:rPr>
          <w:rFonts w:eastAsiaTheme="minorEastAsia"/>
        </w:rPr>
        <w:t>（1）开挖槽（坑）深度超过1.5m时，一定要按土质和挖的深度按规定进行放坡。</w:t>
      </w:r>
    </w:p>
    <w:p w14:paraId="40BEAAD8">
      <w:pPr>
        <w:pStyle w:val="99"/>
        <w:rPr>
          <w:rFonts w:eastAsiaTheme="minorEastAsia"/>
        </w:rPr>
      </w:pPr>
      <w:r>
        <w:rPr>
          <w:rFonts w:eastAsiaTheme="minorEastAsia"/>
        </w:rPr>
        <w:t>（2）.坑（槽）沟边1m以内不得堆土，堆料和停放机具1m以外堆土，其高度不宜超过1.5m。</w:t>
      </w:r>
    </w:p>
    <w:p w14:paraId="7072D953">
      <w:pPr>
        <w:pStyle w:val="99"/>
        <w:rPr>
          <w:rFonts w:eastAsiaTheme="minorEastAsia"/>
        </w:rPr>
      </w:pPr>
      <w:r>
        <w:rPr>
          <w:rFonts w:eastAsiaTheme="minorEastAsia"/>
        </w:rPr>
        <w:t>（3）工人上下深坑（槽）应予先搭设稳固安全的阶梯，避免上下发生坠落。</w:t>
      </w:r>
    </w:p>
    <w:p w14:paraId="2507F904">
      <w:pPr>
        <w:pStyle w:val="99"/>
        <w:rPr>
          <w:rFonts w:eastAsiaTheme="minorEastAsia"/>
        </w:rPr>
      </w:pPr>
      <w:r>
        <w:rPr>
          <w:rFonts w:eastAsiaTheme="minorEastAsia"/>
        </w:rPr>
        <w:t>（4）深度（槽）超过2m的坑（槽）、沟边沿处，必须设置1.2m高牢固的栏杆和悬挂危险标志，并在夜间挂红色标志灯，任何人严禁在深（坑）槽、沟边沿处，必须设置1.2m高牢固的栏杆和悬挂危险标志，并在夜间挂红色标志灯，任何人严禁在深（坑）槽、悬岩、陡坡下休息。</w:t>
      </w:r>
    </w:p>
    <w:p w14:paraId="09F55089">
      <w:pPr>
        <w:pStyle w:val="99"/>
        <w:rPr>
          <w:rFonts w:eastAsiaTheme="minorEastAsia"/>
        </w:rPr>
      </w:pPr>
      <w:r>
        <w:rPr>
          <w:rFonts w:eastAsiaTheme="minorEastAsia"/>
        </w:rPr>
        <w:t>（5）在雨季挖土方时，必须排水通畅，并应特别注意边坡的稳定，下大雨应暂停土方施工。</w:t>
      </w:r>
    </w:p>
    <w:p w14:paraId="48B915AB">
      <w:pPr>
        <w:pStyle w:val="99"/>
        <w:rPr>
          <w:rFonts w:eastAsiaTheme="minorEastAsia"/>
        </w:rPr>
      </w:pPr>
      <w:r>
        <w:rPr>
          <w:rFonts w:eastAsiaTheme="minorEastAsia"/>
        </w:rPr>
        <w:t>（6）挖土方时，应尽量安排在地形平坦，施工干扰少和运输道路畅通的地段，施工地应有足够的照明。</w:t>
      </w:r>
    </w:p>
    <w:p w14:paraId="15FFE159">
      <w:pPr>
        <w:pStyle w:val="99"/>
        <w:rPr>
          <w:rFonts w:eastAsiaTheme="minorEastAsia"/>
        </w:rPr>
      </w:pPr>
      <w:r>
        <w:rPr>
          <w:rFonts w:eastAsiaTheme="minorEastAsia"/>
        </w:rPr>
        <w:t>（7）施工中，施工人员要经常注意边坡是否有裂、滑坡现象，一旦发现，立即停止，待处理和加固后方可施工。</w:t>
      </w:r>
    </w:p>
    <w:p w14:paraId="4519C5E7">
      <w:pPr>
        <w:pStyle w:val="99"/>
        <w:rPr>
          <w:rFonts w:eastAsiaTheme="minorEastAsia"/>
        </w:rPr>
      </w:pPr>
      <w:r>
        <w:rPr>
          <w:rFonts w:eastAsiaTheme="minorEastAsia"/>
        </w:rPr>
        <w:t>（8）在施工条形基础时，如所施工的条基深度较大，应采用鼓风机往也内送风，确保工人的人身安全。</w:t>
      </w:r>
    </w:p>
    <w:p w14:paraId="18FB776C">
      <w:pPr>
        <w:pStyle w:val="99"/>
        <w:rPr>
          <w:rFonts w:eastAsiaTheme="minorEastAsia"/>
        </w:rPr>
      </w:pPr>
      <w:r>
        <w:rPr>
          <w:rFonts w:eastAsiaTheme="minorEastAsia"/>
        </w:rPr>
        <w:t>（9）已开挖的条形基础在下班休息时必须（用木枋制定而成的围护板）基槽边围护。</w:t>
      </w:r>
    </w:p>
    <w:p w14:paraId="3DEAC3E4">
      <w:pPr>
        <w:pStyle w:val="99"/>
        <w:rPr>
          <w:rFonts w:eastAsiaTheme="minorEastAsia"/>
        </w:rPr>
      </w:pPr>
      <w:r>
        <w:rPr>
          <w:rFonts w:eastAsiaTheme="minorEastAsia"/>
        </w:rPr>
        <w:t>（10）每个基槽均设置一步软爬梯，以便于施工人员上下基槽内。</w:t>
      </w:r>
    </w:p>
    <w:p w14:paraId="34C2668D">
      <w:pPr>
        <w:pStyle w:val="94"/>
        <w:rPr>
          <w:rFonts w:ascii="Times New Roman" w:eastAsiaTheme="minorEastAsia"/>
        </w:rPr>
      </w:pPr>
      <w:r>
        <w:rPr>
          <w:rFonts w:ascii="Times New Roman" w:eastAsiaTheme="minorEastAsia"/>
        </w:rPr>
        <w:t>施工注意事项</w:t>
      </w:r>
    </w:p>
    <w:p w14:paraId="30A7C2BE">
      <w:pPr>
        <w:pStyle w:val="99"/>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14:paraId="0E7228B0">
      <w:pPr>
        <w:pStyle w:val="99"/>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14:paraId="7F450B25">
      <w:pPr>
        <w:pStyle w:val="99"/>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14:paraId="0A771F04">
      <w:pPr>
        <w:pStyle w:val="99"/>
        <w:numPr>
          <w:ilvl w:val="1"/>
          <w:numId w:val="8"/>
        </w:numPr>
        <w:ind w:left="0" w:firstLine="480"/>
        <w:rPr>
          <w:rFonts w:eastAsiaTheme="minorEastAsia"/>
        </w:rPr>
      </w:pPr>
      <w:r>
        <w:rPr>
          <w:rFonts w:eastAsiaTheme="minorEastAsia"/>
        </w:rPr>
        <w:t>应按照安全技术规范规程施工，做好安全教育工作，施工现场应设立明显标志和必要的围护措施。</w:t>
      </w:r>
    </w:p>
    <w:p w14:paraId="50309B90">
      <w:pPr>
        <w:pStyle w:val="99"/>
        <w:numPr>
          <w:ilvl w:val="1"/>
          <w:numId w:val="8"/>
        </w:numPr>
        <w:ind w:left="0" w:firstLine="480"/>
        <w:rPr>
          <w:rFonts w:eastAsiaTheme="minorEastAsia"/>
        </w:rPr>
      </w:pPr>
      <w:r>
        <w:rPr>
          <w:rFonts w:eastAsiaTheme="minorEastAsia"/>
        </w:rPr>
        <w:t>注意文明施工、安全防护措施。公告牌、警示牌（灯）、护拦等必要设施齐备；夜间要设警示灯。建筑材料堆放整齐，位置适当；树木保护措施得当；尽量减少粉尘、噪音对周围环境的影响。</w:t>
      </w:r>
    </w:p>
    <w:p w14:paraId="58CCBB66">
      <w:pPr>
        <w:pStyle w:val="99"/>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14:paraId="7D97D0BB">
      <w:pPr>
        <w:pStyle w:val="99"/>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14:paraId="0440EB26">
      <w:pPr>
        <w:pStyle w:val="99"/>
        <w:rPr>
          <w:rFonts w:eastAsiaTheme="minorEastAsia"/>
        </w:rPr>
      </w:pPr>
      <w:r>
        <w:rPr>
          <w:rFonts w:eastAsiaTheme="minorEastAsia"/>
        </w:rPr>
        <w:t>本说明未尽事宜，按照国家有关施工验收及设计规范执行，不能确定处应及时与设计单位联系。</w:t>
      </w:r>
    </w:p>
    <w:p w14:paraId="48203C35">
      <w:pPr>
        <w:pStyle w:val="94"/>
        <w:rPr>
          <w:rFonts w:ascii="Times New Roman" w:eastAsiaTheme="minorEastAsia"/>
        </w:rPr>
      </w:pPr>
      <w:r>
        <w:rPr>
          <w:rFonts w:ascii="Times New Roman" w:eastAsiaTheme="minorEastAsia"/>
        </w:rPr>
        <w:t>几点说明</w:t>
      </w:r>
    </w:p>
    <w:p w14:paraId="16C791E5">
      <w:pPr>
        <w:pStyle w:val="99"/>
        <w:numPr>
          <w:ilvl w:val="1"/>
          <w:numId w:val="9"/>
        </w:numPr>
        <w:ind w:left="0" w:firstLine="480"/>
        <w:rPr>
          <w:rFonts w:eastAsiaTheme="minorEastAsia"/>
        </w:rPr>
      </w:pPr>
      <w:r>
        <w:rPr>
          <w:rFonts w:eastAsiaTheme="minorEastAsia"/>
        </w:rPr>
        <w:t>为保证施工工期及施工场地周围环境，工程所用砼均采用商品混凝土。</w:t>
      </w:r>
    </w:p>
    <w:p w14:paraId="5FCE6C22">
      <w:pPr>
        <w:pStyle w:val="99"/>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14:paraId="53ED3247">
      <w:pPr>
        <w:pStyle w:val="99"/>
        <w:numPr>
          <w:ilvl w:val="1"/>
          <w:numId w:val="9"/>
        </w:numPr>
        <w:ind w:left="0" w:firstLine="480"/>
        <w:rPr>
          <w:rFonts w:eastAsiaTheme="minorEastAsia"/>
        </w:rPr>
      </w:pPr>
      <w:r>
        <w:rPr>
          <w:rFonts w:eastAsiaTheme="minorEastAsia"/>
        </w:rPr>
        <w:t>工程设计外运土、废料，运距暂按10km计算。施工前请由建设单位确认取弃土场位置，核算运距。</w:t>
      </w:r>
    </w:p>
    <w:p w14:paraId="2ABD7CA0">
      <w:pPr>
        <w:pStyle w:val="99"/>
        <w:numPr>
          <w:ilvl w:val="1"/>
          <w:numId w:val="9"/>
        </w:numPr>
        <w:ind w:left="0" w:firstLine="480"/>
        <w:rPr>
          <w:rFonts w:eastAsiaTheme="minorEastAsia"/>
        </w:rPr>
      </w:pPr>
      <w:r>
        <w:rPr>
          <w:rFonts w:eastAsiaTheme="minorEastAsia"/>
        </w:rPr>
        <w:t>工程设计外</w:t>
      </w:r>
      <w:r>
        <w:rPr>
          <w:rFonts w:hint="eastAsia" w:eastAsiaTheme="minorEastAsia"/>
        </w:rPr>
        <w:t>进</w:t>
      </w:r>
      <w:r>
        <w:rPr>
          <w:rFonts w:eastAsiaTheme="minorEastAsia"/>
        </w:rPr>
        <w:t>土，运距暂按10km计算。施工前请由建设单位确认取土场位置，核算运距。</w:t>
      </w:r>
    </w:p>
    <w:p w14:paraId="6BF7F306">
      <w:pPr>
        <w:pStyle w:val="99"/>
        <w:numPr>
          <w:ilvl w:val="1"/>
          <w:numId w:val="9"/>
        </w:numPr>
        <w:ind w:left="0" w:firstLine="480"/>
        <w:rPr>
          <w:rFonts w:eastAsiaTheme="minorEastAsia"/>
        </w:rPr>
      </w:pPr>
      <w:r>
        <w:rPr>
          <w:rFonts w:eastAsiaTheme="minorEastAsia"/>
        </w:rPr>
        <w:t>施工前应进行管线会签工作，根据管线位置挖探坑。施工单位在施工时如遇有地下管线应及时与有关管理部门联系，避免因施工对管线造成不良影响。</w:t>
      </w:r>
    </w:p>
    <w:p w14:paraId="598ECFBD">
      <w:pPr>
        <w:pStyle w:val="99"/>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14:paraId="0367FE92">
      <w:pPr>
        <w:pStyle w:val="99"/>
        <w:numPr>
          <w:ilvl w:val="1"/>
          <w:numId w:val="9"/>
        </w:numPr>
        <w:ind w:left="0" w:firstLine="480"/>
        <w:rPr>
          <w:rFonts w:ascii="Times New Roman" w:hAnsi="Times New Roman" w:cs="Times New Roman" w:eastAsiaTheme="minorEastAsia"/>
          <w:b/>
          <w:bCs/>
          <w:szCs w:val="22"/>
        </w:rPr>
      </w:pPr>
      <w:r>
        <w:rPr>
          <w:rFonts w:hint="eastAsia" w:ascii="Times New Roman" w:hAnsi="Times New Roman" w:cs="Times New Roman" w:eastAsiaTheme="minorEastAsia"/>
          <w:b/>
          <w:bCs/>
          <w:szCs w:val="22"/>
          <w:lang w:eastAsia="zh-CN"/>
        </w:rPr>
        <w:t>因本工程尚未进行地勘，本次设计土基处理方式为暂定，待补充地勘资报告完成后，设计单位根据地勘数据</w:t>
      </w:r>
      <w:r>
        <w:rPr>
          <w:rFonts w:ascii="Times New Roman" w:hAnsi="Times New Roman" w:cs="Times New Roman" w:eastAsiaTheme="minorEastAsia"/>
          <w:b/>
          <w:bCs/>
          <w:szCs w:val="22"/>
        </w:rPr>
        <w:t>通过</w:t>
      </w:r>
      <w:r>
        <w:rPr>
          <w:rFonts w:hint="eastAsia" w:ascii="Times New Roman" w:hAnsi="Times New Roman" w:cs="Times New Roman" w:eastAsiaTheme="minorEastAsia"/>
          <w:b/>
          <w:bCs/>
          <w:szCs w:val="22"/>
          <w:lang w:eastAsia="zh-CN"/>
        </w:rPr>
        <w:t>对</w:t>
      </w:r>
      <w:r>
        <w:rPr>
          <w:rFonts w:ascii="Times New Roman" w:hAnsi="Times New Roman" w:cs="Times New Roman" w:eastAsiaTheme="minorEastAsia"/>
          <w:b/>
          <w:bCs/>
          <w:szCs w:val="22"/>
        </w:rPr>
        <w:t>基底干湿类型的计算，同时根据地下水位情况、土质类型及塑性指数的指标，</w:t>
      </w:r>
      <w:r>
        <w:rPr>
          <w:rFonts w:hint="eastAsia" w:ascii="Times New Roman" w:hAnsi="Times New Roman" w:cs="Times New Roman" w:eastAsiaTheme="minorEastAsia"/>
          <w:b/>
          <w:bCs/>
          <w:szCs w:val="22"/>
          <w:lang w:eastAsia="zh-CN"/>
        </w:rPr>
        <w:t>给定最终</w:t>
      </w:r>
      <w:r>
        <w:rPr>
          <w:rFonts w:ascii="Times New Roman" w:hAnsi="Times New Roman" w:cs="Times New Roman" w:eastAsiaTheme="minorEastAsia"/>
          <w:b/>
          <w:bCs/>
          <w:szCs w:val="22"/>
        </w:rPr>
        <w:t>土基处理设计。</w:t>
      </w:r>
    </w:p>
    <w:p w14:paraId="3C27BEFE">
      <w:pPr>
        <w:pStyle w:val="99"/>
        <w:numPr>
          <w:ilvl w:val="1"/>
          <w:numId w:val="9"/>
        </w:numPr>
        <w:ind w:left="0" w:firstLine="480"/>
        <w:rPr>
          <w:rFonts w:eastAsiaTheme="minorEastAsia"/>
          <w:szCs w:val="22"/>
        </w:rPr>
      </w:pPr>
      <w:r>
        <w:rPr>
          <w:rFonts w:eastAsiaTheme="minorEastAsia"/>
          <w:szCs w:val="22"/>
        </w:rPr>
        <w:t>停车场出入口与既有道路顺接，施工时应保证路口不积水。</w:t>
      </w:r>
    </w:p>
    <w:p w14:paraId="26261B85">
      <w:pPr>
        <w:pStyle w:val="99"/>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lang w:eastAsia="zh-CN"/>
        </w:rPr>
        <w:t>单独</w:t>
      </w:r>
      <w:r>
        <w:rPr>
          <w:rFonts w:hint="eastAsia"/>
        </w:rPr>
        <w:t>委托设计及实施。</w:t>
      </w:r>
    </w:p>
    <w:p w14:paraId="57354CAB">
      <w:pPr>
        <w:pStyle w:val="99"/>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14:paraId="2AEA6756">
      <w:pPr>
        <w:pStyle w:val="99"/>
        <w:numPr>
          <w:ilvl w:val="1"/>
          <w:numId w:val="9"/>
        </w:numPr>
        <w:ind w:left="0" w:firstLine="480"/>
        <w:rPr>
          <w:rFonts w:eastAsiaTheme="minorEastAsia"/>
        </w:rPr>
      </w:pPr>
      <w:r>
        <w:rPr>
          <w:rFonts w:eastAsiaTheme="minorEastAsia"/>
        </w:rPr>
        <w:t>若施工实际情况与图纸不符，请及时与设计单位联系。</w:t>
      </w:r>
    </w:p>
    <w:p w14:paraId="369CCD98">
      <w:pPr>
        <w:pStyle w:val="99"/>
        <w:ind w:left="480" w:firstLine="0" w:firstLineChars="0"/>
        <w:rPr>
          <w:rFonts w:eastAsiaTheme="minorEastAsia"/>
        </w:rPr>
      </w:pPr>
    </w:p>
    <w:p w14:paraId="090715B0">
      <w:pPr>
        <w:pStyle w:val="99"/>
        <w:rPr>
          <w:rFonts w:eastAsiaTheme="minorEastAsia"/>
        </w:rPr>
      </w:pPr>
    </w:p>
    <w:sectPr>
      <w:headerReference r:id="rId5" w:type="default"/>
      <w:footerReference r:id="rId6" w:type="default"/>
      <w:pgSz w:w="23814" w:h="16840" w:orient="landscape"/>
      <w:pgMar w:top="1440" w:right="1800" w:bottom="1440" w:left="1800" w:header="851" w:footer="938" w:gutter="0"/>
      <w:pgNumType w:chapStyle="1"/>
      <w:cols w:space="72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Plotter">
    <w:altName w:val="Tahoma"/>
    <w:panose1 w:val="00000000000000000000"/>
    <w:charset w:val="00"/>
    <w:family w:val="auto"/>
    <w:pitch w:val="default"/>
    <w:sig w:usb0="00000000" w:usb1="00000000" w:usb2="81606000" w:usb3="00000000" w:csb0="8163A950" w:csb1="BFF7D1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534221"/>
      <w:docPartObj>
        <w:docPartGallery w:val="autotext"/>
      </w:docPartObj>
    </w:sdtPr>
    <w:sdtEndPr>
      <w:rPr>
        <w:sz w:val="22"/>
      </w:rPr>
    </w:sdtEndPr>
    <w:sdtContent>
      <w:p w14:paraId="1799EAA6">
        <w:pPr>
          <w:pStyle w:val="21"/>
          <w:ind w:left="4717" w:firstLine="5040" w:firstLineChars="2800"/>
          <w:rPr>
            <w:sz w:val="22"/>
          </w:rPr>
        </w:pPr>
        <w:r>
          <w:rPr>
            <w:sz w:val="22"/>
          </w:rPr>
          <w:fldChar w:fldCharType="begin"/>
        </w:r>
        <w:r>
          <w:rPr>
            <w:sz w:val="22"/>
          </w:rPr>
          <w:instrText xml:space="preserve">PAGE   \* MERGEFORMAT</w:instrText>
        </w:r>
        <w:r>
          <w:rPr>
            <w:sz w:val="22"/>
          </w:rPr>
          <w:fldChar w:fldCharType="separate"/>
        </w:r>
        <w:r>
          <w:rPr>
            <w:sz w:val="22"/>
            <w:lang w:val="zh-CN"/>
          </w:rPr>
          <w:t>7</w:t>
        </w:r>
        <w:r>
          <w:rPr>
            <w:sz w:val="22"/>
          </w:rPr>
          <w:fldChar w:fldCharType="end"/>
        </w:r>
      </w:p>
    </w:sdtContent>
  </w:sdt>
  <w:p w14:paraId="128D0507">
    <w:pPr>
      <w:pStyle w:val="21"/>
      <w:ind w:left="47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E3CB">
    <w:pPr>
      <w:pStyle w:val="22"/>
      <w:pBdr>
        <w:bottom w:val="none" w:color="auto" w:sz="0" w:space="0"/>
      </w:pBdr>
      <w:jc w:val="both"/>
      <w:rPr>
        <w:rFonts w:eastAsia="黑体"/>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678B70"/>
    <w:multiLevelType w:val="singleLevel"/>
    <w:tmpl w:val="E7678B70"/>
    <w:lvl w:ilvl="0" w:tentative="0">
      <w:start w:val="1"/>
      <w:numFmt w:val="decimal"/>
      <w:suff w:val="nothing"/>
      <w:lvlText w:val="（%1）"/>
      <w:lvlJc w:val="left"/>
    </w:lvl>
  </w:abstractNum>
  <w:abstractNum w:abstractNumId="1">
    <w:nsid w:val="09761C37"/>
    <w:multiLevelType w:val="multilevel"/>
    <w:tmpl w:val="09761C37"/>
    <w:lvl w:ilvl="0" w:tentative="0">
      <w:start w:val="1"/>
      <w:numFmt w:val="decimal"/>
      <w:lvlText w:val="%1."/>
      <w:lvlJc w:val="left"/>
      <w:pPr>
        <w:ind w:left="900" w:hanging="420"/>
      </w:pPr>
      <w:rPr>
        <w:rFonts w:hint="default"/>
      </w:rPr>
    </w:lvl>
    <w:lvl w:ilvl="1" w:tentative="0">
      <w:start w:val="3"/>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7677C3D"/>
    <w:multiLevelType w:val="multilevel"/>
    <w:tmpl w:val="17677C3D"/>
    <w:lvl w:ilvl="0" w:tentative="0">
      <w:start w:val="1"/>
      <w:numFmt w:val="decimal"/>
      <w:lvlText w:val="%1."/>
      <w:lvlJc w:val="left"/>
      <w:pPr>
        <w:ind w:left="704" w:hanging="420"/>
      </w:pPr>
      <w:rPr>
        <w:rFonts w:hint="default"/>
      </w:rPr>
    </w:lvl>
    <w:lvl w:ilvl="1" w:tentative="0">
      <w:start w:val="1"/>
      <w:numFmt w:val="decimal"/>
      <w:lvlText w:val="%2）"/>
      <w:lvlJc w:val="left"/>
      <w:pPr>
        <w:ind w:left="1275" w:hanging="375"/>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251668A3"/>
    <w:multiLevelType w:val="multilevel"/>
    <w:tmpl w:val="251668A3"/>
    <w:lvl w:ilvl="0" w:tentative="0">
      <w:start w:val="1"/>
      <w:numFmt w:val="decimal"/>
      <w:lvlText w:val="%1."/>
      <w:lvlJc w:val="left"/>
      <w:pPr>
        <w:ind w:left="900" w:hanging="420"/>
      </w:pPr>
      <w:rPr>
        <w:rFonts w:hint="default" w:ascii="Times New Roman" w:hAnsi="Times New Roman" w:eastAsia="宋体" w:cs="Times New Roman"/>
        <w:b w:val="0"/>
        <w:i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pStyle w:val="150"/>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2405D6F"/>
    <w:multiLevelType w:val="multilevel"/>
    <w:tmpl w:val="42405D6F"/>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987" w:hanging="420"/>
      </w:pPr>
      <w:rPr>
        <w:rFonts w:hint="default" w:ascii="宋体" w:hAnsi="宋体" w:eastAsia="宋体"/>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B149D8"/>
    <w:multiLevelType w:val="multilevel"/>
    <w:tmpl w:val="54B149D8"/>
    <w:lvl w:ilvl="0" w:tentative="0">
      <w:start w:val="1"/>
      <w:numFmt w:val="decimal"/>
      <w:lvlText w:val="（%1）"/>
      <w:lvlJc w:val="left"/>
      <w:pPr>
        <w:ind w:left="900" w:hanging="420"/>
      </w:pPr>
      <w:rPr>
        <w:rFonts w:hint="default"/>
      </w:rPr>
    </w:lvl>
    <w:lvl w:ilvl="1" w:tentative="0">
      <w:start w:val="1"/>
      <w:numFmt w:val="decimal"/>
      <w:pStyle w:val="103"/>
      <w:suff w:val="nothing"/>
      <w:lvlText w:val="（%2）"/>
      <w:lvlJc w:val="left"/>
      <w:pPr>
        <w:ind w:left="420" w:hanging="420"/>
      </w:pPr>
      <w:rPr>
        <w:rFonts w:hint="default" w:ascii="Times New Roman" w:hAnsi="Times New Roman" w:cs="Times New Roman"/>
        <w:color w:val="000000" w:themeColor="text1"/>
        <w14:textFill>
          <w14:solidFill>
            <w14:schemeClr w14:val="tx1"/>
          </w14:solidFill>
        </w14:textFill>
      </w:rPr>
    </w:lvl>
    <w:lvl w:ilvl="2" w:tentative="0">
      <w:start w:val="1"/>
      <w:numFmt w:val="decimal"/>
      <w:lvlText w:val="（%3）"/>
      <w:lvlJc w:val="left"/>
      <w:pPr>
        <w:ind w:left="1920" w:hanging="108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362590"/>
    <w:multiLevelType w:val="multilevel"/>
    <w:tmpl w:val="5D362590"/>
    <w:lvl w:ilvl="0" w:tentative="0">
      <w:start w:val="1"/>
      <w:numFmt w:val="decimal"/>
      <w:pStyle w:val="153"/>
      <w:lvlText w:val="3.1.%1."/>
      <w:lvlJc w:val="left"/>
      <w:pPr>
        <w:tabs>
          <w:tab w:val="left" w:pos="0"/>
        </w:tabs>
        <w:ind w:left="0" w:firstLine="0"/>
      </w:pPr>
      <w:rPr>
        <w:rFonts w:hint="default" w:ascii="Times New Roman" w:hAnsi="Times New Roman"/>
        <w:b w:val="0"/>
        <w:i w:val="0"/>
        <w:sz w:val="28"/>
      </w:rPr>
    </w:lvl>
    <w:lvl w:ilvl="1" w:tentative="0">
      <w:start w:val="1"/>
      <w:numFmt w:val="decimal"/>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7">
    <w:nsid w:val="63F17069"/>
    <w:multiLevelType w:val="multilevel"/>
    <w:tmpl w:val="63F17069"/>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2121" w:hanging="420"/>
      </w:pPr>
      <w:rPr>
        <w:rFonts w:hint="default" w:ascii="Times New Roman" w:hAnsi="Times New Roman" w:eastAsia="宋体" w:cs="Times New Roman"/>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7835FE8"/>
    <w:multiLevelType w:val="multilevel"/>
    <w:tmpl w:val="67835FE8"/>
    <w:lvl w:ilvl="0" w:tentative="0">
      <w:start w:val="1"/>
      <w:numFmt w:val="decimal"/>
      <w:pStyle w:val="94"/>
      <w:suff w:val="nothing"/>
      <w:lvlText w:val="%1."/>
      <w:lvlJc w:val="left"/>
      <w:pPr>
        <w:ind w:left="10772" w:hanging="425"/>
      </w:pPr>
      <w:rPr>
        <w:rFonts w:hint="default" w:ascii="Times New Roman" w:hAnsi="Times New Roman" w:cs="Times New Roman"/>
        <w:sz w:val="28"/>
      </w:rPr>
    </w:lvl>
    <w:lvl w:ilvl="1" w:tentative="0">
      <w:start w:val="1"/>
      <w:numFmt w:val="decimal"/>
      <w:pStyle w:val="95"/>
      <w:suff w:val="nothing"/>
      <w:lvlText w:val="%1.%2"/>
      <w:lvlJc w:val="left"/>
      <w:pPr>
        <w:ind w:left="7654" w:hanging="567"/>
      </w:pPr>
      <w:rPr>
        <w:rFonts w:hint="default" w:ascii="Times New Roman" w:hAnsi="Times New Roman" w:cs="Times New Roman"/>
      </w:rPr>
    </w:lvl>
    <w:lvl w:ilvl="2" w:tentative="0">
      <w:start w:val="1"/>
      <w:numFmt w:val="decimal"/>
      <w:pStyle w:val="97"/>
      <w:suff w:val="nothing"/>
      <w:lvlText w:val="%1.%2.%3"/>
      <w:lvlJc w:val="left"/>
      <w:pPr>
        <w:ind w:left="567" w:firstLine="0"/>
      </w:pPr>
      <w:rPr>
        <w:rFonts w:hint="default" w:ascii="Times New Roman" w:hAnsi="Times New Roman" w:cs="Times New Roman"/>
        <w:b/>
      </w:rPr>
    </w:lvl>
    <w:lvl w:ilvl="3" w:tentative="0">
      <w:start w:val="1"/>
      <w:numFmt w:val="decimal"/>
      <w:lvlText w:val="%4."/>
      <w:lvlJc w:val="left"/>
      <w:pPr>
        <w:ind w:left="1843" w:hanging="851"/>
      </w:pPr>
      <w:rPr>
        <w:rFonts w:hint="eastAsia" w:eastAsia="宋体"/>
        <w:b/>
        <w:i w:val="0"/>
        <w:sz w:val="28"/>
      </w:rPr>
    </w:lvl>
    <w:lvl w:ilvl="4" w:tentative="0">
      <w:start w:val="1"/>
      <w:numFmt w:val="none"/>
      <w:suff w:val="nothing"/>
      <w:lvlText w:val="（1）"/>
      <w:lvlJc w:val="left"/>
      <w:pPr>
        <w:ind w:left="992" w:hanging="992"/>
      </w:pPr>
      <w:rPr>
        <w:rFonts w:hint="eastAsia"/>
      </w:rPr>
    </w:lvl>
    <w:lvl w:ilvl="5" w:tentative="0">
      <w:start w:val="1"/>
      <w:numFmt w:val="lowerLetter"/>
      <w:suff w:val="nothing"/>
      <w:lvlText w:val="%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8"/>
  </w:num>
  <w:num w:numId="2">
    <w:abstractNumId w:val="5"/>
  </w:num>
  <w:num w:numId="3">
    <w:abstractNumId w:val="3"/>
  </w:num>
  <w:num w:numId="4">
    <w:abstractNumId w:val="6"/>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89"/>
  <w:drawingGridVerticalSpacing w:val="15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0OWVlMDRkNjdkYzEzNWFmYWMxMTNiYTE4NzhjNTY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C31095"/>
    <w:rsid w:val="02F47AB7"/>
    <w:rsid w:val="03B01826"/>
    <w:rsid w:val="03CA6453"/>
    <w:rsid w:val="043F7295"/>
    <w:rsid w:val="048928A9"/>
    <w:rsid w:val="070C390B"/>
    <w:rsid w:val="09DD06E3"/>
    <w:rsid w:val="0B492353"/>
    <w:rsid w:val="0B572AF7"/>
    <w:rsid w:val="0D4C248B"/>
    <w:rsid w:val="0E1B04B4"/>
    <w:rsid w:val="0E63197E"/>
    <w:rsid w:val="0F330DE4"/>
    <w:rsid w:val="11091EDA"/>
    <w:rsid w:val="145E46E7"/>
    <w:rsid w:val="16367709"/>
    <w:rsid w:val="170420DD"/>
    <w:rsid w:val="1A9425C6"/>
    <w:rsid w:val="1ABD46FF"/>
    <w:rsid w:val="1B991803"/>
    <w:rsid w:val="1C301C12"/>
    <w:rsid w:val="1C4C564A"/>
    <w:rsid w:val="1C5648D0"/>
    <w:rsid w:val="1CDA72AF"/>
    <w:rsid w:val="1D053F1F"/>
    <w:rsid w:val="21630E3B"/>
    <w:rsid w:val="21B17C57"/>
    <w:rsid w:val="22BD7F44"/>
    <w:rsid w:val="23FD4F1C"/>
    <w:rsid w:val="27B94BE3"/>
    <w:rsid w:val="283D6EBE"/>
    <w:rsid w:val="28550131"/>
    <w:rsid w:val="29451F54"/>
    <w:rsid w:val="2A106AFC"/>
    <w:rsid w:val="2AED28A3"/>
    <w:rsid w:val="2C22716B"/>
    <w:rsid w:val="2D70283F"/>
    <w:rsid w:val="2D990096"/>
    <w:rsid w:val="2E132621"/>
    <w:rsid w:val="2EF946D9"/>
    <w:rsid w:val="2FD44032"/>
    <w:rsid w:val="30326131"/>
    <w:rsid w:val="31783CD5"/>
    <w:rsid w:val="31A814E4"/>
    <w:rsid w:val="32001214"/>
    <w:rsid w:val="32280C48"/>
    <w:rsid w:val="32AD60A2"/>
    <w:rsid w:val="32F26A29"/>
    <w:rsid w:val="33044C2E"/>
    <w:rsid w:val="334B78BE"/>
    <w:rsid w:val="34B01B1C"/>
    <w:rsid w:val="34B02BB9"/>
    <w:rsid w:val="353312F7"/>
    <w:rsid w:val="362F1B79"/>
    <w:rsid w:val="36A05C09"/>
    <w:rsid w:val="36D30CD7"/>
    <w:rsid w:val="375F68D7"/>
    <w:rsid w:val="37C0372F"/>
    <w:rsid w:val="37E312B6"/>
    <w:rsid w:val="38EA6674"/>
    <w:rsid w:val="391060DB"/>
    <w:rsid w:val="398D2299"/>
    <w:rsid w:val="39D81D0F"/>
    <w:rsid w:val="3BD970A9"/>
    <w:rsid w:val="3C575C03"/>
    <w:rsid w:val="3C8321FC"/>
    <w:rsid w:val="3D0A1093"/>
    <w:rsid w:val="3D9B368E"/>
    <w:rsid w:val="3DB45BA8"/>
    <w:rsid w:val="3E476EF5"/>
    <w:rsid w:val="3FB44582"/>
    <w:rsid w:val="403703F1"/>
    <w:rsid w:val="42FC76D0"/>
    <w:rsid w:val="43561584"/>
    <w:rsid w:val="44B25828"/>
    <w:rsid w:val="45300608"/>
    <w:rsid w:val="456B28EB"/>
    <w:rsid w:val="461779D4"/>
    <w:rsid w:val="48E44E8E"/>
    <w:rsid w:val="49537594"/>
    <w:rsid w:val="49DF453D"/>
    <w:rsid w:val="49F7676A"/>
    <w:rsid w:val="4A20072B"/>
    <w:rsid w:val="4A957D54"/>
    <w:rsid w:val="4AC5006E"/>
    <w:rsid w:val="4AD54D56"/>
    <w:rsid w:val="4C7F27B3"/>
    <w:rsid w:val="4C8C3872"/>
    <w:rsid w:val="4CFE2E07"/>
    <w:rsid w:val="4D42496E"/>
    <w:rsid w:val="4F5D14F6"/>
    <w:rsid w:val="4FFE4A87"/>
    <w:rsid w:val="50C730CB"/>
    <w:rsid w:val="52E4666A"/>
    <w:rsid w:val="53EE28C8"/>
    <w:rsid w:val="54532138"/>
    <w:rsid w:val="54614BA4"/>
    <w:rsid w:val="57A53E80"/>
    <w:rsid w:val="582A378F"/>
    <w:rsid w:val="587961FF"/>
    <w:rsid w:val="58845D45"/>
    <w:rsid w:val="59176B8D"/>
    <w:rsid w:val="5A265B2E"/>
    <w:rsid w:val="5B44136E"/>
    <w:rsid w:val="5BA35A4E"/>
    <w:rsid w:val="5BE05541"/>
    <w:rsid w:val="5C2F042F"/>
    <w:rsid w:val="5CBC4B8D"/>
    <w:rsid w:val="5CC825AA"/>
    <w:rsid w:val="5DA175D9"/>
    <w:rsid w:val="5DF70D68"/>
    <w:rsid w:val="5E9A3E84"/>
    <w:rsid w:val="5F312883"/>
    <w:rsid w:val="5F493801"/>
    <w:rsid w:val="5F4B0517"/>
    <w:rsid w:val="5F4E41B4"/>
    <w:rsid w:val="600B06A0"/>
    <w:rsid w:val="60102CD9"/>
    <w:rsid w:val="606A0233"/>
    <w:rsid w:val="608D36A5"/>
    <w:rsid w:val="61614A0E"/>
    <w:rsid w:val="62CA6A4B"/>
    <w:rsid w:val="633459EB"/>
    <w:rsid w:val="634C260F"/>
    <w:rsid w:val="63B16523"/>
    <w:rsid w:val="645F0BD2"/>
    <w:rsid w:val="65540BA2"/>
    <w:rsid w:val="65CA7553"/>
    <w:rsid w:val="665F428B"/>
    <w:rsid w:val="66E64387"/>
    <w:rsid w:val="690F1C63"/>
    <w:rsid w:val="69440801"/>
    <w:rsid w:val="69C8390E"/>
    <w:rsid w:val="6A402621"/>
    <w:rsid w:val="6B151945"/>
    <w:rsid w:val="6B1E0442"/>
    <w:rsid w:val="6C277054"/>
    <w:rsid w:val="6D280DD1"/>
    <w:rsid w:val="6EEB3351"/>
    <w:rsid w:val="70460E40"/>
    <w:rsid w:val="7059076B"/>
    <w:rsid w:val="70AD001B"/>
    <w:rsid w:val="71740038"/>
    <w:rsid w:val="717813C4"/>
    <w:rsid w:val="728D0078"/>
    <w:rsid w:val="732C68AC"/>
    <w:rsid w:val="73922C6D"/>
    <w:rsid w:val="7535244A"/>
    <w:rsid w:val="76462FC7"/>
    <w:rsid w:val="7765188C"/>
    <w:rsid w:val="77811D91"/>
    <w:rsid w:val="779A05D0"/>
    <w:rsid w:val="78F02B8D"/>
    <w:rsid w:val="790F1A9E"/>
    <w:rsid w:val="79CC65C2"/>
    <w:rsid w:val="79E55749"/>
    <w:rsid w:val="79FC6805"/>
    <w:rsid w:val="7A3C7DD6"/>
    <w:rsid w:val="7BED43E8"/>
    <w:rsid w:val="7C3C3699"/>
    <w:rsid w:val="7CDD1B7B"/>
    <w:rsid w:val="7D1D380A"/>
    <w:rsid w:val="7D957F29"/>
    <w:rsid w:val="7E92700C"/>
    <w:rsid w:val="7F061111"/>
    <w:rsid w:val="7F6F71AF"/>
    <w:rsid w:val="7F9A18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w w:val="90"/>
      <w:kern w:val="2"/>
      <w:sz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w w:val="100"/>
      <w:kern w:val="44"/>
      <w:sz w:val="44"/>
      <w:szCs w:val="44"/>
    </w:rPr>
  </w:style>
  <w:style w:type="paragraph" w:styleId="3">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16"/>
    <w:qFormat/>
    <w:uiPriority w:val="0"/>
    <w:pPr>
      <w:keepNext/>
      <w:keepLines/>
      <w:spacing w:before="260" w:after="260" w:line="416" w:lineRule="auto"/>
      <w:outlineLvl w:val="2"/>
    </w:pPr>
    <w:rPr>
      <w:b/>
      <w:bCs/>
      <w:sz w:val="32"/>
      <w:szCs w:val="32"/>
    </w:rPr>
  </w:style>
  <w:style w:type="paragraph" w:styleId="5">
    <w:name w:val="heading 4"/>
    <w:basedOn w:val="1"/>
    <w:next w:val="1"/>
    <w:link w:val="111"/>
    <w:qFormat/>
    <w:uiPriority w:val="0"/>
    <w:pPr>
      <w:keepNext/>
      <w:keepLines/>
      <w:widowControl/>
      <w:spacing w:before="280" w:after="290" w:line="372" w:lineRule="auto"/>
      <w:jc w:val="left"/>
      <w:outlineLvl w:val="3"/>
    </w:pPr>
    <w:rPr>
      <w:rFonts w:ascii="Arial" w:hAnsi="Arial" w:eastAsia="黑体"/>
      <w:b/>
      <w:bCs/>
      <w:w w:val="100"/>
      <w:kern w:val="0"/>
      <w:sz w:val="28"/>
      <w:szCs w:val="28"/>
    </w:rPr>
  </w:style>
  <w:style w:type="paragraph" w:styleId="6">
    <w:name w:val="heading 5"/>
    <w:basedOn w:val="1"/>
    <w:next w:val="1"/>
    <w:link w:val="112"/>
    <w:qFormat/>
    <w:uiPriority w:val="0"/>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7">
    <w:name w:val="heading 6"/>
    <w:basedOn w:val="1"/>
    <w:next w:val="1"/>
    <w:link w:val="42"/>
    <w:qFormat/>
    <w:uiPriority w:val="0"/>
    <w:pPr>
      <w:keepNext/>
      <w:keepLines/>
      <w:spacing w:before="240" w:after="64" w:line="320" w:lineRule="auto"/>
      <w:outlineLvl w:val="5"/>
    </w:pPr>
    <w:rPr>
      <w:rFonts w:ascii="Cambria" w:hAnsi="Cambria"/>
      <w:b/>
      <w:bCs/>
      <w:w w:val="100"/>
      <w:sz w:val="24"/>
      <w:szCs w:val="24"/>
    </w:rPr>
  </w:style>
  <w:style w:type="paragraph" w:styleId="8">
    <w:name w:val="heading 7"/>
    <w:basedOn w:val="1"/>
    <w:next w:val="1"/>
    <w:link w:val="113"/>
    <w:qFormat/>
    <w:uiPriority w:val="0"/>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9">
    <w:name w:val="heading 8"/>
    <w:basedOn w:val="1"/>
    <w:next w:val="1"/>
    <w:link w:val="114"/>
    <w:qFormat/>
    <w:uiPriority w:val="0"/>
    <w:pPr>
      <w:keepNext/>
      <w:keepLines/>
      <w:widowControl/>
      <w:tabs>
        <w:tab w:val="left" w:pos="1125"/>
      </w:tabs>
      <w:spacing w:before="240" w:after="64" w:line="317" w:lineRule="auto"/>
      <w:ind w:left="1125" w:hanging="555"/>
      <w:jc w:val="left"/>
      <w:outlineLvl w:val="7"/>
    </w:pPr>
    <w:rPr>
      <w:rFonts w:ascii="Arial" w:hAnsi="Arial" w:eastAsia="黑体"/>
      <w:w w:val="100"/>
      <w:kern w:val="0"/>
      <w:sz w:val="24"/>
    </w:rPr>
  </w:style>
  <w:style w:type="paragraph" w:styleId="10">
    <w:name w:val="heading 9"/>
    <w:basedOn w:val="1"/>
    <w:next w:val="1"/>
    <w:link w:val="115"/>
    <w:qFormat/>
    <w:uiPriority w:val="0"/>
    <w:pPr>
      <w:keepNext/>
      <w:keepLines/>
      <w:widowControl/>
      <w:tabs>
        <w:tab w:val="left" w:pos="1125"/>
      </w:tabs>
      <w:spacing w:before="240" w:after="64" w:line="317" w:lineRule="auto"/>
      <w:ind w:left="1125" w:hanging="555"/>
      <w:jc w:val="left"/>
      <w:outlineLvl w:val="8"/>
    </w:pPr>
    <w:rPr>
      <w:rFonts w:ascii="Arial" w:hAnsi="Arial" w:eastAsia="黑体"/>
      <w:w w:val="100"/>
      <w:kern w:val="0"/>
      <w:sz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rPr>
      <w:rFonts w:ascii="Cambria" w:hAnsi="Cambria" w:eastAsia="黑体"/>
      <w:sz w:val="20"/>
    </w:rPr>
  </w:style>
  <w:style w:type="paragraph" w:styleId="13">
    <w:name w:val="Document Map"/>
    <w:basedOn w:val="1"/>
    <w:semiHidden/>
    <w:qFormat/>
    <w:uiPriority w:val="0"/>
    <w:pPr>
      <w:shd w:val="clear" w:color="auto" w:fill="000080"/>
    </w:pPr>
  </w:style>
  <w:style w:type="paragraph" w:styleId="14">
    <w:name w:val="Body Text"/>
    <w:basedOn w:val="1"/>
    <w:qFormat/>
    <w:uiPriority w:val="0"/>
    <w:pPr>
      <w:spacing w:after="120"/>
    </w:pPr>
  </w:style>
  <w:style w:type="paragraph" w:styleId="15">
    <w:name w:val="Body Text Indent"/>
    <w:basedOn w:val="1"/>
    <w:qFormat/>
    <w:uiPriority w:val="0"/>
    <w:pPr>
      <w:ind w:firstLine="425"/>
    </w:pPr>
    <w:rPr>
      <w:rFonts w:ascii="宋体" w:hAnsi="宋体"/>
      <w:sz w:val="24"/>
    </w:rPr>
  </w:style>
  <w:style w:type="paragraph" w:styleId="16">
    <w:name w:val="List 2"/>
    <w:basedOn w:val="1"/>
    <w:qFormat/>
    <w:uiPriority w:val="0"/>
    <w:pPr>
      <w:ind w:left="840" w:hanging="420"/>
    </w:pPr>
    <w:rPr>
      <w:szCs w:val="21"/>
    </w:rPr>
  </w:style>
  <w:style w:type="paragraph" w:styleId="17">
    <w:name w:val="Plain Text"/>
    <w:basedOn w:val="1"/>
    <w:link w:val="37"/>
    <w:qFormat/>
    <w:uiPriority w:val="0"/>
    <w:rPr>
      <w:rFonts w:ascii="宋体" w:hAnsi="Courier New"/>
      <w:w w:val="100"/>
    </w:rPr>
  </w:style>
  <w:style w:type="paragraph" w:styleId="18">
    <w:name w:val="Date"/>
    <w:basedOn w:val="1"/>
    <w:next w:val="1"/>
    <w:qFormat/>
    <w:uiPriority w:val="0"/>
    <w:pPr>
      <w:ind w:left="100" w:leftChars="2500"/>
    </w:pPr>
    <w:rPr>
      <w:szCs w:val="24"/>
    </w:rPr>
  </w:style>
  <w:style w:type="paragraph" w:styleId="19">
    <w:name w:val="Body Text Indent 2"/>
    <w:basedOn w:val="1"/>
    <w:qFormat/>
    <w:uiPriority w:val="0"/>
    <w:pPr>
      <w:spacing w:after="120" w:line="480" w:lineRule="auto"/>
      <w:ind w:left="420" w:leftChars="200"/>
    </w:pPr>
  </w:style>
  <w:style w:type="paragraph" w:styleId="20">
    <w:name w:val="Balloon Text"/>
    <w:basedOn w:val="1"/>
    <w:link w:val="45"/>
    <w:qFormat/>
    <w:uiPriority w:val="99"/>
    <w:rPr>
      <w:w w:val="100"/>
      <w:sz w:val="18"/>
      <w:szCs w:val="18"/>
    </w:rPr>
  </w:style>
  <w:style w:type="paragraph" w:styleId="21">
    <w:name w:val="footer"/>
    <w:basedOn w:val="1"/>
    <w:link w:val="40"/>
    <w:qFormat/>
    <w:uiPriority w:val="99"/>
    <w:pPr>
      <w:tabs>
        <w:tab w:val="center" w:pos="4153"/>
        <w:tab w:val="right" w:pos="8306"/>
      </w:tabs>
      <w:snapToGrid w:val="0"/>
      <w:jc w:val="left"/>
    </w:pPr>
    <w:rPr>
      <w:w w:val="100"/>
      <w:sz w:val="18"/>
    </w:rPr>
  </w:style>
  <w:style w:type="paragraph" w:styleId="22">
    <w:name w:val="header"/>
    <w:basedOn w:val="1"/>
    <w:link w:val="119"/>
    <w:qFormat/>
    <w:uiPriority w:val="99"/>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autoSpaceDE w:val="0"/>
      <w:autoSpaceDN w:val="0"/>
      <w:adjustRightInd w:val="0"/>
      <w:snapToGrid w:val="0"/>
    </w:pPr>
    <w:rPr>
      <w:rFonts w:ascii="宋体" w:hAnsi="宋体"/>
      <w:bCs/>
      <w:sz w:val="28"/>
      <w:szCs w:val="28"/>
    </w:rPr>
  </w:style>
  <w:style w:type="paragraph" w:styleId="24">
    <w:name w:val="Title"/>
    <w:basedOn w:val="1"/>
    <w:next w:val="1"/>
    <w:link w:val="46"/>
    <w:qFormat/>
    <w:uiPriority w:val="99"/>
    <w:pPr>
      <w:spacing w:before="240" w:after="60"/>
      <w:jc w:val="center"/>
      <w:outlineLvl w:val="0"/>
    </w:pPr>
    <w:rPr>
      <w:rFonts w:ascii="Cambria" w:hAnsi="Cambria"/>
      <w:b/>
      <w:bCs/>
      <w:sz w:val="32"/>
      <w:szCs w:val="32"/>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qFormat/>
    <w:uiPriority w:val="0"/>
  </w:style>
  <w:style w:type="character" w:styleId="30">
    <w:name w:val="FollowedHyperlink"/>
    <w:basedOn w:val="27"/>
    <w:semiHidden/>
    <w:unhideWhenUsed/>
    <w:qFormat/>
    <w:uiPriority w:val="99"/>
    <w:rPr>
      <w:color w:val="014CCC"/>
      <w:u w:val="none"/>
    </w:rPr>
  </w:style>
  <w:style w:type="character" w:styleId="31">
    <w:name w:val="Emphasis"/>
    <w:qFormat/>
    <w:uiPriority w:val="0"/>
    <w:rPr>
      <w:i/>
      <w:iCs/>
    </w:rPr>
  </w:style>
  <w:style w:type="character" w:styleId="32">
    <w:name w:val="Hyperlink"/>
    <w:unhideWhenUsed/>
    <w:qFormat/>
    <w:uiPriority w:val="99"/>
    <w:rPr>
      <w:color w:val="0000FF"/>
      <w:u w:val="single"/>
    </w:rPr>
  </w:style>
  <w:style w:type="character" w:customStyle="1" w:styleId="33">
    <w:name w:val="Char Char Char Char Char"/>
    <w:link w:val="34"/>
    <w:qFormat/>
    <w:uiPriority w:val="0"/>
    <w:rPr>
      <w:rFonts w:ascii="Tahoma" w:hAnsi="Tahoma"/>
      <w:kern w:val="2"/>
      <w:sz w:val="24"/>
    </w:rPr>
  </w:style>
  <w:style w:type="paragraph" w:customStyle="1" w:styleId="34">
    <w:name w:val="Char Char Char Char"/>
    <w:basedOn w:val="1"/>
    <w:link w:val="33"/>
    <w:qFormat/>
    <w:uiPriority w:val="0"/>
    <w:pPr>
      <w:jc w:val="center"/>
    </w:pPr>
    <w:rPr>
      <w:rFonts w:ascii="Tahoma" w:hAnsi="Tahoma"/>
      <w:w w:val="100"/>
      <w:sz w:val="24"/>
    </w:rPr>
  </w:style>
  <w:style w:type="character" w:customStyle="1" w:styleId="35">
    <w:name w:val="标题 1 Char"/>
    <w:link w:val="2"/>
    <w:qFormat/>
    <w:uiPriority w:val="0"/>
    <w:rPr>
      <w:b/>
      <w:bCs/>
      <w:kern w:val="44"/>
      <w:sz w:val="44"/>
      <w:szCs w:val="44"/>
    </w:rPr>
  </w:style>
  <w:style w:type="character" w:customStyle="1" w:styleId="36">
    <w:name w:val="样式 段落 Char + Char"/>
    <w:qFormat/>
    <w:uiPriority w:val="0"/>
    <w:rPr>
      <w:rFonts w:eastAsia="宋体"/>
      <w:kern w:val="2"/>
      <w:sz w:val="24"/>
      <w:lang w:val="en-US" w:eastAsia="zh-CN" w:bidi="ar-SA"/>
    </w:rPr>
  </w:style>
  <w:style w:type="character" w:customStyle="1" w:styleId="37">
    <w:name w:val="纯文本 Char"/>
    <w:link w:val="17"/>
    <w:qFormat/>
    <w:uiPriority w:val="0"/>
    <w:rPr>
      <w:rFonts w:ascii="宋体" w:hAnsi="Courier New"/>
      <w:kern w:val="2"/>
      <w:sz w:val="21"/>
    </w:rPr>
  </w:style>
  <w:style w:type="character" w:customStyle="1" w:styleId="38">
    <w:name w:val="font11"/>
    <w:qFormat/>
    <w:uiPriority w:val="0"/>
    <w:rPr>
      <w:rFonts w:hint="eastAsia" w:ascii="宋体" w:hAnsi="宋体" w:eastAsia="宋体" w:cs="宋体"/>
      <w:color w:val="000000"/>
      <w:sz w:val="18"/>
      <w:szCs w:val="18"/>
      <w:u w:val="none"/>
    </w:rPr>
  </w:style>
  <w:style w:type="character" w:customStyle="1" w:styleId="39">
    <w:name w:val="font01"/>
    <w:qFormat/>
    <w:uiPriority w:val="0"/>
    <w:rPr>
      <w:rFonts w:hint="eastAsia" w:ascii="宋体" w:hAnsi="宋体" w:eastAsia="宋体" w:cs="宋体"/>
      <w:color w:val="000000"/>
      <w:sz w:val="18"/>
      <w:szCs w:val="18"/>
      <w:u w:val="none"/>
      <w:vertAlign w:val="superscript"/>
    </w:rPr>
  </w:style>
  <w:style w:type="character" w:customStyle="1" w:styleId="40">
    <w:name w:val="页脚 Char"/>
    <w:link w:val="21"/>
    <w:qFormat/>
    <w:uiPriority w:val="99"/>
    <w:rPr>
      <w:kern w:val="2"/>
      <w:sz w:val="18"/>
    </w:rPr>
  </w:style>
  <w:style w:type="character" w:customStyle="1" w:styleId="41">
    <w:name w:val="已访问的超链接1"/>
    <w:unhideWhenUsed/>
    <w:qFormat/>
    <w:uiPriority w:val="99"/>
    <w:rPr>
      <w:color w:val="800080"/>
      <w:u w:val="single"/>
    </w:rPr>
  </w:style>
  <w:style w:type="character" w:customStyle="1" w:styleId="42">
    <w:name w:val="标题 6 Char"/>
    <w:link w:val="7"/>
    <w:qFormat/>
    <w:uiPriority w:val="0"/>
    <w:rPr>
      <w:rFonts w:ascii="Cambria" w:hAnsi="Cambria" w:eastAsia="宋体" w:cs="Times New Roman"/>
      <w:b/>
      <w:bCs/>
      <w:kern w:val="2"/>
      <w:sz w:val="24"/>
      <w:szCs w:val="24"/>
    </w:rPr>
  </w:style>
  <w:style w:type="character" w:customStyle="1" w:styleId="43">
    <w:name w:val="444444444 Char"/>
    <w:link w:val="44"/>
    <w:qFormat/>
    <w:uiPriority w:val="0"/>
    <w:rPr>
      <w:rFonts w:ascii="宋体"/>
      <w:kern w:val="2"/>
      <w:sz w:val="28"/>
      <w:szCs w:val="24"/>
    </w:rPr>
  </w:style>
  <w:style w:type="paragraph" w:customStyle="1" w:styleId="44">
    <w:name w:val="444444444"/>
    <w:basedOn w:val="14"/>
    <w:link w:val="43"/>
    <w:qFormat/>
    <w:uiPriority w:val="0"/>
    <w:pPr>
      <w:spacing w:after="0"/>
      <w:ind w:firstLine="200" w:firstLineChars="200"/>
      <w:jc w:val="left"/>
    </w:pPr>
    <w:rPr>
      <w:rFonts w:ascii="宋体"/>
      <w:w w:val="100"/>
      <w:sz w:val="28"/>
      <w:szCs w:val="24"/>
    </w:rPr>
  </w:style>
  <w:style w:type="character" w:customStyle="1" w:styleId="45">
    <w:name w:val="批注框文本 Char"/>
    <w:link w:val="20"/>
    <w:qFormat/>
    <w:uiPriority w:val="99"/>
    <w:rPr>
      <w:kern w:val="2"/>
      <w:sz w:val="18"/>
      <w:szCs w:val="18"/>
    </w:rPr>
  </w:style>
  <w:style w:type="character" w:customStyle="1" w:styleId="46">
    <w:name w:val="标题 Char"/>
    <w:link w:val="24"/>
    <w:qFormat/>
    <w:uiPriority w:val="99"/>
    <w:rPr>
      <w:rFonts w:ascii="Cambria" w:hAnsi="Cambria" w:cs="Times New Roman"/>
      <w:b/>
      <w:bCs/>
      <w:w w:val="90"/>
      <w:kern w:val="2"/>
      <w:sz w:val="32"/>
      <w:szCs w:val="32"/>
    </w:rPr>
  </w:style>
  <w:style w:type="character" w:customStyle="1" w:styleId="47">
    <w:name w:val="Z正文 Char"/>
    <w:link w:val="48"/>
    <w:qFormat/>
    <w:uiPriority w:val="0"/>
    <w:rPr>
      <w:rFonts w:ascii="宋体" w:hAnsi="宋体"/>
      <w:color w:val="FF0000"/>
      <w:kern w:val="2"/>
      <w:sz w:val="24"/>
      <w:lang w:val="en-US" w:eastAsia="zh-CN" w:bidi="ar-SA"/>
    </w:rPr>
  </w:style>
  <w:style w:type="paragraph" w:customStyle="1" w:styleId="48">
    <w:name w:val="Z正文"/>
    <w:link w:val="47"/>
    <w:qFormat/>
    <w:uiPriority w:val="0"/>
    <w:pPr>
      <w:spacing w:line="360" w:lineRule="auto"/>
      <w:ind w:firstLine="480" w:firstLineChars="200"/>
      <w:jc w:val="both"/>
    </w:pPr>
    <w:rPr>
      <w:rFonts w:ascii="宋体" w:hAnsi="宋体" w:eastAsia="宋体" w:cs="Times New Roman"/>
      <w:color w:val="FF0000"/>
      <w:kern w:val="2"/>
      <w:sz w:val="24"/>
      <w:lang w:val="en-US" w:eastAsia="zh-CN" w:bidi="ar-SA"/>
    </w:rPr>
  </w:style>
  <w:style w:type="character" w:customStyle="1" w:styleId="49">
    <w:name w:val="6666666666 Char"/>
    <w:link w:val="50"/>
    <w:qFormat/>
    <w:uiPriority w:val="0"/>
    <w:rPr>
      <w:rFonts w:ascii="宋体"/>
      <w:kern w:val="2"/>
      <w:sz w:val="24"/>
      <w:szCs w:val="24"/>
      <w:u w:val="single"/>
    </w:rPr>
  </w:style>
  <w:style w:type="paragraph" w:customStyle="1" w:styleId="50">
    <w:name w:val="6666666666"/>
    <w:basedOn w:val="1"/>
    <w:link w:val="49"/>
    <w:qFormat/>
    <w:uiPriority w:val="0"/>
    <w:pPr>
      <w:jc w:val="center"/>
    </w:pPr>
    <w:rPr>
      <w:rFonts w:ascii="宋体"/>
      <w:w w:val="100"/>
      <w:sz w:val="24"/>
      <w:szCs w:val="24"/>
      <w:u w:val="single"/>
    </w:rPr>
  </w:style>
  <w:style w:type="paragraph" w:customStyle="1" w:styleId="51">
    <w:name w:val="xl76"/>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2">
    <w:name w:val="xl77"/>
    <w:basedOn w:val="1"/>
    <w:qFormat/>
    <w:uiPriority w:val="0"/>
    <w:pPr>
      <w:widowControl/>
      <w:pBdr>
        <w:left w:val="single" w:color="auto" w:sz="8" w:space="0"/>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3">
    <w:name w:val="xl9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w w:val="100"/>
      <w:kern w:val="0"/>
      <w:sz w:val="20"/>
    </w:rPr>
  </w:style>
  <w:style w:type="paragraph" w:customStyle="1" w:styleId="54">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5">
    <w:name w:val="xl9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56">
    <w:name w:val="xl87"/>
    <w:basedOn w:val="1"/>
    <w:qFormat/>
    <w:uiPriority w:val="0"/>
    <w:pPr>
      <w:widowControl/>
      <w:pBdr>
        <w:left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57">
    <w:name w:val="xl91"/>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8">
    <w:name w:val="样式1"/>
    <w:basedOn w:val="1"/>
    <w:link w:val="92"/>
    <w:qFormat/>
    <w:uiPriority w:val="0"/>
    <w:rPr>
      <w:iCs/>
      <w:sz w:val="28"/>
      <w:szCs w:val="24"/>
    </w:rPr>
  </w:style>
  <w:style w:type="paragraph" w:customStyle="1" w:styleId="5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0">
    <w:name w:val="xl8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1">
    <w:name w:val="!正文缩2"/>
    <w:basedOn w:val="1"/>
    <w:link w:val="106"/>
    <w:qFormat/>
    <w:uiPriority w:val="0"/>
    <w:pPr>
      <w:spacing w:line="500" w:lineRule="exact"/>
      <w:ind w:firstLine="200" w:firstLineChars="200"/>
    </w:pPr>
    <w:rPr>
      <w:rFonts w:ascii="宋体" w:hAnsi="宋体"/>
      <w:sz w:val="28"/>
      <w:lang w:val="zh-CN"/>
    </w:rPr>
  </w:style>
  <w:style w:type="paragraph" w:customStyle="1" w:styleId="62">
    <w:name w:val="font7"/>
    <w:basedOn w:val="1"/>
    <w:qFormat/>
    <w:uiPriority w:val="0"/>
    <w:pPr>
      <w:widowControl/>
      <w:spacing w:before="100" w:beforeAutospacing="1" w:after="100" w:afterAutospacing="1" w:line="240" w:lineRule="auto"/>
      <w:jc w:val="left"/>
    </w:pPr>
    <w:rPr>
      <w:w w:val="100"/>
      <w:kern w:val="0"/>
      <w:sz w:val="20"/>
    </w:rPr>
  </w:style>
  <w:style w:type="paragraph" w:customStyle="1" w:styleId="63">
    <w:name w:val="Char"/>
    <w:basedOn w:val="1"/>
    <w:qFormat/>
    <w:uiPriority w:val="0"/>
    <w:pPr>
      <w:widowControl/>
      <w:spacing w:line="400" w:lineRule="exact"/>
      <w:jc w:val="center"/>
    </w:pPr>
    <w:rPr>
      <w:rFonts w:ascii="Verdana" w:hAnsi="Verdana"/>
      <w:kern w:val="0"/>
      <w:sz w:val="24"/>
      <w:lang w:eastAsia="en-US"/>
    </w:rPr>
  </w:style>
  <w:style w:type="paragraph" w:customStyle="1" w:styleId="64">
    <w:name w:val="Char1"/>
    <w:basedOn w:val="1"/>
    <w:qFormat/>
    <w:uiPriority w:val="0"/>
    <w:pPr>
      <w:widowControl/>
      <w:spacing w:line="400" w:lineRule="exact"/>
      <w:jc w:val="center"/>
    </w:pPr>
    <w:rPr>
      <w:rFonts w:ascii="Verdana" w:hAnsi="Verdana"/>
      <w:kern w:val="0"/>
      <w:sz w:val="24"/>
      <w:lang w:eastAsia="en-US"/>
    </w:rPr>
  </w:style>
  <w:style w:type="paragraph" w:customStyle="1" w:styleId="65">
    <w:name w:val="_Style 10"/>
    <w:basedOn w:val="1"/>
    <w:qFormat/>
    <w:uiPriority w:val="0"/>
    <w:rPr>
      <w:szCs w:val="24"/>
    </w:rPr>
  </w:style>
  <w:style w:type="paragraph" w:customStyle="1" w:styleId="66">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7">
    <w:name w:val="xl31"/>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68">
    <w:name w:val="xl7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70">
    <w:name w:val="xl75"/>
    <w:basedOn w:val="1"/>
    <w:qFormat/>
    <w:uiPriority w:val="0"/>
    <w:pPr>
      <w:widowControl/>
      <w:pBdr>
        <w:top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1">
    <w:name w:val="2 Char"/>
    <w:basedOn w:val="1"/>
    <w:qFormat/>
    <w:uiPriority w:val="0"/>
    <w:pPr>
      <w:widowControl/>
      <w:spacing w:line="400" w:lineRule="exact"/>
      <w:jc w:val="center"/>
    </w:pPr>
    <w:rPr>
      <w:rFonts w:ascii="Verdana" w:hAnsi="Verdana"/>
      <w:kern w:val="0"/>
      <w:sz w:val="24"/>
      <w:lang w:eastAsia="en-US"/>
    </w:rPr>
  </w:style>
  <w:style w:type="paragraph" w:customStyle="1" w:styleId="72">
    <w:name w:val="xl82"/>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3">
    <w:name w:val="xl8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4">
    <w:name w:val="xl79"/>
    <w:basedOn w:val="1"/>
    <w:qFormat/>
    <w:uiPriority w:val="0"/>
    <w:pPr>
      <w:widowControl/>
      <w:pBdr>
        <w:bottom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5">
    <w:name w:val="xl74"/>
    <w:basedOn w:val="1"/>
    <w:qFormat/>
    <w:uiPriority w:val="0"/>
    <w:pPr>
      <w:widowControl/>
      <w:pBdr>
        <w:top w:val="single" w:color="auto" w:sz="4" w:space="0"/>
        <w:left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6">
    <w:name w:val="xl78"/>
    <w:basedOn w:val="1"/>
    <w:qFormat/>
    <w:uiPriority w:val="0"/>
    <w:pPr>
      <w:widowControl/>
      <w:pBdr>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7">
    <w:name w:val="font0"/>
    <w:basedOn w:val="1"/>
    <w:qFormat/>
    <w:uiPriority w:val="0"/>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7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9">
    <w:name w:val="xl6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0">
    <w:name w:val="font5"/>
    <w:basedOn w:val="1"/>
    <w:qFormat/>
    <w:uiPriority w:val="0"/>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8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20"/>
    </w:rPr>
  </w:style>
  <w:style w:type="paragraph" w:customStyle="1" w:styleId="82">
    <w:name w:val="xl90"/>
    <w:basedOn w:val="1"/>
    <w:qFormat/>
    <w:uiPriority w:val="0"/>
    <w:pPr>
      <w:widowControl/>
      <w:pBdr>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83">
    <w:name w:val="xl83"/>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4">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5">
    <w:name w:val="xl89"/>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86">
    <w:name w:val="xl65"/>
    <w:basedOn w:val="1"/>
    <w:qFormat/>
    <w:uiPriority w:val="0"/>
    <w:pPr>
      <w:widowControl/>
      <w:spacing w:before="100" w:beforeAutospacing="1" w:after="100" w:afterAutospacing="1" w:line="240" w:lineRule="auto"/>
      <w:jc w:val="left"/>
    </w:pPr>
    <w:rPr>
      <w:w w:val="100"/>
      <w:kern w:val="0"/>
      <w:sz w:val="24"/>
      <w:szCs w:val="24"/>
    </w:rPr>
  </w:style>
  <w:style w:type="paragraph" w:customStyle="1" w:styleId="87">
    <w:name w:val="font6"/>
    <w:basedOn w:val="1"/>
    <w:qFormat/>
    <w:uiPriority w:val="0"/>
    <w:pPr>
      <w:widowControl/>
      <w:spacing w:before="100" w:beforeAutospacing="1" w:after="100" w:afterAutospacing="1" w:line="240" w:lineRule="auto"/>
      <w:jc w:val="left"/>
    </w:pPr>
    <w:rPr>
      <w:rFonts w:ascii="宋体" w:hAnsi="宋体" w:cs="宋体"/>
      <w:w w:val="100"/>
      <w:kern w:val="0"/>
      <w:sz w:val="20"/>
    </w:rPr>
  </w:style>
  <w:style w:type="paragraph" w:customStyle="1" w:styleId="88">
    <w:name w:val="xl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89">
    <w:name w:val="样式 居中"/>
    <w:basedOn w:val="1"/>
    <w:qFormat/>
    <w:uiPriority w:val="0"/>
    <w:pPr>
      <w:jc w:val="center"/>
    </w:pPr>
    <w:rPr>
      <w:rFonts w:ascii="仿宋_GB2312" w:hAnsi="宋体" w:eastAsia="仿宋_GB2312" w:cs="宋体"/>
      <w:b/>
      <w:w w:val="71"/>
      <w:sz w:val="28"/>
      <w:szCs w:val="32"/>
    </w:rPr>
  </w:style>
  <w:style w:type="paragraph" w:customStyle="1" w:styleId="90">
    <w:name w:val="xl88"/>
    <w:basedOn w:val="1"/>
    <w:qFormat/>
    <w:uiPriority w:val="0"/>
    <w:pPr>
      <w:widowControl/>
      <w:pBdr>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91">
    <w:name w:val="xl73"/>
    <w:basedOn w:val="1"/>
    <w:qFormat/>
    <w:uiPriority w:val="0"/>
    <w:pPr>
      <w:widowControl/>
      <w:pBdr>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character" w:customStyle="1" w:styleId="92">
    <w:name w:val="样式1 Char"/>
    <w:link w:val="58"/>
    <w:qFormat/>
    <w:uiPriority w:val="0"/>
    <w:rPr>
      <w:iCs/>
      <w:w w:val="90"/>
      <w:kern w:val="2"/>
      <w:sz w:val="28"/>
      <w:szCs w:val="24"/>
    </w:rPr>
  </w:style>
  <w:style w:type="paragraph" w:styleId="93">
    <w:name w:val="List Paragraph"/>
    <w:basedOn w:val="1"/>
    <w:link w:val="100"/>
    <w:qFormat/>
    <w:uiPriority w:val="34"/>
    <w:pPr>
      <w:widowControl/>
      <w:ind w:firstLine="420" w:firstLineChars="200"/>
      <w:jc w:val="left"/>
    </w:pPr>
    <w:rPr>
      <w:rFonts w:ascii="仿宋_GB2312" w:eastAsia="仿宋_GB2312"/>
      <w:w w:val="100"/>
      <w:kern w:val="0"/>
      <w:sz w:val="20"/>
    </w:rPr>
  </w:style>
  <w:style w:type="paragraph" w:customStyle="1" w:styleId="94">
    <w:name w:val="lzx1"/>
    <w:basedOn w:val="2"/>
    <w:link w:val="96"/>
    <w:qFormat/>
    <w:uiPriority w:val="0"/>
    <w:pPr>
      <w:keepNext w:val="0"/>
      <w:keepLines w:val="0"/>
      <w:widowControl/>
      <w:numPr>
        <w:ilvl w:val="0"/>
        <w:numId w:val="1"/>
      </w:numPr>
      <w:spacing w:before="0" w:after="0" w:line="360" w:lineRule="auto"/>
      <w:ind w:left="425"/>
      <w:jc w:val="left"/>
    </w:pPr>
    <w:rPr>
      <w:rFonts w:ascii="宋体" w:eastAsia="Times New Roman"/>
      <w:bCs w:val="0"/>
      <w:kern w:val="0"/>
      <w:sz w:val="28"/>
      <w:szCs w:val="20"/>
    </w:rPr>
  </w:style>
  <w:style w:type="paragraph" w:customStyle="1" w:styleId="95">
    <w:name w:val="lzx1.1"/>
    <w:basedOn w:val="2"/>
    <w:link w:val="98"/>
    <w:qFormat/>
    <w:uiPriority w:val="0"/>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96">
    <w:name w:val="lzx1 Char"/>
    <w:basedOn w:val="27"/>
    <w:link w:val="94"/>
    <w:qFormat/>
    <w:uiPriority w:val="0"/>
    <w:rPr>
      <w:rFonts w:ascii="宋体" w:eastAsia="Times New Roman"/>
      <w:b/>
      <w:sz w:val="28"/>
    </w:rPr>
  </w:style>
  <w:style w:type="paragraph" w:customStyle="1" w:styleId="97">
    <w:name w:val="lzx1.1.1"/>
    <w:basedOn w:val="2"/>
    <w:link w:val="102"/>
    <w:qFormat/>
    <w:uiPriority w:val="0"/>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98">
    <w:name w:val="lzx1.1 Char"/>
    <w:basedOn w:val="27"/>
    <w:link w:val="95"/>
    <w:qFormat/>
    <w:uiPriority w:val="0"/>
    <w:rPr>
      <w:rFonts w:ascii="仿宋_GB2312" w:eastAsia="Times New Roman"/>
      <w:b/>
      <w:sz w:val="28"/>
    </w:rPr>
  </w:style>
  <w:style w:type="paragraph" w:customStyle="1" w:styleId="99">
    <w:name w:val="0正文"/>
    <w:basedOn w:val="1"/>
    <w:link w:val="107"/>
    <w:qFormat/>
    <w:uiPriority w:val="0"/>
    <w:pPr>
      <w:widowControl/>
      <w:ind w:firstLine="480" w:firstLineChars="200"/>
      <w:jc w:val="left"/>
    </w:pPr>
    <w:rPr>
      <w:w w:val="100"/>
      <w:kern w:val="0"/>
      <w:sz w:val="24"/>
    </w:rPr>
  </w:style>
  <w:style w:type="character" w:customStyle="1" w:styleId="100">
    <w:name w:val="列出段落 Char"/>
    <w:basedOn w:val="27"/>
    <w:link w:val="93"/>
    <w:qFormat/>
    <w:uiPriority w:val="34"/>
    <w:rPr>
      <w:rFonts w:ascii="仿宋_GB2312" w:eastAsia="仿宋_GB2312"/>
    </w:rPr>
  </w:style>
  <w:style w:type="paragraph" w:customStyle="1" w:styleId="101">
    <w:name w:val="lzx 1）"/>
    <w:basedOn w:val="94"/>
    <w:link w:val="105"/>
    <w:qFormat/>
    <w:uiPriority w:val="0"/>
    <w:pPr>
      <w:numPr>
        <w:numId w:val="0"/>
      </w:numPr>
    </w:pPr>
    <w:rPr>
      <w:sz w:val="24"/>
    </w:rPr>
  </w:style>
  <w:style w:type="character" w:customStyle="1" w:styleId="102">
    <w:name w:val="lzx1.1.1 Char"/>
    <w:basedOn w:val="27"/>
    <w:link w:val="97"/>
    <w:qFormat/>
    <w:uiPriority w:val="0"/>
    <w:rPr>
      <w:rFonts w:ascii="仿宋_GB2312" w:eastAsia="Times New Roman"/>
      <w:b/>
      <w:sz w:val="24"/>
    </w:rPr>
  </w:style>
  <w:style w:type="paragraph" w:customStyle="1" w:styleId="103">
    <w:name w:val="0样式（1）"/>
    <w:basedOn w:val="93"/>
    <w:link w:val="104"/>
    <w:qFormat/>
    <w:uiPriority w:val="0"/>
    <w:pPr>
      <w:numPr>
        <w:ilvl w:val="1"/>
        <w:numId w:val="2"/>
      </w:numPr>
      <w:adjustRightInd w:val="0"/>
      <w:ind w:right="100" w:rightChars="100" w:firstLine="0" w:firstLineChars="0"/>
    </w:pPr>
    <w:rPr>
      <w:rFonts w:ascii="宋体" w:hAnsi="宋体"/>
      <w:sz w:val="24"/>
    </w:rPr>
  </w:style>
  <w:style w:type="character" w:customStyle="1" w:styleId="104">
    <w:name w:val="0样式（1） Char"/>
    <w:basedOn w:val="100"/>
    <w:link w:val="103"/>
    <w:qFormat/>
    <w:uiPriority w:val="0"/>
    <w:rPr>
      <w:rFonts w:ascii="宋体" w:hAnsi="宋体" w:eastAsia="仿宋_GB2312"/>
      <w:sz w:val="24"/>
    </w:rPr>
  </w:style>
  <w:style w:type="character" w:customStyle="1" w:styleId="105">
    <w:name w:val="lzx 1） Char"/>
    <w:basedOn w:val="96"/>
    <w:link w:val="101"/>
    <w:qFormat/>
    <w:uiPriority w:val="0"/>
    <w:rPr>
      <w:rFonts w:ascii="宋体" w:eastAsia="Times New Roman"/>
      <w:sz w:val="24"/>
    </w:rPr>
  </w:style>
  <w:style w:type="character" w:customStyle="1" w:styleId="106">
    <w:name w:val="!正文缩2 Char"/>
    <w:basedOn w:val="27"/>
    <w:link w:val="61"/>
    <w:qFormat/>
    <w:uiPriority w:val="0"/>
    <w:rPr>
      <w:rFonts w:ascii="宋体" w:hAnsi="宋体"/>
      <w:w w:val="90"/>
      <w:kern w:val="2"/>
      <w:sz w:val="28"/>
      <w:lang w:val="zh-CN"/>
    </w:rPr>
  </w:style>
  <w:style w:type="character" w:customStyle="1" w:styleId="107">
    <w:name w:val="0正文 Char"/>
    <w:link w:val="99"/>
    <w:qFormat/>
    <w:uiPriority w:val="0"/>
    <w:rPr>
      <w:sz w:val="24"/>
    </w:rPr>
  </w:style>
  <w:style w:type="paragraph" w:customStyle="1" w:styleId="108">
    <w:name w:val="Char Char Char"/>
    <w:basedOn w:val="1"/>
    <w:qFormat/>
    <w:uiPriority w:val="0"/>
    <w:pPr>
      <w:spacing w:line="240" w:lineRule="auto"/>
    </w:pPr>
    <w:rPr>
      <w:w w:val="100"/>
      <w:szCs w:val="24"/>
    </w:rPr>
  </w:style>
  <w:style w:type="paragraph" w:customStyle="1" w:styleId="109">
    <w:name w:val="样式 四号 行距: 1.5 倍行距"/>
    <w:basedOn w:val="1"/>
    <w:qFormat/>
    <w:uiPriority w:val="0"/>
    <w:pPr>
      <w:ind w:firstLine="560" w:firstLineChars="200"/>
    </w:pPr>
    <w:rPr>
      <w:rFonts w:cs="宋体"/>
      <w:w w:val="100"/>
      <w:sz w:val="28"/>
    </w:rPr>
  </w:style>
  <w:style w:type="paragraph" w:customStyle="1" w:styleId="110">
    <w:name w:val="标题2"/>
    <w:basedOn w:val="109"/>
    <w:next w:val="3"/>
    <w:qFormat/>
    <w:uiPriority w:val="0"/>
    <w:pPr>
      <w:widowControl/>
      <w:ind w:firstLine="0" w:firstLineChars="0"/>
      <w:jc w:val="left"/>
    </w:pPr>
    <w:rPr>
      <w:rFonts w:ascii="Calibri" w:hAnsi="Calibri"/>
      <w:b/>
      <w:kern w:val="0"/>
      <w:lang w:eastAsia="en-US" w:bidi="en-US"/>
    </w:rPr>
  </w:style>
  <w:style w:type="character" w:customStyle="1" w:styleId="111">
    <w:name w:val="标题 4 Char"/>
    <w:basedOn w:val="27"/>
    <w:link w:val="5"/>
    <w:qFormat/>
    <w:uiPriority w:val="0"/>
    <w:rPr>
      <w:rFonts w:ascii="Arial" w:hAnsi="Arial" w:eastAsia="黑体"/>
      <w:b/>
      <w:bCs/>
      <w:sz w:val="28"/>
      <w:szCs w:val="28"/>
    </w:rPr>
  </w:style>
  <w:style w:type="character" w:customStyle="1" w:styleId="112">
    <w:name w:val="标题 5 Char"/>
    <w:basedOn w:val="27"/>
    <w:link w:val="6"/>
    <w:qFormat/>
    <w:uiPriority w:val="0"/>
    <w:rPr>
      <w:rFonts w:ascii="仿宋_GB2312" w:eastAsia="仿宋_GB2312"/>
      <w:b/>
      <w:bCs/>
      <w:sz w:val="28"/>
      <w:szCs w:val="28"/>
    </w:rPr>
  </w:style>
  <w:style w:type="character" w:customStyle="1" w:styleId="113">
    <w:name w:val="标题 7 Char"/>
    <w:basedOn w:val="27"/>
    <w:link w:val="8"/>
    <w:qFormat/>
    <w:uiPriority w:val="0"/>
    <w:rPr>
      <w:rFonts w:eastAsia="仿宋_GB2312"/>
      <w:b/>
      <w:sz w:val="24"/>
    </w:rPr>
  </w:style>
  <w:style w:type="character" w:customStyle="1" w:styleId="114">
    <w:name w:val="标题 8 Char"/>
    <w:basedOn w:val="27"/>
    <w:link w:val="9"/>
    <w:qFormat/>
    <w:uiPriority w:val="0"/>
    <w:rPr>
      <w:rFonts w:ascii="Arial" w:hAnsi="Arial" w:eastAsia="黑体"/>
      <w:sz w:val="24"/>
    </w:rPr>
  </w:style>
  <w:style w:type="character" w:customStyle="1" w:styleId="115">
    <w:name w:val="标题 9 Char"/>
    <w:basedOn w:val="27"/>
    <w:link w:val="10"/>
    <w:qFormat/>
    <w:uiPriority w:val="0"/>
    <w:rPr>
      <w:rFonts w:ascii="Arial" w:hAnsi="Arial" w:eastAsia="黑体"/>
    </w:rPr>
  </w:style>
  <w:style w:type="character" w:customStyle="1" w:styleId="116">
    <w:name w:val="标题 3 Char"/>
    <w:link w:val="4"/>
    <w:qFormat/>
    <w:uiPriority w:val="0"/>
    <w:rPr>
      <w:b/>
      <w:bCs/>
      <w:w w:val="90"/>
      <w:kern w:val="2"/>
      <w:sz w:val="32"/>
      <w:szCs w:val="32"/>
    </w:rPr>
  </w:style>
  <w:style w:type="character" w:customStyle="1" w:styleId="117">
    <w:name w:val="标题 2 Char"/>
    <w:link w:val="3"/>
    <w:qFormat/>
    <w:uiPriority w:val="0"/>
    <w:rPr>
      <w:rFonts w:ascii="Arial" w:hAnsi="Arial" w:eastAsia="黑体"/>
      <w:b/>
      <w:bCs/>
      <w:w w:val="90"/>
      <w:kern w:val="2"/>
      <w:sz w:val="32"/>
      <w:szCs w:val="32"/>
    </w:rPr>
  </w:style>
  <w:style w:type="paragraph" w:customStyle="1" w:styleId="118">
    <w:name w:val="标题一"/>
    <w:basedOn w:val="3"/>
    <w:qFormat/>
    <w:uiPriority w:val="0"/>
    <w:pPr>
      <w:widowControl/>
      <w:spacing w:line="415" w:lineRule="auto"/>
      <w:jc w:val="center"/>
    </w:pPr>
    <w:rPr>
      <w:rFonts w:eastAsia="宋体"/>
      <w:bCs w:val="0"/>
      <w:w w:val="100"/>
      <w:kern w:val="0"/>
      <w:sz w:val="44"/>
      <w:lang w:val="zh-CN"/>
    </w:rPr>
  </w:style>
  <w:style w:type="character" w:customStyle="1" w:styleId="119">
    <w:name w:val="页眉 Char"/>
    <w:basedOn w:val="27"/>
    <w:link w:val="22"/>
    <w:qFormat/>
    <w:uiPriority w:val="99"/>
    <w:rPr>
      <w:w w:val="90"/>
      <w:kern w:val="2"/>
      <w:sz w:val="18"/>
    </w:rPr>
  </w:style>
  <w:style w:type="paragraph" w:customStyle="1" w:styleId="120">
    <w:name w:val="00正文"/>
    <w:basedOn w:val="1"/>
    <w:link w:val="121"/>
    <w:qFormat/>
    <w:uiPriority w:val="0"/>
    <w:pPr>
      <w:adjustRightInd w:val="0"/>
      <w:ind w:firstLine="200" w:firstLineChars="200"/>
      <w:textAlignment w:val="baseline"/>
    </w:pPr>
    <w:rPr>
      <w:rFonts w:ascii="Calibri" w:hAnsi="Calibri" w:eastAsia="仿宋_GB2312"/>
      <w:w w:val="100"/>
      <w:kern w:val="0"/>
      <w:sz w:val="24"/>
    </w:rPr>
  </w:style>
  <w:style w:type="character" w:customStyle="1" w:styleId="121">
    <w:name w:val="00正文 Char"/>
    <w:link w:val="120"/>
    <w:qFormat/>
    <w:uiPriority w:val="0"/>
    <w:rPr>
      <w:rFonts w:ascii="Calibri" w:hAnsi="Calibri" w:eastAsia="仿宋_GB2312"/>
      <w:sz w:val="24"/>
    </w:rPr>
  </w:style>
  <w:style w:type="paragraph" w:customStyle="1" w:styleId="122">
    <w:name w:val="00标题1.1"/>
    <w:basedOn w:val="2"/>
    <w:link w:val="123"/>
    <w:qFormat/>
    <w:uiPriority w:val="0"/>
    <w:pPr>
      <w:keepLines w:val="0"/>
      <w:spacing w:before="0" w:after="0" w:line="360" w:lineRule="auto"/>
      <w:ind w:left="100" w:leftChars="100" w:right="100" w:rightChars="100" w:firstLine="200" w:firstLineChars="200"/>
      <w:jc w:val="left"/>
      <w:textAlignment w:val="baseline"/>
    </w:pPr>
    <w:rPr>
      <w:rFonts w:ascii="仿宋_GB2312" w:hAnsi="宋体" w:eastAsia="仿宋_GB2312"/>
      <w:sz w:val="28"/>
      <w:szCs w:val="28"/>
    </w:rPr>
  </w:style>
  <w:style w:type="character" w:customStyle="1" w:styleId="123">
    <w:name w:val="00标题1.1 Char"/>
    <w:link w:val="122"/>
    <w:qFormat/>
    <w:uiPriority w:val="0"/>
    <w:rPr>
      <w:rFonts w:ascii="仿宋_GB2312" w:hAnsi="宋体" w:eastAsia="仿宋_GB2312"/>
      <w:b/>
      <w:bCs/>
      <w:kern w:val="44"/>
      <w:sz w:val="28"/>
      <w:szCs w:val="28"/>
    </w:rPr>
  </w:style>
  <w:style w:type="paragraph" w:customStyle="1" w:styleId="124">
    <w:name w:val="00标题1.1.1"/>
    <w:basedOn w:val="2"/>
    <w:qFormat/>
    <w:uiPriority w:val="0"/>
    <w:pPr>
      <w:keepLines w:val="0"/>
      <w:adjustRightInd w:val="0"/>
      <w:spacing w:before="0" w:after="0" w:line="360" w:lineRule="auto"/>
      <w:ind w:left="1942" w:right="200" w:rightChars="100" w:hanging="420"/>
      <w:jc w:val="left"/>
      <w:textAlignment w:val="baseline"/>
    </w:pPr>
    <w:rPr>
      <w:bCs w:val="0"/>
      <w:kern w:val="0"/>
      <w:sz w:val="28"/>
      <w:szCs w:val="24"/>
    </w:rPr>
  </w:style>
  <w:style w:type="character" w:customStyle="1" w:styleId="125">
    <w:name w:val="0WD正文 Char"/>
    <w:basedOn w:val="27"/>
    <w:link w:val="126"/>
    <w:qFormat/>
    <w:uiPriority w:val="0"/>
    <w:rPr>
      <w:sz w:val="24"/>
    </w:rPr>
  </w:style>
  <w:style w:type="paragraph" w:customStyle="1" w:styleId="126">
    <w:name w:val="0WD正文"/>
    <w:basedOn w:val="1"/>
    <w:link w:val="125"/>
    <w:qFormat/>
    <w:uiPriority w:val="0"/>
    <w:pPr>
      <w:ind w:left="420" w:leftChars="175" w:right="420" w:rightChars="175" w:firstLine="480" w:firstLineChars="200"/>
    </w:pPr>
    <w:rPr>
      <w:w w:val="100"/>
      <w:kern w:val="0"/>
      <w:sz w:val="24"/>
    </w:rPr>
  </w:style>
  <w:style w:type="character" w:customStyle="1" w:styleId="127">
    <w:name w:val="0WD标题三 Char"/>
    <w:basedOn w:val="116"/>
    <w:link w:val="128"/>
    <w:qFormat/>
    <w:uiPriority w:val="0"/>
    <w:rPr>
      <w:rFonts w:cs="黑体"/>
      <w:w w:val="90"/>
      <w:kern w:val="44"/>
      <w:sz w:val="28"/>
      <w:szCs w:val="32"/>
    </w:rPr>
  </w:style>
  <w:style w:type="paragraph" w:customStyle="1" w:styleId="128">
    <w:name w:val="0WD标题三"/>
    <w:basedOn w:val="4"/>
    <w:link w:val="127"/>
    <w:qFormat/>
    <w:uiPriority w:val="0"/>
    <w:pPr>
      <w:spacing w:before="40" w:after="40" w:line="240" w:lineRule="auto"/>
      <w:ind w:right="175" w:rightChars="175"/>
      <w:jc w:val="left"/>
    </w:pPr>
    <w:rPr>
      <w:rFonts w:cs="黑体"/>
      <w:kern w:val="44"/>
      <w:sz w:val="28"/>
    </w:rPr>
  </w:style>
  <w:style w:type="character" w:customStyle="1" w:styleId="129">
    <w:name w:val="qm可研正文 Char"/>
    <w:link w:val="130"/>
    <w:qFormat/>
    <w:uiPriority w:val="0"/>
    <w:rPr>
      <w:rFonts w:hAnsi="宋体"/>
      <w:sz w:val="24"/>
    </w:rPr>
  </w:style>
  <w:style w:type="paragraph" w:customStyle="1" w:styleId="130">
    <w:name w:val="qm可研正文"/>
    <w:basedOn w:val="1"/>
    <w:link w:val="129"/>
    <w:qFormat/>
    <w:uiPriority w:val="0"/>
    <w:pPr>
      <w:autoSpaceDE w:val="0"/>
      <w:autoSpaceDN w:val="0"/>
      <w:adjustRightInd w:val="0"/>
      <w:ind w:firstLine="200" w:firstLineChars="200"/>
    </w:pPr>
    <w:rPr>
      <w:rFonts w:hAnsi="宋体"/>
      <w:w w:val="100"/>
      <w:kern w:val="0"/>
      <w:sz w:val="24"/>
    </w:rPr>
  </w:style>
  <w:style w:type="character" w:customStyle="1" w:styleId="131">
    <w:name w:val="wd可研正文 Char"/>
    <w:link w:val="132"/>
    <w:qFormat/>
    <w:uiPriority w:val="0"/>
    <w:rPr>
      <w:rFonts w:hAnsi="宋体"/>
      <w:sz w:val="24"/>
    </w:rPr>
  </w:style>
  <w:style w:type="paragraph" w:customStyle="1" w:styleId="132">
    <w:name w:val="wd可研正文"/>
    <w:basedOn w:val="1"/>
    <w:link w:val="131"/>
    <w:qFormat/>
    <w:uiPriority w:val="0"/>
    <w:pPr>
      <w:autoSpaceDE w:val="0"/>
      <w:autoSpaceDN w:val="0"/>
      <w:adjustRightInd w:val="0"/>
      <w:ind w:firstLine="527" w:firstLineChars="200"/>
    </w:pPr>
    <w:rPr>
      <w:rFonts w:hAnsi="宋体"/>
      <w:w w:val="100"/>
      <w:kern w:val="0"/>
      <w:sz w:val="24"/>
    </w:rPr>
  </w:style>
  <w:style w:type="paragraph" w:customStyle="1" w:styleId="133">
    <w:name w:val="样式 宋体 小四 黑色 行距: 固定值 28 磅"/>
    <w:basedOn w:val="1"/>
    <w:qFormat/>
    <w:uiPriority w:val="0"/>
    <w:pPr>
      <w:spacing w:line="560" w:lineRule="exact"/>
      <w:ind w:firstLine="480" w:firstLineChars="200"/>
    </w:pPr>
    <w:rPr>
      <w:rFonts w:ascii="宋体" w:hAnsi="宋体" w:cs="宋体"/>
      <w:color w:val="000000"/>
      <w:w w:val="100"/>
      <w:sz w:val="24"/>
    </w:rPr>
  </w:style>
  <w:style w:type="character" w:customStyle="1" w:styleId="134">
    <w:name w:val="纯文本 Char1"/>
    <w:basedOn w:val="27"/>
    <w:semiHidden/>
    <w:qFormat/>
    <w:uiPriority w:val="99"/>
    <w:rPr>
      <w:rFonts w:ascii="宋体" w:hAnsi="Courier New" w:eastAsia="宋体" w:cs="Courier New"/>
      <w:sz w:val="21"/>
      <w:szCs w:val="21"/>
    </w:rPr>
  </w:style>
  <w:style w:type="paragraph" w:customStyle="1" w:styleId="135">
    <w:name w:val="00标题一"/>
    <w:basedOn w:val="94"/>
    <w:link w:val="137"/>
    <w:qFormat/>
    <w:uiPriority w:val="0"/>
    <w:pPr>
      <w:widowControl w:val="0"/>
      <w:jc w:val="both"/>
      <w:outlineLvl w:val="9"/>
    </w:pPr>
    <w:rPr>
      <w:rFonts w:ascii="Plotter" w:hAnsi="Plotter" w:eastAsia="宋体"/>
      <w:kern w:val="2"/>
      <w:szCs w:val="28"/>
    </w:rPr>
  </w:style>
  <w:style w:type="paragraph" w:customStyle="1" w:styleId="136">
    <w:name w:val="00标题二"/>
    <w:basedOn w:val="95"/>
    <w:link w:val="139"/>
    <w:qFormat/>
    <w:uiPriority w:val="0"/>
    <w:pPr>
      <w:widowControl w:val="0"/>
      <w:jc w:val="both"/>
      <w:outlineLvl w:val="9"/>
    </w:pPr>
    <w:rPr>
      <w:rFonts w:ascii="Plotter" w:hAnsi="Plotter" w:eastAsia="宋体"/>
      <w:kern w:val="2"/>
    </w:rPr>
  </w:style>
  <w:style w:type="character" w:customStyle="1" w:styleId="137">
    <w:name w:val="00标题一 Char"/>
    <w:basedOn w:val="96"/>
    <w:link w:val="135"/>
    <w:qFormat/>
    <w:uiPriority w:val="0"/>
    <w:rPr>
      <w:rFonts w:ascii="Plotter" w:hAnsi="Plotter" w:eastAsia="Times New Roman"/>
      <w:kern w:val="2"/>
      <w:sz w:val="28"/>
      <w:szCs w:val="28"/>
    </w:rPr>
  </w:style>
  <w:style w:type="paragraph" w:customStyle="1" w:styleId="138">
    <w:name w:val="00标题三"/>
    <w:basedOn w:val="97"/>
    <w:link w:val="141"/>
    <w:qFormat/>
    <w:uiPriority w:val="0"/>
    <w:pPr>
      <w:widowControl w:val="0"/>
      <w:jc w:val="both"/>
      <w:outlineLvl w:val="9"/>
    </w:pPr>
    <w:rPr>
      <w:rFonts w:ascii="Plotter" w:hAnsi="Plotter" w:eastAsia="宋体"/>
      <w:kern w:val="2"/>
    </w:rPr>
  </w:style>
  <w:style w:type="character" w:customStyle="1" w:styleId="139">
    <w:name w:val="00标题二 Char"/>
    <w:basedOn w:val="98"/>
    <w:link w:val="136"/>
    <w:qFormat/>
    <w:uiPriority w:val="0"/>
    <w:rPr>
      <w:rFonts w:ascii="Plotter" w:hAnsi="Plotter" w:eastAsia="Times New Roman"/>
      <w:kern w:val="2"/>
      <w:sz w:val="28"/>
    </w:rPr>
  </w:style>
  <w:style w:type="paragraph" w:customStyle="1" w:styleId="140">
    <w:name w:val="00标题四"/>
    <w:basedOn w:val="97"/>
    <w:link w:val="143"/>
    <w:qFormat/>
    <w:uiPriority w:val="0"/>
    <w:pPr>
      <w:widowControl w:val="0"/>
      <w:numPr>
        <w:ilvl w:val="0"/>
        <w:numId w:val="0"/>
      </w:numPr>
      <w:jc w:val="both"/>
      <w:outlineLvl w:val="9"/>
    </w:pPr>
    <w:rPr>
      <w:rFonts w:ascii="Plotter" w:hAnsi="Plotter" w:eastAsia="宋体"/>
      <w:kern w:val="2"/>
    </w:rPr>
  </w:style>
  <w:style w:type="character" w:customStyle="1" w:styleId="141">
    <w:name w:val="00标题三 Char"/>
    <w:basedOn w:val="102"/>
    <w:link w:val="138"/>
    <w:qFormat/>
    <w:uiPriority w:val="0"/>
    <w:rPr>
      <w:rFonts w:ascii="Plotter" w:hAnsi="Plotter" w:eastAsia="Times New Roman"/>
      <w:kern w:val="2"/>
      <w:sz w:val="24"/>
    </w:rPr>
  </w:style>
  <w:style w:type="paragraph" w:customStyle="1" w:styleId="142">
    <w:name w:val="00标题五"/>
    <w:basedOn w:val="97"/>
    <w:link w:val="144"/>
    <w:qFormat/>
    <w:uiPriority w:val="0"/>
    <w:pPr>
      <w:widowControl w:val="0"/>
      <w:numPr>
        <w:ilvl w:val="0"/>
        <w:numId w:val="0"/>
      </w:numPr>
      <w:jc w:val="both"/>
      <w:outlineLvl w:val="9"/>
    </w:pPr>
    <w:rPr>
      <w:rFonts w:ascii="Plotter" w:hAnsi="Plotter" w:eastAsia="宋体"/>
      <w:kern w:val="2"/>
    </w:rPr>
  </w:style>
  <w:style w:type="character" w:customStyle="1" w:styleId="143">
    <w:name w:val="00标题四 Char"/>
    <w:basedOn w:val="102"/>
    <w:link w:val="140"/>
    <w:qFormat/>
    <w:uiPriority w:val="0"/>
    <w:rPr>
      <w:rFonts w:ascii="Plotter" w:hAnsi="Plotter" w:eastAsia="Times New Roman"/>
      <w:kern w:val="2"/>
      <w:sz w:val="24"/>
    </w:rPr>
  </w:style>
  <w:style w:type="character" w:customStyle="1" w:styleId="144">
    <w:name w:val="00标题五 Char"/>
    <w:basedOn w:val="102"/>
    <w:link w:val="142"/>
    <w:qFormat/>
    <w:uiPriority w:val="0"/>
    <w:rPr>
      <w:rFonts w:ascii="Plotter" w:hAnsi="Plotter" w:eastAsia="Times New Roman"/>
      <w:kern w:val="2"/>
      <w:sz w:val="24"/>
    </w:rPr>
  </w:style>
  <w:style w:type="paragraph" w:customStyle="1" w:styleId="14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46">
    <w:name w:val="子午-正文"/>
    <w:basedOn w:val="1"/>
    <w:qFormat/>
    <w:uiPriority w:val="0"/>
    <w:pPr>
      <w:widowControl/>
      <w:ind w:left="420" w:leftChars="200" w:firstLine="480" w:firstLineChars="200"/>
      <w:jc w:val="left"/>
    </w:pPr>
    <w:rPr>
      <w:rFonts w:ascii="Calibri" w:hAnsi="Calibri" w:eastAsia="仿宋_GB2312"/>
      <w:w w:val="100"/>
      <w:kern w:val="0"/>
      <w:sz w:val="24"/>
      <w:szCs w:val="28"/>
    </w:rPr>
  </w:style>
  <w:style w:type="paragraph" w:customStyle="1" w:styleId="147">
    <w:name w:val="p0"/>
    <w:basedOn w:val="1"/>
    <w:qFormat/>
    <w:uiPriority w:val="0"/>
    <w:pPr>
      <w:widowControl/>
      <w:spacing w:line="240" w:lineRule="auto"/>
    </w:pPr>
    <w:rPr>
      <w:w w:val="100"/>
      <w:kern w:val="0"/>
      <w:szCs w:val="21"/>
    </w:rPr>
  </w:style>
  <w:style w:type="character" w:customStyle="1" w:styleId="148">
    <w:name w:val="！正文标题1.2.1 Char Char1"/>
    <w:basedOn w:val="27"/>
    <w:qFormat/>
    <w:uiPriority w:val="0"/>
    <w:rPr>
      <w:rFonts w:eastAsia="宋体"/>
      <w:b/>
      <w:kern w:val="2"/>
      <w:sz w:val="28"/>
      <w:szCs w:val="24"/>
      <w:lang w:val="en-US" w:eastAsia="zh-CN" w:bidi="ar-SA"/>
    </w:rPr>
  </w:style>
  <w:style w:type="paragraph" w:customStyle="1" w:styleId="149">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50">
    <w:name w:val="!正文1.2.3.1"/>
    <w:basedOn w:val="1"/>
    <w:qFormat/>
    <w:uiPriority w:val="0"/>
    <w:pPr>
      <w:numPr>
        <w:ilvl w:val="3"/>
        <w:numId w:val="3"/>
      </w:numPr>
      <w:spacing w:line="500" w:lineRule="exact"/>
      <w:outlineLvl w:val="3"/>
    </w:pPr>
    <w:rPr>
      <w:w w:val="100"/>
      <w:sz w:val="28"/>
      <w:szCs w:val="24"/>
      <w:lang w:val="zh-CN"/>
    </w:rPr>
  </w:style>
  <w:style w:type="character" w:customStyle="1" w:styleId="151">
    <w:name w:val="@正文 Char"/>
    <w:link w:val="152"/>
    <w:qFormat/>
    <w:uiPriority w:val="0"/>
    <w:rPr>
      <w:kern w:val="2"/>
      <w:sz w:val="24"/>
      <w:szCs w:val="24"/>
    </w:rPr>
  </w:style>
  <w:style w:type="paragraph" w:customStyle="1" w:styleId="152">
    <w:name w:val="@正文"/>
    <w:basedOn w:val="1"/>
    <w:link w:val="151"/>
    <w:qFormat/>
    <w:uiPriority w:val="0"/>
    <w:pPr>
      <w:snapToGrid w:val="0"/>
      <w:spacing w:before="156" w:beforeLines="50" w:after="156" w:afterLines="50"/>
      <w:ind w:firstLine="200" w:firstLineChars="200"/>
    </w:pPr>
    <w:rPr>
      <w:w w:val="100"/>
      <w:sz w:val="24"/>
      <w:szCs w:val="24"/>
    </w:rPr>
  </w:style>
  <w:style w:type="paragraph" w:customStyle="1" w:styleId="153">
    <w:name w:val="！正文3.1.1"/>
    <w:basedOn w:val="1"/>
    <w:qFormat/>
    <w:uiPriority w:val="0"/>
    <w:pPr>
      <w:numPr>
        <w:ilvl w:val="0"/>
        <w:numId w:val="4"/>
      </w:numPr>
      <w:spacing w:line="480" w:lineRule="exact"/>
    </w:pPr>
    <w:rPr>
      <w:w w:val="100"/>
      <w:sz w:val="28"/>
      <w:szCs w:val="24"/>
    </w:rPr>
  </w:style>
  <w:style w:type="paragraph" w:customStyle="1" w:styleId="154">
    <w:name w:val="Table Paragraph"/>
    <w:basedOn w:val="1"/>
    <w:qFormat/>
    <w:uiPriority w:val="1"/>
    <w:pPr>
      <w:spacing w:before="90" w:line="240" w:lineRule="auto"/>
    </w:pPr>
    <w:rPr>
      <w:rFonts w:ascii="宋体" w:hAnsi="宋体" w:cs="宋体"/>
      <w:w w:val="10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17B9-A601-4A6B-8FA7-FCB6BEACCA01}">
  <ds:schemaRefs/>
</ds:datastoreItem>
</file>

<file path=docProps/app.xml><?xml version="1.0" encoding="utf-8"?>
<Properties xmlns="http://schemas.openxmlformats.org/officeDocument/2006/extended-properties" xmlns:vt="http://schemas.openxmlformats.org/officeDocument/2006/docPropsVTypes">
  <Template>Normal.dotm</Template>
  <Company>vip</Company>
  <Pages>9</Pages>
  <Words>6289</Words>
  <Characters>8154</Characters>
  <Lines>162</Lines>
  <Paragraphs>45</Paragraphs>
  <TotalTime>4</TotalTime>
  <ScaleCrop>false</ScaleCrop>
  <LinksUpToDate>false</LinksUpToDate>
  <CharactersWithSpaces>8197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2020-03-13T02:27:00Z</dcterms:created>
  <dc:creator>vip</dc:creator>
  <cp:lastModifiedBy>Administrator</cp:lastModifiedBy>
  <cp:lastPrinted>2020-12-29T12:30:00Z</cp:lastPrinted>
  <dcterms:modified xsi:type="dcterms:W3CDTF">2025-05-17T15:04:18Z</dcterms:modified>
  <dc:title>一</dc:title>
  <cp:revision>778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