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2F0FB">
      <w:pPr>
        <w:keepNext w:val="0"/>
        <w:keepLines w:val="0"/>
        <w:pageBreakBefore w:val="0"/>
        <w:tabs>
          <w:tab w:val="left" w:pos="10440"/>
        </w:tabs>
        <w:kinsoku/>
        <w:wordWrap/>
        <w:overflowPunct/>
        <w:topLinePunct w:val="0"/>
        <w:bidi w:val="0"/>
        <w:adjustRightInd w:val="0"/>
        <w:snapToGrid/>
        <w:spacing w:line="288" w:lineRule="auto"/>
        <w:jc w:val="center"/>
        <w:textAlignment w:val="auto"/>
        <w:rPr>
          <w:rFonts w:ascii="宋体" w:hAnsi="宋体"/>
          <w:b/>
          <w:sz w:val="44"/>
          <w:szCs w:val="44"/>
        </w:rPr>
      </w:pPr>
      <w:r>
        <w:rPr>
          <w:rFonts w:hint="eastAsia" w:ascii="宋体" w:hAnsi="宋体"/>
          <w:b/>
          <w:sz w:val="44"/>
          <w:szCs w:val="44"/>
        </w:rPr>
        <w:t>说  明  书</w:t>
      </w:r>
    </w:p>
    <w:p w14:paraId="6AD53801">
      <w:pPr>
        <w:keepNext w:val="0"/>
        <w:keepLines w:val="0"/>
        <w:pageBreakBefore w:val="0"/>
        <w:tabs>
          <w:tab w:val="left" w:pos="720"/>
          <w:tab w:val="left" w:pos="10440"/>
        </w:tabs>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一</w:t>
      </w:r>
      <w:r>
        <w:rPr>
          <w:rFonts w:hint="eastAsia" w:ascii="宋体" w:hAnsi="宋体"/>
          <w:b/>
          <w:spacing w:val="4"/>
          <w:sz w:val="28"/>
          <w:szCs w:val="28"/>
        </w:rPr>
        <w:t>.</w:t>
      </w:r>
      <w:r>
        <w:rPr>
          <w:rFonts w:hint="eastAsia" w:ascii="宋体" w:hAnsi="宋体"/>
          <w:b/>
          <w:spacing w:val="4"/>
          <w:kern w:val="30"/>
          <w:sz w:val="28"/>
          <w:szCs w:val="28"/>
        </w:rPr>
        <w:t xml:space="preserve">工程概况、设计依据及测设经过 </w:t>
      </w:r>
    </w:p>
    <w:p w14:paraId="47050E73">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spacing w:val="4"/>
          <w:kern w:val="30"/>
          <w:sz w:val="28"/>
          <w:szCs w:val="28"/>
        </w:rPr>
      </w:pPr>
      <w:r>
        <w:rPr>
          <w:rFonts w:hint="eastAsia" w:ascii="宋体" w:hAnsi="宋体"/>
          <w:b/>
          <w:spacing w:val="4"/>
          <w:kern w:val="30"/>
          <w:sz w:val="28"/>
          <w:szCs w:val="28"/>
        </w:rPr>
        <w:t>1.1概述</w:t>
      </w:r>
    </w:p>
    <w:p w14:paraId="11ACB7C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rPr>
      </w:pPr>
      <w:r>
        <w:rPr>
          <w:rFonts w:hint="eastAsia" w:ascii="宋体" w:hAnsi="宋体"/>
          <w:spacing w:val="4"/>
          <w:kern w:val="30"/>
          <w:sz w:val="24"/>
          <w:lang w:eastAsia="zh-CN"/>
        </w:rPr>
        <w:t>长岭县</w:t>
      </w:r>
      <w:r>
        <w:rPr>
          <w:rFonts w:hint="eastAsia" w:ascii="宋体" w:hAnsi="宋体"/>
          <w:color w:val="auto"/>
          <w:spacing w:val="4"/>
          <w:kern w:val="30"/>
          <w:sz w:val="24"/>
          <w:lang w:eastAsia="zh-CN"/>
        </w:rPr>
        <w:t>前七号镇</w:t>
      </w:r>
      <w:r>
        <w:rPr>
          <w:rFonts w:hint="eastAsia" w:ascii="宋体" w:hAnsi="宋体"/>
          <w:spacing w:val="4"/>
          <w:kern w:val="30"/>
          <w:sz w:val="24"/>
          <w:lang w:eastAsia="zh-CN"/>
        </w:rPr>
        <w:t>龙凤山村高六号屯水泥路工程</w:t>
      </w:r>
      <w:r>
        <w:rPr>
          <w:rFonts w:hint="eastAsia" w:ascii="宋体" w:hAnsi="宋体"/>
          <w:spacing w:val="4"/>
          <w:kern w:val="30"/>
          <w:sz w:val="24"/>
        </w:rPr>
        <w:t>位于</w:t>
      </w:r>
      <w:r>
        <w:rPr>
          <w:rFonts w:hint="eastAsia" w:ascii="宋体" w:hAnsi="宋体"/>
          <w:spacing w:val="4"/>
          <w:kern w:val="30"/>
          <w:sz w:val="24"/>
          <w:lang w:eastAsia="zh-CN"/>
        </w:rPr>
        <w:t>长岭县</w:t>
      </w:r>
      <w:r>
        <w:rPr>
          <w:rFonts w:hint="eastAsia" w:ascii="宋体" w:hAnsi="宋体"/>
          <w:color w:val="auto"/>
          <w:spacing w:val="4"/>
          <w:kern w:val="30"/>
          <w:sz w:val="24"/>
          <w:lang w:eastAsia="zh-CN"/>
        </w:rPr>
        <w:t>前七号镇</w:t>
      </w:r>
      <w:r>
        <w:rPr>
          <w:rFonts w:hint="eastAsia" w:ascii="宋体" w:hAnsi="宋体"/>
          <w:spacing w:val="4"/>
          <w:kern w:val="30"/>
          <w:sz w:val="24"/>
          <w:lang w:eastAsia="zh-CN"/>
        </w:rPr>
        <w:t>龙凤山村，路线全长1</w:t>
      </w:r>
      <w:r>
        <w:rPr>
          <w:rFonts w:hint="eastAsia" w:ascii="宋体" w:hAnsi="宋体"/>
          <w:spacing w:val="4"/>
          <w:kern w:val="30"/>
          <w:sz w:val="24"/>
          <w:lang w:val="en-US" w:eastAsia="zh-CN"/>
        </w:rPr>
        <w:t>.</w:t>
      </w:r>
      <w:r>
        <w:rPr>
          <w:rFonts w:hint="eastAsia" w:ascii="宋体" w:hAnsi="宋体"/>
          <w:spacing w:val="4"/>
          <w:kern w:val="30"/>
          <w:sz w:val="24"/>
          <w:lang w:eastAsia="zh-CN"/>
        </w:rPr>
        <w:t>830公里，扣除路口交叉22.5米，实际修建1</w:t>
      </w:r>
      <w:r>
        <w:rPr>
          <w:rFonts w:hint="eastAsia" w:ascii="宋体" w:hAnsi="宋体"/>
          <w:spacing w:val="4"/>
          <w:kern w:val="30"/>
          <w:sz w:val="24"/>
          <w:lang w:val="en-US" w:eastAsia="zh-CN"/>
        </w:rPr>
        <w:t>.</w:t>
      </w:r>
      <w:r>
        <w:rPr>
          <w:rFonts w:hint="eastAsia" w:ascii="宋体" w:hAnsi="宋体"/>
          <w:spacing w:val="4"/>
          <w:kern w:val="30"/>
          <w:sz w:val="24"/>
          <w:lang w:eastAsia="zh-CN"/>
        </w:rPr>
        <w:t>80</w:t>
      </w:r>
      <w:r>
        <w:rPr>
          <w:rFonts w:hint="eastAsia" w:ascii="宋体" w:hAnsi="宋体"/>
          <w:spacing w:val="4"/>
          <w:kern w:val="30"/>
          <w:sz w:val="24"/>
          <w:lang w:val="en-US" w:eastAsia="zh-CN"/>
        </w:rPr>
        <w:t>8公里。</w:t>
      </w:r>
      <w:r>
        <w:rPr>
          <w:rFonts w:hint="eastAsia" w:ascii="宋体" w:hAnsi="宋体"/>
          <w:spacing w:val="4"/>
          <w:kern w:val="30"/>
          <w:sz w:val="24"/>
          <w:lang w:eastAsia="zh-CN"/>
        </w:rPr>
        <w:t>项目拟建</w:t>
      </w:r>
      <w:r>
        <w:rPr>
          <w:rFonts w:hint="eastAsia" w:ascii="宋体" w:hAnsi="宋体"/>
          <w:spacing w:val="4"/>
          <w:kern w:val="30"/>
          <w:sz w:val="24"/>
          <w:lang w:val="en-US" w:eastAsia="zh-CN"/>
        </w:rPr>
        <w:t>8</w:t>
      </w:r>
      <w:r>
        <w:rPr>
          <w:rFonts w:hint="eastAsia" w:ascii="宋体" w:hAnsi="宋体"/>
          <w:spacing w:val="4"/>
          <w:kern w:val="30"/>
          <w:sz w:val="24"/>
          <w:lang w:eastAsia="zh-CN"/>
        </w:rPr>
        <w:t>条水泥路，拟建道路与村内原有水泥路相接。本项目原为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，由于原路行车颠簸，因缺乏必要的管理，路况较差，雨季泥泞，晴</w:t>
      </w:r>
      <w:bookmarkStart w:id="7" w:name="_GoBack"/>
      <w:bookmarkEnd w:id="7"/>
      <w:r>
        <w:rPr>
          <w:rFonts w:hint="eastAsia" w:ascii="宋体" w:hAnsi="宋体"/>
          <w:spacing w:val="4"/>
          <w:kern w:val="30"/>
          <w:sz w:val="24"/>
          <w:lang w:eastAsia="zh-CN"/>
        </w:rPr>
        <w:t>天扬尘，冬季积雪、结冰，路滑，行车非常困难</w:t>
      </w:r>
      <w:r>
        <w:rPr>
          <w:rFonts w:hint="eastAsia" w:ascii="宋体" w:hAnsi="宋体"/>
          <w:spacing w:val="4"/>
          <w:kern w:val="30"/>
          <w:sz w:val="24"/>
        </w:rPr>
        <w:t>，严重影响了车辆正常通行和货物运输。</w:t>
      </w:r>
    </w:p>
    <w:p w14:paraId="3306EB50">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b/>
          <w:spacing w:val="4"/>
          <w:kern w:val="30"/>
          <w:sz w:val="28"/>
          <w:szCs w:val="28"/>
        </w:rPr>
      </w:pPr>
      <w:r>
        <w:rPr>
          <w:rFonts w:hint="eastAsia" w:ascii="宋体" w:hAnsi="宋体"/>
          <w:b/>
          <w:spacing w:val="4"/>
          <w:kern w:val="30"/>
          <w:sz w:val="28"/>
          <w:szCs w:val="28"/>
        </w:rPr>
        <w:t>1.2设计依据</w:t>
      </w:r>
    </w:p>
    <w:p w14:paraId="16D0105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依据业主与我公司签订的测设委托合同，我公司承担了本段工程的勘察设计任务。本工程遵照下列标准、规范进行勘察、设计：</w:t>
      </w:r>
    </w:p>
    <w:p w14:paraId="4FA63101">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(01)交通部颁发《公路工程技术标准》(JTGB01—2014)；</w:t>
      </w:r>
    </w:p>
    <w:p w14:paraId="08A1A1F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(02)交通部颁发《公路勘测规范》(JTGC10—2018)；</w:t>
      </w:r>
    </w:p>
    <w:p w14:paraId="3B9F410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(03)交通部《公路勘测细则》(JTG/T C10—2007)；</w:t>
      </w:r>
    </w:p>
    <w:p w14:paraId="6E7D0D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(04)交通部颁发《公路路基设计规范》(JTGD30—2015) ；</w:t>
      </w:r>
    </w:p>
    <w:p w14:paraId="072A212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(05)交通运输部《公路排水设计规范》(JTG/T D33—2012)；</w:t>
      </w:r>
    </w:p>
    <w:p w14:paraId="39D423C9">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(06)交通部颁发《公路路线设计规范》(JTGD20—2017) ；</w:t>
      </w:r>
    </w:p>
    <w:p w14:paraId="241EE83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w:t>
      </w:r>
      <w:r>
        <w:rPr>
          <w:rFonts w:hint="eastAsia" w:ascii="宋体" w:hAnsi="宋体"/>
          <w:spacing w:val="4"/>
          <w:kern w:val="30"/>
          <w:sz w:val="24"/>
          <w:lang w:val="en-US" w:eastAsia="zh-CN"/>
        </w:rPr>
        <w:t>7</w:t>
      </w:r>
      <w:r>
        <w:rPr>
          <w:rFonts w:hint="eastAsia" w:ascii="宋体" w:hAnsi="宋体"/>
          <w:spacing w:val="4"/>
          <w:kern w:val="30"/>
          <w:sz w:val="24"/>
          <w:lang w:eastAsia="zh-CN"/>
        </w:rPr>
        <w:t>)交通运输部《公路工程水文勘测设计规范》(JTG C30—2015)；</w:t>
      </w:r>
    </w:p>
    <w:p w14:paraId="705A874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08</w:t>
      </w:r>
      <w:r>
        <w:rPr>
          <w:rFonts w:hint="eastAsia" w:ascii="宋体" w:hAnsi="宋体"/>
          <w:spacing w:val="4"/>
          <w:kern w:val="30"/>
          <w:sz w:val="24"/>
          <w:lang w:eastAsia="zh-CN"/>
        </w:rPr>
        <w:t>)交通运输部《公路工程地质勘察规范》(JTG C20—2011)；</w:t>
      </w:r>
    </w:p>
    <w:p w14:paraId="149D2FC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09</w:t>
      </w:r>
      <w:r>
        <w:rPr>
          <w:rFonts w:hint="eastAsia" w:ascii="宋体" w:hAnsi="宋体"/>
          <w:spacing w:val="4"/>
          <w:kern w:val="30"/>
          <w:sz w:val="24"/>
          <w:lang w:eastAsia="zh-CN"/>
        </w:rPr>
        <w:t>)交通运输部《公路环境保护设计规范》(JTG B04—2010)；</w:t>
      </w:r>
    </w:p>
    <w:p w14:paraId="43AFBE65">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10</w:t>
      </w:r>
      <w:r>
        <w:rPr>
          <w:rFonts w:hint="eastAsia" w:ascii="宋体" w:hAnsi="宋体"/>
          <w:spacing w:val="4"/>
          <w:kern w:val="30"/>
          <w:sz w:val="24"/>
          <w:lang w:eastAsia="zh-CN"/>
        </w:rPr>
        <w:t>)交通部颁发《公路水泥混凝土路面设计规范》(JTGD40—2011)；</w:t>
      </w:r>
    </w:p>
    <w:p w14:paraId="023F7D3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11</w:t>
      </w:r>
      <w:r>
        <w:rPr>
          <w:rFonts w:hint="eastAsia" w:ascii="宋体" w:hAnsi="宋体"/>
          <w:spacing w:val="4"/>
          <w:kern w:val="30"/>
          <w:sz w:val="24"/>
          <w:lang w:eastAsia="zh-CN"/>
        </w:rPr>
        <w:t>)交通运输部《公路工程基本建设项目概算预算编制办法》(JTG 3830-2018)；</w:t>
      </w:r>
    </w:p>
    <w:p w14:paraId="45F7F5D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12</w:t>
      </w:r>
      <w:r>
        <w:rPr>
          <w:rFonts w:hint="eastAsia" w:ascii="宋体" w:hAnsi="宋体"/>
          <w:spacing w:val="4"/>
          <w:kern w:val="30"/>
          <w:sz w:val="24"/>
          <w:lang w:eastAsia="zh-CN"/>
        </w:rPr>
        <w:t>)交通部专家委员会编《县乡公路水泥混凝土路面设计与施工》；</w:t>
      </w:r>
    </w:p>
    <w:p w14:paraId="64DE59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13</w:t>
      </w:r>
      <w:r>
        <w:rPr>
          <w:rFonts w:hint="eastAsia" w:ascii="宋体" w:hAnsi="宋体"/>
          <w:spacing w:val="4"/>
          <w:kern w:val="30"/>
          <w:sz w:val="24"/>
          <w:lang w:eastAsia="zh-CN"/>
        </w:rPr>
        <w:t>)国家标准《乡村道路工程技术规范》(GB/T 51224—2017)；</w:t>
      </w:r>
    </w:p>
    <w:p w14:paraId="259F8F7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14</w:t>
      </w:r>
      <w:r>
        <w:rPr>
          <w:rFonts w:hint="eastAsia" w:ascii="宋体" w:hAnsi="宋体"/>
          <w:spacing w:val="4"/>
          <w:kern w:val="30"/>
          <w:sz w:val="24"/>
          <w:lang w:eastAsia="zh-CN"/>
        </w:rPr>
        <w:t>)交通运输部《小交通量农村公路工程技术标准》(JTG 2111—2019)；</w:t>
      </w:r>
    </w:p>
    <w:p w14:paraId="46F8E17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15</w:t>
      </w:r>
      <w:r>
        <w:rPr>
          <w:rFonts w:hint="eastAsia" w:ascii="宋体" w:hAnsi="宋体"/>
          <w:spacing w:val="4"/>
          <w:kern w:val="30"/>
          <w:sz w:val="24"/>
          <w:lang w:eastAsia="zh-CN"/>
        </w:rPr>
        <w:t>)《吉林省大中型水库移民扶持项目管理办法》（附件）。</w:t>
      </w:r>
    </w:p>
    <w:p w14:paraId="287421A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1.3技术标准</w:t>
      </w:r>
    </w:p>
    <w:p w14:paraId="316D531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本次设计采用的技术标准如下表：</w:t>
      </w:r>
    </w:p>
    <w:p w14:paraId="1067917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jc w:val="center"/>
        <w:textAlignment w:val="auto"/>
        <w:rPr>
          <w:rFonts w:hint="eastAsia" w:ascii="宋体" w:hAnsi="宋体"/>
          <w:spacing w:val="4"/>
          <w:kern w:val="30"/>
          <w:sz w:val="24"/>
          <w:lang w:eastAsia="zh-CN"/>
        </w:rPr>
      </w:pPr>
      <w:r>
        <w:rPr>
          <w:rFonts w:hint="eastAsia" w:ascii="宋体" w:hAnsi="宋体"/>
          <w:spacing w:val="4"/>
          <w:kern w:val="30"/>
          <w:sz w:val="24"/>
          <w:lang w:eastAsia="zh-CN"/>
        </w:rPr>
        <w:t>技 术 标 准</w:t>
      </w:r>
    </w:p>
    <w:tbl>
      <w:tblPr>
        <w:tblStyle w:val="6"/>
        <w:tblW w:w="11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1"/>
        <w:gridCol w:w="2354"/>
        <w:gridCol w:w="3750"/>
        <w:gridCol w:w="2487"/>
      </w:tblGrid>
      <w:tr w14:paraId="7369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18" w:space="0"/>
              <w:left w:val="single" w:color="auto" w:sz="18" w:space="0"/>
              <w:bottom w:val="single" w:color="auto" w:sz="4" w:space="0"/>
              <w:right w:val="single" w:color="auto" w:sz="4" w:space="0"/>
            </w:tcBorders>
            <w:vAlign w:val="center"/>
          </w:tcPr>
          <w:p w14:paraId="70708A73">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公路等级:</w:t>
            </w:r>
          </w:p>
        </w:tc>
        <w:tc>
          <w:tcPr>
            <w:tcW w:w="2354" w:type="dxa"/>
            <w:tcBorders>
              <w:top w:val="single" w:color="auto" w:sz="18" w:space="0"/>
              <w:left w:val="single" w:color="auto" w:sz="4" w:space="0"/>
              <w:bottom w:val="single" w:color="auto" w:sz="4" w:space="0"/>
              <w:right w:val="single" w:color="auto" w:sz="2" w:space="0"/>
            </w:tcBorders>
            <w:vAlign w:val="center"/>
          </w:tcPr>
          <w:p w14:paraId="1691210F">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等外级公路</w:t>
            </w:r>
          </w:p>
        </w:tc>
        <w:tc>
          <w:tcPr>
            <w:tcW w:w="3750" w:type="dxa"/>
            <w:tcBorders>
              <w:top w:val="single" w:color="auto" w:sz="18" w:space="0"/>
              <w:left w:val="single" w:color="auto" w:sz="2" w:space="0"/>
              <w:bottom w:val="single" w:color="auto" w:sz="4" w:space="0"/>
              <w:right w:val="single" w:color="auto" w:sz="4" w:space="0"/>
            </w:tcBorders>
            <w:vAlign w:val="center"/>
          </w:tcPr>
          <w:p w14:paraId="5734B0CE">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路基宽度：</w:t>
            </w:r>
          </w:p>
        </w:tc>
        <w:tc>
          <w:tcPr>
            <w:tcW w:w="2487" w:type="dxa"/>
            <w:tcBorders>
              <w:top w:val="single" w:color="auto" w:sz="18" w:space="0"/>
              <w:left w:val="single" w:color="auto" w:sz="4" w:space="0"/>
              <w:bottom w:val="single" w:color="auto" w:sz="4" w:space="0"/>
              <w:right w:val="single" w:color="auto" w:sz="18" w:space="0"/>
            </w:tcBorders>
            <w:vAlign w:val="center"/>
          </w:tcPr>
          <w:p w14:paraId="6AC09C6C">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4.0m/5.0m/5.5</w:t>
            </w:r>
            <w:r>
              <w:rPr>
                <w:rFonts w:hint="eastAsia" w:ascii="宋体" w:hAnsi="宋体"/>
                <w:spacing w:val="4"/>
                <w:kern w:val="30"/>
                <w:szCs w:val="21"/>
                <w:highlight w:val="none"/>
              </w:rPr>
              <w:t>m</w:t>
            </w:r>
          </w:p>
        </w:tc>
      </w:tr>
      <w:tr w14:paraId="726E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4CC25E7">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设计速度:</w:t>
            </w:r>
          </w:p>
        </w:tc>
        <w:tc>
          <w:tcPr>
            <w:tcW w:w="2354" w:type="dxa"/>
            <w:tcBorders>
              <w:top w:val="single" w:color="auto" w:sz="4" w:space="0"/>
              <w:left w:val="single" w:color="auto" w:sz="4" w:space="0"/>
              <w:bottom w:val="single" w:color="auto" w:sz="4" w:space="0"/>
              <w:right w:val="single" w:color="auto" w:sz="2" w:space="0"/>
            </w:tcBorders>
            <w:vAlign w:val="center"/>
          </w:tcPr>
          <w:p w14:paraId="722F417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15公里/小时</w:t>
            </w:r>
          </w:p>
        </w:tc>
        <w:tc>
          <w:tcPr>
            <w:tcW w:w="3750" w:type="dxa"/>
            <w:tcBorders>
              <w:top w:val="single" w:color="auto" w:sz="4" w:space="0"/>
              <w:left w:val="single" w:color="auto" w:sz="2" w:space="0"/>
              <w:bottom w:val="single" w:color="auto" w:sz="4" w:space="0"/>
              <w:right w:val="single" w:color="auto" w:sz="4" w:space="0"/>
            </w:tcBorders>
            <w:vAlign w:val="center"/>
          </w:tcPr>
          <w:p w14:paraId="0356984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行车道宽度：</w:t>
            </w:r>
          </w:p>
        </w:tc>
        <w:tc>
          <w:tcPr>
            <w:tcW w:w="2487" w:type="dxa"/>
            <w:tcBorders>
              <w:top w:val="single" w:color="auto" w:sz="4" w:space="0"/>
              <w:left w:val="single" w:color="auto" w:sz="4" w:space="0"/>
              <w:bottom w:val="single" w:color="auto" w:sz="4" w:space="0"/>
              <w:right w:val="single" w:color="auto" w:sz="18" w:space="0"/>
            </w:tcBorders>
            <w:vAlign w:val="center"/>
          </w:tcPr>
          <w:p w14:paraId="29C92D9E">
            <w:pPr>
              <w:adjustRightInd w:val="0"/>
              <w:spacing w:line="360" w:lineRule="auto"/>
              <w:jc w:val="center"/>
              <w:rPr>
                <w:rFonts w:hint="eastAsia" w:ascii="宋体" w:hAnsi="宋体"/>
                <w:spacing w:val="4"/>
                <w:kern w:val="30"/>
                <w:szCs w:val="21"/>
                <w:highlight w:val="none"/>
                <w:lang w:val="en-US" w:eastAsia="zh-CN"/>
              </w:rPr>
            </w:pPr>
            <w:r>
              <w:rPr>
                <w:rFonts w:hint="eastAsia" w:ascii="宋体" w:hAnsi="宋体"/>
                <w:spacing w:val="4"/>
                <w:kern w:val="30"/>
                <w:szCs w:val="21"/>
                <w:highlight w:val="none"/>
              </w:rPr>
              <w:t>1×</w:t>
            </w:r>
            <w:r>
              <w:rPr>
                <w:rFonts w:hint="eastAsia" w:ascii="宋体" w:hAnsi="宋体"/>
                <w:spacing w:val="4"/>
                <w:kern w:val="30"/>
                <w:szCs w:val="21"/>
                <w:highlight w:val="none"/>
                <w:lang w:val="en-US" w:eastAsia="zh-CN"/>
              </w:rPr>
              <w:t>3.0</w:t>
            </w:r>
            <w:r>
              <w:rPr>
                <w:rFonts w:hint="eastAsia" w:ascii="宋体" w:hAnsi="宋体"/>
                <w:spacing w:val="4"/>
                <w:kern w:val="30"/>
                <w:szCs w:val="21"/>
                <w:highlight w:val="none"/>
              </w:rPr>
              <w:t>m</w:t>
            </w:r>
            <w:r>
              <w:rPr>
                <w:rFonts w:hint="eastAsia" w:ascii="宋体" w:hAnsi="宋体"/>
                <w:spacing w:val="4"/>
                <w:kern w:val="30"/>
                <w:szCs w:val="21"/>
                <w:highlight w:val="none"/>
                <w:lang w:val="en-US" w:eastAsia="zh-CN"/>
              </w:rPr>
              <w:t>/</w:t>
            </w:r>
            <w:r>
              <w:rPr>
                <w:rFonts w:hint="eastAsia" w:ascii="宋体" w:hAnsi="宋体"/>
                <w:spacing w:val="4"/>
                <w:kern w:val="30"/>
                <w:szCs w:val="21"/>
                <w:highlight w:val="none"/>
              </w:rPr>
              <w:t>1×</w:t>
            </w:r>
            <w:r>
              <w:rPr>
                <w:rFonts w:hint="eastAsia" w:ascii="宋体" w:hAnsi="宋体"/>
                <w:spacing w:val="4"/>
                <w:kern w:val="30"/>
                <w:szCs w:val="21"/>
                <w:highlight w:val="none"/>
                <w:lang w:val="en-US" w:eastAsia="zh-CN"/>
              </w:rPr>
              <w:t>4.0</w:t>
            </w:r>
            <w:r>
              <w:rPr>
                <w:rFonts w:hint="eastAsia" w:ascii="宋体" w:hAnsi="宋体"/>
                <w:spacing w:val="4"/>
                <w:kern w:val="30"/>
                <w:szCs w:val="21"/>
                <w:highlight w:val="none"/>
              </w:rPr>
              <w:t>m</w:t>
            </w:r>
            <w:r>
              <w:rPr>
                <w:rFonts w:hint="eastAsia" w:ascii="宋体" w:hAnsi="宋体"/>
                <w:spacing w:val="4"/>
                <w:kern w:val="30"/>
                <w:szCs w:val="21"/>
                <w:highlight w:val="none"/>
                <w:lang w:val="en-US" w:eastAsia="zh-CN"/>
              </w:rPr>
              <w:t>/</w:t>
            </w:r>
          </w:p>
          <w:p w14:paraId="7EF4294F">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w:t>
            </w:r>
            <w:r>
              <w:rPr>
                <w:rFonts w:hint="eastAsia" w:ascii="宋体" w:hAnsi="宋体"/>
                <w:spacing w:val="4"/>
                <w:kern w:val="30"/>
                <w:szCs w:val="21"/>
                <w:highlight w:val="none"/>
                <w:lang w:val="en-US" w:eastAsia="zh-CN"/>
              </w:rPr>
              <w:t>4.5</w:t>
            </w:r>
            <w:r>
              <w:rPr>
                <w:rFonts w:hint="eastAsia" w:ascii="宋体" w:hAnsi="宋体"/>
                <w:spacing w:val="4"/>
                <w:kern w:val="30"/>
                <w:szCs w:val="21"/>
                <w:highlight w:val="none"/>
              </w:rPr>
              <w:t>m</w:t>
            </w:r>
          </w:p>
        </w:tc>
      </w:tr>
      <w:tr w14:paraId="5D54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6AA04CD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路面宽度:</w:t>
            </w:r>
          </w:p>
        </w:tc>
        <w:tc>
          <w:tcPr>
            <w:tcW w:w="2354" w:type="dxa"/>
            <w:tcBorders>
              <w:top w:val="single" w:color="auto" w:sz="4" w:space="0"/>
              <w:left w:val="single" w:color="auto" w:sz="4" w:space="0"/>
              <w:bottom w:val="single" w:color="auto" w:sz="4" w:space="0"/>
              <w:right w:val="single" w:color="auto" w:sz="2" w:space="0"/>
            </w:tcBorders>
            <w:vAlign w:val="center"/>
          </w:tcPr>
          <w:p w14:paraId="3AA46F5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3.0m/4.0m/4.5</w:t>
            </w:r>
            <w:r>
              <w:rPr>
                <w:rFonts w:hint="eastAsia" w:ascii="宋体" w:hAnsi="宋体"/>
                <w:spacing w:val="4"/>
                <w:kern w:val="30"/>
                <w:szCs w:val="21"/>
                <w:highlight w:val="none"/>
              </w:rPr>
              <w:t>m</w:t>
            </w:r>
          </w:p>
        </w:tc>
        <w:tc>
          <w:tcPr>
            <w:tcW w:w="3750" w:type="dxa"/>
            <w:tcBorders>
              <w:top w:val="single" w:color="auto" w:sz="4" w:space="0"/>
              <w:left w:val="single" w:color="auto" w:sz="2" w:space="0"/>
              <w:bottom w:val="single" w:color="auto" w:sz="4" w:space="0"/>
              <w:right w:val="single" w:color="auto" w:sz="4" w:space="0"/>
            </w:tcBorders>
            <w:vAlign w:val="center"/>
          </w:tcPr>
          <w:p w14:paraId="7BF5A98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土路肩宽度：</w:t>
            </w:r>
          </w:p>
        </w:tc>
        <w:tc>
          <w:tcPr>
            <w:tcW w:w="2487" w:type="dxa"/>
            <w:tcBorders>
              <w:top w:val="single" w:color="auto" w:sz="4" w:space="0"/>
              <w:left w:val="single" w:color="auto" w:sz="4" w:space="0"/>
              <w:bottom w:val="single" w:color="auto" w:sz="4" w:space="0"/>
              <w:right w:val="single" w:color="auto" w:sz="18" w:space="0"/>
            </w:tcBorders>
            <w:vAlign w:val="center"/>
          </w:tcPr>
          <w:p w14:paraId="7BB4475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2×0.5m</w:t>
            </w:r>
          </w:p>
        </w:tc>
      </w:tr>
      <w:tr w14:paraId="5714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190BCE0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路面横坡:</w:t>
            </w:r>
          </w:p>
        </w:tc>
        <w:tc>
          <w:tcPr>
            <w:tcW w:w="2354" w:type="dxa"/>
            <w:tcBorders>
              <w:top w:val="single" w:color="auto" w:sz="4" w:space="0"/>
              <w:left w:val="single" w:color="auto" w:sz="4" w:space="0"/>
              <w:bottom w:val="single" w:color="auto" w:sz="4" w:space="0"/>
              <w:right w:val="single" w:color="auto" w:sz="2" w:space="0"/>
            </w:tcBorders>
            <w:vAlign w:val="center"/>
          </w:tcPr>
          <w:p w14:paraId="7F9CB53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1.0%（单向）</w:t>
            </w:r>
          </w:p>
        </w:tc>
        <w:tc>
          <w:tcPr>
            <w:tcW w:w="3750" w:type="dxa"/>
            <w:tcBorders>
              <w:top w:val="single" w:color="auto" w:sz="4" w:space="0"/>
              <w:left w:val="single" w:color="auto" w:sz="2" w:space="0"/>
              <w:bottom w:val="single" w:color="auto" w:sz="4" w:space="0"/>
              <w:right w:val="single" w:color="auto" w:sz="4" w:space="0"/>
            </w:tcBorders>
            <w:vAlign w:val="center"/>
          </w:tcPr>
          <w:p w14:paraId="709C9E3A">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土路肩横坡：</w:t>
            </w:r>
          </w:p>
        </w:tc>
        <w:tc>
          <w:tcPr>
            <w:tcW w:w="2487" w:type="dxa"/>
            <w:tcBorders>
              <w:top w:val="single" w:color="auto" w:sz="4" w:space="0"/>
              <w:left w:val="single" w:color="auto" w:sz="4" w:space="0"/>
              <w:bottom w:val="single" w:color="auto" w:sz="4" w:space="0"/>
              <w:right w:val="single" w:color="auto" w:sz="18" w:space="0"/>
            </w:tcBorders>
            <w:vAlign w:val="center"/>
          </w:tcPr>
          <w:p w14:paraId="53A8FB6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2.5%</w:t>
            </w:r>
            <w:r>
              <w:rPr>
                <w:rFonts w:hint="eastAsia" w:ascii="宋体" w:hAnsi="宋体"/>
                <w:spacing w:val="4"/>
                <w:szCs w:val="21"/>
                <w:highlight w:val="none"/>
              </w:rPr>
              <w:t>（双向）</w:t>
            </w:r>
          </w:p>
        </w:tc>
      </w:tr>
      <w:tr w14:paraId="0167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98D50E2">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路面结构类型：</w:t>
            </w:r>
          </w:p>
        </w:tc>
        <w:tc>
          <w:tcPr>
            <w:tcW w:w="2354" w:type="dxa"/>
            <w:tcBorders>
              <w:top w:val="single" w:color="auto" w:sz="4" w:space="0"/>
              <w:left w:val="single" w:color="auto" w:sz="4" w:space="0"/>
              <w:bottom w:val="single" w:color="auto" w:sz="2" w:space="0"/>
              <w:right w:val="single" w:color="auto" w:sz="2" w:space="0"/>
            </w:tcBorders>
            <w:vAlign w:val="center"/>
          </w:tcPr>
          <w:p w14:paraId="295C45C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水泥混凝土路面</w:t>
            </w:r>
          </w:p>
        </w:tc>
        <w:tc>
          <w:tcPr>
            <w:tcW w:w="3750" w:type="dxa"/>
            <w:vMerge w:val="restart"/>
            <w:tcBorders>
              <w:top w:val="single" w:color="auto" w:sz="4" w:space="0"/>
              <w:left w:val="single" w:color="auto" w:sz="2" w:space="0"/>
              <w:bottom w:val="single" w:color="auto" w:sz="18" w:space="0"/>
              <w:right w:val="single" w:color="auto" w:sz="4" w:space="0"/>
            </w:tcBorders>
            <w:vAlign w:val="center"/>
          </w:tcPr>
          <w:p w14:paraId="0005BC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设计基准期内设计车道承受设计轴载(100KN)累积作用次数Ne(10</w:t>
            </w:r>
            <w:r>
              <w:rPr>
                <w:rFonts w:hint="eastAsia" w:ascii="宋体" w:hAnsi="宋体"/>
                <w:spacing w:val="4"/>
                <w:kern w:val="30"/>
                <w:szCs w:val="21"/>
                <w:highlight w:val="none"/>
                <w:vertAlign w:val="superscript"/>
              </w:rPr>
              <w:t>4</w:t>
            </w:r>
            <w:r>
              <w:rPr>
                <w:rFonts w:hint="eastAsia" w:ascii="宋体" w:hAnsi="宋体"/>
                <w:spacing w:val="4"/>
                <w:kern w:val="30"/>
                <w:szCs w:val="21"/>
                <w:highlight w:val="none"/>
              </w:rPr>
              <w:t>)：</w:t>
            </w:r>
          </w:p>
        </w:tc>
        <w:tc>
          <w:tcPr>
            <w:tcW w:w="2487" w:type="dxa"/>
            <w:vMerge w:val="restart"/>
            <w:tcBorders>
              <w:top w:val="single" w:color="auto" w:sz="4" w:space="0"/>
              <w:left w:val="single" w:color="auto" w:sz="4" w:space="0"/>
              <w:bottom w:val="single" w:color="auto" w:sz="18" w:space="0"/>
              <w:right w:val="single" w:color="auto" w:sz="18" w:space="0"/>
            </w:tcBorders>
            <w:vAlign w:val="center"/>
          </w:tcPr>
          <w:p w14:paraId="34E52F99">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&lt;3</w:t>
            </w:r>
          </w:p>
        </w:tc>
      </w:tr>
      <w:tr w14:paraId="1E82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18" w:space="0"/>
              <w:right w:val="single" w:color="auto" w:sz="4" w:space="0"/>
            </w:tcBorders>
            <w:vAlign w:val="center"/>
          </w:tcPr>
          <w:p w14:paraId="39FE66D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水泥混凝土的弯拉强度标准值：</w:t>
            </w:r>
          </w:p>
        </w:tc>
        <w:tc>
          <w:tcPr>
            <w:tcW w:w="2354" w:type="dxa"/>
            <w:tcBorders>
              <w:top w:val="single" w:color="auto" w:sz="2" w:space="0"/>
              <w:left w:val="single" w:color="auto" w:sz="4" w:space="0"/>
              <w:bottom w:val="single" w:color="auto" w:sz="18" w:space="0"/>
              <w:right w:val="single" w:color="auto" w:sz="2" w:space="0"/>
            </w:tcBorders>
            <w:vAlign w:val="center"/>
          </w:tcPr>
          <w:p w14:paraId="2C4AF28B">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bCs/>
                <w:spacing w:val="4"/>
                <w:sz w:val="24"/>
                <w:highlight w:val="none"/>
              </w:rPr>
              <w:t>≥4.0(</w:t>
            </w:r>
            <w:r>
              <w:rPr>
                <w:rFonts w:hint="eastAsia" w:ascii="宋体" w:hAnsi="宋体"/>
                <w:bCs/>
                <w:spacing w:val="4"/>
                <w:sz w:val="24"/>
                <w:highlight w:val="none"/>
                <w:lang w:val="en-US" w:eastAsia="zh-CN"/>
              </w:rPr>
              <w:t>Mpa</w:t>
            </w:r>
            <w:r>
              <w:rPr>
                <w:rFonts w:hint="eastAsia" w:ascii="宋体" w:hAnsi="宋体"/>
                <w:bCs/>
                <w:spacing w:val="4"/>
                <w:sz w:val="24"/>
                <w:highlight w:val="none"/>
              </w:rPr>
              <w:t>)</w:t>
            </w:r>
          </w:p>
        </w:tc>
        <w:tc>
          <w:tcPr>
            <w:tcW w:w="3750" w:type="dxa"/>
            <w:vMerge w:val="continue"/>
            <w:tcBorders>
              <w:top w:val="single" w:color="auto" w:sz="4" w:space="0"/>
              <w:left w:val="single" w:color="auto" w:sz="2" w:space="0"/>
              <w:bottom w:val="single" w:color="auto" w:sz="18" w:space="0"/>
              <w:right w:val="single" w:color="auto" w:sz="4" w:space="0"/>
            </w:tcBorders>
            <w:vAlign w:val="center"/>
          </w:tcPr>
          <w:p w14:paraId="02FAB100">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c>
          <w:tcPr>
            <w:tcW w:w="2487" w:type="dxa"/>
            <w:vMerge w:val="continue"/>
            <w:tcBorders>
              <w:top w:val="single" w:color="auto" w:sz="4" w:space="0"/>
              <w:left w:val="single" w:color="auto" w:sz="4" w:space="0"/>
              <w:bottom w:val="single" w:color="auto" w:sz="18" w:space="0"/>
              <w:right w:val="single" w:color="auto" w:sz="18" w:space="0"/>
            </w:tcBorders>
            <w:vAlign w:val="center"/>
          </w:tcPr>
          <w:p w14:paraId="3C25572A">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r>
    </w:tbl>
    <w:p w14:paraId="7F8702FF">
      <w:pPr>
        <w:keepNext w:val="0"/>
        <w:keepLines w:val="0"/>
        <w:pageBreakBefore w:val="0"/>
        <w:kinsoku/>
        <w:wordWrap/>
        <w:overflowPunct/>
        <w:topLinePunct w:val="0"/>
        <w:bidi w:val="0"/>
        <w:adjustRightInd w:val="0"/>
        <w:snapToGrid/>
        <w:spacing w:line="288" w:lineRule="auto"/>
        <w:ind w:firstLine="498" w:firstLineChars="200"/>
        <w:textAlignment w:val="auto"/>
        <w:rPr>
          <w:rFonts w:ascii="宋体" w:hAnsi="宋体"/>
          <w:b/>
          <w:spacing w:val="4"/>
          <w:kern w:val="30"/>
          <w:sz w:val="24"/>
        </w:rPr>
      </w:pPr>
    </w:p>
    <w:p w14:paraId="1F9C05A0">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1.4测设经过</w:t>
      </w:r>
    </w:p>
    <w:p w14:paraId="07F15E2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我公司接受任务后，我们即开始技术准备，对原路线等级、路面结构、路面病害、排水设施、桥涵情况及路面强度等进行了详细的调查勘测。在对所收集资料进行分析的基础上，针对本工程的特点，提出了最终的设计方案。</w:t>
      </w:r>
    </w:p>
    <w:p w14:paraId="356D006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523A6B14">
      <w:pPr>
        <w:keepNext w:val="0"/>
        <w:keepLines w:val="0"/>
        <w:pageBreakBefore w:val="0"/>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二</w:t>
      </w:r>
      <w:r>
        <w:rPr>
          <w:rFonts w:hint="eastAsia" w:ascii="宋体" w:hAnsi="宋体"/>
          <w:b/>
          <w:spacing w:val="4"/>
          <w:sz w:val="28"/>
          <w:szCs w:val="28"/>
        </w:rPr>
        <w:t>.</w:t>
      </w:r>
      <w:r>
        <w:rPr>
          <w:rFonts w:hint="eastAsia" w:ascii="宋体" w:hAnsi="宋体"/>
          <w:b/>
          <w:spacing w:val="4"/>
          <w:kern w:val="30"/>
          <w:sz w:val="28"/>
          <w:szCs w:val="28"/>
        </w:rPr>
        <w:t>主要工程规模</w:t>
      </w:r>
    </w:p>
    <w:p w14:paraId="5AA2A048">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66DE9B85">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467022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spacing w:val="4"/>
          <w:kern w:val="30"/>
          <w:sz w:val="24"/>
          <w:highlight w:val="none"/>
        </w:rPr>
        <w:t>主 要 工 程 数 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4626"/>
        <w:gridCol w:w="636"/>
        <w:gridCol w:w="1056"/>
      </w:tblGrid>
      <w:tr w14:paraId="405C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748" w:type="dxa"/>
            <w:tcBorders>
              <w:top w:val="single" w:color="auto" w:sz="18" w:space="0"/>
              <w:left w:val="single" w:color="auto" w:sz="18" w:space="0"/>
              <w:bottom w:val="single" w:color="auto" w:sz="4" w:space="0"/>
              <w:right w:val="single" w:color="auto" w:sz="4" w:space="0"/>
              <w:tl2br w:val="single" w:color="auto" w:sz="2" w:space="0"/>
            </w:tcBorders>
            <w:noWrap/>
            <w:vAlign w:val="bottom"/>
          </w:tcPr>
          <w:p w14:paraId="083CAE88">
            <w:pPr>
              <w:keepNext w:val="0"/>
              <w:keepLines w:val="0"/>
              <w:pageBreakBefore w:val="0"/>
              <w:kinsoku/>
              <w:wordWrap/>
              <w:overflowPunct/>
              <w:topLinePunct w:val="0"/>
              <w:autoSpaceDE w:val="0"/>
              <w:autoSpaceDN w:val="0"/>
              <w:bidi w:val="0"/>
              <w:adjustRightInd w:val="0"/>
              <w:snapToGrid/>
              <w:spacing w:line="288" w:lineRule="auto"/>
              <w:jc w:val="right"/>
              <w:textAlignment w:val="auto"/>
              <w:rPr>
                <w:rFonts w:ascii="宋体" w:cs="宋体"/>
                <w:color w:val="000000"/>
                <w:kern w:val="0"/>
                <w:szCs w:val="21"/>
                <w:highlight w:val="none"/>
              </w:rPr>
            </w:pPr>
            <w:r>
              <w:rPr>
                <w:rFonts w:hint="eastAsia" w:ascii="宋体" w:cs="宋体"/>
                <w:color w:val="000000"/>
                <w:kern w:val="0"/>
                <w:szCs w:val="21"/>
                <w:highlight w:val="none"/>
              </w:rPr>
              <w:t xml:space="preserve">内容  </w:t>
            </w:r>
          </w:p>
          <w:p w14:paraId="0DEF3162">
            <w:pPr>
              <w:keepNext w:val="0"/>
              <w:keepLines w:val="0"/>
              <w:pageBreakBefore w:val="0"/>
              <w:kinsoku/>
              <w:wordWrap/>
              <w:overflowPunct/>
              <w:topLinePunct w:val="0"/>
              <w:autoSpaceDE w:val="0"/>
              <w:autoSpaceDN w:val="0"/>
              <w:bidi w:val="0"/>
              <w:adjustRightInd w:val="0"/>
              <w:snapToGrid/>
              <w:spacing w:line="288" w:lineRule="auto"/>
              <w:ind w:firstLine="105" w:firstLineChars="50"/>
              <w:jc w:val="left"/>
              <w:textAlignment w:val="auto"/>
              <w:rPr>
                <w:rFonts w:ascii="宋体" w:cs="宋体"/>
                <w:color w:val="000000"/>
                <w:kern w:val="0"/>
                <w:szCs w:val="21"/>
                <w:highlight w:val="none"/>
              </w:rPr>
            </w:pPr>
            <w:r>
              <w:rPr>
                <w:rFonts w:hint="eastAsia" w:ascii="宋体" w:cs="宋体"/>
                <w:color w:val="000000"/>
                <w:kern w:val="0"/>
                <w:szCs w:val="21"/>
                <w:highlight w:val="none"/>
              </w:rPr>
              <w:t>编号</w:t>
            </w:r>
          </w:p>
          <w:p w14:paraId="7F50D8A5">
            <w:pPr>
              <w:keepNext w:val="0"/>
              <w:keepLines w:val="0"/>
              <w:pageBreakBefore w:val="0"/>
              <w:kinsoku/>
              <w:wordWrap/>
              <w:overflowPunct/>
              <w:topLinePunct w:val="0"/>
              <w:bidi w:val="0"/>
              <w:snapToGrid/>
              <w:spacing w:line="288" w:lineRule="auto"/>
              <w:textAlignment w:val="auto"/>
              <w:rPr>
                <w:rFonts w:ascii="宋体" w:hAnsi="宋体"/>
                <w:szCs w:val="21"/>
                <w:highlight w:val="none"/>
              </w:rPr>
            </w:pPr>
          </w:p>
        </w:tc>
        <w:tc>
          <w:tcPr>
            <w:tcW w:w="4626" w:type="dxa"/>
            <w:tcBorders>
              <w:top w:val="single" w:color="auto" w:sz="18" w:space="0"/>
              <w:left w:val="single" w:color="auto" w:sz="4" w:space="0"/>
              <w:bottom w:val="single" w:color="auto" w:sz="4" w:space="0"/>
              <w:right w:val="single" w:color="auto" w:sz="4" w:space="0"/>
            </w:tcBorders>
            <w:vAlign w:val="center"/>
          </w:tcPr>
          <w:p w14:paraId="1CDFE96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w:t>
            </w:r>
          </w:p>
        </w:tc>
        <w:tc>
          <w:tcPr>
            <w:tcW w:w="636" w:type="dxa"/>
            <w:tcBorders>
              <w:top w:val="single" w:color="auto" w:sz="18" w:space="0"/>
              <w:left w:val="single" w:color="auto" w:sz="4" w:space="0"/>
              <w:bottom w:val="single" w:color="auto" w:sz="4" w:space="0"/>
              <w:right w:val="single" w:color="auto" w:sz="4" w:space="0"/>
            </w:tcBorders>
            <w:vAlign w:val="center"/>
          </w:tcPr>
          <w:p w14:paraId="2A07FB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单位</w:t>
            </w:r>
          </w:p>
        </w:tc>
        <w:tc>
          <w:tcPr>
            <w:tcW w:w="1056" w:type="dxa"/>
            <w:tcBorders>
              <w:top w:val="single" w:color="auto" w:sz="18" w:space="0"/>
              <w:left w:val="single" w:color="auto" w:sz="4" w:space="0"/>
              <w:bottom w:val="single" w:color="auto" w:sz="4" w:space="0"/>
              <w:right w:val="single" w:color="auto" w:sz="18" w:space="0"/>
            </w:tcBorders>
            <w:vAlign w:val="center"/>
          </w:tcPr>
          <w:p w14:paraId="359EB58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工程量</w:t>
            </w:r>
          </w:p>
        </w:tc>
      </w:tr>
      <w:tr w14:paraId="0CD4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4A4A2D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p>
        </w:tc>
        <w:tc>
          <w:tcPr>
            <w:tcW w:w="4626" w:type="dxa"/>
            <w:tcBorders>
              <w:top w:val="single" w:color="auto" w:sz="4" w:space="0"/>
              <w:left w:val="single" w:color="auto" w:sz="4" w:space="0"/>
              <w:bottom w:val="single" w:color="auto" w:sz="4" w:space="0"/>
              <w:right w:val="single" w:color="auto" w:sz="4" w:space="0"/>
            </w:tcBorders>
            <w:vAlign w:val="center"/>
          </w:tcPr>
          <w:p w14:paraId="32C0212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铺筑长度</w:t>
            </w:r>
          </w:p>
        </w:tc>
        <w:tc>
          <w:tcPr>
            <w:tcW w:w="636" w:type="dxa"/>
            <w:tcBorders>
              <w:top w:val="single" w:color="auto" w:sz="4" w:space="0"/>
              <w:left w:val="single" w:color="auto" w:sz="4" w:space="0"/>
              <w:bottom w:val="single" w:color="auto" w:sz="4" w:space="0"/>
              <w:right w:val="single" w:color="auto" w:sz="4" w:space="0"/>
            </w:tcBorders>
            <w:vAlign w:val="center"/>
          </w:tcPr>
          <w:p w14:paraId="385F65F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p>
        </w:tc>
        <w:tc>
          <w:tcPr>
            <w:tcW w:w="1056" w:type="dxa"/>
            <w:tcBorders>
              <w:top w:val="single" w:color="auto" w:sz="4" w:space="0"/>
              <w:left w:val="single" w:color="auto" w:sz="4" w:space="0"/>
              <w:bottom w:val="single" w:color="auto" w:sz="4" w:space="0"/>
              <w:right w:val="single" w:color="auto" w:sz="18" w:space="0"/>
            </w:tcBorders>
            <w:vAlign w:val="center"/>
          </w:tcPr>
          <w:p w14:paraId="6A9C5D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1.808</w:t>
            </w:r>
          </w:p>
        </w:tc>
      </w:tr>
      <w:tr w14:paraId="14B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7D087FD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4626" w:type="dxa"/>
            <w:tcBorders>
              <w:top w:val="single" w:color="auto" w:sz="4" w:space="0"/>
              <w:left w:val="single" w:color="auto" w:sz="4" w:space="0"/>
              <w:bottom w:val="single" w:color="auto" w:sz="4" w:space="0"/>
              <w:right w:val="single" w:color="auto" w:sz="4" w:space="0"/>
            </w:tcBorders>
            <w:vAlign w:val="center"/>
          </w:tcPr>
          <w:p w14:paraId="668157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土石方总量</w:t>
            </w:r>
          </w:p>
        </w:tc>
        <w:tc>
          <w:tcPr>
            <w:tcW w:w="636" w:type="dxa"/>
            <w:tcBorders>
              <w:top w:val="single" w:color="auto" w:sz="4" w:space="0"/>
              <w:left w:val="single" w:color="auto" w:sz="4" w:space="0"/>
              <w:bottom w:val="single" w:color="auto" w:sz="4" w:space="0"/>
              <w:right w:val="single" w:color="auto" w:sz="4" w:space="0"/>
            </w:tcBorders>
            <w:vAlign w:val="center"/>
          </w:tcPr>
          <w:p w14:paraId="2FDD73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m</w:t>
            </w:r>
            <w:r>
              <w:rPr>
                <w:rFonts w:hint="eastAsia" w:ascii="宋体" w:cs="宋体"/>
                <w:color w:val="000000"/>
                <w:kern w:val="0"/>
                <w:szCs w:val="21"/>
                <w:highlight w:val="none"/>
                <w:vertAlign w:val="superscript"/>
              </w:rPr>
              <w:t>3</w:t>
            </w:r>
          </w:p>
        </w:tc>
        <w:tc>
          <w:tcPr>
            <w:tcW w:w="1056" w:type="dxa"/>
            <w:tcBorders>
              <w:top w:val="single" w:color="auto" w:sz="4" w:space="0"/>
              <w:left w:val="single" w:color="auto" w:sz="4" w:space="0"/>
              <w:bottom w:val="single" w:color="auto" w:sz="4" w:space="0"/>
              <w:right w:val="single" w:color="auto" w:sz="18" w:space="0"/>
            </w:tcBorders>
            <w:vAlign w:val="center"/>
          </w:tcPr>
          <w:p w14:paraId="33C82EEC">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3810.067</w:t>
            </w:r>
          </w:p>
        </w:tc>
      </w:tr>
      <w:tr w14:paraId="31DA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5E0D6C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4626" w:type="dxa"/>
            <w:tcBorders>
              <w:top w:val="single" w:color="auto" w:sz="4" w:space="0"/>
              <w:left w:val="single" w:color="auto" w:sz="4" w:space="0"/>
              <w:bottom w:val="single" w:color="auto" w:sz="4" w:space="0"/>
              <w:right w:val="single" w:color="auto" w:sz="4" w:space="0"/>
            </w:tcBorders>
            <w:vAlign w:val="center"/>
          </w:tcPr>
          <w:p w14:paraId="10E4262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厘米水泥混凝土面层</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4" w:space="0"/>
              <w:right w:val="single" w:color="auto" w:sz="4" w:space="0"/>
            </w:tcBorders>
            <w:vAlign w:val="center"/>
          </w:tcPr>
          <w:p w14:paraId="298CF5C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1056" w:type="dxa"/>
            <w:tcBorders>
              <w:top w:val="single" w:color="auto" w:sz="4" w:space="0"/>
              <w:left w:val="single" w:color="auto" w:sz="4" w:space="0"/>
              <w:bottom w:val="single" w:color="auto" w:sz="4" w:space="0"/>
              <w:right w:val="single" w:color="auto" w:sz="18" w:space="0"/>
            </w:tcBorders>
            <w:vAlign w:val="center"/>
          </w:tcPr>
          <w:p w14:paraId="57B8FD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7.706</w:t>
            </w:r>
          </w:p>
        </w:tc>
      </w:tr>
      <w:tr w14:paraId="6C8C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18" w:space="0"/>
              <w:right w:val="single" w:color="auto" w:sz="4" w:space="0"/>
            </w:tcBorders>
            <w:vAlign w:val="center"/>
          </w:tcPr>
          <w:p w14:paraId="420C868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4</w:t>
            </w:r>
          </w:p>
        </w:tc>
        <w:tc>
          <w:tcPr>
            <w:tcW w:w="4626" w:type="dxa"/>
            <w:tcBorders>
              <w:top w:val="single" w:color="auto" w:sz="4" w:space="0"/>
              <w:left w:val="single" w:color="auto" w:sz="4" w:space="0"/>
              <w:bottom w:val="single" w:color="auto" w:sz="18" w:space="0"/>
              <w:right w:val="single" w:color="auto" w:sz="4" w:space="0"/>
            </w:tcBorders>
            <w:vAlign w:val="center"/>
          </w:tcPr>
          <w:p w14:paraId="7976EBA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18</w:t>
            </w:r>
            <w:r>
              <w:rPr>
                <w:rFonts w:hint="eastAsia" w:ascii="宋体" w:cs="宋体"/>
                <w:color w:val="000000"/>
                <w:kern w:val="0"/>
                <w:szCs w:val="21"/>
                <w:highlight w:val="none"/>
              </w:rPr>
              <w:t>厘米</w:t>
            </w:r>
            <w:r>
              <w:rPr>
                <w:rFonts w:hint="eastAsia" w:ascii="宋体" w:cs="宋体"/>
                <w:color w:val="000000"/>
                <w:kern w:val="0"/>
                <w:szCs w:val="21"/>
                <w:highlight w:val="none"/>
                <w:lang w:eastAsia="zh-CN"/>
              </w:rPr>
              <w:t>白灰土基层（</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18" w:space="0"/>
              <w:right w:val="single" w:color="auto" w:sz="4" w:space="0"/>
            </w:tcBorders>
            <w:vAlign w:val="center"/>
          </w:tcPr>
          <w:p w14:paraId="5288B80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1056" w:type="dxa"/>
            <w:tcBorders>
              <w:top w:val="single" w:color="auto" w:sz="4" w:space="0"/>
              <w:left w:val="single" w:color="auto" w:sz="4" w:space="0"/>
              <w:bottom w:val="single" w:color="auto" w:sz="18" w:space="0"/>
              <w:right w:val="single" w:color="auto" w:sz="18" w:space="0"/>
            </w:tcBorders>
            <w:vAlign w:val="center"/>
          </w:tcPr>
          <w:p w14:paraId="3912AC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8.791</w:t>
            </w:r>
          </w:p>
        </w:tc>
      </w:tr>
    </w:tbl>
    <w:p w14:paraId="25D7BF35">
      <w:pPr>
        <w:keepNext w:val="0"/>
        <w:keepLines w:val="0"/>
        <w:pageBreakBefore w:val="0"/>
        <w:kinsoku/>
        <w:wordWrap/>
        <w:overflowPunct/>
        <w:topLinePunct w:val="0"/>
        <w:bidi w:val="0"/>
        <w:adjustRightInd w:val="0"/>
        <w:snapToGrid/>
        <w:spacing w:line="288" w:lineRule="auto"/>
        <w:textAlignment w:val="auto"/>
        <w:rPr>
          <w:rFonts w:ascii="宋体" w:hAnsi="宋体"/>
          <w:spacing w:val="4"/>
          <w:kern w:val="30"/>
          <w:sz w:val="28"/>
          <w:szCs w:val="28"/>
        </w:rPr>
      </w:pPr>
      <w:r>
        <w:rPr>
          <w:rFonts w:hint="eastAsia" w:ascii="宋体" w:hAnsi="宋体"/>
          <w:b/>
          <w:spacing w:val="4"/>
          <w:kern w:val="30"/>
          <w:sz w:val="28"/>
          <w:szCs w:val="28"/>
        </w:rPr>
        <w:t>三</w:t>
      </w:r>
      <w:r>
        <w:rPr>
          <w:rFonts w:hint="eastAsia" w:ascii="宋体" w:hAnsi="宋体"/>
          <w:b/>
          <w:spacing w:val="4"/>
          <w:sz w:val="28"/>
          <w:szCs w:val="28"/>
        </w:rPr>
        <w:t>.</w:t>
      </w:r>
      <w:r>
        <w:rPr>
          <w:rFonts w:hint="eastAsia" w:ascii="宋体" w:hAnsi="宋体"/>
          <w:b/>
          <w:spacing w:val="4"/>
          <w:kern w:val="30"/>
          <w:sz w:val="28"/>
          <w:szCs w:val="28"/>
        </w:rPr>
        <w:t>沿线自然地理特征</w:t>
      </w:r>
    </w:p>
    <w:p w14:paraId="33EFA547">
      <w:pPr>
        <w:keepNext w:val="0"/>
        <w:keepLines w:val="0"/>
        <w:pageBreakBefore w:val="0"/>
        <w:tabs>
          <w:tab w:val="left" w:pos="9900"/>
        </w:tabs>
        <w:kinsoku/>
        <w:wordWrap/>
        <w:overflowPunct/>
        <w:topLinePunct w:val="0"/>
        <w:bidi w:val="0"/>
        <w:adjustRightInd w:val="0"/>
        <w:snapToGrid/>
        <w:spacing w:line="288" w:lineRule="auto"/>
        <w:ind w:firstLine="578" w:firstLineChars="200"/>
        <w:textAlignment w:val="auto"/>
        <w:rPr>
          <w:rFonts w:ascii="宋体" w:hAnsi="宋体"/>
          <w:spacing w:val="4"/>
          <w:kern w:val="30"/>
          <w:sz w:val="28"/>
          <w:szCs w:val="28"/>
        </w:rPr>
      </w:pPr>
      <w:r>
        <w:rPr>
          <w:rFonts w:hint="eastAsia" w:ascii="宋体" w:hAnsi="宋体"/>
          <w:b/>
          <w:spacing w:val="4"/>
          <w:kern w:val="30"/>
          <w:sz w:val="28"/>
          <w:szCs w:val="28"/>
        </w:rPr>
        <w:t>3.1地形</w:t>
      </w:r>
    </w:p>
    <w:p w14:paraId="747FF86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default" w:ascii="宋体" w:hAnsi="宋体"/>
          <w:spacing w:val="4"/>
          <w:kern w:val="30"/>
          <w:sz w:val="24"/>
          <w:lang w:eastAsia="zh-CN"/>
        </w:rPr>
        <w:t>长岭县地形东南高、西北低，由东南向西北逐渐倾斜，平均比降为1/1300。海拔145米至270米，地势平坦</w:t>
      </w:r>
      <w:r>
        <w:rPr>
          <w:rFonts w:hint="eastAsia" w:ascii="宋体" w:hAnsi="宋体"/>
          <w:spacing w:val="4"/>
          <w:kern w:val="30"/>
          <w:sz w:val="24"/>
          <w:lang w:eastAsia="zh-CN"/>
        </w:rPr>
        <w:t>。</w:t>
      </w:r>
    </w:p>
    <w:p w14:paraId="73501051">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3.2气象</w:t>
      </w:r>
    </w:p>
    <w:p w14:paraId="7BBC0AA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全县属中温带半湿润半干燥区,年平均气温为4.9℃,10℃以上有效积温2919℃,年平均降水量470毫米,无霜期一般在140天左右,具备农林牧综合发展的基本条件。</w:t>
      </w:r>
    </w:p>
    <w:p w14:paraId="56631A44">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3.3地震</w:t>
      </w:r>
    </w:p>
    <w:p w14:paraId="168827C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66A2536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3.4项目建设的必要性</w:t>
      </w:r>
    </w:p>
    <w:p w14:paraId="10D4027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龙凤山村高六号屯本次设计道路现为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，由于原路路况较差，</w:t>
      </w:r>
      <w:r>
        <w:rPr>
          <w:rFonts w:hint="eastAsia" w:ascii="宋体" w:hAnsi="宋体"/>
          <w:spacing w:val="4"/>
          <w:kern w:val="30"/>
          <w:sz w:val="24"/>
          <w:lang w:val="en-US" w:eastAsia="zh-CN"/>
        </w:rPr>
        <w:t>凹凸不平，晴天扬尘，雨天泥泞，导致出行不便，周边居民反响强烈。而</w:t>
      </w:r>
      <w:r>
        <w:rPr>
          <w:rFonts w:hint="eastAsia" w:ascii="宋体" w:hAnsi="宋体"/>
          <w:spacing w:val="4"/>
          <w:kern w:val="30"/>
          <w:sz w:val="24"/>
          <w:lang w:eastAsia="zh-CN"/>
        </w:rPr>
        <w:t>坎坷不平的泥土路，不仅增加了居民的交通成本，还可能造成交通事故和车辆损坏。</w:t>
      </w:r>
      <w:r>
        <w:rPr>
          <w:rFonts w:hint="eastAsia" w:ascii="宋体" w:hAnsi="宋体"/>
          <w:spacing w:val="4"/>
          <w:kern w:val="30"/>
          <w:sz w:val="24"/>
          <w:lang w:val="en-US" w:eastAsia="zh-CN"/>
        </w:rPr>
        <w:t>新建</w:t>
      </w:r>
      <w:r>
        <w:rPr>
          <w:rFonts w:hint="eastAsia" w:ascii="宋体" w:hAnsi="宋体"/>
          <w:spacing w:val="4"/>
          <w:kern w:val="30"/>
          <w:sz w:val="24"/>
          <w:lang w:eastAsia="zh-CN"/>
        </w:rPr>
        <w:t>水泥路将大大缩短行车时间，提升交通安全性，减轻农民的负担，使他们的生活更加便利和舒适。项目建成后可使</w:t>
      </w:r>
      <w:r>
        <w:rPr>
          <w:rFonts w:hint="eastAsia" w:ascii="宋体" w:hAnsi="宋体"/>
          <w:spacing w:val="4"/>
          <w:kern w:val="30"/>
          <w:sz w:val="24"/>
          <w:lang w:val="en-US" w:eastAsia="zh-CN"/>
        </w:rPr>
        <w:t>390人</w:t>
      </w:r>
      <w:r>
        <w:rPr>
          <w:rFonts w:hint="eastAsia" w:ascii="宋体" w:hAnsi="宋体"/>
          <w:spacing w:val="4"/>
          <w:kern w:val="30"/>
          <w:sz w:val="24"/>
          <w:lang w:eastAsia="zh-CN"/>
        </w:rPr>
        <w:t>受益，其中移民人口为</w:t>
      </w:r>
      <w:r>
        <w:rPr>
          <w:rFonts w:hint="eastAsia" w:ascii="宋体" w:hAnsi="宋体"/>
          <w:spacing w:val="4"/>
          <w:kern w:val="30"/>
          <w:sz w:val="24"/>
          <w:lang w:val="en-US" w:eastAsia="zh-CN"/>
        </w:rPr>
        <w:t>363</w:t>
      </w:r>
      <w:r>
        <w:rPr>
          <w:rFonts w:hint="eastAsia" w:ascii="宋体" w:hAnsi="宋体"/>
          <w:spacing w:val="4"/>
          <w:kern w:val="30"/>
          <w:sz w:val="24"/>
          <w:lang w:eastAsia="zh-CN"/>
        </w:rPr>
        <w:t>人。因此，为了方便公路沿线地区居民出行和经济发展，必需改善现有的交通运输环境。</w:t>
      </w:r>
      <w:r>
        <w:rPr>
          <w:rFonts w:hint="eastAsia" w:ascii="宋体" w:hAnsi="宋体"/>
          <w:spacing w:val="4"/>
          <w:kern w:val="30"/>
          <w:sz w:val="24"/>
          <w:lang w:val="en-US" w:eastAsia="zh-CN"/>
        </w:rPr>
        <w:t>该项目</w:t>
      </w:r>
      <w:r>
        <w:rPr>
          <w:rFonts w:hint="eastAsia" w:ascii="宋体" w:hAnsi="宋体"/>
          <w:spacing w:val="4"/>
          <w:kern w:val="30"/>
          <w:sz w:val="24"/>
          <w:lang w:eastAsia="zh-CN"/>
        </w:rPr>
        <w:t>对</w:t>
      </w:r>
      <w:r>
        <w:rPr>
          <w:rFonts w:hint="eastAsia" w:ascii="宋体" w:hAnsi="宋体"/>
          <w:spacing w:val="4"/>
          <w:kern w:val="30"/>
          <w:sz w:val="24"/>
          <w:lang w:val="en-US" w:eastAsia="zh-CN"/>
        </w:rPr>
        <w:t>提高</w:t>
      </w:r>
      <w:r>
        <w:rPr>
          <w:rFonts w:hint="eastAsia" w:ascii="宋体" w:hAnsi="宋体"/>
          <w:spacing w:val="4"/>
          <w:kern w:val="30"/>
          <w:sz w:val="24"/>
          <w:lang w:eastAsia="zh-CN"/>
        </w:rPr>
        <w:t>居民生活质量、保障居民</w:t>
      </w:r>
      <w:r>
        <w:rPr>
          <w:rFonts w:hint="eastAsia" w:ascii="宋体" w:hAnsi="宋体"/>
          <w:spacing w:val="4"/>
          <w:kern w:val="30"/>
          <w:sz w:val="24"/>
          <w:lang w:val="en-US" w:eastAsia="zh-CN"/>
        </w:rPr>
        <w:t>通行</w:t>
      </w:r>
      <w:r>
        <w:rPr>
          <w:rFonts w:hint="eastAsia" w:ascii="宋体" w:hAnsi="宋体"/>
          <w:spacing w:val="4"/>
          <w:kern w:val="30"/>
          <w:sz w:val="24"/>
          <w:lang w:eastAsia="zh-CN"/>
        </w:rPr>
        <w:t>安全、建设美丽移民村起到</w:t>
      </w:r>
      <w:r>
        <w:rPr>
          <w:rFonts w:hint="eastAsia" w:ascii="宋体" w:hAnsi="宋体"/>
          <w:spacing w:val="4"/>
          <w:kern w:val="30"/>
          <w:sz w:val="24"/>
          <w:lang w:val="en-US" w:eastAsia="zh-CN"/>
        </w:rPr>
        <w:t>了</w:t>
      </w:r>
      <w:r>
        <w:rPr>
          <w:rFonts w:hint="eastAsia" w:ascii="宋体" w:hAnsi="宋体"/>
          <w:spacing w:val="4"/>
          <w:kern w:val="30"/>
          <w:sz w:val="24"/>
          <w:lang w:eastAsia="zh-CN"/>
        </w:rPr>
        <w:t>重要作用。</w:t>
      </w:r>
    </w:p>
    <w:p w14:paraId="4F005F0B">
      <w:pPr>
        <w:keepNext w:val="0"/>
        <w:keepLines w:val="0"/>
        <w:pageBreakBefore w:val="0"/>
        <w:kinsoku/>
        <w:wordWrap/>
        <w:overflowPunct/>
        <w:topLinePunct w:val="0"/>
        <w:bidi w:val="0"/>
        <w:adjustRightInd w:val="0"/>
        <w:snapToGrid/>
        <w:spacing w:line="288" w:lineRule="auto"/>
        <w:ind w:firstLine="578" w:firstLineChars="200"/>
        <w:textAlignment w:val="auto"/>
        <w:rPr>
          <w:rFonts w:hint="eastAsia" w:ascii="宋体" w:hAnsi="宋体"/>
          <w:b/>
          <w:spacing w:val="4"/>
          <w:kern w:val="30"/>
          <w:sz w:val="28"/>
          <w:szCs w:val="28"/>
          <w:lang w:val="en-US" w:eastAsia="zh-CN"/>
        </w:rPr>
      </w:pPr>
      <w:r>
        <w:rPr>
          <w:rFonts w:hint="eastAsia" w:ascii="宋体" w:hAnsi="宋体"/>
          <w:b/>
          <w:spacing w:val="4"/>
          <w:kern w:val="30"/>
          <w:sz w:val="28"/>
          <w:szCs w:val="28"/>
          <w:lang w:val="en-US" w:eastAsia="zh-CN"/>
        </w:rPr>
        <w:t>3.5项目建设的可行性</w:t>
      </w:r>
    </w:p>
    <w:p w14:paraId="0812D3D4">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龙凤山村高六号屯水泥路项目是经过长岭县</w:t>
      </w:r>
      <w:r>
        <w:rPr>
          <w:rFonts w:hint="eastAsia" w:ascii="宋体" w:hAnsi="宋体"/>
          <w:color w:val="auto"/>
          <w:spacing w:val="4"/>
          <w:kern w:val="30"/>
          <w:sz w:val="24"/>
          <w:lang w:eastAsia="zh-CN"/>
        </w:rPr>
        <w:t>前七号镇</w:t>
      </w:r>
      <w:r>
        <w:rPr>
          <w:rFonts w:hint="eastAsia" w:ascii="宋体" w:hAnsi="宋体"/>
          <w:spacing w:val="4"/>
          <w:kern w:val="30"/>
          <w:sz w:val="24"/>
          <w:lang w:eastAsia="zh-CN"/>
        </w:rPr>
        <w:t>龙凤山村移民项目管理小组召开移民代表大会确定的项目，项目符合移民意愿，具备可行性。由于项目的实施对地方村屯影响较大，当地政府对该</w:t>
      </w:r>
      <w:r>
        <w:rPr>
          <w:rFonts w:hint="eastAsia" w:ascii="宋体" w:hAnsi="宋体"/>
          <w:spacing w:val="4"/>
          <w:kern w:val="30"/>
          <w:sz w:val="24"/>
          <w:lang w:val="en-US" w:eastAsia="zh-CN"/>
        </w:rPr>
        <w:t>道路</w:t>
      </w:r>
      <w:r>
        <w:rPr>
          <w:rFonts w:hint="eastAsia" w:ascii="宋体" w:hAnsi="宋体"/>
          <w:spacing w:val="4"/>
          <w:kern w:val="30"/>
          <w:sz w:val="24"/>
          <w:lang w:eastAsia="zh-CN"/>
        </w:rPr>
        <w:t>工程建设高度重视，为项目提供了坚强的组织保证与良好的施工环境。</w:t>
      </w:r>
    </w:p>
    <w:p w14:paraId="15B6675D">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沿线群众盼望早日改善生活状况，该项目从根本上改善当地生活环境条件，满足群众多年的夙愿，当地群众将积极拥护并大力支持项目建设，踊跃为项目建设提供便利条件。</w:t>
      </w:r>
    </w:p>
    <w:p w14:paraId="2253AE6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val="en-US" w:eastAsia="zh-CN"/>
        </w:rPr>
        <w:t>新建水泥路</w:t>
      </w:r>
      <w:r>
        <w:rPr>
          <w:rFonts w:hint="eastAsia" w:ascii="宋体" w:hAnsi="宋体"/>
          <w:spacing w:val="4"/>
          <w:kern w:val="30"/>
          <w:sz w:val="24"/>
          <w:lang w:eastAsia="zh-CN"/>
        </w:rPr>
        <w:t>不仅影响交通</w:t>
      </w:r>
      <w:r>
        <w:rPr>
          <w:rFonts w:hint="eastAsia" w:ascii="宋体" w:hAnsi="宋体"/>
          <w:spacing w:val="4"/>
          <w:kern w:val="30"/>
          <w:sz w:val="24"/>
          <w:lang w:val="en-US" w:eastAsia="zh-CN"/>
        </w:rPr>
        <w:t>出行</w:t>
      </w:r>
      <w:r>
        <w:rPr>
          <w:rFonts w:hint="eastAsia" w:ascii="宋体" w:hAnsi="宋体"/>
          <w:spacing w:val="4"/>
          <w:kern w:val="30"/>
          <w:sz w:val="24"/>
          <w:lang w:eastAsia="zh-CN"/>
        </w:rPr>
        <w:t>，也对农村经济产生深远影响。改善的交通条件有助于农产品的运输和销售，推动农村产业的发展。同时，它也会吸引更多的人流和资源流向农村，促进农村旅游、乡村特色产业的兴起，为农村经济的多元化发展提供新的机遇。</w:t>
      </w:r>
    </w:p>
    <w:p w14:paraId="3518CD09">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rPr>
      </w:pPr>
      <w:r>
        <w:rPr>
          <w:rFonts w:hint="eastAsia" w:ascii="宋体" w:hAnsi="宋体"/>
          <w:b/>
          <w:spacing w:val="4"/>
          <w:sz w:val="28"/>
          <w:szCs w:val="28"/>
        </w:rPr>
        <w:t>四.设计方案</w:t>
      </w:r>
    </w:p>
    <w:p w14:paraId="74893B8C">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4.1路线</w:t>
      </w:r>
    </w:p>
    <w:p w14:paraId="0B30DC2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本次路线线形以综合考虑平 、纵 、横三者关系，恰当地掌握标准并注意与周围地形 、景观相配合，在布设路线时利用原有路基中线，平面线形由直线、圆曲线组成。</w:t>
      </w:r>
    </w:p>
    <w:p w14:paraId="4C2A454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本段纵断面设计高程</w:t>
      </w:r>
      <w:r>
        <w:rPr>
          <w:rFonts w:hint="eastAsia" w:ascii="宋体" w:hAnsi="宋体"/>
          <w:spacing w:val="4"/>
          <w:kern w:val="30"/>
          <w:sz w:val="24"/>
          <w:lang w:val="en-US" w:eastAsia="zh-CN"/>
        </w:rPr>
        <w:t>采用1985国家高程基准</w:t>
      </w:r>
      <w:r>
        <w:rPr>
          <w:rFonts w:hint="eastAsia" w:ascii="宋体" w:hAnsi="宋体"/>
          <w:spacing w:val="4"/>
          <w:kern w:val="30"/>
          <w:sz w:val="24"/>
          <w:lang w:eastAsia="zh-CN"/>
        </w:rPr>
        <w:t>，纵断面设计标高为路面中心标高。</w:t>
      </w:r>
    </w:p>
    <w:p w14:paraId="41207C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4.2路基</w:t>
      </w:r>
    </w:p>
    <w:p w14:paraId="6A16467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4.2.1一般路基设计</w:t>
      </w:r>
    </w:p>
    <w:p w14:paraId="1AFFCA56">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路基设计宽度为</w:t>
      </w:r>
      <w:r>
        <w:rPr>
          <w:rFonts w:hint="eastAsia" w:ascii="宋体" w:hAnsi="宋体"/>
          <w:color w:val="auto"/>
          <w:spacing w:val="4"/>
          <w:sz w:val="24"/>
          <w:lang w:val="en-US" w:eastAsia="zh-CN"/>
        </w:rPr>
        <w:t>4.0米/5.0米/5.5</w:t>
      </w:r>
      <w:r>
        <w:rPr>
          <w:rFonts w:hint="eastAsia" w:ascii="宋体" w:hAnsi="宋体"/>
          <w:spacing w:val="4"/>
          <w:kern w:val="30"/>
          <w:sz w:val="24"/>
          <w:lang w:val="en-US" w:eastAsia="zh-CN"/>
        </w:rPr>
        <w:t>米</w:t>
      </w:r>
      <w:r>
        <w:rPr>
          <w:rFonts w:hint="eastAsia" w:ascii="宋体" w:hAnsi="宋体"/>
          <w:spacing w:val="4"/>
          <w:kern w:val="30"/>
          <w:sz w:val="24"/>
          <w:lang w:eastAsia="zh-CN"/>
        </w:rPr>
        <w:t>，路面宽度为</w:t>
      </w:r>
      <w:r>
        <w:rPr>
          <w:rFonts w:hint="eastAsia" w:ascii="宋体" w:hAnsi="宋体"/>
          <w:color w:val="auto"/>
          <w:spacing w:val="4"/>
          <w:sz w:val="24"/>
          <w:lang w:val="en-US" w:eastAsia="zh-CN"/>
        </w:rPr>
        <w:t>3.0米/4.0米/4.5</w:t>
      </w:r>
      <w:r>
        <w:rPr>
          <w:rFonts w:hint="eastAsia" w:ascii="宋体" w:hAnsi="宋体"/>
          <w:spacing w:val="4"/>
          <w:kern w:val="30"/>
          <w:sz w:val="24"/>
          <w:lang w:val="en-US" w:eastAsia="zh-CN"/>
        </w:rPr>
        <w:t>米</w:t>
      </w:r>
      <w:r>
        <w:rPr>
          <w:rFonts w:hint="eastAsia" w:ascii="宋体" w:hAnsi="宋体"/>
          <w:spacing w:val="4"/>
          <w:kern w:val="30"/>
          <w:sz w:val="24"/>
          <w:lang w:eastAsia="zh-CN"/>
        </w:rPr>
        <w:t>，土路肩宽为2×0.5米，路面横坡为单向1.0%,土路肩标准横坡为2.5%。填方路基边坡为1：1.5，利用旧路段路堤加宽时应将路堤边坡挖成向内倾斜4%的坡度，宽度不小于2米的台阶，然后再进行填筑。</w:t>
      </w:r>
    </w:p>
    <w:p w14:paraId="4252EB3E">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4.2.2路基最小承载比和压实度</w:t>
      </w:r>
    </w:p>
    <w:p w14:paraId="7B75FEBC">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r>
        <w:rPr>
          <w:rFonts w:hint="eastAsia" w:ascii="宋体" w:hAnsi="宋体"/>
          <w:spacing w:val="4"/>
          <w:sz w:val="24"/>
          <w:highlight w:val="none"/>
        </w:rPr>
        <w:t>路基填料的最小</w:t>
      </w:r>
      <w:bookmarkStart w:id="0" w:name="_Hlk48051503"/>
      <w:r>
        <w:rPr>
          <w:rFonts w:hint="eastAsia" w:ascii="宋体" w:hAnsi="宋体"/>
          <w:spacing w:val="4"/>
          <w:sz w:val="24"/>
          <w:highlight w:val="none"/>
        </w:rPr>
        <w:t>承载比</w:t>
      </w:r>
      <w:bookmarkEnd w:id="0"/>
      <w:r>
        <w:rPr>
          <w:rFonts w:hint="eastAsia" w:ascii="宋体" w:hAnsi="宋体"/>
          <w:spacing w:val="4"/>
          <w:sz w:val="24"/>
          <w:highlight w:val="none"/>
        </w:rPr>
        <w:t>、压实度及填料最大粒径见下表：</w:t>
      </w:r>
    </w:p>
    <w:p w14:paraId="519E7545">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p>
    <w:tbl>
      <w:tblPr>
        <w:tblStyle w:val="6"/>
        <w:tblW w:w="1087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24"/>
        <w:gridCol w:w="1425"/>
        <w:gridCol w:w="1425"/>
        <w:gridCol w:w="1425"/>
        <w:gridCol w:w="1425"/>
        <w:gridCol w:w="1425"/>
        <w:gridCol w:w="1426"/>
      </w:tblGrid>
      <w:tr w14:paraId="733784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restart"/>
            <w:tcBorders>
              <w:top w:val="single" w:color="auto" w:sz="12" w:space="0"/>
              <w:left w:val="single" w:color="auto" w:sz="12" w:space="0"/>
              <w:bottom w:val="single" w:color="auto" w:sz="2" w:space="0"/>
              <w:right w:val="single" w:color="auto" w:sz="2" w:space="0"/>
            </w:tcBorders>
            <w:vAlign w:val="center"/>
          </w:tcPr>
          <w:p w14:paraId="3AA8317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项目分类</w:t>
            </w:r>
          </w:p>
        </w:tc>
        <w:tc>
          <w:tcPr>
            <w:tcW w:w="5700" w:type="dxa"/>
            <w:gridSpan w:val="4"/>
            <w:tcBorders>
              <w:top w:val="single" w:color="auto" w:sz="12" w:space="0"/>
              <w:left w:val="single" w:color="auto" w:sz="2" w:space="0"/>
              <w:bottom w:val="single" w:color="auto" w:sz="2" w:space="0"/>
              <w:right w:val="single" w:color="auto" w:sz="2" w:space="0"/>
            </w:tcBorders>
            <w:vAlign w:val="center"/>
          </w:tcPr>
          <w:p w14:paraId="1223CB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填方路基</w:t>
            </w:r>
          </w:p>
        </w:tc>
        <w:tc>
          <w:tcPr>
            <w:tcW w:w="2851" w:type="dxa"/>
            <w:gridSpan w:val="2"/>
            <w:tcBorders>
              <w:top w:val="single" w:color="auto" w:sz="12" w:space="0"/>
              <w:left w:val="single" w:color="auto" w:sz="2" w:space="0"/>
              <w:bottom w:val="single" w:color="auto" w:sz="2" w:space="0"/>
              <w:right w:val="single" w:color="auto" w:sz="12" w:space="0"/>
            </w:tcBorders>
            <w:vAlign w:val="center"/>
          </w:tcPr>
          <w:p w14:paraId="22F862A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零填及挖方路基</w:t>
            </w:r>
          </w:p>
        </w:tc>
      </w:tr>
      <w:tr w14:paraId="048DEB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continue"/>
            <w:tcBorders>
              <w:top w:val="single" w:color="auto" w:sz="12" w:space="0"/>
              <w:left w:val="single" w:color="auto" w:sz="12" w:space="0"/>
              <w:bottom w:val="single" w:color="auto" w:sz="2" w:space="0"/>
              <w:right w:val="single" w:color="auto" w:sz="2" w:space="0"/>
            </w:tcBorders>
            <w:vAlign w:val="center"/>
          </w:tcPr>
          <w:p w14:paraId="5542346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p>
        </w:tc>
        <w:tc>
          <w:tcPr>
            <w:tcW w:w="1425" w:type="dxa"/>
            <w:tcBorders>
              <w:top w:val="single" w:color="auto" w:sz="2" w:space="0"/>
              <w:left w:val="single" w:color="auto" w:sz="2" w:space="0"/>
              <w:bottom w:val="single" w:color="auto" w:sz="2" w:space="0"/>
              <w:right w:val="single" w:color="auto" w:sz="2" w:space="0"/>
            </w:tcBorders>
            <w:vAlign w:val="center"/>
          </w:tcPr>
          <w:p w14:paraId="22886195">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5" w:type="dxa"/>
            <w:tcBorders>
              <w:top w:val="single" w:color="auto" w:sz="2" w:space="0"/>
              <w:left w:val="single" w:color="auto" w:sz="2" w:space="0"/>
              <w:bottom w:val="single" w:color="auto" w:sz="2" w:space="0"/>
              <w:right w:val="single" w:color="auto" w:sz="2" w:space="0"/>
            </w:tcBorders>
            <w:vAlign w:val="center"/>
          </w:tcPr>
          <w:p w14:paraId="59169A6C">
            <w:pPr>
              <w:keepNext w:val="0"/>
              <w:keepLines w:val="0"/>
              <w:pageBreakBefore w:val="0"/>
              <w:kinsoku/>
              <w:wordWrap/>
              <w:overflowPunct/>
              <w:topLinePunct w:val="0"/>
              <w:autoSpaceDE w:val="0"/>
              <w:autoSpaceDN w:val="0"/>
              <w:bidi w:val="0"/>
              <w:adjustRightInd w:val="0"/>
              <w:snapToGrid/>
              <w:spacing w:line="288" w:lineRule="auto"/>
              <w:ind w:left="105" w:right="53" w:rightChars="25" w:hanging="105" w:hangingChars="50"/>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c>
          <w:tcPr>
            <w:tcW w:w="1425" w:type="dxa"/>
            <w:tcBorders>
              <w:top w:val="single" w:color="auto" w:sz="2" w:space="0"/>
              <w:left w:val="single" w:color="auto" w:sz="2" w:space="0"/>
              <w:bottom w:val="single" w:color="auto" w:sz="2" w:space="0"/>
              <w:right w:val="single" w:color="auto" w:sz="2" w:space="0"/>
            </w:tcBorders>
            <w:vAlign w:val="center"/>
          </w:tcPr>
          <w:p w14:paraId="0E90B9FF">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0.8～1.5</w:t>
            </w:r>
          </w:p>
        </w:tc>
        <w:tc>
          <w:tcPr>
            <w:tcW w:w="1425" w:type="dxa"/>
            <w:tcBorders>
              <w:top w:val="single" w:color="auto" w:sz="2" w:space="0"/>
              <w:left w:val="single" w:color="auto" w:sz="2" w:space="0"/>
              <w:bottom w:val="single" w:color="auto" w:sz="2" w:space="0"/>
              <w:right w:val="single" w:color="auto" w:sz="2" w:space="0"/>
            </w:tcBorders>
            <w:vAlign w:val="center"/>
          </w:tcPr>
          <w:p w14:paraId="314DCBCA">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1.5以下</w:t>
            </w:r>
          </w:p>
        </w:tc>
        <w:tc>
          <w:tcPr>
            <w:tcW w:w="1425" w:type="dxa"/>
            <w:tcBorders>
              <w:top w:val="single" w:color="auto" w:sz="2" w:space="0"/>
              <w:left w:val="single" w:color="auto" w:sz="2" w:space="0"/>
              <w:bottom w:val="single" w:color="auto" w:sz="2" w:space="0"/>
              <w:right w:val="single" w:color="auto" w:sz="2" w:space="0"/>
            </w:tcBorders>
            <w:vAlign w:val="center"/>
          </w:tcPr>
          <w:p w14:paraId="693CBB31">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6" w:type="dxa"/>
            <w:tcBorders>
              <w:top w:val="single" w:color="auto" w:sz="2" w:space="0"/>
              <w:left w:val="single" w:color="auto" w:sz="2" w:space="0"/>
              <w:bottom w:val="single" w:color="auto" w:sz="2" w:space="0"/>
              <w:right w:val="single" w:color="auto" w:sz="12" w:space="0"/>
            </w:tcBorders>
            <w:vAlign w:val="center"/>
          </w:tcPr>
          <w:p w14:paraId="6125AEF0">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r>
      <w:tr w14:paraId="5409AE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3609F78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填料承载比(CBR)%</w:t>
            </w:r>
          </w:p>
        </w:tc>
        <w:tc>
          <w:tcPr>
            <w:tcW w:w="1425" w:type="dxa"/>
            <w:tcBorders>
              <w:top w:val="single" w:color="auto" w:sz="2" w:space="0"/>
              <w:left w:val="single" w:color="auto" w:sz="2" w:space="0"/>
              <w:bottom w:val="single" w:color="auto" w:sz="2" w:space="0"/>
              <w:right w:val="single" w:color="auto" w:sz="2" w:space="0"/>
            </w:tcBorders>
            <w:vAlign w:val="center"/>
          </w:tcPr>
          <w:p w14:paraId="79118D9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5" w:type="dxa"/>
            <w:tcBorders>
              <w:top w:val="single" w:color="auto" w:sz="2" w:space="0"/>
              <w:left w:val="single" w:color="auto" w:sz="2" w:space="0"/>
              <w:bottom w:val="single" w:color="auto" w:sz="2" w:space="0"/>
              <w:right w:val="single" w:color="auto" w:sz="2" w:space="0"/>
            </w:tcBorders>
            <w:vAlign w:val="center"/>
          </w:tcPr>
          <w:p w14:paraId="3F2CE66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34B4C00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0228DBD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1425" w:type="dxa"/>
            <w:tcBorders>
              <w:top w:val="single" w:color="auto" w:sz="2" w:space="0"/>
              <w:left w:val="single" w:color="auto" w:sz="2" w:space="0"/>
              <w:bottom w:val="single" w:color="auto" w:sz="2" w:space="0"/>
              <w:right w:val="single" w:color="auto" w:sz="2" w:space="0"/>
            </w:tcBorders>
            <w:vAlign w:val="center"/>
          </w:tcPr>
          <w:p w14:paraId="1C0D701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6" w:type="dxa"/>
            <w:tcBorders>
              <w:top w:val="single" w:color="auto" w:sz="2" w:space="0"/>
              <w:left w:val="single" w:color="auto" w:sz="2" w:space="0"/>
              <w:bottom w:val="single" w:color="auto" w:sz="2" w:space="0"/>
              <w:right w:val="single" w:color="auto" w:sz="12" w:space="0"/>
            </w:tcBorders>
            <w:vAlign w:val="center"/>
          </w:tcPr>
          <w:p w14:paraId="5114A0F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r>
      <w:tr w14:paraId="5EDCA0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5498E77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压实度(%)(重型击实)</w:t>
            </w:r>
          </w:p>
        </w:tc>
        <w:tc>
          <w:tcPr>
            <w:tcW w:w="1425" w:type="dxa"/>
            <w:tcBorders>
              <w:top w:val="single" w:color="auto" w:sz="2" w:space="0"/>
              <w:left w:val="single" w:color="auto" w:sz="2" w:space="0"/>
              <w:bottom w:val="single" w:color="auto" w:sz="2" w:space="0"/>
              <w:right w:val="single" w:color="auto" w:sz="2" w:space="0"/>
            </w:tcBorders>
            <w:vAlign w:val="center"/>
          </w:tcPr>
          <w:p w14:paraId="7E5A35E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5F62235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1E73F2F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≥91</w:t>
            </w:r>
          </w:p>
        </w:tc>
        <w:tc>
          <w:tcPr>
            <w:tcW w:w="1425" w:type="dxa"/>
            <w:tcBorders>
              <w:top w:val="single" w:color="auto" w:sz="2" w:space="0"/>
              <w:left w:val="single" w:color="auto" w:sz="2" w:space="0"/>
              <w:bottom w:val="single" w:color="auto" w:sz="2" w:space="0"/>
              <w:right w:val="single" w:color="auto" w:sz="2" w:space="0"/>
            </w:tcBorders>
            <w:vAlign w:val="center"/>
          </w:tcPr>
          <w:p w14:paraId="0C067D7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≥90</w:t>
            </w:r>
          </w:p>
        </w:tc>
        <w:tc>
          <w:tcPr>
            <w:tcW w:w="1425" w:type="dxa"/>
            <w:tcBorders>
              <w:top w:val="single" w:color="auto" w:sz="2" w:space="0"/>
              <w:left w:val="single" w:color="auto" w:sz="2" w:space="0"/>
              <w:bottom w:val="single" w:color="auto" w:sz="2" w:space="0"/>
              <w:right w:val="single" w:color="auto" w:sz="2" w:space="0"/>
            </w:tcBorders>
            <w:vAlign w:val="center"/>
          </w:tcPr>
          <w:p w14:paraId="36EB902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6" w:type="dxa"/>
            <w:tcBorders>
              <w:top w:val="single" w:color="auto" w:sz="2" w:space="0"/>
              <w:left w:val="single" w:color="auto" w:sz="2" w:space="0"/>
              <w:bottom w:val="single" w:color="auto" w:sz="2" w:space="0"/>
              <w:right w:val="single" w:color="auto" w:sz="12" w:space="0"/>
            </w:tcBorders>
            <w:vAlign w:val="center"/>
          </w:tcPr>
          <w:p w14:paraId="40C82FE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w:t>
            </w:r>
          </w:p>
        </w:tc>
      </w:tr>
      <w:tr w14:paraId="60926C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12" w:space="0"/>
              <w:right w:val="single" w:color="auto" w:sz="2" w:space="0"/>
            </w:tcBorders>
            <w:vAlign w:val="center"/>
          </w:tcPr>
          <w:p w14:paraId="369252C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填料最大粒径(mm)</w:t>
            </w:r>
          </w:p>
        </w:tc>
        <w:tc>
          <w:tcPr>
            <w:tcW w:w="1425" w:type="dxa"/>
            <w:tcBorders>
              <w:top w:val="single" w:color="auto" w:sz="2" w:space="0"/>
              <w:left w:val="single" w:color="auto" w:sz="2" w:space="0"/>
              <w:bottom w:val="single" w:color="auto" w:sz="12" w:space="0"/>
              <w:right w:val="single" w:color="auto" w:sz="2" w:space="0"/>
            </w:tcBorders>
            <w:vAlign w:val="center"/>
          </w:tcPr>
          <w:p w14:paraId="5BB0F8F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CD3F27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2AEB80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46F82DE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7CE201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6" w:type="dxa"/>
            <w:tcBorders>
              <w:top w:val="single" w:color="auto" w:sz="2" w:space="0"/>
              <w:left w:val="single" w:color="auto" w:sz="2" w:space="0"/>
              <w:bottom w:val="single" w:color="auto" w:sz="12" w:space="0"/>
              <w:right w:val="single" w:color="auto" w:sz="12" w:space="0"/>
            </w:tcBorders>
            <w:vAlign w:val="center"/>
          </w:tcPr>
          <w:p w14:paraId="0F43B2C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r>
    </w:tbl>
    <w:p w14:paraId="53D160CF">
      <w:pPr>
        <w:pStyle w:val="3"/>
        <w:keepNext w:val="0"/>
        <w:keepLines w:val="0"/>
        <w:pageBreakBefore w:val="0"/>
        <w:kinsoku/>
        <w:wordWrap/>
        <w:overflowPunct/>
        <w:topLinePunct w:val="0"/>
        <w:bidi w:val="0"/>
        <w:adjustRightInd w:val="0"/>
        <w:snapToGrid/>
        <w:spacing w:line="288" w:lineRule="auto"/>
        <w:ind w:firstLine="498" w:firstLineChars="200"/>
        <w:textAlignment w:val="auto"/>
        <w:rPr>
          <w:rFonts w:hAnsi="宋体" w:cs="Times New Roman"/>
          <w:b/>
          <w:color w:val="0000FF"/>
          <w:spacing w:val="4"/>
          <w:sz w:val="24"/>
          <w:szCs w:val="24"/>
        </w:rPr>
      </w:pPr>
    </w:p>
    <w:p w14:paraId="7C7FE85B">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Ansi="宋体" w:cs="Times New Roman"/>
          <w:b/>
          <w:color w:val="auto"/>
          <w:spacing w:val="4"/>
          <w:sz w:val="28"/>
          <w:szCs w:val="28"/>
        </w:rPr>
      </w:pPr>
      <w:r>
        <w:rPr>
          <w:rFonts w:hint="eastAsia" w:hAnsi="宋体" w:cs="Times New Roman"/>
          <w:b/>
          <w:color w:val="auto"/>
          <w:spacing w:val="4"/>
          <w:sz w:val="28"/>
          <w:szCs w:val="28"/>
        </w:rPr>
        <w:t>4.2.3取土、弃土设计方案</w:t>
      </w:r>
    </w:p>
    <w:p w14:paraId="6A788172">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auto"/>
          <w:spacing w:val="4"/>
          <w:sz w:val="24"/>
          <w:lang w:val="en-US" w:eastAsia="zh-CN"/>
        </w:rPr>
      </w:pPr>
      <w:r>
        <w:rPr>
          <w:rFonts w:hint="eastAsia" w:ascii="宋体" w:hAnsi="宋体"/>
          <w:color w:val="auto"/>
          <w:spacing w:val="4"/>
          <w:sz w:val="24"/>
        </w:rPr>
        <w:t>本项目共设置弃土场一处，位于村屯外部，距项目实施地</w:t>
      </w:r>
      <w:r>
        <w:rPr>
          <w:rFonts w:hint="eastAsia" w:ascii="宋体" w:hAnsi="宋体"/>
          <w:color w:val="auto"/>
          <w:spacing w:val="4"/>
          <w:sz w:val="24"/>
          <w:lang w:val="en-US" w:eastAsia="zh-CN"/>
        </w:rPr>
        <w:t>3</w:t>
      </w:r>
      <w:r>
        <w:rPr>
          <w:rFonts w:hint="eastAsia" w:ascii="宋体" w:hAnsi="宋体"/>
          <w:color w:val="auto"/>
          <w:spacing w:val="4"/>
          <w:sz w:val="24"/>
        </w:rPr>
        <w:t>公里，可存储土方</w:t>
      </w:r>
      <w:r>
        <w:rPr>
          <w:rFonts w:hint="eastAsia" w:ascii="宋体" w:hAnsi="宋体"/>
          <w:color w:val="auto"/>
          <w:spacing w:val="4"/>
          <w:sz w:val="24"/>
          <w:lang w:val="en-US" w:eastAsia="zh-CN"/>
        </w:rPr>
        <w:t>4000</w:t>
      </w:r>
      <w:r>
        <w:rPr>
          <w:rFonts w:hint="eastAsia" w:ascii="宋体" w:hAnsi="宋体"/>
          <w:color w:val="auto"/>
          <w:spacing w:val="4"/>
          <w:sz w:val="24"/>
        </w:rPr>
        <w:t>立，满足本次设计需求。</w:t>
      </w:r>
      <w:r>
        <w:rPr>
          <w:rFonts w:hint="eastAsia" w:ascii="宋体" w:hAnsi="宋体"/>
          <w:color w:val="auto"/>
          <w:spacing w:val="4"/>
          <w:sz w:val="24"/>
          <w:lang w:val="en-US" w:eastAsia="zh-CN"/>
        </w:rPr>
        <w:t>弃土主要来源路基挖方，平整路基后多余土方。</w:t>
      </w:r>
    </w:p>
    <w:p w14:paraId="5839DE6F">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eastAsia" w:ascii="宋体" w:hAnsi="宋体"/>
          <w:color w:val="auto"/>
          <w:spacing w:val="4"/>
          <w:sz w:val="24"/>
          <w:lang w:val="en-US" w:eastAsia="zh-CN"/>
        </w:rPr>
      </w:pPr>
      <w:r>
        <w:rPr>
          <w:rFonts w:hint="eastAsia" w:ascii="宋体" w:hAnsi="宋体"/>
          <w:color w:val="auto"/>
          <w:spacing w:val="4"/>
          <w:sz w:val="24"/>
        </w:rPr>
        <w:t>本项目共设置</w:t>
      </w:r>
      <w:r>
        <w:rPr>
          <w:rFonts w:hint="eastAsia" w:ascii="宋体" w:hAnsi="宋体"/>
          <w:color w:val="auto"/>
          <w:spacing w:val="4"/>
          <w:sz w:val="24"/>
          <w:lang w:val="en-US" w:eastAsia="zh-CN"/>
        </w:rPr>
        <w:t>取</w:t>
      </w:r>
      <w:r>
        <w:rPr>
          <w:rFonts w:hint="eastAsia" w:ascii="宋体" w:hAnsi="宋体"/>
          <w:color w:val="auto"/>
          <w:spacing w:val="4"/>
          <w:sz w:val="24"/>
        </w:rPr>
        <w:t>土场一处，位于村屯外部，距项目实施地</w:t>
      </w:r>
      <w:r>
        <w:rPr>
          <w:rFonts w:hint="eastAsia" w:ascii="宋体" w:hAnsi="宋体"/>
          <w:color w:val="auto"/>
          <w:spacing w:val="4"/>
          <w:sz w:val="24"/>
          <w:lang w:val="en-US" w:eastAsia="zh-CN"/>
        </w:rPr>
        <w:t>3</w:t>
      </w:r>
      <w:r>
        <w:rPr>
          <w:rFonts w:hint="eastAsia" w:ascii="宋体" w:hAnsi="宋体"/>
          <w:color w:val="auto"/>
          <w:spacing w:val="4"/>
          <w:sz w:val="24"/>
        </w:rPr>
        <w:t>公里，可存储土方</w:t>
      </w:r>
      <w:r>
        <w:rPr>
          <w:rFonts w:hint="eastAsia" w:ascii="宋体" w:hAnsi="宋体"/>
          <w:color w:val="auto"/>
          <w:spacing w:val="4"/>
          <w:sz w:val="24"/>
          <w:lang w:val="en-US" w:eastAsia="zh-CN"/>
        </w:rPr>
        <w:t>4000</w:t>
      </w:r>
      <w:r>
        <w:rPr>
          <w:rFonts w:hint="eastAsia" w:ascii="宋体" w:hAnsi="宋体"/>
          <w:color w:val="auto"/>
          <w:spacing w:val="4"/>
          <w:sz w:val="24"/>
        </w:rPr>
        <w:t>立，满足本次设计需求。</w:t>
      </w:r>
      <w:r>
        <w:rPr>
          <w:rFonts w:hint="eastAsia" w:ascii="宋体" w:hAnsi="宋体"/>
          <w:color w:val="auto"/>
          <w:spacing w:val="4"/>
          <w:sz w:val="24"/>
          <w:lang w:val="en-US" w:eastAsia="zh-CN"/>
        </w:rPr>
        <w:t>取土主要用于基层白灰土拌和用土。</w:t>
      </w:r>
    </w:p>
    <w:p w14:paraId="083BF407">
      <w:pPr>
        <w:pStyle w:val="3"/>
        <w:adjustRightInd w:val="0"/>
        <w:spacing w:line="360" w:lineRule="auto"/>
        <w:ind w:firstLine="578" w:firstLineChars="200"/>
        <w:rPr>
          <w:rFonts w:hint="eastAsia" w:hAnsi="宋体" w:cs="Times New Roman"/>
          <w:b/>
          <w:color w:val="auto"/>
          <w:spacing w:val="4"/>
          <w:sz w:val="28"/>
          <w:szCs w:val="28"/>
        </w:rPr>
      </w:pPr>
      <w:r>
        <w:rPr>
          <w:rFonts w:hint="eastAsia" w:hAnsi="宋体" w:cs="Times New Roman"/>
          <w:b/>
          <w:color w:val="auto"/>
          <w:spacing w:val="4"/>
          <w:sz w:val="28"/>
          <w:szCs w:val="28"/>
        </w:rPr>
        <w:t>4.2.</w:t>
      </w:r>
      <w:r>
        <w:rPr>
          <w:rFonts w:hint="eastAsia" w:hAnsi="宋体" w:cs="Times New Roman"/>
          <w:b/>
          <w:color w:val="auto"/>
          <w:spacing w:val="4"/>
          <w:sz w:val="28"/>
          <w:szCs w:val="28"/>
          <w:lang w:val="en-US" w:eastAsia="zh-CN"/>
        </w:rPr>
        <w:t>4</w:t>
      </w:r>
      <w:r>
        <w:rPr>
          <w:rFonts w:hint="eastAsia" w:hAnsi="宋体" w:cs="Times New Roman"/>
          <w:b/>
          <w:color w:val="auto"/>
          <w:spacing w:val="4"/>
          <w:sz w:val="28"/>
          <w:szCs w:val="28"/>
        </w:rPr>
        <w:t>特殊路基处理</w:t>
      </w:r>
    </w:p>
    <w:p w14:paraId="1452D8F1">
      <w:pPr>
        <w:adjustRightInd w:val="0"/>
        <w:spacing w:line="360" w:lineRule="auto"/>
        <w:ind w:right="53" w:rightChars="25" w:firstLine="496" w:firstLineChars="200"/>
        <w:outlineLvl w:val="0"/>
        <w:rPr>
          <w:rFonts w:hint="eastAsia" w:ascii="宋体" w:hAnsi="宋体"/>
          <w:color w:val="auto"/>
          <w:spacing w:val="4"/>
          <w:sz w:val="24"/>
        </w:rPr>
      </w:pPr>
      <w:r>
        <w:rPr>
          <w:rFonts w:hint="eastAsia" w:ascii="宋体" w:hAnsi="宋体"/>
          <w:spacing w:val="4"/>
          <w:sz w:val="24"/>
        </w:rPr>
        <w:t>新建水泥路部分路段为软土路基，承载力达不到设计要求。遵照交通部颁发《公路路基设计规范》（JTG D30～2015）结合本项目区地质情况</w:t>
      </w:r>
      <w:r>
        <w:rPr>
          <w:rFonts w:hint="eastAsia" w:ascii="宋体" w:hAnsi="宋体"/>
          <w:color w:val="auto"/>
          <w:spacing w:val="4"/>
          <w:sz w:val="24"/>
          <w:lang w:val="en-US" w:eastAsia="zh-CN"/>
        </w:rPr>
        <w:t>E</w:t>
      </w:r>
      <w:r>
        <w:rPr>
          <w:rFonts w:hint="eastAsia" w:ascii="宋体" w:hAnsi="宋体"/>
          <w:color w:val="auto"/>
          <w:spacing w:val="4"/>
          <w:sz w:val="24"/>
        </w:rPr>
        <w:t>K0+</w:t>
      </w:r>
      <w:r>
        <w:rPr>
          <w:rFonts w:hint="eastAsia" w:ascii="宋体" w:hAnsi="宋体"/>
          <w:color w:val="auto"/>
          <w:spacing w:val="4"/>
          <w:sz w:val="24"/>
          <w:lang w:val="en-US" w:eastAsia="zh-CN"/>
        </w:rPr>
        <w:t>000</w:t>
      </w:r>
      <w:r>
        <w:rPr>
          <w:rFonts w:hint="eastAsia" w:ascii="宋体" w:hAnsi="宋体"/>
          <w:color w:val="auto"/>
          <w:spacing w:val="4"/>
          <w:sz w:val="24"/>
        </w:rPr>
        <w:t>～</w:t>
      </w:r>
      <w:r>
        <w:rPr>
          <w:rFonts w:hint="eastAsia" w:ascii="宋体" w:hAnsi="宋体"/>
          <w:color w:val="auto"/>
          <w:spacing w:val="4"/>
          <w:sz w:val="24"/>
          <w:lang w:val="en-US" w:eastAsia="zh-CN"/>
        </w:rPr>
        <w:t>E</w:t>
      </w:r>
      <w:r>
        <w:rPr>
          <w:rFonts w:hint="eastAsia" w:ascii="宋体" w:hAnsi="宋体"/>
          <w:color w:val="auto"/>
          <w:spacing w:val="4"/>
          <w:sz w:val="24"/>
        </w:rPr>
        <w:t>K0+</w:t>
      </w:r>
      <w:r>
        <w:rPr>
          <w:rFonts w:hint="eastAsia" w:ascii="宋体" w:hAnsi="宋体"/>
          <w:color w:val="auto"/>
          <w:spacing w:val="4"/>
          <w:sz w:val="24"/>
          <w:lang w:val="en-US" w:eastAsia="zh-CN"/>
        </w:rPr>
        <w:t>145</w:t>
      </w:r>
      <w:r>
        <w:rPr>
          <w:rFonts w:hint="eastAsia" w:ascii="宋体" w:hAnsi="宋体"/>
          <w:spacing w:val="4"/>
          <w:sz w:val="24"/>
        </w:rPr>
        <w:t>路段进行换基，换</w:t>
      </w:r>
      <w:r>
        <w:rPr>
          <w:rFonts w:hint="eastAsia" w:ascii="宋体" w:hAnsi="宋体"/>
          <w:color w:val="auto"/>
          <w:spacing w:val="4"/>
          <w:sz w:val="24"/>
        </w:rPr>
        <w:t>基深度</w:t>
      </w:r>
      <w:r>
        <w:rPr>
          <w:rFonts w:hint="eastAsia" w:ascii="宋体" w:hAnsi="宋体"/>
          <w:color w:val="auto"/>
          <w:spacing w:val="4"/>
          <w:sz w:val="24"/>
          <w:lang w:val="en-US" w:eastAsia="zh-CN"/>
        </w:rPr>
        <w:t>60c</w:t>
      </w:r>
      <w:r>
        <w:rPr>
          <w:rFonts w:hint="eastAsia" w:ascii="宋体" w:hAnsi="宋体"/>
          <w:color w:val="auto"/>
          <w:spacing w:val="4"/>
          <w:sz w:val="24"/>
        </w:rPr>
        <w:t>m,长</w:t>
      </w:r>
      <w:r>
        <w:rPr>
          <w:rFonts w:hint="eastAsia" w:ascii="宋体" w:hAnsi="宋体"/>
          <w:color w:val="auto"/>
          <w:spacing w:val="4"/>
          <w:sz w:val="24"/>
          <w:lang w:val="en-US" w:eastAsia="zh-CN"/>
        </w:rPr>
        <w:t>145</w:t>
      </w:r>
      <w:r>
        <w:rPr>
          <w:rFonts w:hint="eastAsia" w:ascii="宋体" w:hAnsi="宋体"/>
          <w:spacing w:val="4"/>
          <w:sz w:val="24"/>
        </w:rPr>
        <w:t>m。</w:t>
      </w:r>
    </w:p>
    <w:p w14:paraId="1DA8129F">
      <w:pPr>
        <w:pStyle w:val="9"/>
        <w:rPr>
          <w:rFonts w:hint="eastAsia" w:ascii="宋体" w:hAnsi="宋体" w:eastAsia="宋体"/>
          <w:color w:val="auto"/>
          <w:spacing w:val="4"/>
          <w:sz w:val="24"/>
          <w:lang w:eastAsia="zh-CN"/>
        </w:rPr>
      </w:pPr>
    </w:p>
    <w:p w14:paraId="41CC47D1">
      <w:pPr>
        <w:pStyle w:val="9"/>
        <w:rPr>
          <w:rFonts w:hint="eastAsia" w:ascii="宋体" w:hAnsi="宋体"/>
          <w:color w:val="auto"/>
          <w:spacing w:val="4"/>
          <w:sz w:val="24"/>
        </w:rPr>
      </w:pPr>
    </w:p>
    <w:p w14:paraId="48863927">
      <w:pPr>
        <w:pStyle w:val="9"/>
        <w:rPr>
          <w:rFonts w:hint="eastAsia" w:ascii="宋体" w:hAnsi="宋体"/>
          <w:color w:val="auto"/>
          <w:spacing w:val="4"/>
          <w:sz w:val="24"/>
        </w:rPr>
      </w:pPr>
    </w:p>
    <w:p w14:paraId="6C18F0EE">
      <w:pPr>
        <w:pStyle w:val="9"/>
        <w:rPr>
          <w:rFonts w:hint="eastAsia" w:ascii="宋体" w:hAnsi="宋体"/>
          <w:color w:val="auto"/>
          <w:spacing w:val="4"/>
          <w:sz w:val="24"/>
        </w:rPr>
      </w:pPr>
      <w:r>
        <w:rPr>
          <w:rFonts w:hint="eastAsia" w:ascii="宋体" w:hAnsi="宋体" w:eastAsia="宋体"/>
          <w:color w:val="auto"/>
          <w:spacing w:val="4"/>
          <w:sz w:val="24"/>
          <w:lang w:eastAsia="zh-CN"/>
        </w:rPr>
        <w:drawing>
          <wp:anchor distT="0" distB="0" distL="114300" distR="114300" simplePos="0" relativeHeight="251661312" behindDoc="0" locked="0" layoutInCell="1" allowOverlap="1">
            <wp:simplePos x="0" y="0"/>
            <wp:positionH relativeFrom="column">
              <wp:posOffset>1825625</wp:posOffset>
            </wp:positionH>
            <wp:positionV relativeFrom="paragraph">
              <wp:posOffset>-525780</wp:posOffset>
            </wp:positionV>
            <wp:extent cx="2297430" cy="3546475"/>
            <wp:effectExtent l="0" t="0" r="15875" b="7620"/>
            <wp:wrapSquare wrapText="bothSides"/>
            <wp:docPr id="2" name="图片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
                    <pic:cNvPicPr>
                      <a:picLocks noChangeAspect="1"/>
                    </pic:cNvPicPr>
                  </pic:nvPicPr>
                  <pic:blipFill>
                    <a:blip r:embed="rId6"/>
                    <a:stretch>
                      <a:fillRect/>
                    </a:stretch>
                  </pic:blipFill>
                  <pic:spPr>
                    <a:xfrm rot="5400000">
                      <a:off x="0" y="0"/>
                      <a:ext cx="2297430" cy="3546475"/>
                    </a:xfrm>
                    <a:prstGeom prst="rect">
                      <a:avLst/>
                    </a:prstGeom>
                  </pic:spPr>
                </pic:pic>
              </a:graphicData>
            </a:graphic>
          </wp:anchor>
        </w:drawing>
      </w:r>
      <w:r>
        <w:rPr>
          <w:rFonts w:hint="eastAsia" w:ascii="宋体" w:hAnsi="宋体" w:eastAsia="宋体"/>
          <w:color w:val="auto"/>
          <w:spacing w:val="4"/>
          <w:sz w:val="24"/>
          <w:lang w:eastAsia="zh-CN"/>
        </w:rPr>
        <w:drawing>
          <wp:anchor distT="0" distB="0" distL="114300" distR="114300" simplePos="0" relativeHeight="251660288" behindDoc="1" locked="0" layoutInCell="1" allowOverlap="1">
            <wp:simplePos x="0" y="0"/>
            <wp:positionH relativeFrom="column">
              <wp:posOffset>5476875</wp:posOffset>
            </wp:positionH>
            <wp:positionV relativeFrom="paragraph">
              <wp:posOffset>-338455</wp:posOffset>
            </wp:positionV>
            <wp:extent cx="2300605" cy="3198495"/>
            <wp:effectExtent l="0" t="0" r="1905" b="4445"/>
            <wp:wrapTight wrapText="bothSides">
              <wp:wrapPolygon>
                <wp:start x="0" y="21600"/>
                <wp:lineTo x="21463" y="21600"/>
                <wp:lineTo x="21463" y="116"/>
                <wp:lineTo x="0" y="116"/>
                <wp:lineTo x="0" y="21600"/>
              </wp:wrapPolygon>
            </wp:wrapTight>
            <wp:docPr id="1" name="图片 1" descr="D:/Users/Desktop/5656.jpg5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Desktop/5656.jpg5656"/>
                    <pic:cNvPicPr>
                      <a:picLocks noChangeAspect="1"/>
                    </pic:cNvPicPr>
                  </pic:nvPicPr>
                  <pic:blipFill>
                    <a:blip r:embed="rId7"/>
                    <a:srcRect l="23030" r="23030"/>
                    <a:stretch>
                      <a:fillRect/>
                    </a:stretch>
                  </pic:blipFill>
                  <pic:spPr>
                    <a:xfrm rot="5400000">
                      <a:off x="0" y="0"/>
                      <a:ext cx="2300605" cy="3198495"/>
                    </a:xfrm>
                    <a:prstGeom prst="rect">
                      <a:avLst/>
                    </a:prstGeom>
                  </pic:spPr>
                </pic:pic>
              </a:graphicData>
            </a:graphic>
          </wp:anchor>
        </w:drawing>
      </w:r>
    </w:p>
    <w:p w14:paraId="3A909904">
      <w:pPr>
        <w:pStyle w:val="9"/>
        <w:rPr>
          <w:rFonts w:hint="eastAsia" w:ascii="宋体" w:hAnsi="宋体"/>
          <w:color w:val="auto"/>
          <w:spacing w:val="4"/>
          <w:sz w:val="24"/>
        </w:rPr>
      </w:pPr>
    </w:p>
    <w:p w14:paraId="439C3B2D">
      <w:pPr>
        <w:pStyle w:val="9"/>
        <w:rPr>
          <w:rFonts w:hint="eastAsia" w:ascii="宋体" w:hAnsi="宋体"/>
          <w:color w:val="auto"/>
          <w:spacing w:val="4"/>
          <w:sz w:val="24"/>
        </w:rPr>
      </w:pPr>
    </w:p>
    <w:p w14:paraId="64DA3009">
      <w:pPr>
        <w:pStyle w:val="9"/>
        <w:rPr>
          <w:rFonts w:hint="eastAsia" w:ascii="宋体" w:hAnsi="宋体"/>
          <w:color w:val="auto"/>
          <w:spacing w:val="4"/>
          <w:sz w:val="24"/>
        </w:rPr>
      </w:pPr>
    </w:p>
    <w:p w14:paraId="39979CB2">
      <w:pPr>
        <w:pStyle w:val="9"/>
        <w:rPr>
          <w:rFonts w:hint="eastAsia" w:ascii="宋体" w:hAnsi="宋体"/>
          <w:color w:val="auto"/>
          <w:spacing w:val="4"/>
          <w:sz w:val="24"/>
        </w:rPr>
      </w:pPr>
    </w:p>
    <w:p w14:paraId="61402ABB">
      <w:pPr>
        <w:pStyle w:val="9"/>
        <w:rPr>
          <w:rFonts w:hint="eastAsia" w:ascii="宋体" w:hAnsi="宋体"/>
          <w:color w:val="auto"/>
          <w:spacing w:val="4"/>
          <w:sz w:val="24"/>
        </w:rPr>
      </w:pPr>
    </w:p>
    <w:p w14:paraId="7315158D">
      <w:pPr>
        <w:adjustRightInd w:val="0"/>
        <w:spacing w:line="360" w:lineRule="auto"/>
        <w:ind w:right="53" w:rightChars="25" w:firstLine="578" w:firstLineChars="200"/>
        <w:outlineLvl w:val="0"/>
        <w:rPr>
          <w:rFonts w:hint="eastAsia" w:ascii="宋体" w:hAnsi="宋体"/>
          <w:b/>
          <w:color w:val="auto"/>
          <w:spacing w:val="4"/>
          <w:sz w:val="28"/>
          <w:szCs w:val="28"/>
        </w:rPr>
      </w:pPr>
    </w:p>
    <w:p w14:paraId="6943C893">
      <w:pPr>
        <w:adjustRightInd w:val="0"/>
        <w:spacing w:line="360" w:lineRule="auto"/>
        <w:ind w:right="53" w:rightChars="25" w:firstLine="578" w:firstLineChars="200"/>
        <w:outlineLvl w:val="0"/>
        <w:rPr>
          <w:rFonts w:hint="eastAsia" w:ascii="宋体" w:hAnsi="宋体" w:eastAsia="宋体"/>
          <w:b/>
          <w:color w:val="auto"/>
          <w:spacing w:val="4"/>
          <w:sz w:val="28"/>
          <w:szCs w:val="28"/>
          <w:lang w:eastAsia="zh-CN"/>
        </w:rPr>
      </w:pPr>
    </w:p>
    <w:p w14:paraId="3F7CCACC">
      <w:pPr>
        <w:adjustRightInd w:val="0"/>
        <w:spacing w:line="360" w:lineRule="auto"/>
        <w:ind w:right="53" w:rightChars="25" w:firstLine="5704" w:firstLineChars="2300"/>
        <w:jc w:val="both"/>
        <w:outlineLvl w:val="0"/>
        <w:rPr>
          <w:rFonts w:hint="eastAsia" w:ascii="宋体" w:hAnsi="宋体"/>
          <w:color w:val="auto"/>
          <w:spacing w:val="4"/>
          <w:sz w:val="24"/>
          <w:lang w:val="en-US" w:eastAsia="zh-CN"/>
        </w:rPr>
      </w:pPr>
    </w:p>
    <w:p w14:paraId="224EB131">
      <w:pPr>
        <w:adjustRightInd w:val="0"/>
        <w:spacing w:line="360" w:lineRule="auto"/>
        <w:ind w:right="53" w:rightChars="25" w:firstLine="5704" w:firstLineChars="2300"/>
        <w:jc w:val="both"/>
        <w:outlineLvl w:val="0"/>
        <w:rPr>
          <w:rFonts w:hint="eastAsia" w:ascii="宋体" w:hAnsi="宋体"/>
          <w:color w:val="auto"/>
          <w:spacing w:val="4"/>
          <w:sz w:val="24"/>
          <w:lang w:val="en-US" w:eastAsia="zh-CN"/>
        </w:rPr>
      </w:pPr>
    </w:p>
    <w:p w14:paraId="56CC556F">
      <w:pPr>
        <w:adjustRightInd w:val="0"/>
        <w:spacing w:line="360" w:lineRule="auto"/>
        <w:ind w:right="53" w:rightChars="25" w:firstLine="2480" w:firstLineChars="1000"/>
        <w:jc w:val="left"/>
        <w:outlineLvl w:val="0"/>
        <w:rPr>
          <w:rFonts w:hint="eastAsia" w:ascii="宋体" w:hAnsi="宋体"/>
          <w:b/>
          <w:color w:val="auto"/>
          <w:spacing w:val="4"/>
          <w:sz w:val="28"/>
          <w:szCs w:val="28"/>
        </w:rPr>
      </w:pPr>
      <w:r>
        <w:rPr>
          <w:rFonts w:hint="eastAsia" w:ascii="宋体" w:hAnsi="宋体"/>
          <w:color w:val="auto"/>
          <w:spacing w:val="4"/>
          <w:sz w:val="24"/>
          <w:lang w:val="en-US" w:eastAsia="zh-CN"/>
        </w:rPr>
        <w:t xml:space="preserve"> 原路影像图</w:t>
      </w:r>
    </w:p>
    <w:p w14:paraId="1A16CDAE">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0000FF"/>
          <w:spacing w:val="4"/>
          <w:sz w:val="24"/>
          <w:lang w:val="en-US" w:eastAsia="zh-CN"/>
        </w:rPr>
      </w:pPr>
    </w:p>
    <w:p w14:paraId="7C305CB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b/>
          <w:bCs/>
          <w:color w:val="auto"/>
          <w:sz w:val="28"/>
          <w:szCs w:val="28"/>
        </w:rPr>
      </w:pPr>
      <w:r>
        <w:rPr>
          <w:rFonts w:hint="eastAsia" w:ascii="宋体" w:hAnsi="宋体"/>
          <w:b/>
          <w:color w:val="auto"/>
          <w:spacing w:val="4"/>
          <w:sz w:val="28"/>
          <w:szCs w:val="28"/>
        </w:rPr>
        <w:t>4.3</w:t>
      </w:r>
      <w:r>
        <w:rPr>
          <w:rFonts w:hint="eastAsia"/>
          <w:b/>
          <w:bCs/>
          <w:color w:val="auto"/>
          <w:sz w:val="28"/>
          <w:szCs w:val="28"/>
        </w:rPr>
        <w:t>路面</w:t>
      </w:r>
    </w:p>
    <w:p w14:paraId="72F6342F">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 水泥混凝土面层</w:t>
      </w:r>
    </w:p>
    <w:p w14:paraId="54885D2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b/>
          <w:bCs/>
          <w:sz w:val="24"/>
        </w:rPr>
      </w:pPr>
      <w:r>
        <w:rPr>
          <w:rFonts w:hint="eastAsia" w:ascii="宋体" w:hAnsi="宋体"/>
          <w:spacing w:val="4"/>
          <w:sz w:val="24"/>
        </w:rPr>
        <w:t>根据外业勘测过程中对沿线筑路材料的调查，结合当地的自然条件和施工经验，本着因地制宜、便于施工、合理选材、降低造价的原则确定路面结构为水泥混凝土路面。遵照</w:t>
      </w:r>
      <w:r>
        <w:rPr>
          <w:rFonts w:hint="eastAsia" w:ascii="宋体" w:hAnsi="宋体"/>
          <w:spacing w:val="4"/>
          <w:kern w:val="30"/>
          <w:sz w:val="24"/>
        </w:rPr>
        <w:t>交通部颁发《公路水泥混凝土路面设计规范》（JTG D40～2011）</w:t>
      </w:r>
      <w:r>
        <w:rPr>
          <w:rFonts w:hint="eastAsia" w:ascii="宋体" w:hAnsi="宋体"/>
          <w:spacing w:val="4"/>
          <w:sz w:val="24"/>
        </w:rPr>
        <w:t>、《公路路面基层施工技术规范》(JTJ 034～2015)、</w:t>
      </w:r>
      <w:r>
        <w:rPr>
          <w:rFonts w:hint="eastAsia" w:ascii="宋体" w:hAnsi="宋体"/>
          <w:spacing w:val="4"/>
          <w:kern w:val="30"/>
          <w:sz w:val="24"/>
        </w:rPr>
        <w:t>《公路水泥混凝土路面施工技术细则》（JTG/T F30～2014）</w:t>
      </w:r>
      <w:r>
        <w:rPr>
          <w:rFonts w:hint="eastAsia" w:ascii="宋体" w:hAnsi="宋体"/>
          <w:spacing w:val="4"/>
          <w:sz w:val="24"/>
        </w:rPr>
        <w:t>及其它有关规范、规定进行设计。</w:t>
      </w:r>
    </w:p>
    <w:p w14:paraId="0F466012">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4.3.1.1水泥混凝土</w:t>
      </w:r>
    </w:p>
    <w:p w14:paraId="4B5B8D87">
      <w:pPr>
        <w:keepNext w:val="0"/>
        <w:keepLines w:val="0"/>
        <w:pageBreakBefore w:val="0"/>
        <w:kinsoku/>
        <w:wordWrap/>
        <w:overflowPunct/>
        <w:topLinePunct w:val="0"/>
        <w:bidi w:val="0"/>
        <w:adjustRightInd w:val="0"/>
        <w:snapToGrid/>
        <w:spacing w:line="288" w:lineRule="auto"/>
        <w:ind w:left="-53" w:leftChars="-25" w:right="53" w:rightChars="25" w:firstLine="480" w:firstLineChars="200"/>
        <w:textAlignment w:val="auto"/>
        <w:rPr>
          <w:rFonts w:ascii="宋体" w:hAnsi="宋体"/>
          <w:sz w:val="24"/>
          <w:highlight w:val="none"/>
        </w:rPr>
      </w:pPr>
      <w:r>
        <w:rPr>
          <w:rFonts w:hint="eastAsia" w:ascii="宋体" w:hAnsi="宋体"/>
          <w:sz w:val="24"/>
          <w:highlight w:val="none"/>
        </w:rPr>
        <w:t>水泥混凝土路面结构设计安全等级为三级，设计基准期为10年，目标可靠度为70％，目标可靠指标为0.52，变异水平等级为高，水泥混凝土弯拉强度变异系数变化范围为：0.15&lt;Cv≤0.20,基层顶面当量模量变异系数变化范围为：0.35&lt;Cv≤0.55，水泥混凝土面层厚度变异系数变化范围为：0.06&lt;Cv≤0.08。</w:t>
      </w:r>
    </w:p>
    <w:p w14:paraId="332D0E93">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水泥混凝土的水灰比不大于0.4</w:t>
      </w:r>
      <w:r>
        <w:rPr>
          <w:rFonts w:hint="eastAsia" w:ascii="宋体" w:hAnsi="宋体"/>
          <w:sz w:val="24"/>
          <w:highlight w:val="none"/>
          <w:lang w:val="en-US" w:eastAsia="zh-CN"/>
        </w:rPr>
        <w:t>6</w:t>
      </w:r>
      <w:r>
        <w:rPr>
          <w:rFonts w:hint="eastAsia" w:ascii="宋体" w:hAnsi="宋体"/>
          <w:sz w:val="24"/>
          <w:highlight w:val="none"/>
        </w:rPr>
        <w:t>；最大单位水泥用量不宜大于420kg/m</w:t>
      </w:r>
      <w:r>
        <w:rPr>
          <w:rFonts w:hint="eastAsia" w:ascii="宋体" w:hAnsi="宋体"/>
          <w:sz w:val="24"/>
          <w:highlight w:val="none"/>
          <w:vertAlign w:val="superscript"/>
        </w:rPr>
        <w:t>3</w:t>
      </w:r>
      <w:r>
        <w:rPr>
          <w:rFonts w:hint="eastAsia" w:ascii="宋体" w:hAnsi="宋体"/>
          <w:sz w:val="24"/>
          <w:highlight w:val="none"/>
        </w:rPr>
        <w:t>，最小单位水泥用量不得小于315Kg/m</w:t>
      </w:r>
      <w:r>
        <w:rPr>
          <w:rFonts w:hint="eastAsia" w:ascii="宋体" w:hAnsi="宋体"/>
          <w:sz w:val="24"/>
          <w:highlight w:val="none"/>
          <w:vertAlign w:val="superscript"/>
        </w:rPr>
        <w:t>3</w:t>
      </w:r>
      <w:r>
        <w:rPr>
          <w:rFonts w:hint="eastAsia" w:ascii="宋体" w:hAnsi="宋体"/>
          <w:sz w:val="24"/>
          <w:highlight w:val="none"/>
        </w:rPr>
        <w:t>。</w:t>
      </w:r>
    </w:p>
    <w:p w14:paraId="73AB6596">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水泥混凝土的抗冻等级不宜低于F200级；冰冻地区的混凝土中应参加引气剂，确保其抗冻性，提高工作性。</w:t>
      </w:r>
    </w:p>
    <w:p w14:paraId="28998E90">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水泥路面表面必须采用拉毛、拉槽、压槽或刻槽等方法筑做表面构造，构造深度一般路段为0.5～1.0mm，特殊路段为0.6～1.1mm。</w:t>
      </w:r>
    </w:p>
    <w:p w14:paraId="1B6C38D5">
      <w:pPr>
        <w:keepNext w:val="0"/>
        <w:keepLines w:val="0"/>
        <w:pageBreakBefore w:val="0"/>
        <w:kinsoku/>
        <w:wordWrap/>
        <w:overflowPunct/>
        <w:topLinePunct w:val="0"/>
        <w:bidi w:val="0"/>
        <w:adjustRightInd w:val="0"/>
        <w:snapToGrid/>
        <w:spacing w:line="288" w:lineRule="auto"/>
        <w:ind w:left="-53" w:leftChars="-25" w:right="53" w:rightChars="25" w:firstLine="496" w:firstLineChars="200"/>
        <w:textAlignment w:val="auto"/>
        <w:rPr>
          <w:rFonts w:ascii="宋体" w:hAnsi="宋体"/>
          <w:color w:val="auto"/>
          <w:spacing w:val="4"/>
          <w:sz w:val="24"/>
          <w:highlight w:val="none"/>
        </w:rPr>
      </w:pPr>
      <w:r>
        <w:rPr>
          <w:rFonts w:hint="eastAsia" w:ascii="宋体" w:hAnsi="宋体"/>
          <w:spacing w:val="4"/>
          <w:sz w:val="24"/>
          <w:highlight w:val="none"/>
        </w:rPr>
        <w:t>路面设计采用双轮组单轴轴载100KN为标准轴载，路面结构计算采用HPDS2017电算程序进行计算，采用专用设计程序，对路面厚度进行计算，确定了路面结构和厚度如下：</w:t>
      </w:r>
      <w:r>
        <w:rPr>
          <w:rFonts w:hint="eastAsia" w:ascii="宋体" w:hAnsi="宋体"/>
          <w:color w:val="auto"/>
          <w:spacing w:val="4"/>
          <w:sz w:val="24"/>
          <w:highlight w:val="none"/>
        </w:rPr>
        <w:t>面层为</w:t>
      </w:r>
      <w:r>
        <w:rPr>
          <w:rFonts w:hint="eastAsia" w:ascii="宋体" w:hAnsi="宋体"/>
          <w:color w:val="auto"/>
          <w:spacing w:val="4"/>
          <w:sz w:val="24"/>
          <w:highlight w:val="none"/>
          <w:lang w:val="en-US" w:eastAsia="zh-CN"/>
        </w:rPr>
        <w:t>20</w:t>
      </w:r>
      <w:r>
        <w:rPr>
          <w:rFonts w:hint="eastAsia" w:ascii="宋体" w:hAnsi="宋体"/>
          <w:color w:val="auto"/>
          <w:spacing w:val="4"/>
          <w:sz w:val="24"/>
          <w:highlight w:val="none"/>
        </w:rPr>
        <w:t>厘米水泥混凝土路面,水泥混凝土板块为：</w:t>
      </w:r>
      <w:r>
        <w:rPr>
          <w:rFonts w:hint="eastAsia" w:ascii="宋体" w:hAnsi="宋体"/>
          <w:color w:val="auto"/>
          <w:spacing w:val="4"/>
          <w:sz w:val="24"/>
          <w:highlight w:val="none"/>
          <w:lang w:val="en-US" w:eastAsia="zh-CN"/>
        </w:rPr>
        <w:t>3.5</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3.0</w:t>
      </w:r>
      <w:r>
        <w:rPr>
          <w:rFonts w:hint="eastAsia" w:ascii="宋体" w:hAnsi="宋体"/>
          <w:color w:val="auto"/>
          <w:spacing w:val="4"/>
          <w:sz w:val="24"/>
          <w:highlight w:val="none"/>
        </w:rPr>
        <w:t>米</w:t>
      </w:r>
      <w:r>
        <w:rPr>
          <w:rFonts w:hint="eastAsia" w:ascii="宋体" w:hAnsi="宋体"/>
          <w:color w:val="auto"/>
          <w:spacing w:val="4"/>
          <w:sz w:val="24"/>
          <w:highlight w:val="none"/>
          <w:lang w:val="en-US" w:eastAsia="zh-CN"/>
        </w:rPr>
        <w:t>/4.5</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4.0</w:t>
      </w:r>
      <w:r>
        <w:rPr>
          <w:rFonts w:hint="eastAsia" w:ascii="宋体" w:hAnsi="宋体"/>
          <w:color w:val="auto"/>
          <w:spacing w:val="4"/>
          <w:sz w:val="24"/>
          <w:highlight w:val="none"/>
        </w:rPr>
        <w:t>米</w:t>
      </w:r>
      <w:r>
        <w:rPr>
          <w:rFonts w:hint="eastAsia" w:ascii="宋体" w:hAnsi="宋体"/>
          <w:color w:val="auto"/>
          <w:spacing w:val="4"/>
          <w:sz w:val="24"/>
          <w:highlight w:val="none"/>
          <w:lang w:val="en-US" w:eastAsia="zh-CN"/>
        </w:rPr>
        <w:t>/5.0</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4.5</w:t>
      </w:r>
      <w:r>
        <w:rPr>
          <w:rFonts w:hint="eastAsia" w:ascii="宋体" w:hAnsi="宋体"/>
          <w:color w:val="auto"/>
          <w:spacing w:val="4"/>
          <w:sz w:val="24"/>
          <w:highlight w:val="none"/>
        </w:rPr>
        <w:t>米（长×宽）</w:t>
      </w:r>
      <w:r>
        <w:rPr>
          <w:rFonts w:hint="eastAsia" w:ascii="宋体" w:hAnsi="宋体"/>
          <w:color w:val="0000FF"/>
          <w:spacing w:val="4"/>
          <w:sz w:val="24"/>
          <w:highlight w:val="none"/>
        </w:rPr>
        <w:t>；</w:t>
      </w:r>
      <w:r>
        <w:rPr>
          <w:rFonts w:hint="eastAsia" w:ascii="宋体" w:hAnsi="宋体"/>
          <w:color w:val="auto"/>
          <w:spacing w:val="4"/>
          <w:sz w:val="24"/>
          <w:highlight w:val="none"/>
          <w:lang w:eastAsia="zh-CN"/>
        </w:rPr>
        <w:t>基层</w:t>
      </w:r>
      <w:r>
        <w:rPr>
          <w:rFonts w:hint="eastAsia" w:ascii="宋体" w:hAnsi="宋体"/>
          <w:color w:val="auto"/>
          <w:spacing w:val="4"/>
          <w:sz w:val="24"/>
          <w:highlight w:val="none"/>
        </w:rPr>
        <w:t>为</w:t>
      </w:r>
      <w:r>
        <w:rPr>
          <w:rFonts w:hint="eastAsia" w:ascii="宋体" w:hAnsi="宋体"/>
          <w:color w:val="auto"/>
          <w:spacing w:val="4"/>
          <w:sz w:val="24"/>
          <w:highlight w:val="none"/>
          <w:lang w:val="en-US" w:eastAsia="zh-CN"/>
        </w:rPr>
        <w:t>18</w:t>
      </w:r>
      <w:r>
        <w:rPr>
          <w:rFonts w:hint="eastAsia" w:ascii="宋体" w:hAnsi="宋体"/>
          <w:color w:val="auto"/>
          <w:spacing w:val="4"/>
          <w:sz w:val="24"/>
          <w:highlight w:val="none"/>
        </w:rPr>
        <w:t>厘米</w:t>
      </w:r>
      <w:r>
        <w:rPr>
          <w:rFonts w:hint="eastAsia" w:ascii="宋体" w:hAnsi="宋体"/>
          <w:color w:val="auto"/>
          <w:spacing w:val="4"/>
          <w:sz w:val="24"/>
          <w:highlight w:val="none"/>
          <w:lang w:eastAsia="zh-CN"/>
        </w:rPr>
        <w:t>白灰土</w:t>
      </w:r>
      <w:r>
        <w:rPr>
          <w:rFonts w:hint="eastAsia" w:ascii="宋体" w:hAnsi="宋体"/>
          <w:color w:val="auto"/>
          <w:spacing w:val="4"/>
          <w:sz w:val="24"/>
          <w:highlight w:val="none"/>
        </w:rPr>
        <w:t>。</w:t>
      </w:r>
    </w:p>
    <w:p w14:paraId="76379885">
      <w:pPr>
        <w:keepNext w:val="0"/>
        <w:keepLines w:val="0"/>
        <w:pageBreakBefore w:val="0"/>
        <w:kinsoku/>
        <w:wordWrap/>
        <w:overflowPunct/>
        <w:topLinePunct w:val="0"/>
        <w:bidi w:val="0"/>
        <w:adjustRightInd w:val="0"/>
        <w:snapToGrid/>
        <w:spacing w:line="288" w:lineRule="auto"/>
        <w:ind w:left="-53" w:leftChars="-25" w:right="53" w:rightChars="25" w:firstLine="496" w:firstLineChars="200"/>
        <w:jc w:val="center"/>
        <w:textAlignment w:val="auto"/>
        <w:rPr>
          <w:rFonts w:ascii="宋体" w:hAnsi="宋体"/>
          <w:bCs/>
          <w:spacing w:val="4"/>
          <w:sz w:val="24"/>
          <w:highlight w:val="none"/>
        </w:rPr>
      </w:pPr>
      <w:r>
        <w:rPr>
          <w:rFonts w:hint="eastAsia" w:ascii="宋体" w:hAnsi="宋体"/>
          <w:bCs/>
          <w:spacing w:val="4"/>
          <w:sz w:val="24"/>
          <w:highlight w:val="none"/>
        </w:rPr>
        <w:t>水泥混凝土面层技术指标表</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5F0CB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B5EC23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路面混凝土弯拉强度</w:t>
            </w:r>
          </w:p>
        </w:tc>
        <w:tc>
          <w:tcPr>
            <w:tcW w:w="1984" w:type="dxa"/>
            <w:tcBorders>
              <w:top w:val="single" w:color="auto" w:sz="12" w:space="0"/>
              <w:bottom w:val="single" w:color="auto" w:sz="6" w:space="0"/>
            </w:tcBorders>
            <w:vAlign w:val="center"/>
          </w:tcPr>
          <w:p w14:paraId="2BA2BE3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40243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55027EF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路基顶面的综合回弹模量值</w:t>
            </w:r>
          </w:p>
        </w:tc>
        <w:tc>
          <w:tcPr>
            <w:tcW w:w="1984" w:type="dxa"/>
            <w:tcBorders>
              <w:top w:val="single" w:color="auto" w:sz="6" w:space="0"/>
              <w:bottom w:val="single" w:color="auto" w:sz="6" w:space="0"/>
            </w:tcBorders>
            <w:vAlign w:val="center"/>
          </w:tcPr>
          <w:p w14:paraId="51DE4AD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1823F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7C76FB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水泥混凝土路面最大平均气泡间距系数(</w:t>
            </w:r>
            <w:r>
              <w:rPr>
                <w:rFonts w:ascii="Arial" w:hAnsi="Arial" w:cs="Arial"/>
                <w:color w:val="333333"/>
                <w:szCs w:val="21"/>
                <w:highlight w:val="none"/>
                <w:shd w:val="clear" w:color="auto" w:fill="FFFFFF"/>
              </w:rPr>
              <w:t>μ</w:t>
            </w:r>
            <w:r>
              <w:rPr>
                <w:rFonts w:hint="eastAsia" w:ascii="宋体" w:cs="宋体"/>
                <w:color w:val="000000"/>
                <w:kern w:val="0"/>
                <w:szCs w:val="21"/>
                <w:highlight w:val="none"/>
              </w:rPr>
              <w:t>m)</w:t>
            </w:r>
          </w:p>
        </w:tc>
        <w:tc>
          <w:tcPr>
            <w:tcW w:w="1984" w:type="dxa"/>
            <w:tcBorders>
              <w:top w:val="single" w:color="auto" w:sz="6" w:space="0"/>
              <w:bottom w:val="single" w:color="auto" w:sz="12" w:space="0"/>
            </w:tcBorders>
            <w:vAlign w:val="center"/>
          </w:tcPr>
          <w:p w14:paraId="383F46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300</w:t>
            </w:r>
          </w:p>
        </w:tc>
      </w:tr>
    </w:tbl>
    <w:p w14:paraId="5F86B19F">
      <w:pPr>
        <w:keepNext w:val="0"/>
        <w:keepLines w:val="0"/>
        <w:pageBreakBefore w:val="0"/>
        <w:kinsoku/>
        <w:wordWrap/>
        <w:overflowPunct/>
        <w:topLinePunct w:val="0"/>
        <w:bidi w:val="0"/>
        <w:adjustRightInd w:val="0"/>
        <w:snapToGrid/>
        <w:spacing w:line="288" w:lineRule="auto"/>
        <w:ind w:right="53" w:rightChars="25" w:firstLine="562" w:firstLineChars="200"/>
        <w:textAlignment w:val="auto"/>
        <w:outlineLvl w:val="0"/>
        <w:rPr>
          <w:b/>
          <w:bCs/>
          <w:sz w:val="28"/>
          <w:szCs w:val="28"/>
          <w:highlight w:val="yellow"/>
        </w:rPr>
      </w:pPr>
      <w:bookmarkStart w:id="1" w:name="_Hlk48546826"/>
    </w:p>
    <w:bookmarkEnd w:id="1"/>
    <w:p w14:paraId="2ED3A416">
      <w:pPr>
        <w:keepNext w:val="0"/>
        <w:keepLines w:val="0"/>
        <w:pageBreakBefore w:val="0"/>
        <w:kinsoku/>
        <w:wordWrap/>
        <w:overflowPunct/>
        <w:topLinePunct w:val="0"/>
        <w:bidi w:val="0"/>
        <w:adjustRightInd w:val="0"/>
        <w:snapToGrid/>
        <w:spacing w:line="288" w:lineRule="auto"/>
        <w:ind w:right="53" w:rightChars="25" w:firstLine="480" w:firstLineChars="200"/>
        <w:textAlignment w:val="auto"/>
        <w:outlineLvl w:val="0"/>
        <w:rPr>
          <w:sz w:val="24"/>
          <w:highlight w:val="none"/>
        </w:rPr>
      </w:pPr>
      <w:r>
        <w:rPr>
          <w:rFonts w:hint="eastAsia"/>
          <w:sz w:val="24"/>
          <w:highlight w:val="none"/>
        </w:rPr>
        <w:t>不同施工工艺水泥混凝土拌合物的现场坍落度宜为：</w:t>
      </w:r>
    </w:p>
    <w:p w14:paraId="5C29374D">
      <w:pPr>
        <w:keepNext w:val="0"/>
        <w:keepLines w:val="0"/>
        <w:pageBreakBefore w:val="0"/>
        <w:kinsoku/>
        <w:wordWrap/>
        <w:overflowPunct/>
        <w:topLinePunct w:val="0"/>
        <w:bidi w:val="0"/>
        <w:adjustRightInd w:val="0"/>
        <w:snapToGrid/>
        <w:spacing w:line="288" w:lineRule="auto"/>
        <w:ind w:right="53" w:rightChars="25" w:firstLine="480" w:firstLineChars="200"/>
        <w:jc w:val="center"/>
        <w:textAlignment w:val="auto"/>
        <w:outlineLvl w:val="0"/>
        <w:rPr>
          <w:sz w:val="24"/>
          <w:szCs w:val="24"/>
          <w:highlight w:val="none"/>
        </w:rPr>
      </w:pPr>
      <w:r>
        <w:rPr>
          <w:rFonts w:hint="eastAsia"/>
          <w:sz w:val="24"/>
          <w:szCs w:val="24"/>
          <w:highlight w:val="none"/>
        </w:rPr>
        <w:t>水泥混凝土拌合物的现场坍落度</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37C13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69CE23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滑模摊铺时,</w:t>
            </w:r>
            <w:r>
              <w:rPr>
                <w:rFonts w:hint="eastAsia" w:ascii="宋体" w:cs="宋体"/>
                <w:color w:val="000000"/>
                <w:kern w:val="0"/>
                <w:szCs w:val="21"/>
                <w:highlight w:val="none"/>
                <w:lang w:val="en-US" w:eastAsia="zh-CN"/>
              </w:rPr>
              <w:t>碎</w:t>
            </w:r>
            <w:r>
              <w:rPr>
                <w:rFonts w:hint="eastAsia" w:ascii="宋体" w:cs="宋体"/>
                <w:color w:val="000000"/>
                <w:kern w:val="0"/>
                <w:szCs w:val="21"/>
                <w:highlight w:val="none"/>
                <w:lang w:eastAsia="zh-CN"/>
              </w:rPr>
              <w:t>石</w:t>
            </w:r>
            <w:r>
              <w:rPr>
                <w:rFonts w:hint="eastAsia" w:ascii="宋体" w:cs="宋体"/>
                <w:color w:val="000000"/>
                <w:kern w:val="0"/>
                <w:szCs w:val="21"/>
                <w:highlight w:val="none"/>
              </w:rPr>
              <w:t>混凝土的坍落度(</w:t>
            </w:r>
            <w:r>
              <w:rPr>
                <w:rFonts w:ascii="宋体" w:cs="宋体"/>
                <w:color w:val="000000"/>
                <w:kern w:val="0"/>
                <w:szCs w:val="21"/>
                <w:highlight w:val="none"/>
              </w:rPr>
              <w:t>mm)</w:t>
            </w:r>
          </w:p>
        </w:tc>
        <w:tc>
          <w:tcPr>
            <w:tcW w:w="1984" w:type="dxa"/>
            <w:tcBorders>
              <w:top w:val="single" w:color="auto" w:sz="12" w:space="0"/>
              <w:bottom w:val="single" w:color="auto" w:sz="6" w:space="0"/>
            </w:tcBorders>
            <w:vAlign w:val="center"/>
          </w:tcPr>
          <w:p w14:paraId="05D4AB0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r>
              <w:rPr>
                <w:rFonts w:ascii="宋体" w:cs="宋体"/>
                <w:color w:val="000000"/>
                <w:kern w:val="0"/>
                <w:szCs w:val="21"/>
                <w:highlight w:val="none"/>
              </w:rPr>
              <w:t>0</w:t>
            </w:r>
            <w:r>
              <w:rPr>
                <w:rFonts w:hint="eastAsia" w:ascii="宋体" w:hAnsi="宋体"/>
                <w:sz w:val="24"/>
                <w:highlight w:val="none"/>
              </w:rPr>
              <w:t>～</w:t>
            </w:r>
            <w:r>
              <w:rPr>
                <w:rFonts w:ascii="宋体" w:cs="宋体"/>
                <w:color w:val="000000"/>
                <w:kern w:val="0"/>
                <w:szCs w:val="21"/>
                <w:highlight w:val="none"/>
              </w:rPr>
              <w:t>30</w:t>
            </w:r>
          </w:p>
        </w:tc>
      </w:tr>
      <w:tr w14:paraId="38FF2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1A5666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三滚轴机组摊铺时,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6" w:space="0"/>
            </w:tcBorders>
            <w:vAlign w:val="center"/>
          </w:tcPr>
          <w:p w14:paraId="7CF90B0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20</w:t>
            </w:r>
            <w:r>
              <w:rPr>
                <w:rFonts w:hint="eastAsia" w:ascii="宋体" w:hAnsi="宋体"/>
                <w:sz w:val="24"/>
                <w:highlight w:val="none"/>
              </w:rPr>
              <w:t>～</w:t>
            </w:r>
            <w:r>
              <w:rPr>
                <w:rFonts w:ascii="宋体" w:cs="宋体"/>
                <w:color w:val="000000"/>
                <w:kern w:val="0"/>
                <w:szCs w:val="21"/>
                <w:highlight w:val="none"/>
              </w:rPr>
              <w:t>40</w:t>
            </w:r>
          </w:p>
        </w:tc>
      </w:tr>
      <w:tr w14:paraId="4A848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0461DCE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小型机具摊铺时,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12" w:space="0"/>
            </w:tcBorders>
            <w:vAlign w:val="center"/>
          </w:tcPr>
          <w:p w14:paraId="4D45CF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5</w:t>
            </w:r>
            <w:r>
              <w:rPr>
                <w:rFonts w:hint="eastAsia" w:ascii="宋体" w:hAnsi="宋体"/>
                <w:sz w:val="24"/>
                <w:highlight w:val="none"/>
              </w:rPr>
              <w:t>～</w:t>
            </w:r>
            <w:r>
              <w:rPr>
                <w:rFonts w:ascii="宋体" w:cs="宋体"/>
                <w:color w:val="000000"/>
                <w:kern w:val="0"/>
                <w:szCs w:val="21"/>
                <w:highlight w:val="none"/>
              </w:rPr>
              <w:t>20</w:t>
            </w:r>
          </w:p>
        </w:tc>
      </w:tr>
    </w:tbl>
    <w:p w14:paraId="1286AC2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4.4排水</w:t>
      </w:r>
    </w:p>
    <w:p w14:paraId="17DC548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rPr>
      </w:pPr>
      <w:r>
        <w:rPr>
          <w:rFonts w:hint="eastAsia" w:ascii="宋体" w:hAnsi="宋体" w:cs="宋体"/>
          <w:color w:val="auto"/>
          <w:spacing w:val="4"/>
          <w:sz w:val="24"/>
          <w:highlight w:val="none"/>
        </w:rPr>
        <w:t>本项目以自然排水为主，根据沿线地形、地势、地貌、原有边沟将水流引入桥涵处，排离路基范围以外；路面排水由路面横、纵坡将水排离路肩，使雨水漫流排至路基范围以外。</w:t>
      </w:r>
    </w:p>
    <w:p w14:paraId="18AC2E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cs="宋体"/>
          <w:b/>
          <w:color w:val="auto"/>
          <w:spacing w:val="4"/>
          <w:sz w:val="28"/>
          <w:szCs w:val="28"/>
          <w:highlight w:val="none"/>
        </w:rPr>
      </w:pPr>
      <w:r>
        <w:rPr>
          <w:rFonts w:hint="eastAsia" w:ascii="宋体" w:hAnsi="宋体" w:cs="宋体"/>
          <w:b/>
          <w:color w:val="auto"/>
          <w:spacing w:val="4"/>
          <w:sz w:val="28"/>
          <w:szCs w:val="28"/>
          <w:highlight w:val="none"/>
        </w:rPr>
        <w:t>4.</w:t>
      </w:r>
      <w:r>
        <w:rPr>
          <w:rFonts w:hint="eastAsia" w:ascii="宋体" w:hAnsi="宋体" w:cs="宋体"/>
          <w:b/>
          <w:color w:val="auto"/>
          <w:spacing w:val="4"/>
          <w:sz w:val="28"/>
          <w:szCs w:val="28"/>
          <w:highlight w:val="none"/>
          <w:lang w:val="en-US" w:eastAsia="zh-CN"/>
        </w:rPr>
        <w:t>5</w:t>
      </w:r>
      <w:r>
        <w:rPr>
          <w:rFonts w:hint="eastAsia" w:ascii="宋体" w:hAnsi="宋体" w:cs="宋体"/>
          <w:b/>
          <w:color w:val="auto"/>
          <w:spacing w:val="4"/>
          <w:sz w:val="28"/>
          <w:szCs w:val="28"/>
          <w:highlight w:val="none"/>
        </w:rPr>
        <w:t>平面交叉设计</w:t>
      </w:r>
    </w:p>
    <w:p w14:paraId="75C47A74">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olor w:val="auto"/>
          <w:spacing w:val="4"/>
          <w:sz w:val="24"/>
        </w:rPr>
      </w:pPr>
      <w:r>
        <w:rPr>
          <w:rFonts w:hint="eastAsia" w:ascii="宋体" w:hAnsi="宋体" w:cs="宋体"/>
          <w:color w:val="auto"/>
          <w:spacing w:val="4"/>
          <w:sz w:val="24"/>
          <w:highlight w:val="none"/>
        </w:rPr>
        <w:t>根据现有公路平面交叉设置情况，结合各交叉道的交通组成及在公路网中的作用，充分考虑沿线土地开发、群众生产和生活需要，提高主线的通行能力，确保行车安全的原则设置，</w:t>
      </w:r>
      <w:r>
        <w:rPr>
          <w:rFonts w:hint="eastAsia" w:ascii="宋体" w:hAnsi="宋体" w:cs="宋体"/>
          <w:color w:val="auto"/>
          <w:spacing w:val="4"/>
          <w:sz w:val="24"/>
          <w:highlight w:val="none"/>
          <w:lang w:eastAsia="zh-CN"/>
        </w:rPr>
        <w:t>施工路面应与原有路面相接，</w:t>
      </w:r>
      <w:r>
        <w:rPr>
          <w:rFonts w:hint="eastAsia" w:ascii="宋体" w:hAnsi="宋体" w:cs="宋体"/>
          <w:color w:val="auto"/>
          <w:spacing w:val="4"/>
          <w:sz w:val="24"/>
          <w:highlight w:val="none"/>
        </w:rPr>
        <w:t>对该路段的平面交叉进行了调查，结合了该路段的情况，共设计</w:t>
      </w:r>
      <w:r>
        <w:rPr>
          <w:rFonts w:hint="eastAsia" w:ascii="宋体" w:hAnsi="宋体" w:cs="宋体"/>
          <w:color w:val="auto"/>
          <w:spacing w:val="4"/>
          <w:sz w:val="24"/>
          <w:highlight w:val="none"/>
          <w:lang w:val="en-US" w:eastAsia="zh-CN"/>
        </w:rPr>
        <w:t>8</w:t>
      </w:r>
      <w:r>
        <w:rPr>
          <w:rFonts w:hint="eastAsia" w:ascii="宋体" w:hAnsi="宋体" w:cs="宋体"/>
          <w:color w:val="auto"/>
          <w:spacing w:val="4"/>
          <w:sz w:val="24"/>
          <w:highlight w:val="none"/>
        </w:rPr>
        <w:t>处平面交叉。具体详见《平面交叉设置及工程数量一览表》。</w:t>
      </w:r>
    </w:p>
    <w:p w14:paraId="469F63F7">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highlight w:val="none"/>
        </w:rPr>
      </w:pPr>
      <w:r>
        <w:rPr>
          <w:rFonts w:hint="eastAsia" w:ascii="宋体" w:hAnsi="宋体"/>
          <w:b/>
          <w:spacing w:val="4"/>
          <w:sz w:val="28"/>
          <w:szCs w:val="28"/>
          <w:highlight w:val="none"/>
        </w:rPr>
        <w:t>五.筑路材料要求</w:t>
      </w:r>
    </w:p>
    <w:p w14:paraId="5811DE1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5.1路面水泥混凝土材料要求</w:t>
      </w:r>
    </w:p>
    <w:p w14:paraId="27F3C15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bookmarkStart w:id="2" w:name="_Hlk48115109"/>
      <w:r>
        <w:rPr>
          <w:rFonts w:hint="eastAsia" w:ascii="宋体" w:hAnsi="宋体"/>
          <w:b/>
          <w:spacing w:val="4"/>
          <w:sz w:val="28"/>
          <w:szCs w:val="28"/>
          <w:highlight w:val="none"/>
        </w:rPr>
        <w:t>5.1.</w:t>
      </w:r>
      <w:r>
        <w:rPr>
          <w:rFonts w:ascii="宋体" w:hAnsi="宋体"/>
          <w:b/>
          <w:spacing w:val="4"/>
          <w:sz w:val="28"/>
          <w:szCs w:val="28"/>
          <w:highlight w:val="none"/>
        </w:rPr>
        <w:t>1</w:t>
      </w:r>
      <w:r>
        <w:rPr>
          <w:rFonts w:hint="eastAsia" w:ascii="宋体" w:hAnsi="宋体"/>
          <w:b/>
          <w:spacing w:val="4"/>
          <w:sz w:val="28"/>
          <w:szCs w:val="28"/>
          <w:highlight w:val="none"/>
        </w:rPr>
        <w:t>水泥</w:t>
      </w:r>
    </w:p>
    <w:bookmarkEnd w:id="2"/>
    <w:p w14:paraId="622A476E">
      <w:pPr>
        <w:keepNext w:val="0"/>
        <w:keepLines w:val="0"/>
        <w:pageBreakBefore w:val="0"/>
        <w:kinsoku/>
        <w:wordWrap/>
        <w:overflowPunct/>
        <w:topLinePunct w:val="0"/>
        <w:bidi w:val="0"/>
        <w:adjustRightInd w:val="0"/>
        <w:snapToGrid/>
        <w:spacing w:line="288" w:lineRule="auto"/>
        <w:ind w:left="315" w:leftChars="150" w:firstLine="489" w:firstLineChars="204"/>
        <w:textAlignment w:val="auto"/>
        <w:rPr>
          <w:rFonts w:ascii="宋体"/>
          <w:sz w:val="24"/>
          <w:highlight w:val="none"/>
        </w:rPr>
      </w:pPr>
      <w:r>
        <w:rPr>
          <w:rFonts w:hint="eastAsia" w:ascii="宋体"/>
          <w:sz w:val="24"/>
          <w:highlight w:val="none"/>
        </w:rPr>
        <w:t>面层水泥混凝土所用水泥的技术要求除应满足现行《道路硅酸盐水泥》(GB 13693-2005)或《通用硅酸盐水泥》(GB 175-200的规定外，各龄期的实测抗折强度、抗压强度尚应符合下表。</w:t>
      </w:r>
    </w:p>
    <w:tbl>
      <w:tblPr>
        <w:tblStyle w:val="6"/>
        <w:tblW w:w="1117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54"/>
        <w:gridCol w:w="696"/>
        <w:gridCol w:w="696"/>
        <w:gridCol w:w="696"/>
        <w:gridCol w:w="696"/>
        <w:gridCol w:w="696"/>
        <w:gridCol w:w="696"/>
        <w:gridCol w:w="696"/>
        <w:gridCol w:w="696"/>
        <w:gridCol w:w="1457"/>
      </w:tblGrid>
      <w:tr w14:paraId="77CB61D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11179" w:type="dxa"/>
            <w:gridSpan w:val="10"/>
            <w:tcBorders>
              <w:bottom w:val="single" w:color="auto" w:sz="12" w:space="0"/>
            </w:tcBorders>
            <w:shd w:val="clear" w:color="000000" w:fill="FFFFFF"/>
            <w:noWrap/>
            <w:vAlign w:val="center"/>
          </w:tcPr>
          <w:p w14:paraId="719EC66F">
            <w:pPr>
              <w:keepNext w:val="0"/>
              <w:keepLines w:val="0"/>
              <w:pageBreakBefore w:val="0"/>
              <w:widowControl/>
              <w:kinsoku/>
              <w:wordWrap/>
              <w:overflowPunct/>
              <w:topLinePunct w:val="0"/>
              <w:bidi w:val="0"/>
              <w:snapToGrid/>
              <w:spacing w:line="288" w:lineRule="auto"/>
              <w:jc w:val="center"/>
              <w:textAlignment w:val="auto"/>
              <w:rPr>
                <w:rFonts w:ascii="宋体"/>
                <w:sz w:val="24"/>
                <w:highlight w:val="none"/>
              </w:rPr>
            </w:pPr>
            <w:r>
              <w:rPr>
                <w:rFonts w:hint="eastAsia" w:ascii="宋体"/>
                <w:sz w:val="24"/>
                <w:highlight w:val="none"/>
              </w:rPr>
              <w:t>面层水泥混凝土用水泥各龄期的实测强度值</w:t>
            </w:r>
          </w:p>
        </w:tc>
      </w:tr>
      <w:tr w14:paraId="2D10C3A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539F242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混凝土设计弯拉强度标准值(Mpa)</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0B4044F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770B4BA">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1C6127C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3991E97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w:t>
            </w:r>
          </w:p>
        </w:tc>
        <w:tc>
          <w:tcPr>
            <w:tcW w:w="1457" w:type="dxa"/>
            <w:tcBorders>
              <w:top w:val="single" w:color="auto" w:sz="12" w:space="0"/>
              <w:left w:val="single" w:color="auto" w:sz="6" w:space="0"/>
              <w:bottom w:val="single" w:color="auto" w:sz="6" w:space="0"/>
              <w:right w:val="single" w:color="auto" w:sz="12" w:space="0"/>
            </w:tcBorders>
            <w:shd w:val="clear" w:color="auto" w:fill="auto"/>
            <w:noWrap/>
            <w:vAlign w:val="bottom"/>
          </w:tcPr>
          <w:p w14:paraId="40D201E0">
            <w:pPr>
              <w:keepNext w:val="0"/>
              <w:keepLines w:val="0"/>
              <w:pageBreakBefore w:val="0"/>
              <w:widowControl/>
              <w:kinsoku/>
              <w:wordWrap/>
              <w:overflowPunct/>
              <w:topLinePunct w:val="0"/>
              <w:bidi w:val="0"/>
              <w:snapToGrid/>
              <w:spacing w:line="288" w:lineRule="auto"/>
              <w:jc w:val="left"/>
              <w:textAlignment w:val="auto"/>
              <w:rPr>
                <w:rFonts w:ascii="宋体"/>
                <w:szCs w:val="21"/>
                <w:highlight w:val="none"/>
              </w:rPr>
            </w:pPr>
            <w:r>
              <w:rPr>
                <w:rFonts w:hint="eastAsia" w:ascii="宋体"/>
                <w:szCs w:val="21"/>
                <w:highlight w:val="none"/>
              </w:rPr>
              <w:t>试验方法</w:t>
            </w:r>
          </w:p>
        </w:tc>
      </w:tr>
      <w:tr w14:paraId="546ADFE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AD7CCE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龄期(d)</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C7A10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80273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21FD5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32378C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A6431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F08C2E8">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05F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9F12366">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0DFA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w:t>
            </w:r>
          </w:p>
        </w:tc>
      </w:tr>
      <w:tr w14:paraId="5CD8616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53DAA9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水泥实测抗折强度(Mpa),≥</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CCBD8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51D0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8.0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47B14F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6B3D9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9C552">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4B6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83C6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34311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6.5 </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8867D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r w14:paraId="159C2AF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5551C87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水泥实测抗压强度(Mpa),≥</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7143BB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23.0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DD30F9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2D9DF0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49CF18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0BF1F6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104E13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02B4535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10.0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7204F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32.5 </w:t>
            </w:r>
          </w:p>
        </w:tc>
        <w:tc>
          <w:tcPr>
            <w:tcW w:w="1457"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F3C42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bl>
    <w:p w14:paraId="3C58A61A">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49B901CB">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面层水泥混凝土所用水泥的成分应符合下表。</w:t>
      </w:r>
    </w:p>
    <w:tbl>
      <w:tblPr>
        <w:tblStyle w:val="6"/>
        <w:tblW w:w="12071" w:type="dxa"/>
        <w:jc w:val="center"/>
        <w:tblLayout w:type="autofit"/>
        <w:tblCellMar>
          <w:top w:w="0" w:type="dxa"/>
          <w:left w:w="108" w:type="dxa"/>
          <w:bottom w:w="0" w:type="dxa"/>
          <w:right w:w="108" w:type="dxa"/>
        </w:tblCellMar>
      </w:tblPr>
      <w:tblGrid>
        <w:gridCol w:w="722"/>
        <w:gridCol w:w="2976"/>
        <w:gridCol w:w="3260"/>
        <w:gridCol w:w="3261"/>
        <w:gridCol w:w="1852"/>
      </w:tblGrid>
      <w:tr w14:paraId="56FB0949">
        <w:tblPrEx>
          <w:tblCellMar>
            <w:top w:w="0" w:type="dxa"/>
            <w:left w:w="108" w:type="dxa"/>
            <w:bottom w:w="0" w:type="dxa"/>
            <w:right w:w="108" w:type="dxa"/>
          </w:tblCellMar>
        </w:tblPrEx>
        <w:trPr>
          <w:trHeight w:val="510" w:hRule="exact"/>
          <w:jc w:val="center"/>
        </w:trPr>
        <w:tc>
          <w:tcPr>
            <w:tcW w:w="12071" w:type="dxa"/>
            <w:gridSpan w:val="5"/>
            <w:tcBorders>
              <w:top w:val="nil"/>
              <w:left w:val="nil"/>
              <w:bottom w:val="single" w:color="auto" w:sz="12" w:space="0"/>
              <w:right w:val="nil"/>
            </w:tcBorders>
            <w:shd w:val="clear" w:color="000000" w:fill="FFFFFF"/>
            <w:noWrap/>
            <w:vAlign w:val="center"/>
          </w:tcPr>
          <w:p w14:paraId="0B87E498">
            <w:pPr>
              <w:keepNext w:val="0"/>
              <w:keepLines w:val="0"/>
              <w:pageBreakBefore w:val="0"/>
              <w:widowControl/>
              <w:kinsoku/>
              <w:wordWrap/>
              <w:overflowPunct/>
              <w:topLinePunct w:val="0"/>
              <w:bidi w:val="0"/>
              <w:snapToGrid/>
              <w:spacing w:line="288" w:lineRule="auto"/>
              <w:jc w:val="center"/>
              <w:textAlignment w:val="auto"/>
              <w:rPr>
                <w:sz w:val="24"/>
                <w:highlight w:val="none"/>
              </w:rPr>
            </w:pPr>
            <w:r>
              <w:rPr>
                <w:rFonts w:hint="eastAsia"/>
                <w:sz w:val="24"/>
                <w:highlight w:val="none"/>
              </w:rPr>
              <w:t>各交通荷载等级公路面层水泥混凝土用水泥的成分要求</w:t>
            </w:r>
          </w:p>
        </w:tc>
      </w:tr>
      <w:tr w14:paraId="05ABFAB5">
        <w:tblPrEx>
          <w:tblCellMar>
            <w:top w:w="0" w:type="dxa"/>
            <w:left w:w="108" w:type="dxa"/>
            <w:bottom w:w="0" w:type="dxa"/>
            <w:right w:w="108" w:type="dxa"/>
          </w:tblCellMar>
        </w:tblPrEx>
        <w:trPr>
          <w:trHeight w:val="397" w:hRule="atLeast"/>
          <w:jc w:val="center"/>
        </w:trPr>
        <w:tc>
          <w:tcPr>
            <w:tcW w:w="722"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7DA5808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项次</w:t>
            </w:r>
          </w:p>
        </w:tc>
        <w:tc>
          <w:tcPr>
            <w:tcW w:w="2976"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7647A5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水泥成分</w:t>
            </w:r>
          </w:p>
        </w:tc>
        <w:tc>
          <w:tcPr>
            <w:tcW w:w="3260"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F37CBB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极重、特重、重交通荷载等级</w:t>
            </w:r>
          </w:p>
        </w:tc>
        <w:tc>
          <w:tcPr>
            <w:tcW w:w="3261"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74CAEC3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中、轻交通荷载等级</w:t>
            </w:r>
          </w:p>
        </w:tc>
        <w:tc>
          <w:tcPr>
            <w:tcW w:w="1852"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31F3EB8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试验方法</w:t>
            </w:r>
          </w:p>
        </w:tc>
      </w:tr>
      <w:tr w14:paraId="0F3606F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F04D6E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BE8D0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熟料游离氧化钙含量(%)≤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C636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B62990">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1.8</w:t>
            </w:r>
          </w:p>
        </w:tc>
        <w:tc>
          <w:tcPr>
            <w:tcW w:w="1852"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1EA734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GB/T 176</w:t>
            </w:r>
          </w:p>
        </w:tc>
      </w:tr>
      <w:tr w14:paraId="5D7589F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6ABEB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2</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BFA329">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氧化镁含量含量(%)≤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A2E86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596E78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40E3733E">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1C6425A2">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BD952E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6C559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铁铝酸四钙含量(%)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029A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15.0～20.0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5D4B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12.0～20.0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7DD2523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7A3C7BE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2E6519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099D3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铝酸三钙含量(%)≤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7975C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60D837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9.0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53146DD4">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E777CB0">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B7CD0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75DC2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三氧化硫含量(%)≤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50E55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3.5</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B189B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38612D02">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3B557C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C1966F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A8E15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碱含量Na</w:t>
            </w:r>
            <w:r>
              <w:rPr>
                <w:rFonts w:hint="eastAsia"/>
                <w:sz w:val="21"/>
                <w:szCs w:val="21"/>
                <w:highlight w:val="none"/>
                <w:vertAlign w:val="subscript"/>
              </w:rPr>
              <w:t>2</w:t>
            </w:r>
            <w:r>
              <w:rPr>
                <w:rFonts w:hint="eastAsia"/>
                <w:szCs w:val="21"/>
                <w:highlight w:val="none"/>
              </w:rPr>
              <w:t>O+0.658K</w:t>
            </w:r>
            <w:r>
              <w:rPr>
                <w:rFonts w:hint="eastAsia"/>
                <w:sz w:val="21"/>
                <w:szCs w:val="21"/>
                <w:highlight w:val="none"/>
                <w:vertAlign w:val="subscript"/>
              </w:rPr>
              <w:t>2</w:t>
            </w:r>
            <w:r>
              <w:rPr>
                <w:rFonts w:hint="eastAsia"/>
                <w:szCs w:val="21"/>
                <w:highlight w:val="none"/>
              </w:rPr>
              <w:t>O(%)≤</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71D792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0.6</w:t>
            </w:r>
          </w:p>
        </w:tc>
        <w:tc>
          <w:tcPr>
            <w:tcW w:w="3261" w:type="dxa"/>
            <w:tcBorders>
              <w:top w:val="single" w:color="auto" w:sz="6" w:space="0"/>
              <w:left w:val="single" w:color="auto" w:sz="6" w:space="0"/>
              <w:bottom w:val="single" w:color="auto" w:sz="6" w:space="0"/>
              <w:right w:val="single" w:color="auto" w:sz="6" w:space="0"/>
            </w:tcBorders>
            <w:shd w:val="clear" w:color="000000" w:fill="FFFFFF"/>
            <w:vAlign w:val="center"/>
          </w:tcPr>
          <w:p w14:paraId="063701F6">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怀疑集料有碱活性时，0.6；无碱活性集料时，1.0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230405E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6152500C">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E40854F">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66FA6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氯离子含量(%)≤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67B27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4C958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1F026305">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383629DB">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1B05F24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8</w:t>
            </w:r>
          </w:p>
        </w:tc>
        <w:tc>
          <w:tcPr>
            <w:tcW w:w="297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CD86C7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混合材种类</w:t>
            </w:r>
          </w:p>
        </w:tc>
        <w:tc>
          <w:tcPr>
            <w:tcW w:w="3260" w:type="dxa"/>
            <w:tcBorders>
              <w:top w:val="single" w:color="auto" w:sz="6" w:space="0"/>
              <w:left w:val="single" w:color="auto" w:sz="6" w:space="0"/>
              <w:bottom w:val="single" w:color="auto" w:sz="12" w:space="0"/>
              <w:right w:val="single" w:color="auto" w:sz="6" w:space="0"/>
            </w:tcBorders>
            <w:shd w:val="clear" w:color="000000" w:fill="FFFFFF"/>
            <w:vAlign w:val="center"/>
          </w:tcPr>
          <w:p w14:paraId="020F2C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3261" w:type="dxa"/>
            <w:tcBorders>
              <w:top w:val="single" w:color="auto" w:sz="6" w:space="0"/>
              <w:left w:val="single" w:color="auto" w:sz="6" w:space="0"/>
              <w:bottom w:val="single" w:color="auto" w:sz="12" w:space="0"/>
              <w:right w:val="single" w:color="auto" w:sz="6" w:space="0"/>
            </w:tcBorders>
            <w:shd w:val="clear" w:color="000000" w:fill="FFFFFF"/>
            <w:vAlign w:val="center"/>
          </w:tcPr>
          <w:p w14:paraId="5317E3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185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7BFB37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水泥厂提供</w:t>
            </w:r>
          </w:p>
        </w:tc>
      </w:tr>
    </w:tbl>
    <w:p w14:paraId="5B14BD84">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2DF15606">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面层水泥混凝土所用水泥的物理指标应符合下表。</w:t>
      </w:r>
    </w:p>
    <w:tbl>
      <w:tblPr>
        <w:tblStyle w:val="6"/>
        <w:tblW w:w="12132" w:type="dxa"/>
        <w:jc w:val="center"/>
        <w:tblLayout w:type="fixed"/>
        <w:tblCellMar>
          <w:top w:w="0" w:type="dxa"/>
          <w:left w:w="108" w:type="dxa"/>
          <w:bottom w:w="0" w:type="dxa"/>
          <w:right w:w="108" w:type="dxa"/>
        </w:tblCellMar>
      </w:tblPr>
      <w:tblGrid>
        <w:gridCol w:w="725"/>
        <w:gridCol w:w="1417"/>
        <w:gridCol w:w="1559"/>
        <w:gridCol w:w="3365"/>
        <w:gridCol w:w="3365"/>
        <w:gridCol w:w="1701"/>
      </w:tblGrid>
      <w:tr w14:paraId="5B54DB97">
        <w:tblPrEx>
          <w:tblCellMar>
            <w:top w:w="0" w:type="dxa"/>
            <w:left w:w="108" w:type="dxa"/>
            <w:bottom w:w="0" w:type="dxa"/>
            <w:right w:w="108" w:type="dxa"/>
          </w:tblCellMar>
        </w:tblPrEx>
        <w:trPr>
          <w:trHeight w:val="510" w:hRule="exact"/>
          <w:jc w:val="center"/>
        </w:trPr>
        <w:tc>
          <w:tcPr>
            <w:tcW w:w="12132" w:type="dxa"/>
            <w:gridSpan w:val="6"/>
            <w:tcBorders>
              <w:top w:val="nil"/>
              <w:left w:val="nil"/>
              <w:bottom w:val="single" w:color="auto" w:sz="12" w:space="0"/>
              <w:right w:val="nil"/>
            </w:tcBorders>
            <w:shd w:val="clear" w:color="000000" w:fill="FFFFFF"/>
            <w:noWrap/>
            <w:vAlign w:val="center"/>
          </w:tcPr>
          <w:p w14:paraId="55F289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bookmarkStart w:id="3" w:name="_Hlk48130536"/>
            <w:r>
              <w:rPr>
                <w:rFonts w:hint="eastAsia" w:ascii="宋体" w:hAnsi="宋体" w:cs="宋体"/>
                <w:kern w:val="0"/>
                <w:sz w:val="24"/>
                <w:highlight w:val="none"/>
              </w:rPr>
              <w:t>各交通荷载等级公路面层水泥混凝土用水泥的物理指标要求</w:t>
            </w:r>
          </w:p>
        </w:tc>
      </w:tr>
      <w:tr w14:paraId="6BCCB942">
        <w:tblPrEx>
          <w:tblCellMar>
            <w:top w:w="0" w:type="dxa"/>
            <w:left w:w="108" w:type="dxa"/>
            <w:bottom w:w="0" w:type="dxa"/>
            <w:right w:w="108" w:type="dxa"/>
          </w:tblCellMar>
        </w:tblPrEx>
        <w:trPr>
          <w:trHeight w:val="397" w:hRule="atLeast"/>
          <w:jc w:val="center"/>
        </w:trPr>
        <w:tc>
          <w:tcPr>
            <w:tcW w:w="725"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093EAE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项次</w:t>
            </w:r>
          </w:p>
        </w:tc>
        <w:tc>
          <w:tcPr>
            <w:tcW w:w="2976"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5F180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水泥物理性能</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04607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极重、特重、重交通荷载等级</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534BAF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中、轻交通荷载等级</w:t>
            </w:r>
          </w:p>
        </w:tc>
        <w:tc>
          <w:tcPr>
            <w:tcW w:w="1701"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26A007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D39A77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324D23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B6C8D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出磨时安定性</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55FB46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雷氏夹和蒸煮法检验均必须合格</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715D2B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蒸煮法检验必须合格</w:t>
            </w:r>
          </w:p>
        </w:tc>
        <w:tc>
          <w:tcPr>
            <w:tcW w:w="1701"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580DD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T0505</w:t>
            </w:r>
          </w:p>
        </w:tc>
      </w:tr>
      <w:tr w14:paraId="0BDFAF79">
        <w:tblPrEx>
          <w:tblCellMar>
            <w:top w:w="0" w:type="dxa"/>
            <w:left w:w="108" w:type="dxa"/>
            <w:bottom w:w="0" w:type="dxa"/>
            <w:right w:w="108" w:type="dxa"/>
          </w:tblCellMar>
        </w:tblPrEx>
        <w:trPr>
          <w:trHeight w:val="397" w:hRule="atLeast"/>
          <w:jc w:val="center"/>
        </w:trPr>
        <w:tc>
          <w:tcPr>
            <w:tcW w:w="725"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23231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417" w:type="dxa"/>
            <w:vMerge w:val="restart"/>
            <w:tcBorders>
              <w:top w:val="single" w:color="auto" w:sz="6" w:space="0"/>
              <w:left w:val="single" w:color="auto" w:sz="6" w:space="0"/>
              <w:bottom w:val="single" w:color="auto" w:sz="6" w:space="0"/>
              <w:right w:val="single" w:color="auto" w:sz="6" w:space="0"/>
            </w:tcBorders>
            <w:shd w:val="clear" w:color="000000" w:fill="FFFFFF"/>
            <w:noWrap/>
            <w:vAlign w:val="center"/>
          </w:tcPr>
          <w:p w14:paraId="6F46736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凝结时间(h)</w:t>
            </w: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67E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初凝时间≥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30B03F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7B5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0.75</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7B91133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343D55A">
        <w:tblPrEx>
          <w:tblCellMar>
            <w:top w:w="0" w:type="dxa"/>
            <w:left w:w="108" w:type="dxa"/>
            <w:bottom w:w="0" w:type="dxa"/>
            <w:right w:w="108" w:type="dxa"/>
          </w:tblCellMar>
        </w:tblPrEx>
        <w:trPr>
          <w:trHeight w:val="397" w:hRule="atLeast"/>
          <w:jc w:val="center"/>
        </w:trPr>
        <w:tc>
          <w:tcPr>
            <w:tcW w:w="725" w:type="dxa"/>
            <w:vMerge w:val="continue"/>
            <w:tcBorders>
              <w:top w:val="single" w:color="auto" w:sz="6" w:space="0"/>
              <w:left w:val="single" w:color="auto" w:sz="12" w:space="0"/>
              <w:bottom w:val="single" w:color="auto" w:sz="6" w:space="0"/>
              <w:right w:val="single" w:color="auto" w:sz="6" w:space="0"/>
            </w:tcBorders>
            <w:vAlign w:val="center"/>
          </w:tcPr>
          <w:p w14:paraId="66FD7818">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1D5272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9574CC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终凝时间≤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AFAB24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3486D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5FBBB8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7F4EAA2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5E25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4D2FE4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标准稠度需水量(%)≤</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2F93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E0D2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1960166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6A4373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C714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5D2BD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比表面积(m</w:t>
            </w:r>
            <w:r>
              <w:rPr>
                <w:rFonts w:hint="eastAsia" w:ascii="宋体" w:hAnsi="宋体" w:cs="宋体"/>
                <w:kern w:val="0"/>
                <w:szCs w:val="21"/>
                <w:highlight w:val="none"/>
                <w:vertAlign w:val="superscript"/>
              </w:rPr>
              <w:t>2</w:t>
            </w:r>
            <w:r>
              <w:rPr>
                <w:rFonts w:hint="eastAsia" w:ascii="宋体" w:hAnsi="宋体" w:cs="宋体"/>
                <w:kern w:val="0"/>
                <w:szCs w:val="21"/>
                <w:highlight w:val="none"/>
              </w:rPr>
              <w:t>/kg)</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0167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C5D22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496720A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T0504</w:t>
            </w:r>
          </w:p>
        </w:tc>
      </w:tr>
      <w:tr w14:paraId="6FC48F0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19438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13605F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细度(80μm筛余)(%)≤</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F3E5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EA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2F8F55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T0502</w:t>
            </w:r>
          </w:p>
        </w:tc>
      </w:tr>
      <w:tr w14:paraId="43F670E4">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9B1FD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1D0E8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28d干缩率(%)≤</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26CE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0.09</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4660AB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7D3BC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T0511</w:t>
            </w:r>
          </w:p>
        </w:tc>
      </w:tr>
      <w:tr w14:paraId="2B391EC3">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45C9C1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976"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27299A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耐磨性(kg/m2)≤</w:t>
            </w:r>
          </w:p>
        </w:tc>
        <w:tc>
          <w:tcPr>
            <w:tcW w:w="3365"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F1EAE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3365" w:type="dxa"/>
            <w:tcBorders>
              <w:top w:val="single" w:color="auto" w:sz="6" w:space="0"/>
              <w:left w:val="single" w:color="auto" w:sz="6" w:space="0"/>
              <w:bottom w:val="single" w:color="auto" w:sz="12" w:space="0"/>
              <w:right w:val="single" w:color="auto" w:sz="6" w:space="0"/>
            </w:tcBorders>
            <w:shd w:val="clear" w:color="000000" w:fill="FFFFFF"/>
            <w:vAlign w:val="center"/>
          </w:tcPr>
          <w:p w14:paraId="329626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701"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645886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T0510</w:t>
            </w:r>
          </w:p>
        </w:tc>
      </w:tr>
    </w:tbl>
    <w:p w14:paraId="2301F457">
      <w:pPr>
        <w:keepNext w:val="0"/>
        <w:keepLines w:val="0"/>
        <w:pageBreakBefore w:val="0"/>
        <w:kinsoku/>
        <w:wordWrap/>
        <w:overflowPunct/>
        <w:topLinePunct w:val="0"/>
        <w:bidi w:val="0"/>
        <w:adjustRightInd w:val="0"/>
        <w:snapToGrid/>
        <w:spacing w:line="288" w:lineRule="auto"/>
        <w:ind w:right="53" w:rightChars="25" w:firstLine="498" w:firstLineChars="200"/>
        <w:textAlignment w:val="auto"/>
        <w:rPr>
          <w:rFonts w:ascii="宋体" w:hAnsi="宋体"/>
          <w:b/>
          <w:spacing w:val="4"/>
          <w:sz w:val="24"/>
          <w:highlight w:val="none"/>
        </w:rPr>
      </w:pPr>
    </w:p>
    <w:p w14:paraId="1295711B">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b/>
          <w:bCs/>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 xml:space="preserve">.2 </w:t>
      </w:r>
      <w:r>
        <w:rPr>
          <w:rFonts w:hint="eastAsia"/>
          <w:b/>
          <w:bCs/>
          <w:sz w:val="28"/>
          <w:szCs w:val="28"/>
          <w:highlight w:val="none"/>
        </w:rPr>
        <w:t>粗集料</w:t>
      </w:r>
    </w:p>
    <w:bookmarkEnd w:id="3"/>
    <w:p w14:paraId="55B38F1C">
      <w:pPr>
        <w:keepNext w:val="0"/>
        <w:keepLines w:val="0"/>
        <w:pageBreakBefore w:val="0"/>
        <w:kinsoku/>
        <w:wordWrap/>
        <w:overflowPunct/>
        <w:topLinePunct w:val="0"/>
        <w:bidi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水泥混凝土路面用的粗集料应使用质地坚硬、耐久、干净的</w:t>
      </w:r>
      <w:r>
        <w:rPr>
          <w:rFonts w:hint="eastAsia" w:ascii="宋体" w:hAnsi="宋体"/>
          <w:spacing w:val="4"/>
          <w:sz w:val="24"/>
          <w:highlight w:val="none"/>
          <w:lang w:eastAsia="zh-CN"/>
        </w:rPr>
        <w:t>碎石</w:t>
      </w:r>
      <w:r>
        <w:rPr>
          <w:rFonts w:hint="eastAsia" w:ascii="宋体" w:hAnsi="宋体"/>
          <w:spacing w:val="4"/>
          <w:sz w:val="24"/>
          <w:highlight w:val="none"/>
        </w:rPr>
        <w:t>。特重、重交通荷载等级公路面层混凝土用粗集料质量不应低于下表Ⅱ级的要求；中、轻交通荷载等级公路面层混凝土可使用Ⅲ级粗集料。</w:t>
      </w:r>
    </w:p>
    <w:tbl>
      <w:tblPr>
        <w:tblStyle w:val="6"/>
        <w:tblW w:w="11640" w:type="dxa"/>
        <w:jc w:val="center"/>
        <w:tblLayout w:type="fixed"/>
        <w:tblCellMar>
          <w:top w:w="0" w:type="dxa"/>
          <w:left w:w="108" w:type="dxa"/>
          <w:bottom w:w="0" w:type="dxa"/>
          <w:right w:w="108" w:type="dxa"/>
        </w:tblCellMar>
      </w:tblPr>
      <w:tblGrid>
        <w:gridCol w:w="2694"/>
        <w:gridCol w:w="1701"/>
        <w:gridCol w:w="1779"/>
        <w:gridCol w:w="1780"/>
        <w:gridCol w:w="1780"/>
        <w:gridCol w:w="1906"/>
      </w:tblGrid>
      <w:tr w14:paraId="4FBF3FD4">
        <w:tblPrEx>
          <w:tblCellMar>
            <w:top w:w="0" w:type="dxa"/>
            <w:left w:w="108" w:type="dxa"/>
            <w:bottom w:w="0" w:type="dxa"/>
            <w:right w:w="108" w:type="dxa"/>
          </w:tblCellMar>
        </w:tblPrEx>
        <w:trPr>
          <w:trHeight w:val="510" w:hRule="exact"/>
          <w:jc w:val="center"/>
        </w:trPr>
        <w:tc>
          <w:tcPr>
            <w:tcW w:w="11640" w:type="dxa"/>
            <w:gridSpan w:val="6"/>
            <w:tcBorders>
              <w:top w:val="nil"/>
              <w:left w:val="nil"/>
              <w:bottom w:val="single" w:color="auto" w:sz="12" w:space="0"/>
              <w:right w:val="nil"/>
            </w:tcBorders>
            <w:shd w:val="clear" w:color="000000" w:fill="FFFFFF"/>
            <w:noWrap/>
            <w:vAlign w:val="center"/>
          </w:tcPr>
          <w:p w14:paraId="1B9629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lang w:eastAsia="zh-CN"/>
              </w:rPr>
              <w:t>碎石</w:t>
            </w:r>
            <w:r>
              <w:rPr>
                <w:rFonts w:hint="eastAsia" w:ascii="宋体" w:hAnsi="宋体" w:cs="宋体"/>
                <w:kern w:val="0"/>
                <w:sz w:val="24"/>
                <w:highlight w:val="none"/>
              </w:rPr>
              <w:t>、破碎卵石和卵石质量标准</w:t>
            </w:r>
          </w:p>
        </w:tc>
      </w:tr>
      <w:tr w14:paraId="53B5D831">
        <w:tblPrEx>
          <w:tblCellMar>
            <w:top w:w="0" w:type="dxa"/>
            <w:left w:w="108" w:type="dxa"/>
            <w:bottom w:w="0" w:type="dxa"/>
            <w:right w:w="108" w:type="dxa"/>
          </w:tblCellMar>
        </w:tblPrEx>
        <w:trPr>
          <w:trHeight w:val="397" w:hRule="atLeast"/>
          <w:jc w:val="center"/>
        </w:trPr>
        <w:tc>
          <w:tcPr>
            <w:tcW w:w="4395"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20DC8F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5339"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14463EE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190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485F4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3A45978">
        <w:tblPrEx>
          <w:tblCellMar>
            <w:top w:w="0" w:type="dxa"/>
            <w:left w:w="108" w:type="dxa"/>
            <w:bottom w:w="0" w:type="dxa"/>
            <w:right w:w="108" w:type="dxa"/>
          </w:tblCellMar>
        </w:tblPrEx>
        <w:trPr>
          <w:trHeight w:val="397" w:hRule="atLeast"/>
          <w:jc w:val="center"/>
        </w:trPr>
        <w:tc>
          <w:tcPr>
            <w:tcW w:w="4395" w:type="dxa"/>
            <w:gridSpan w:val="2"/>
            <w:vMerge w:val="continue"/>
            <w:tcBorders>
              <w:top w:val="single" w:color="auto" w:sz="6" w:space="0"/>
              <w:left w:val="single" w:color="auto" w:sz="12" w:space="0"/>
              <w:bottom w:val="single" w:color="auto" w:sz="6" w:space="0"/>
              <w:right w:val="single" w:color="auto" w:sz="6" w:space="0"/>
            </w:tcBorders>
            <w:vAlign w:val="center"/>
          </w:tcPr>
          <w:p w14:paraId="71A2C419">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293F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BDE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4CEB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724CE56D">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A9061AC">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36EAF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lang w:eastAsia="zh-CN"/>
              </w:rPr>
              <w:t>碎石</w:t>
            </w:r>
            <w:r>
              <w:rPr>
                <w:rFonts w:hint="eastAsia" w:ascii="宋体" w:hAnsi="宋体" w:cs="宋体"/>
                <w:kern w:val="0"/>
                <w:szCs w:val="21"/>
                <w:highlight w:val="none"/>
              </w:rPr>
              <w:t>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342B8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77B7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4D66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5574B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735DB16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D0222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卵石压碎值(%)≤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97EF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0B87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D36B8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DBFF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6CC5AD7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DCDEB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320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54FA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5C83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595A6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T0314</w:t>
            </w:r>
          </w:p>
        </w:tc>
      </w:tr>
      <w:tr w14:paraId="7D067367">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946AF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针片状颗粒含量(按质量计)(%)≤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FC86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5D6088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4F48D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A59B4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T0311</w:t>
            </w:r>
          </w:p>
        </w:tc>
      </w:tr>
      <w:tr w14:paraId="5CAFE4A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AA862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151D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1F17A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37458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58733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3D850A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0DEC0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054B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D1D1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47505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73E8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AD48F0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69366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0BFA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25DFC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CB87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0B3E9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T0307</w:t>
            </w:r>
          </w:p>
        </w:tc>
      </w:tr>
      <w:tr w14:paraId="4C1772D6">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19148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576F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795ED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E28C7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93BD7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14685</w:t>
            </w:r>
          </w:p>
        </w:tc>
      </w:tr>
      <w:tr w14:paraId="483E3D35">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C1590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洛杉矶磨耗损失(%)≤</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22DB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1773C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E7CDA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51003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T0317</w:t>
            </w:r>
          </w:p>
        </w:tc>
      </w:tr>
      <w:tr w14:paraId="7E17E42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9BE94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27DF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0348E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75ABD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A8F11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T0313</w:t>
            </w:r>
          </w:p>
        </w:tc>
      </w:tr>
      <w:tr w14:paraId="3B7B9BFB">
        <w:tblPrEx>
          <w:tblCellMar>
            <w:top w:w="0" w:type="dxa"/>
            <w:left w:w="108" w:type="dxa"/>
            <w:bottom w:w="0" w:type="dxa"/>
            <w:right w:w="108" w:type="dxa"/>
          </w:tblCellMar>
        </w:tblPrEx>
        <w:trPr>
          <w:trHeight w:val="397" w:hRule="atLeast"/>
          <w:jc w:val="center"/>
        </w:trPr>
        <w:tc>
          <w:tcPr>
            <w:tcW w:w="2694"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5002E5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岩石抗压强度(Mpa)≥</w:t>
            </w: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EC70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岩浆岩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03021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90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8F39E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0722F606">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221EB04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2C41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变质岩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65249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1D15DA0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CB408DE">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569FDD8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40C2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沉积岩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49E7B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636339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2531742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6FFB3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C3D9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680656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T0308</w:t>
            </w:r>
          </w:p>
        </w:tc>
      </w:tr>
      <w:tr w14:paraId="60147B88">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38F5C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182C1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1350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156AD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43EF4B7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A2C75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3AB9C3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F82E6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6567B17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77784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磨光值(%)≤</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47E19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9A9A80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42D96AD9">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37630E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5339"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14A3CD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190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B44B5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233E1A88">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p>
    <w:p w14:paraId="79D7855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粗集料与再生粗集料应根据混凝土配合比的公称粒径分为2～4个单粒级的集料，并掺配使用。粗集料与再生粗集料的合成级配及单粒级级配范围宜符合下表要求。不得使用不分级的统料。</w:t>
      </w:r>
    </w:p>
    <w:tbl>
      <w:tblPr>
        <w:tblStyle w:val="6"/>
        <w:tblW w:w="12089" w:type="dxa"/>
        <w:jc w:val="center"/>
        <w:tblLayout w:type="autofit"/>
        <w:tblCellMar>
          <w:top w:w="0" w:type="dxa"/>
          <w:left w:w="108" w:type="dxa"/>
          <w:bottom w:w="0" w:type="dxa"/>
          <w:right w:w="108" w:type="dxa"/>
        </w:tblCellMar>
      </w:tblPr>
      <w:tblGrid>
        <w:gridCol w:w="721"/>
        <w:gridCol w:w="1701"/>
        <w:gridCol w:w="1014"/>
        <w:gridCol w:w="1015"/>
        <w:gridCol w:w="1014"/>
        <w:gridCol w:w="1015"/>
        <w:gridCol w:w="1014"/>
        <w:gridCol w:w="1015"/>
        <w:gridCol w:w="1014"/>
        <w:gridCol w:w="1015"/>
        <w:gridCol w:w="1551"/>
      </w:tblGrid>
      <w:tr w14:paraId="41D930A4">
        <w:tblPrEx>
          <w:tblCellMar>
            <w:top w:w="0" w:type="dxa"/>
            <w:left w:w="108" w:type="dxa"/>
            <w:bottom w:w="0" w:type="dxa"/>
            <w:right w:w="108" w:type="dxa"/>
          </w:tblCellMar>
        </w:tblPrEx>
        <w:trPr>
          <w:trHeight w:val="510" w:hRule="exact"/>
          <w:jc w:val="center"/>
        </w:trPr>
        <w:tc>
          <w:tcPr>
            <w:tcW w:w="12089" w:type="dxa"/>
            <w:gridSpan w:val="11"/>
            <w:tcBorders>
              <w:top w:val="nil"/>
              <w:left w:val="nil"/>
              <w:bottom w:val="single" w:color="auto" w:sz="12" w:space="0"/>
              <w:right w:val="nil"/>
            </w:tcBorders>
            <w:shd w:val="clear" w:color="000000" w:fill="FFFFFF"/>
            <w:noWrap/>
            <w:vAlign w:val="center"/>
          </w:tcPr>
          <w:p w14:paraId="3C4CA4C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粗集料与再生粗集料级配范围</w:t>
            </w:r>
          </w:p>
        </w:tc>
      </w:tr>
      <w:tr w14:paraId="65CA3B12">
        <w:tblPrEx>
          <w:tblCellMar>
            <w:top w:w="0" w:type="dxa"/>
            <w:left w:w="108" w:type="dxa"/>
            <w:bottom w:w="0" w:type="dxa"/>
            <w:right w:w="108" w:type="dxa"/>
          </w:tblCellMar>
        </w:tblPrEx>
        <w:trPr>
          <w:trHeight w:val="397" w:hRule="atLeast"/>
          <w:jc w:val="center"/>
        </w:trPr>
        <w:tc>
          <w:tcPr>
            <w:tcW w:w="242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3C0080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DCEF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6224A72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2924F1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35F429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467CE97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19</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2248F9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5AAE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04A849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37.5</w:t>
            </w:r>
          </w:p>
        </w:tc>
        <w:tc>
          <w:tcPr>
            <w:tcW w:w="155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14E6E8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43F9A03C">
        <w:tblPrEx>
          <w:tblCellMar>
            <w:top w:w="0" w:type="dxa"/>
            <w:left w:w="108" w:type="dxa"/>
            <w:bottom w:w="0" w:type="dxa"/>
            <w:right w:w="108" w:type="dxa"/>
          </w:tblCellMar>
        </w:tblPrEx>
        <w:trPr>
          <w:trHeight w:val="397" w:hRule="atLeast"/>
          <w:jc w:val="center"/>
        </w:trPr>
        <w:tc>
          <w:tcPr>
            <w:tcW w:w="24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A57BFB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11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4218C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8A0F2F7">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35B7C03">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EBEFC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合成</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33696C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3359E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CB3E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506F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3F53DA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07EBB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03FC4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65DD61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AA5C7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73DD6C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T0302</w:t>
            </w:r>
          </w:p>
        </w:tc>
      </w:tr>
      <w:tr w14:paraId="733FEA8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E8283C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3E481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795B9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910B0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7B03F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5C94C8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30～45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D6266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C603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2F92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E6589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164A5CB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67C75D3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3E270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268F4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F9D94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BB520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9340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70～90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9AFC0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285D5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CC5CB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93A6C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580D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　</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7B52EC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4BF3549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6FE298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63F8D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4.75～31.5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9CA74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8095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45F25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21CA1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D6B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AA4D7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20～35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7348DE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5D974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4EEFF61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CCAF0DB">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7A40BA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单粒级</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146467C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AFC2A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589281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47B781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A4791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AA123D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3022C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460DD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1ECE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0F971E9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BA43CBD">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0E389806">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6109CE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14F47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B1D1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B408C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0D8DE8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6E736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8F95B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31EA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D4E47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ACFE0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10AF48F9">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4FA055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49EA2F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7543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F4698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C097A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67C51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64143F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6023C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FED06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6DFFD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6E7ED66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038C0A7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13BA3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4E57C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B32BA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A6D3F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9C9DA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58D70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201CE7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4D1FD1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26AFD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15BBF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434287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67118EA2">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12" w:space="0"/>
              <w:right w:val="single" w:color="auto" w:sz="6" w:space="0"/>
            </w:tcBorders>
            <w:vAlign w:val="center"/>
          </w:tcPr>
          <w:p w14:paraId="4619CAB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12" w:space="0"/>
              <w:right w:val="single" w:color="auto" w:sz="6" w:space="0"/>
            </w:tcBorders>
            <w:shd w:val="clear" w:color="000000" w:fill="FFFFFF"/>
            <w:vAlign w:val="center"/>
          </w:tcPr>
          <w:p w14:paraId="75A1B8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16～31.5</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001B03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28F8354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6236CB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7E9970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51A4C0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64DFCD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4808F3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3CFB88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12" w:space="0"/>
              <w:right w:val="single" w:color="auto" w:sz="12" w:space="0"/>
            </w:tcBorders>
            <w:vAlign w:val="center"/>
          </w:tcPr>
          <w:p w14:paraId="4019E43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rPr>
            </w:pPr>
          </w:p>
        </w:tc>
      </w:tr>
    </w:tbl>
    <w:p w14:paraId="2B4354C7">
      <w:pPr>
        <w:keepNext w:val="0"/>
        <w:keepLines w:val="0"/>
        <w:pageBreakBefore w:val="0"/>
        <w:kinsoku/>
        <w:wordWrap/>
        <w:overflowPunct/>
        <w:topLinePunct w:val="0"/>
        <w:bidi w:val="0"/>
        <w:snapToGrid/>
        <w:spacing w:line="288" w:lineRule="auto"/>
        <w:ind w:firstLine="480" w:firstLineChars="200"/>
        <w:textAlignment w:val="auto"/>
        <w:rPr>
          <w:rFonts w:ascii="宋体" w:hAnsi="宋体"/>
          <w:sz w:val="24"/>
          <w:highlight w:val="yellow"/>
        </w:rPr>
      </w:pPr>
    </w:p>
    <w:p w14:paraId="75802BF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3</w:t>
      </w:r>
      <w:r>
        <w:rPr>
          <w:rFonts w:hint="eastAsia"/>
          <w:b/>
          <w:bCs/>
          <w:sz w:val="28"/>
          <w:szCs w:val="28"/>
          <w:highlight w:val="none"/>
        </w:rPr>
        <w:t>细集料</w:t>
      </w:r>
    </w:p>
    <w:p w14:paraId="0BFD1D0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细集料应使用质地坚硬、耐久、洁净的天然砂或机制砂，不宜使用再生细集料。极重、特重、重交通荷载等级公路面层水泥混凝土用天然砂的质量标准不应低于下表Ⅱ级，中、轻交通荷载等级公路面层水泥混凝土可使用Ⅲ级天然砂。</w:t>
      </w:r>
    </w:p>
    <w:p w14:paraId="2C7729AC">
      <w:pPr>
        <w:keepNext w:val="0"/>
        <w:keepLines w:val="0"/>
        <w:pageBreakBefore w:val="0"/>
        <w:kinsoku/>
        <w:wordWrap/>
        <w:overflowPunct/>
        <w:topLinePunct w:val="0"/>
        <w:bidi w:val="0"/>
        <w:adjustRightInd w:val="0"/>
        <w:snapToGrid/>
        <w:spacing w:line="288" w:lineRule="auto"/>
        <w:ind w:right="-126" w:rightChars="-60" w:firstLine="496" w:firstLineChars="200"/>
        <w:jc w:val="left"/>
        <w:textAlignment w:val="auto"/>
        <w:rPr>
          <w:rFonts w:ascii="宋体" w:hAnsi="宋体"/>
          <w:spacing w:val="4"/>
          <w:sz w:val="24"/>
          <w:highlight w:val="none"/>
        </w:rPr>
      </w:pPr>
    </w:p>
    <w:tbl>
      <w:tblPr>
        <w:tblStyle w:val="6"/>
        <w:tblW w:w="11498" w:type="dxa"/>
        <w:jc w:val="center"/>
        <w:tblLayout w:type="fixed"/>
        <w:tblCellMar>
          <w:top w:w="0" w:type="dxa"/>
          <w:left w:w="108" w:type="dxa"/>
          <w:bottom w:w="0" w:type="dxa"/>
          <w:right w:w="108" w:type="dxa"/>
        </w:tblCellMar>
      </w:tblPr>
      <w:tblGrid>
        <w:gridCol w:w="4411"/>
        <w:gridCol w:w="1561"/>
        <w:gridCol w:w="1562"/>
        <w:gridCol w:w="1562"/>
        <w:gridCol w:w="2402"/>
      </w:tblGrid>
      <w:tr w14:paraId="4E3731FC">
        <w:tblPrEx>
          <w:tblCellMar>
            <w:top w:w="0" w:type="dxa"/>
            <w:left w:w="108" w:type="dxa"/>
            <w:bottom w:w="0" w:type="dxa"/>
            <w:right w:w="108" w:type="dxa"/>
          </w:tblCellMar>
        </w:tblPrEx>
        <w:trPr>
          <w:trHeight w:val="510" w:hRule="exact"/>
          <w:jc w:val="center"/>
        </w:trPr>
        <w:tc>
          <w:tcPr>
            <w:tcW w:w="11498" w:type="dxa"/>
            <w:gridSpan w:val="5"/>
            <w:tcBorders>
              <w:top w:val="nil"/>
              <w:left w:val="nil"/>
              <w:bottom w:val="single" w:color="auto" w:sz="12" w:space="0"/>
              <w:right w:val="nil"/>
            </w:tcBorders>
            <w:shd w:val="clear" w:color="000000" w:fill="FFFFFF"/>
            <w:noWrap/>
            <w:vAlign w:val="center"/>
          </w:tcPr>
          <w:p w14:paraId="59C152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天然砂的质量标准</w:t>
            </w:r>
          </w:p>
        </w:tc>
      </w:tr>
      <w:tr w14:paraId="6BB0C5B5">
        <w:tblPrEx>
          <w:tblCellMar>
            <w:top w:w="0" w:type="dxa"/>
            <w:left w:w="108" w:type="dxa"/>
            <w:bottom w:w="0" w:type="dxa"/>
            <w:right w:w="108" w:type="dxa"/>
          </w:tblCellMar>
        </w:tblPrEx>
        <w:trPr>
          <w:trHeight w:val="397" w:hRule="atLeast"/>
          <w:jc w:val="center"/>
        </w:trPr>
        <w:tc>
          <w:tcPr>
            <w:tcW w:w="4411" w:type="dxa"/>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0B8747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68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048E6B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402"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D3A7B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77713720">
        <w:tblPrEx>
          <w:tblCellMar>
            <w:top w:w="0" w:type="dxa"/>
            <w:left w:w="108" w:type="dxa"/>
            <w:bottom w:w="0" w:type="dxa"/>
            <w:right w:w="108" w:type="dxa"/>
          </w:tblCellMar>
        </w:tblPrEx>
        <w:trPr>
          <w:trHeight w:val="397" w:hRule="atLeast"/>
          <w:jc w:val="center"/>
        </w:trPr>
        <w:tc>
          <w:tcPr>
            <w:tcW w:w="4411" w:type="dxa"/>
            <w:vMerge w:val="continue"/>
            <w:tcBorders>
              <w:top w:val="single" w:color="auto" w:sz="6" w:space="0"/>
              <w:left w:val="single" w:color="auto" w:sz="12" w:space="0"/>
              <w:bottom w:val="single" w:color="auto" w:sz="6" w:space="0"/>
              <w:right w:val="single" w:color="auto" w:sz="6" w:space="0"/>
            </w:tcBorders>
            <w:vAlign w:val="center"/>
          </w:tcPr>
          <w:p w14:paraId="4046A0C5">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4524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B6F5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C415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402" w:type="dxa"/>
            <w:vMerge w:val="continue"/>
            <w:tcBorders>
              <w:top w:val="single" w:color="auto" w:sz="6" w:space="0"/>
              <w:left w:val="single" w:color="auto" w:sz="6" w:space="0"/>
              <w:bottom w:val="single" w:color="auto" w:sz="6" w:space="0"/>
              <w:right w:val="single" w:color="auto" w:sz="12" w:space="0"/>
            </w:tcBorders>
            <w:vAlign w:val="center"/>
          </w:tcPr>
          <w:p w14:paraId="33CCCDE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630F4D">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53B2E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DD45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41D5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FF0A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A5693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736C016E">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16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EAB9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7C6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0581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1BC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T0333</w:t>
            </w:r>
          </w:p>
        </w:tc>
      </w:tr>
      <w:tr w14:paraId="41CF772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DA95C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20FD7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DB5FF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61CE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6964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5D6C241B">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4A12A6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8979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DA06C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B92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5DFE4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3F8CC5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B0255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B3B3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05231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8DF6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A2DCF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0D8A94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B7DE2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5C76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9676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72C0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D82D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418AA10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225FF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海砂中的贝壳类物质含量(按质量计)(%)≤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3F5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AC67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FC06C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A8CBB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206</w:t>
            </w:r>
          </w:p>
        </w:tc>
      </w:tr>
      <w:tr w14:paraId="71CB1D03">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1BF0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DB3F4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29EA2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29235747">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4A378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63DA47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2450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436FD7F5">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AD96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C7E589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BC4762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5276ABBC">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1653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305B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F25B3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FE697E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7587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E5A4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56A3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0C34BF0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9EBBB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03A5D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38F17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A65C7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2F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6916C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65125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r w14:paraId="6FD24FB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69DCA3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结晶态二氧化硅含量(%)≥</w:t>
            </w:r>
          </w:p>
        </w:tc>
        <w:tc>
          <w:tcPr>
            <w:tcW w:w="468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51F374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240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D3972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T0324</w:t>
            </w:r>
          </w:p>
        </w:tc>
      </w:tr>
    </w:tbl>
    <w:p w14:paraId="234F6FD2">
      <w:pPr>
        <w:keepNext w:val="0"/>
        <w:keepLines w:val="0"/>
        <w:pageBreakBefore w:val="0"/>
        <w:kinsoku/>
        <w:wordWrap/>
        <w:overflowPunct/>
        <w:topLinePunct w:val="0"/>
        <w:bidi w:val="0"/>
        <w:snapToGrid/>
        <w:spacing w:line="288" w:lineRule="auto"/>
        <w:ind w:firstLine="600" w:firstLineChars="250"/>
        <w:textAlignment w:val="auto"/>
        <w:rPr>
          <w:sz w:val="24"/>
          <w:highlight w:val="none"/>
        </w:rPr>
      </w:pPr>
      <w:r>
        <w:rPr>
          <w:rFonts w:hint="eastAsia"/>
          <w:sz w:val="24"/>
          <w:highlight w:val="none"/>
        </w:rPr>
        <w:t>天然砂的级配范围宜符合下表规定。面层水泥混凝土使用的天然砂细度模数宜在2.0～3.7之间。</w:t>
      </w:r>
    </w:p>
    <w:tbl>
      <w:tblPr>
        <w:tblStyle w:val="6"/>
        <w:tblW w:w="11958" w:type="dxa"/>
        <w:jc w:val="center"/>
        <w:tblLayout w:type="autofit"/>
        <w:tblCellMar>
          <w:top w:w="0" w:type="dxa"/>
          <w:left w:w="108" w:type="dxa"/>
          <w:bottom w:w="0" w:type="dxa"/>
          <w:right w:w="108" w:type="dxa"/>
        </w:tblCellMar>
      </w:tblPr>
      <w:tblGrid>
        <w:gridCol w:w="889"/>
        <w:gridCol w:w="1202"/>
        <w:gridCol w:w="1040"/>
        <w:gridCol w:w="1041"/>
        <w:gridCol w:w="1041"/>
        <w:gridCol w:w="1041"/>
        <w:gridCol w:w="1040"/>
        <w:gridCol w:w="1041"/>
        <w:gridCol w:w="1041"/>
        <w:gridCol w:w="1041"/>
        <w:gridCol w:w="1541"/>
      </w:tblGrid>
      <w:tr w14:paraId="1C7BCBC3">
        <w:tblPrEx>
          <w:tblCellMar>
            <w:top w:w="0" w:type="dxa"/>
            <w:left w:w="108" w:type="dxa"/>
            <w:bottom w:w="0" w:type="dxa"/>
            <w:right w:w="108" w:type="dxa"/>
          </w:tblCellMar>
        </w:tblPrEx>
        <w:trPr>
          <w:trHeight w:val="510" w:hRule="exact"/>
          <w:jc w:val="center"/>
        </w:trPr>
        <w:tc>
          <w:tcPr>
            <w:tcW w:w="11958" w:type="dxa"/>
            <w:gridSpan w:val="11"/>
            <w:tcBorders>
              <w:top w:val="nil"/>
              <w:left w:val="nil"/>
              <w:bottom w:val="single" w:color="auto" w:sz="12" w:space="0"/>
              <w:right w:val="nil"/>
            </w:tcBorders>
            <w:shd w:val="clear" w:color="000000" w:fill="FFFFFF"/>
            <w:noWrap/>
            <w:vAlign w:val="center"/>
          </w:tcPr>
          <w:p w14:paraId="4BC663F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天然砂级配范围</w:t>
            </w:r>
          </w:p>
        </w:tc>
      </w:tr>
      <w:tr w14:paraId="66AB70F5">
        <w:tblPrEx>
          <w:tblCellMar>
            <w:top w:w="0" w:type="dxa"/>
            <w:left w:w="108" w:type="dxa"/>
            <w:bottom w:w="0" w:type="dxa"/>
            <w:right w:w="108" w:type="dxa"/>
          </w:tblCellMar>
        </w:tblPrEx>
        <w:trPr>
          <w:trHeight w:val="397" w:hRule="atLeast"/>
          <w:jc w:val="center"/>
        </w:trPr>
        <w:tc>
          <w:tcPr>
            <w:tcW w:w="2091"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45358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9E68ED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3CDF2D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081FE6A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589C62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B7D9C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4FBF5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6C2147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3DAF5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0.075</w:t>
            </w:r>
          </w:p>
        </w:tc>
        <w:tc>
          <w:tcPr>
            <w:tcW w:w="154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4B9C0F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967FA67">
        <w:tblPrEx>
          <w:tblCellMar>
            <w:top w:w="0" w:type="dxa"/>
            <w:left w:w="108" w:type="dxa"/>
            <w:bottom w:w="0" w:type="dxa"/>
            <w:right w:w="108" w:type="dxa"/>
          </w:tblCellMar>
        </w:tblPrEx>
        <w:trPr>
          <w:trHeight w:val="397" w:hRule="atLeast"/>
          <w:jc w:val="center"/>
        </w:trPr>
        <w:tc>
          <w:tcPr>
            <w:tcW w:w="209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0FDB2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32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6A5190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41" w:type="dxa"/>
            <w:vMerge w:val="continue"/>
            <w:tcBorders>
              <w:top w:val="single" w:color="auto" w:sz="6" w:space="0"/>
              <w:left w:val="single" w:color="auto" w:sz="6" w:space="0"/>
              <w:bottom w:val="single" w:color="auto" w:sz="6" w:space="0"/>
              <w:right w:val="single" w:color="auto" w:sz="12" w:space="0"/>
            </w:tcBorders>
            <w:vAlign w:val="center"/>
          </w:tcPr>
          <w:p w14:paraId="0C93501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5909FB0A">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7F2284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粗砂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0358D5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3.1～3.7</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4CBCAE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63709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2687D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65～95</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B31BBF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35～65</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2454BA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3B16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61A70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64787A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restart"/>
            <w:tcBorders>
              <w:top w:val="single" w:color="auto" w:sz="6" w:space="0"/>
              <w:left w:val="single" w:color="auto" w:sz="6" w:space="0"/>
              <w:right w:val="single" w:color="auto" w:sz="12" w:space="0"/>
            </w:tcBorders>
            <w:shd w:val="clear" w:color="000000" w:fill="FFFFFF"/>
            <w:vAlign w:val="center"/>
          </w:tcPr>
          <w:p w14:paraId="3D9CA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7EE686EC">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220629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7D3835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7E91C4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D43E0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7D35C8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03EFA4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38271B3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ED565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C2F6FE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FE6B6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right w:val="single" w:color="auto" w:sz="12" w:space="0"/>
            </w:tcBorders>
            <w:vAlign w:val="center"/>
          </w:tcPr>
          <w:p w14:paraId="38758EAF">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r w14:paraId="4DCF87FE">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12" w:space="0"/>
              <w:right w:val="single" w:color="auto" w:sz="6" w:space="0"/>
            </w:tcBorders>
            <w:shd w:val="clear" w:color="000000" w:fill="FFFFFF"/>
            <w:vAlign w:val="center"/>
          </w:tcPr>
          <w:p w14:paraId="7577AA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细砂</w:t>
            </w:r>
          </w:p>
        </w:tc>
        <w:tc>
          <w:tcPr>
            <w:tcW w:w="1202" w:type="dxa"/>
            <w:tcBorders>
              <w:top w:val="single" w:color="auto" w:sz="6" w:space="0"/>
              <w:left w:val="single" w:color="auto" w:sz="6" w:space="0"/>
              <w:bottom w:val="single" w:color="auto" w:sz="12" w:space="0"/>
              <w:right w:val="single" w:color="auto" w:sz="6" w:space="0"/>
            </w:tcBorders>
            <w:shd w:val="clear" w:color="000000" w:fill="FFFFFF"/>
            <w:vAlign w:val="center"/>
          </w:tcPr>
          <w:p w14:paraId="29FBB64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1.6～2.2</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6A218E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8012D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045D8B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39DD34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404F829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60～84</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5338F9E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15～45</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2AA03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9BE55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bottom w:val="single" w:color="auto" w:sz="12" w:space="0"/>
              <w:right w:val="single" w:color="auto" w:sz="12" w:space="0"/>
            </w:tcBorders>
            <w:vAlign w:val="center"/>
          </w:tcPr>
          <w:p w14:paraId="4DB610B6">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bl>
    <w:p w14:paraId="0F958A00">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机制砂宜采用</w:t>
      </w:r>
      <w:r>
        <w:rPr>
          <w:rFonts w:hint="eastAsia"/>
          <w:sz w:val="24"/>
          <w:highlight w:val="none"/>
          <w:lang w:eastAsia="zh-CN"/>
        </w:rPr>
        <w:t>碎石</w:t>
      </w:r>
      <w:r>
        <w:rPr>
          <w:rFonts w:hint="eastAsia"/>
          <w:sz w:val="24"/>
          <w:highlight w:val="none"/>
        </w:rPr>
        <w:t>作为原料，并用专用设备生产。极重、特重、重交通荷载等级公路面层水泥混凝土用机制砂的质量标准不应低于下表规定的Ⅱ级，中、轻交通荷载等级公路面层水泥混凝土可使用Ⅲ级机制砂。</w:t>
      </w:r>
    </w:p>
    <w:tbl>
      <w:tblPr>
        <w:tblStyle w:val="6"/>
        <w:tblW w:w="11158" w:type="dxa"/>
        <w:jc w:val="center"/>
        <w:tblLayout w:type="fixed"/>
        <w:tblCellMar>
          <w:top w:w="0" w:type="dxa"/>
          <w:left w:w="108" w:type="dxa"/>
          <w:bottom w:w="0" w:type="dxa"/>
          <w:right w:w="108" w:type="dxa"/>
        </w:tblCellMar>
      </w:tblPr>
      <w:tblGrid>
        <w:gridCol w:w="1905"/>
        <w:gridCol w:w="2202"/>
        <w:gridCol w:w="1641"/>
        <w:gridCol w:w="1642"/>
        <w:gridCol w:w="1642"/>
        <w:gridCol w:w="2126"/>
      </w:tblGrid>
      <w:tr w14:paraId="3B00777E">
        <w:tblPrEx>
          <w:tblCellMar>
            <w:top w:w="0" w:type="dxa"/>
            <w:left w:w="108" w:type="dxa"/>
            <w:bottom w:w="0" w:type="dxa"/>
            <w:right w:w="108" w:type="dxa"/>
          </w:tblCellMar>
        </w:tblPrEx>
        <w:trPr>
          <w:trHeight w:val="510" w:hRule="exact"/>
          <w:jc w:val="center"/>
        </w:trPr>
        <w:tc>
          <w:tcPr>
            <w:tcW w:w="11158" w:type="dxa"/>
            <w:gridSpan w:val="6"/>
            <w:tcBorders>
              <w:top w:val="nil"/>
              <w:left w:val="nil"/>
              <w:bottom w:val="single" w:color="auto" w:sz="12" w:space="0"/>
              <w:right w:val="nil"/>
            </w:tcBorders>
            <w:shd w:val="clear" w:color="000000" w:fill="FFFFFF"/>
            <w:noWrap/>
            <w:vAlign w:val="center"/>
          </w:tcPr>
          <w:p w14:paraId="4A8C9C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机制砂的质量标准</w:t>
            </w:r>
          </w:p>
        </w:tc>
      </w:tr>
      <w:tr w14:paraId="1B6B08FC">
        <w:tblPrEx>
          <w:tblCellMar>
            <w:top w:w="0" w:type="dxa"/>
            <w:left w:w="108" w:type="dxa"/>
            <w:bottom w:w="0" w:type="dxa"/>
            <w:right w:w="108" w:type="dxa"/>
          </w:tblCellMar>
        </w:tblPrEx>
        <w:trPr>
          <w:trHeight w:val="397" w:hRule="atLeast"/>
          <w:jc w:val="center"/>
        </w:trPr>
        <w:tc>
          <w:tcPr>
            <w:tcW w:w="4107"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159B0F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92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584E22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12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B75C6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58CC0AE8">
        <w:tblPrEx>
          <w:tblCellMar>
            <w:top w:w="0" w:type="dxa"/>
            <w:left w:w="108" w:type="dxa"/>
            <w:bottom w:w="0" w:type="dxa"/>
            <w:right w:w="108" w:type="dxa"/>
          </w:tblCellMar>
        </w:tblPrEx>
        <w:trPr>
          <w:trHeight w:val="397" w:hRule="atLeast"/>
          <w:jc w:val="center"/>
        </w:trPr>
        <w:tc>
          <w:tcPr>
            <w:tcW w:w="4107" w:type="dxa"/>
            <w:gridSpan w:val="2"/>
            <w:vMerge w:val="continue"/>
            <w:tcBorders>
              <w:top w:val="single" w:color="auto" w:sz="6" w:space="0"/>
              <w:left w:val="single" w:color="auto" w:sz="12" w:space="0"/>
              <w:bottom w:val="single" w:color="auto" w:sz="6" w:space="0"/>
              <w:right w:val="single" w:color="auto" w:sz="6" w:space="0"/>
            </w:tcBorders>
            <w:vAlign w:val="center"/>
          </w:tcPr>
          <w:p w14:paraId="275D1F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75CD7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3D18B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B44ED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6FFDC94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94B184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5511A0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机制砂母岩的抗压强度(MPa)≥</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DAA8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B97E8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88FF3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EEE19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23DCFD54">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A20B7A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机制砂母岩的磨光值≥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6F5C1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5D27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D120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B1250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203AB9C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7ACEE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机制砂单粒级最大压碎指标(%)≤</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872FA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663EA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564D12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C0A7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T0350</w:t>
            </w:r>
          </w:p>
        </w:tc>
      </w:tr>
      <w:tr w14:paraId="2ED5009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7316F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C4455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7354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0B09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6E1AFE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2EEC0EF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61F2F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A1F90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FCF4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ACAD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A897C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01110A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EEA7A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C623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C3DAD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3E62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94506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2F84FB5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52A2D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3A01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A28E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C3A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705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7FC3666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4053AF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020B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63BB4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8DFD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2F87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7B22A354">
        <w:tblPrEx>
          <w:tblCellMar>
            <w:top w:w="0" w:type="dxa"/>
            <w:left w:w="108" w:type="dxa"/>
            <w:bottom w:w="0" w:type="dxa"/>
            <w:right w:w="108" w:type="dxa"/>
          </w:tblCellMar>
        </w:tblPrEx>
        <w:trPr>
          <w:trHeight w:val="397" w:hRule="atLeast"/>
          <w:jc w:val="center"/>
        </w:trPr>
        <w:tc>
          <w:tcPr>
            <w:tcW w:w="1905" w:type="dxa"/>
            <w:vMerge w:val="restart"/>
            <w:tcBorders>
              <w:top w:val="single" w:color="auto" w:sz="6" w:space="0"/>
              <w:left w:val="single" w:color="auto" w:sz="12" w:space="0"/>
              <w:bottom w:val="single" w:color="auto" w:sz="6" w:space="0"/>
              <w:right w:val="single" w:color="auto" w:sz="6" w:space="0"/>
            </w:tcBorders>
            <w:shd w:val="clear" w:color="auto" w:fill="auto"/>
            <w:noWrap/>
            <w:vAlign w:val="center"/>
          </w:tcPr>
          <w:p w14:paraId="3F9EAD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石粉含量(%)＜</w:t>
            </w: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09BDA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6956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9343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75E3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12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7F3DE9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T0349</w:t>
            </w:r>
          </w:p>
        </w:tc>
      </w:tr>
      <w:tr w14:paraId="00C26967">
        <w:tblPrEx>
          <w:tblCellMar>
            <w:top w:w="0" w:type="dxa"/>
            <w:left w:w="108" w:type="dxa"/>
            <w:bottom w:w="0" w:type="dxa"/>
            <w:right w:w="108" w:type="dxa"/>
          </w:tblCellMar>
        </w:tblPrEx>
        <w:trPr>
          <w:trHeight w:val="397" w:hRule="atLeast"/>
          <w:jc w:val="center"/>
        </w:trPr>
        <w:tc>
          <w:tcPr>
            <w:tcW w:w="1905" w:type="dxa"/>
            <w:vMerge w:val="continue"/>
            <w:tcBorders>
              <w:top w:val="single" w:color="auto" w:sz="6" w:space="0"/>
              <w:left w:val="single" w:color="auto" w:sz="12" w:space="0"/>
              <w:bottom w:val="single" w:color="auto" w:sz="6" w:space="0"/>
              <w:right w:val="single" w:color="auto" w:sz="6" w:space="0"/>
            </w:tcBorders>
            <w:vAlign w:val="center"/>
          </w:tcPr>
          <w:p w14:paraId="15B8283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6B3E9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MB值≥1.40或不合格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EFA46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7833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FB661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42FA631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CC1010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8EB19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16C43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B4111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5595EF5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58E4F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2B41BA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7A840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6A2EEDC9">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2FE70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9130D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ED2D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182CF4B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35CFC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F03282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BC16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57CEEC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6D1AA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67B76C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E20489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7935F51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4B7D2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A835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B276C2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E9FE1F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18D583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92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394A89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12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207DC8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48D7D12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机制砂的级配范围宜符合下表的规定。面层水泥混凝土使用的机制砂细度模数宜在2.3～3.1之间。</w:t>
      </w:r>
    </w:p>
    <w:tbl>
      <w:tblPr>
        <w:tblStyle w:val="6"/>
        <w:tblW w:w="11467" w:type="dxa"/>
        <w:jc w:val="center"/>
        <w:tblLayout w:type="autofit"/>
        <w:tblCellMar>
          <w:top w:w="0" w:type="dxa"/>
          <w:left w:w="108" w:type="dxa"/>
          <w:bottom w:w="0" w:type="dxa"/>
          <w:right w:w="108" w:type="dxa"/>
        </w:tblCellMar>
      </w:tblPr>
      <w:tblGrid>
        <w:gridCol w:w="1341"/>
        <w:gridCol w:w="1171"/>
        <w:gridCol w:w="1076"/>
        <w:gridCol w:w="1077"/>
        <w:gridCol w:w="1077"/>
        <w:gridCol w:w="1076"/>
        <w:gridCol w:w="1077"/>
        <w:gridCol w:w="1077"/>
        <w:gridCol w:w="1077"/>
        <w:gridCol w:w="1418"/>
      </w:tblGrid>
      <w:tr w14:paraId="76321C2B">
        <w:tblPrEx>
          <w:tblCellMar>
            <w:top w:w="0" w:type="dxa"/>
            <w:left w:w="108" w:type="dxa"/>
            <w:bottom w:w="0" w:type="dxa"/>
            <w:right w:w="108" w:type="dxa"/>
          </w:tblCellMar>
        </w:tblPrEx>
        <w:trPr>
          <w:trHeight w:val="510" w:hRule="exact"/>
          <w:jc w:val="center"/>
        </w:trPr>
        <w:tc>
          <w:tcPr>
            <w:tcW w:w="11467" w:type="dxa"/>
            <w:gridSpan w:val="10"/>
            <w:tcBorders>
              <w:top w:val="nil"/>
              <w:left w:val="nil"/>
              <w:bottom w:val="single" w:color="auto" w:sz="12" w:space="0"/>
              <w:right w:val="nil"/>
            </w:tcBorders>
            <w:shd w:val="clear" w:color="000000" w:fill="FFFFFF"/>
            <w:noWrap/>
            <w:vAlign w:val="center"/>
          </w:tcPr>
          <w:p w14:paraId="44F200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机制砂级配范围</w:t>
            </w:r>
          </w:p>
        </w:tc>
      </w:tr>
      <w:tr w14:paraId="1A9E4D3A">
        <w:tblPrEx>
          <w:tblCellMar>
            <w:top w:w="0" w:type="dxa"/>
            <w:left w:w="108" w:type="dxa"/>
            <w:bottom w:w="0" w:type="dxa"/>
            <w:right w:w="108" w:type="dxa"/>
          </w:tblCellMar>
        </w:tblPrEx>
        <w:trPr>
          <w:trHeight w:val="397" w:hRule="atLeast"/>
          <w:jc w:val="center"/>
        </w:trPr>
        <w:tc>
          <w:tcPr>
            <w:tcW w:w="251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529E42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1569A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266BD1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4F430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429203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1AF0A3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7AD5D4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ED150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418"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62F2F9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1395E7EE">
        <w:tblPrEx>
          <w:tblCellMar>
            <w:top w:w="0" w:type="dxa"/>
            <w:left w:w="108" w:type="dxa"/>
            <w:bottom w:w="0" w:type="dxa"/>
            <w:right w:w="108" w:type="dxa"/>
          </w:tblCellMar>
        </w:tblPrEx>
        <w:trPr>
          <w:trHeight w:val="397" w:hRule="atLeast"/>
          <w:jc w:val="center"/>
        </w:trPr>
        <w:tc>
          <w:tcPr>
            <w:tcW w:w="251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69673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7537" w:type="dxa"/>
            <w:gridSpan w:val="7"/>
            <w:tcBorders>
              <w:top w:val="single" w:color="auto" w:sz="6" w:space="0"/>
              <w:left w:val="single" w:color="auto" w:sz="6" w:space="0"/>
              <w:bottom w:val="single" w:color="auto" w:sz="6" w:space="0"/>
              <w:right w:val="single" w:color="auto" w:sz="6" w:space="0"/>
            </w:tcBorders>
            <w:shd w:val="clear" w:color="000000" w:fill="FFFFFF"/>
            <w:vAlign w:val="center"/>
          </w:tcPr>
          <w:p w14:paraId="1E6FF4C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418" w:type="dxa"/>
            <w:vMerge w:val="continue"/>
            <w:tcBorders>
              <w:top w:val="single" w:color="auto" w:sz="6" w:space="0"/>
              <w:left w:val="single" w:color="auto" w:sz="6" w:space="0"/>
              <w:bottom w:val="single" w:color="auto" w:sz="6" w:space="0"/>
              <w:right w:val="single" w:color="auto" w:sz="12" w:space="0"/>
            </w:tcBorders>
            <w:vAlign w:val="center"/>
          </w:tcPr>
          <w:p w14:paraId="61CF8C2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8A8FD3">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6" w:space="0"/>
              <w:right w:val="single" w:color="auto" w:sz="6" w:space="0"/>
            </w:tcBorders>
            <w:shd w:val="clear" w:color="000000" w:fill="FFFFFF"/>
            <w:vAlign w:val="center"/>
          </w:tcPr>
          <w:p w14:paraId="51C32B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Ⅰ级砂</w:t>
            </w:r>
          </w:p>
        </w:tc>
        <w:tc>
          <w:tcPr>
            <w:tcW w:w="1171" w:type="dxa"/>
            <w:tcBorders>
              <w:top w:val="single" w:color="auto" w:sz="6" w:space="0"/>
              <w:left w:val="single" w:color="auto" w:sz="6" w:space="0"/>
              <w:bottom w:val="single" w:color="auto" w:sz="6" w:space="0"/>
              <w:right w:val="single" w:color="auto" w:sz="6" w:space="0"/>
            </w:tcBorders>
            <w:shd w:val="clear" w:color="000000" w:fill="FFFFFF"/>
            <w:vAlign w:val="center"/>
          </w:tcPr>
          <w:p w14:paraId="7FC517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2.3～3.1</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4068E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4B1CD4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5AEF9B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80～95</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2DE71FA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50～85</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1F829CC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2B597E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10～20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3002B8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4DC35DE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1ADBADDD">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12" w:space="0"/>
              <w:right w:val="single" w:color="auto" w:sz="6" w:space="0"/>
            </w:tcBorders>
            <w:shd w:val="clear" w:color="000000" w:fill="FFFFFF"/>
            <w:vAlign w:val="center"/>
          </w:tcPr>
          <w:p w14:paraId="5C46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Ⅱ、Ⅲ级砂</w:t>
            </w:r>
          </w:p>
        </w:tc>
        <w:tc>
          <w:tcPr>
            <w:tcW w:w="1171" w:type="dxa"/>
            <w:tcBorders>
              <w:top w:val="single" w:color="auto" w:sz="6" w:space="0"/>
              <w:left w:val="single" w:color="auto" w:sz="6" w:space="0"/>
              <w:bottom w:val="single" w:color="auto" w:sz="12" w:space="0"/>
              <w:right w:val="single" w:color="auto" w:sz="6" w:space="0"/>
            </w:tcBorders>
            <w:shd w:val="clear" w:color="000000" w:fill="FFFFFF"/>
            <w:vAlign w:val="center"/>
          </w:tcPr>
          <w:p w14:paraId="0A5769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2.8～3.9</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52772B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17D31C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3420AAE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50～95</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433A25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30～65</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0A36D6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15～29</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75B3CB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254AB0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continue"/>
            <w:tcBorders>
              <w:top w:val="single" w:color="auto" w:sz="6" w:space="0"/>
              <w:left w:val="single" w:color="auto" w:sz="6" w:space="0"/>
              <w:bottom w:val="single" w:color="auto" w:sz="12" w:space="0"/>
              <w:right w:val="single" w:color="auto" w:sz="12" w:space="0"/>
            </w:tcBorders>
            <w:vAlign w:val="center"/>
          </w:tcPr>
          <w:p w14:paraId="0259946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500C5EC8">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细集料的使用尚应符合下列规定：</w:t>
      </w:r>
    </w:p>
    <w:p w14:paraId="4F92A73E">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1.配筋混凝土路面及钢钎维混凝土路面中不得使用海砂。</w:t>
      </w:r>
    </w:p>
    <w:p w14:paraId="2E9C68BC">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2.细度模数差值超过0.3的砂应分别堆放，分别进行配合比设计。</w:t>
      </w:r>
    </w:p>
    <w:p w14:paraId="3A19DC49">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3.采用机制砂时，外加剂宜采用引气高效减水剂或聚羧酸高性能减水剂。</w:t>
      </w:r>
    </w:p>
    <w:p w14:paraId="4CBA05B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4</w:t>
      </w:r>
      <w:r>
        <w:rPr>
          <w:rFonts w:hint="eastAsia"/>
          <w:b/>
          <w:bCs/>
          <w:sz w:val="28"/>
          <w:szCs w:val="28"/>
          <w:highlight w:val="none"/>
        </w:rPr>
        <w:t>水</w:t>
      </w:r>
    </w:p>
    <w:p w14:paraId="6A97839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符合现行《生活饮用水卫生标准》(GB 5749</w:t>
      </w:r>
      <w:r>
        <w:rPr>
          <w:sz w:val="24"/>
          <w:highlight w:val="none"/>
        </w:rPr>
        <w:t>-2006</w:t>
      </w:r>
      <w:r>
        <w:rPr>
          <w:rFonts w:hint="eastAsia"/>
          <w:sz w:val="24"/>
          <w:highlight w:val="none"/>
        </w:rPr>
        <w:t>)的饮用水可直接作为混凝土搅拌与养生用水。</w:t>
      </w:r>
    </w:p>
    <w:p w14:paraId="64A2659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非饮用水应进行水质检验，并应符合下表的规定，还应与蒸馏水进行水泥混凝时间与水泥胶砂强度的对比试验；对比试验的水泥初凝与终凝时间差均不应大于30min，水泥胶砂3d和28d强度不应低于蒸馏水配制的水泥胶砂3d和28d强度的90%。</w:t>
      </w:r>
    </w:p>
    <w:tbl>
      <w:tblPr>
        <w:tblStyle w:val="6"/>
        <w:tblW w:w="0" w:type="auto"/>
        <w:jc w:val="center"/>
        <w:tblLayout w:type="autofit"/>
        <w:tblCellMar>
          <w:top w:w="0" w:type="dxa"/>
          <w:left w:w="108" w:type="dxa"/>
          <w:bottom w:w="0" w:type="dxa"/>
          <w:right w:w="108" w:type="dxa"/>
        </w:tblCellMar>
      </w:tblPr>
      <w:tblGrid>
        <w:gridCol w:w="2106"/>
        <w:gridCol w:w="3291"/>
        <w:gridCol w:w="1755"/>
        <w:gridCol w:w="1056"/>
      </w:tblGrid>
      <w:tr w14:paraId="09E12930">
        <w:tblPrEx>
          <w:tblCellMar>
            <w:top w:w="0" w:type="dxa"/>
            <w:left w:w="108" w:type="dxa"/>
            <w:bottom w:w="0" w:type="dxa"/>
            <w:right w:w="108" w:type="dxa"/>
          </w:tblCellMar>
        </w:tblPrEx>
        <w:trPr>
          <w:trHeight w:val="510" w:hRule="exact"/>
          <w:jc w:val="center"/>
        </w:trPr>
        <w:tc>
          <w:tcPr>
            <w:tcW w:w="0" w:type="auto"/>
            <w:gridSpan w:val="4"/>
            <w:tcBorders>
              <w:top w:val="nil"/>
              <w:left w:val="nil"/>
              <w:bottom w:val="single" w:color="auto" w:sz="12" w:space="0"/>
              <w:right w:val="nil"/>
            </w:tcBorders>
            <w:shd w:val="clear" w:color="000000" w:fill="FFFFFF"/>
            <w:noWrap/>
            <w:vAlign w:val="center"/>
          </w:tcPr>
          <w:p w14:paraId="2CB4DD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非饮用水质量标准</w:t>
            </w:r>
          </w:p>
        </w:tc>
      </w:tr>
      <w:tr w14:paraId="62313769">
        <w:tblPrEx>
          <w:tblCellMar>
            <w:top w:w="0" w:type="dxa"/>
            <w:left w:w="108" w:type="dxa"/>
            <w:bottom w:w="0" w:type="dxa"/>
            <w:right w:w="108" w:type="dxa"/>
          </w:tblCellMar>
        </w:tblPrEx>
        <w:trPr>
          <w:trHeight w:val="397" w:hRule="atLeast"/>
          <w:jc w:val="center"/>
        </w:trPr>
        <w:tc>
          <w:tcPr>
            <w:tcW w:w="0" w:type="auto"/>
            <w:tcBorders>
              <w:top w:val="single" w:color="auto" w:sz="12" w:space="0"/>
              <w:left w:val="single" w:color="auto" w:sz="12" w:space="0"/>
              <w:bottom w:val="single" w:color="auto" w:sz="6" w:space="0"/>
              <w:right w:val="single" w:color="auto" w:sz="6" w:space="0"/>
            </w:tcBorders>
            <w:shd w:val="clear" w:color="000000" w:fill="FFFFFF"/>
            <w:noWrap/>
            <w:vAlign w:val="center"/>
          </w:tcPr>
          <w:p w14:paraId="54B83F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项目</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267F65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钢筋混凝土及钢纤维混凝土</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4AC66F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素混凝土</w:t>
            </w:r>
          </w:p>
        </w:tc>
        <w:tc>
          <w:tcPr>
            <w:tcW w:w="0" w:type="auto"/>
            <w:tcBorders>
              <w:top w:val="single" w:color="auto" w:sz="12" w:space="0"/>
              <w:left w:val="single" w:color="auto" w:sz="6" w:space="0"/>
              <w:bottom w:val="single" w:color="auto" w:sz="6" w:space="0"/>
              <w:right w:val="single" w:color="auto" w:sz="12" w:space="0"/>
            </w:tcBorders>
            <w:shd w:val="clear" w:color="000000" w:fill="FFFFFF"/>
            <w:noWrap/>
            <w:vAlign w:val="center"/>
          </w:tcPr>
          <w:p w14:paraId="3F401F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33735908">
        <w:tblPrEx>
          <w:tblCellMar>
            <w:top w:w="0" w:type="dxa"/>
            <w:left w:w="108" w:type="dxa"/>
            <w:bottom w:w="0" w:type="dxa"/>
            <w:right w:w="108" w:type="dxa"/>
          </w:tblCellMar>
        </w:tblPrEx>
        <w:trPr>
          <w:trHeight w:val="573"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722A2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pH值≥</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A7634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14D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0" w:type="auto"/>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6B9C85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63</w:t>
            </w:r>
          </w:p>
        </w:tc>
      </w:tr>
      <w:tr w14:paraId="78A78C90">
        <w:tblPrEx>
          <w:tblCellMar>
            <w:top w:w="0" w:type="dxa"/>
            <w:left w:w="108" w:type="dxa"/>
            <w:bottom w:w="0" w:type="dxa"/>
            <w:right w:w="108" w:type="dxa"/>
          </w:tblCellMar>
        </w:tblPrEx>
        <w:trPr>
          <w:trHeight w:val="51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A42E5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Cl</w:t>
            </w:r>
            <w:r>
              <w:rPr>
                <w:rFonts w:hint="eastAsia" w:ascii="宋体" w:hAnsi="宋体" w:cs="宋体"/>
                <w:kern w:val="0"/>
                <w:szCs w:val="21"/>
                <w:highlight w:val="none"/>
                <w:vertAlign w:val="superscript"/>
              </w:rPr>
              <w:t>-</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4890E4E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E48F3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00D2067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F96C876">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168FF4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SO</w:t>
            </w:r>
            <w:r>
              <w:rPr>
                <w:rFonts w:hint="eastAsia" w:ascii="宋体" w:hAnsi="宋体" w:cs="宋体"/>
                <w:kern w:val="0"/>
                <w:szCs w:val="21"/>
                <w:highlight w:val="none"/>
                <w:vertAlign w:val="superscript"/>
              </w:rPr>
              <w:t>2-</w:t>
            </w:r>
            <w:r>
              <w:rPr>
                <w:rFonts w:hint="eastAsia" w:ascii="宋体" w:hAnsi="宋体" w:cs="宋体"/>
                <w:kern w:val="0"/>
                <w:szCs w:val="21"/>
                <w:highlight w:val="none"/>
                <w:vertAlign w:val="subscript"/>
              </w:rPr>
              <w:t>4</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83D6E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AA796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2700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5307C4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45363CA8">
        <w:tblPrEx>
          <w:tblCellMar>
            <w:top w:w="0" w:type="dxa"/>
            <w:left w:w="108" w:type="dxa"/>
            <w:bottom w:w="0" w:type="dxa"/>
            <w:right w:w="108" w:type="dxa"/>
          </w:tblCellMar>
        </w:tblPrEx>
        <w:trPr>
          <w:trHeight w:val="505"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4C90EE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DB6B1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2A243C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C5849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6BC343A">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2C3213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可溶物含量(mg/L)≤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0DA8DAC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47CC85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F4622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BD86E9A">
        <w:tblPrEx>
          <w:tblCellMar>
            <w:top w:w="0" w:type="dxa"/>
            <w:left w:w="108" w:type="dxa"/>
            <w:bottom w:w="0" w:type="dxa"/>
            <w:right w:w="108" w:type="dxa"/>
          </w:tblCellMar>
        </w:tblPrEx>
        <w:trPr>
          <w:trHeight w:val="504"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CC781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934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351AB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38C68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F65AB57">
        <w:tblPrEx>
          <w:tblCellMar>
            <w:top w:w="0" w:type="dxa"/>
            <w:left w:w="108" w:type="dxa"/>
            <w:bottom w:w="0" w:type="dxa"/>
            <w:right w:w="108" w:type="dxa"/>
          </w:tblCellMar>
        </w:tblPrEx>
        <w:trPr>
          <w:trHeight w:val="492" w:hRule="atLeast"/>
          <w:jc w:val="center"/>
        </w:trPr>
        <w:tc>
          <w:tcPr>
            <w:tcW w:w="0" w:type="auto"/>
            <w:tcBorders>
              <w:top w:val="single" w:color="auto" w:sz="6" w:space="0"/>
              <w:left w:val="single" w:color="auto" w:sz="12" w:space="0"/>
              <w:bottom w:val="single" w:color="auto" w:sz="12" w:space="0"/>
              <w:right w:val="single" w:color="auto" w:sz="6" w:space="0"/>
            </w:tcBorders>
            <w:shd w:val="clear" w:color="000000" w:fill="FFFFFF"/>
            <w:noWrap/>
            <w:vAlign w:val="center"/>
          </w:tcPr>
          <w:p w14:paraId="7CBCB6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其他杂质</w:t>
            </w:r>
          </w:p>
        </w:tc>
        <w:tc>
          <w:tcPr>
            <w:tcW w:w="0" w:type="auto"/>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587EF4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不应有漂浮的油脂和泡沫；不应有明显的颜色和异味</w:t>
            </w:r>
          </w:p>
        </w:tc>
        <w:tc>
          <w:tcPr>
            <w:tcW w:w="0" w:type="auto"/>
            <w:vMerge w:val="continue"/>
            <w:tcBorders>
              <w:top w:val="single" w:color="auto" w:sz="6" w:space="0"/>
              <w:left w:val="single" w:color="auto" w:sz="6" w:space="0"/>
              <w:bottom w:val="single" w:color="auto" w:sz="12" w:space="0"/>
              <w:right w:val="single" w:color="auto" w:sz="12" w:space="0"/>
            </w:tcBorders>
            <w:vAlign w:val="center"/>
          </w:tcPr>
          <w:p w14:paraId="6AD153F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0C87FFE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highlight w:val="none"/>
        </w:rPr>
      </w:pPr>
      <w:r>
        <w:rPr>
          <w:rFonts w:hint="eastAsia" w:ascii="宋体" w:hAnsi="宋体"/>
          <w:b/>
          <w:spacing w:val="4"/>
          <w:sz w:val="28"/>
          <w:szCs w:val="28"/>
          <w:highlight w:val="none"/>
        </w:rPr>
        <w:t>5.</w:t>
      </w:r>
      <w:r>
        <w:rPr>
          <w:rFonts w:hint="eastAsia" w:ascii="宋体" w:hAnsi="宋体"/>
          <w:b/>
          <w:spacing w:val="4"/>
          <w:sz w:val="28"/>
          <w:szCs w:val="28"/>
          <w:highlight w:val="none"/>
          <w:lang w:val="en-US" w:eastAsia="zh-CN"/>
        </w:rPr>
        <w:t>2</w:t>
      </w:r>
      <w:r>
        <w:rPr>
          <w:rFonts w:hint="eastAsia" w:ascii="宋体" w:hAnsi="宋体"/>
          <w:b/>
          <w:spacing w:val="4"/>
          <w:sz w:val="28"/>
          <w:szCs w:val="28"/>
          <w:highlight w:val="none"/>
        </w:rPr>
        <w:t>、</w:t>
      </w:r>
      <w:r>
        <w:rPr>
          <w:rFonts w:hint="eastAsia" w:ascii="宋体" w:hAnsi="宋体"/>
          <w:b/>
          <w:spacing w:val="4"/>
          <w:sz w:val="28"/>
          <w:szCs w:val="28"/>
          <w:highlight w:val="none"/>
          <w:lang w:eastAsia="zh-CN"/>
        </w:rPr>
        <w:t>基层</w:t>
      </w:r>
      <w:r>
        <w:rPr>
          <w:rFonts w:hint="eastAsia" w:ascii="宋体" w:hAnsi="宋体"/>
          <w:b/>
          <w:spacing w:val="4"/>
          <w:sz w:val="28"/>
          <w:szCs w:val="28"/>
          <w:highlight w:val="none"/>
        </w:rPr>
        <w:t>材料要求</w:t>
      </w:r>
    </w:p>
    <w:p w14:paraId="009048A2">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eastAsia="zh-CN"/>
        </w:rPr>
        <w:t>基层</w:t>
      </w:r>
      <w:r>
        <w:rPr>
          <w:rFonts w:hint="eastAsia"/>
          <w:color w:val="auto"/>
          <w:sz w:val="24"/>
          <w:highlight w:val="none"/>
        </w:rPr>
        <w:t>采用</w:t>
      </w:r>
      <w:r>
        <w:rPr>
          <w:rFonts w:hint="eastAsia"/>
          <w:color w:val="auto"/>
          <w:sz w:val="24"/>
          <w:highlight w:val="none"/>
          <w:lang w:eastAsia="zh-CN"/>
        </w:rPr>
        <w:t>白灰土（10％）</w:t>
      </w:r>
      <w:r>
        <w:rPr>
          <w:rFonts w:hint="eastAsia"/>
          <w:color w:val="auto"/>
          <w:sz w:val="24"/>
          <w:highlight w:val="none"/>
        </w:rPr>
        <w:t>，</w:t>
      </w:r>
      <w:r>
        <w:rPr>
          <w:rFonts w:hint="eastAsia"/>
          <w:color w:val="auto"/>
          <w:sz w:val="24"/>
          <w:highlight w:val="none"/>
          <w:lang w:val="en-US" w:eastAsia="zh-CN"/>
        </w:rPr>
        <w:t>白灰土采用路拌法施工，白灰土压实度应在95％以上</w:t>
      </w:r>
      <w:r>
        <w:rPr>
          <w:rFonts w:hint="eastAsia"/>
          <w:color w:val="auto"/>
          <w:sz w:val="24"/>
          <w:highlight w:val="none"/>
        </w:rPr>
        <w:t>。</w:t>
      </w:r>
    </w:p>
    <w:p w14:paraId="51A735A0">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细粒土应尽可能粉碎，土块最大尺寸不应大于15mm。</w:t>
      </w:r>
    </w:p>
    <w:p w14:paraId="48CAFCBB">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石灰应是3级以上石灰或消石灰粉，其技术指标符合国标要求。</w:t>
      </w:r>
    </w:p>
    <w:p w14:paraId="4567C845">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val="en-US" w:eastAsia="zh-CN"/>
        </w:rPr>
        <w:t>施工中应尽量缩短石灰的存放时间，野外堆放时间较长时应覆盖防潮。生石灰应在使用前7天充分消解过筛，消解后的石灰应保持一定湿度，不得产生扬尘，也不得过湿成团</w:t>
      </w:r>
      <w:r>
        <w:rPr>
          <w:rFonts w:hint="eastAsia"/>
          <w:color w:val="auto"/>
          <w:sz w:val="24"/>
          <w:highlight w:val="none"/>
        </w:rPr>
        <w:t>。</w:t>
      </w:r>
    </w:p>
    <w:p w14:paraId="62BCF170">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color w:val="auto"/>
          <w:spacing w:val="4"/>
          <w:sz w:val="28"/>
          <w:szCs w:val="28"/>
          <w:highlight w:val="none"/>
        </w:rPr>
      </w:pPr>
      <w:r>
        <w:rPr>
          <w:rFonts w:hint="eastAsia" w:ascii="宋体" w:hAnsi="宋体"/>
          <w:b/>
          <w:color w:val="auto"/>
          <w:spacing w:val="4"/>
          <w:sz w:val="28"/>
          <w:szCs w:val="28"/>
          <w:highlight w:val="none"/>
        </w:rPr>
        <w:t>5.</w:t>
      </w:r>
      <w:r>
        <w:rPr>
          <w:rFonts w:hint="eastAsia" w:ascii="宋体" w:hAnsi="宋体"/>
          <w:b/>
          <w:color w:val="auto"/>
          <w:spacing w:val="4"/>
          <w:sz w:val="28"/>
          <w:szCs w:val="28"/>
          <w:highlight w:val="none"/>
          <w:lang w:val="en-US" w:eastAsia="zh-CN"/>
        </w:rPr>
        <w:t>3</w:t>
      </w:r>
      <w:r>
        <w:rPr>
          <w:rFonts w:hint="eastAsia" w:ascii="宋体" w:hAnsi="宋体"/>
          <w:b/>
          <w:color w:val="auto"/>
          <w:spacing w:val="4"/>
          <w:sz w:val="28"/>
          <w:szCs w:val="28"/>
          <w:highlight w:val="none"/>
        </w:rPr>
        <w:t>、</w:t>
      </w:r>
      <w:r>
        <w:rPr>
          <w:rFonts w:hint="eastAsia" w:ascii="宋体" w:hAnsi="宋体"/>
          <w:b/>
          <w:color w:val="auto"/>
          <w:spacing w:val="4"/>
          <w:sz w:val="28"/>
          <w:szCs w:val="28"/>
          <w:highlight w:val="none"/>
          <w:lang w:val="en-US" w:eastAsia="zh-CN"/>
        </w:rPr>
        <w:t>钢材</w:t>
      </w:r>
      <w:r>
        <w:rPr>
          <w:rFonts w:hint="eastAsia" w:ascii="宋体" w:hAnsi="宋体"/>
          <w:b/>
          <w:color w:val="auto"/>
          <w:spacing w:val="4"/>
          <w:sz w:val="28"/>
          <w:szCs w:val="28"/>
          <w:highlight w:val="none"/>
        </w:rPr>
        <w:t>材料要求</w:t>
      </w:r>
    </w:p>
    <w:p w14:paraId="4E67A0D6">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普通钢筋采用HPB300、HRB400钢筋。</w:t>
      </w:r>
    </w:p>
    <w:p w14:paraId="46A93256">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1)HPB300为热轧光圆钢筋、其主要性能应符合国家标准《钢筋混凝土用钢 第1部分：热轧光圆钢筋》GB1499.1-2017的规定。</w:t>
      </w:r>
    </w:p>
    <w:p w14:paraId="783685CD">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2)HRB400为热轧带肋钢筋、其主要性能应符合国家标准《钢筋混凝土用钢 第2部分：热轧带肋钢筋》GB1499.2-2018的规定。</w:t>
      </w:r>
    </w:p>
    <w:p w14:paraId="3040BF71">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bookmarkStart w:id="4" w:name="OLE_LINK1"/>
      <w:r>
        <w:rPr>
          <w:rFonts w:hint="eastAsia" w:ascii="宋体" w:hAnsi="宋体"/>
          <w:b/>
          <w:spacing w:val="4"/>
          <w:sz w:val="28"/>
          <w:szCs w:val="28"/>
        </w:rPr>
        <w:t>六.施工要求及注意事项</w:t>
      </w:r>
    </w:p>
    <w:p w14:paraId="4A64CCEF">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Ansi="宋体"/>
          <w:b/>
          <w:bCs/>
          <w:spacing w:val="4"/>
          <w:sz w:val="28"/>
          <w:szCs w:val="28"/>
          <w:highlight w:val="none"/>
        </w:rPr>
        <w:t>1</w:t>
      </w:r>
      <w:r>
        <w:rPr>
          <w:rFonts w:hint="eastAsia"/>
          <w:b/>
          <w:bCs/>
          <w:sz w:val="28"/>
          <w:szCs w:val="28"/>
          <w:highlight w:val="none"/>
        </w:rPr>
        <w:t>水泥面层施工要求</w:t>
      </w:r>
    </w:p>
    <w:p w14:paraId="2461058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（1）水泥面层施工前必须对下承层的强度和变形进行检测，下承层必须稳定、密实和均匀，检测结果必须满足规范和设计的要求。</w:t>
      </w:r>
    </w:p>
    <w:p w14:paraId="29C38B2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（2）水泥面层开工前、应严格按照《公路水泥混凝土路面施工技术细则》（JTG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技术要求，对水泥混合料进行室内配合比设计及有关试验，确定混合料的配比、路面混凝土抗弯拉强度等，必要时应先安排铺筑试验路段，进一步确定合理施工配合比后再大规模施工，并按规范规定的施工工艺和检查验收标准严格控制施工。</w:t>
      </w:r>
    </w:p>
    <w:p w14:paraId="19F1032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（3）为保证施工质量，不得用商品混凝土替代路面混凝土，水泥混合料均采用机械集中拌和站拌和，并采用全幅/半幅施工。</w:t>
      </w:r>
    </w:p>
    <w:p w14:paraId="31DBBA71">
      <w:pPr>
        <w:keepNext w:val="0"/>
        <w:keepLines w:val="0"/>
        <w:pageBreakBefore w:val="0"/>
        <w:kinsoku/>
        <w:wordWrap/>
        <w:overflowPunct/>
        <w:topLinePunct w:val="0"/>
        <w:bidi w:val="0"/>
        <w:snapToGrid/>
        <w:spacing w:line="288" w:lineRule="auto"/>
        <w:textAlignment w:val="auto"/>
        <w:rPr>
          <w:sz w:val="24"/>
          <w:highlight w:val="none"/>
        </w:rPr>
      </w:pPr>
      <w:r>
        <w:rPr>
          <w:rFonts w:hint="eastAsia"/>
          <w:sz w:val="24"/>
          <w:highlight w:val="none"/>
        </w:rPr>
        <w:t>集中拌和时，应符合下列要求：</w:t>
      </w:r>
    </w:p>
    <w:p w14:paraId="52E9BCAC">
      <w:pPr>
        <w:pStyle w:val="15"/>
        <w:keepNext w:val="0"/>
        <w:keepLines w:val="0"/>
        <w:pageBreakBefore w:val="0"/>
        <w:numPr>
          <w:ilvl w:val="0"/>
          <w:numId w:val="1"/>
        </w:numPr>
        <w:kinsoku/>
        <w:wordWrap/>
        <w:overflowPunct/>
        <w:topLinePunct w:val="0"/>
        <w:bidi w:val="0"/>
        <w:snapToGrid/>
        <w:spacing w:line="288" w:lineRule="auto"/>
        <w:ind w:hanging="219" w:firstLineChars="0"/>
        <w:textAlignment w:val="auto"/>
        <w:rPr>
          <w:sz w:val="24"/>
          <w:highlight w:val="none"/>
        </w:rPr>
      </w:pPr>
      <w:r>
        <w:rPr>
          <w:rFonts w:hint="eastAsia"/>
          <w:sz w:val="24"/>
          <w:highlight w:val="none"/>
          <w:lang w:eastAsia="zh-CN"/>
        </w:rPr>
        <w:t>碎石</w:t>
      </w:r>
      <w:r>
        <w:rPr>
          <w:rFonts w:hint="eastAsia"/>
          <w:sz w:val="24"/>
          <w:highlight w:val="none"/>
        </w:rPr>
        <w:t>最大公称粒径应大于</w:t>
      </w:r>
      <w:r>
        <w:rPr>
          <w:sz w:val="24"/>
          <w:highlight w:val="none"/>
        </w:rPr>
        <w:t>31.</w:t>
      </w:r>
      <w:r>
        <w:rPr>
          <w:rFonts w:hint="eastAsia"/>
          <w:sz w:val="24"/>
          <w:highlight w:val="none"/>
        </w:rPr>
        <w:t>5㎜。</w:t>
      </w:r>
    </w:p>
    <w:p w14:paraId="381450B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②不同粒径的</w:t>
      </w:r>
      <w:r>
        <w:rPr>
          <w:rFonts w:hint="eastAsia"/>
          <w:sz w:val="24"/>
          <w:highlight w:val="none"/>
          <w:lang w:eastAsia="zh-CN"/>
        </w:rPr>
        <w:t>碎石</w:t>
      </w:r>
      <w:r>
        <w:rPr>
          <w:rFonts w:hint="eastAsia"/>
          <w:sz w:val="24"/>
          <w:highlight w:val="none"/>
        </w:rPr>
        <w:t>以及细集料应分开堆放。</w:t>
      </w:r>
    </w:p>
    <w:p w14:paraId="339659DF">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③水泥和细集料都应有覆盖，防止雨淋过湿。</w:t>
      </w:r>
    </w:p>
    <w:p w14:paraId="08980DD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④配料应准确，拌和应均匀。</w:t>
      </w:r>
    </w:p>
    <w:p w14:paraId="6FC360F1">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⑤混合料的含水量应略大于最佳含水量，使混合料运到现场摊铺后振捣时的含水量能接近最佳含水量。</w:t>
      </w:r>
    </w:p>
    <w:p w14:paraId="7538D9DD">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⑥拌成混合料的堆放时间不宜超过24h，宜在当天将拌成的混合料运送到铺筑现场，不应将拌成的混合料长时间堆放。</w:t>
      </w:r>
    </w:p>
    <w:p w14:paraId="341AD5B6">
      <w:pPr>
        <w:keepNext w:val="0"/>
        <w:keepLines w:val="0"/>
        <w:pageBreakBefore w:val="0"/>
        <w:kinsoku/>
        <w:wordWrap/>
        <w:overflowPunct/>
        <w:topLinePunct w:val="0"/>
        <w:bidi w:val="0"/>
        <w:snapToGrid/>
        <w:spacing w:line="288" w:lineRule="auto"/>
        <w:ind w:firstLine="566" w:firstLineChars="236"/>
        <w:textAlignment w:val="auto"/>
        <w:rPr>
          <w:sz w:val="24"/>
          <w:highlight w:val="none"/>
        </w:rPr>
      </w:pPr>
      <w:r>
        <w:rPr>
          <w:rFonts w:hint="eastAsia"/>
          <w:sz w:val="24"/>
          <w:highlight w:val="none"/>
        </w:rPr>
        <w:t>⑦如压实层末端用方木作支撑处理，在碾压后末端成一斜坡，则在第二天开始摊铺新混合料之前，应将末端斜坡挖除，并挖除成一横向（与路中心线垂直）垂直向下的断面。挖出的混合料加水到最佳含水量拌匀后仍可使用。</w:t>
      </w:r>
    </w:p>
    <w:p w14:paraId="16C1E41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（4）混凝土路面施工时，不应扰动原有水泥混凝土路面的原有拉杆及传力杆。</w:t>
      </w:r>
    </w:p>
    <w:p w14:paraId="169A364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（5）面层施工机械选择应符合《公路水泥混凝土路面施工技术细则》（JTG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）规定的机械装备要求。混凝土原材料的检测项目和频率应符合《公路水泥混凝土路面施工技术细则》（JTG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）的要求。面板铺筑前，应对基层进行全面的破损检查，当基层产生纵、横向断裂、隆起或碾压时，应采用有效措施进行彻底修复。</w:t>
      </w:r>
    </w:p>
    <w:p w14:paraId="182EE14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6）搅拌设备应按总拌和能力确定搅拌楼数量和型号，应优先选用间歇式搅拌楼，每台搅拌楼在投入生产前，必须进行标定和试拌。搅拌楼混凝土拌和计量允许偏差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295CA6DB">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7）混凝土拌和过程中，不得使用沥水、夹冰雪、表面沾染尘土和局部暴晒过热的砂石料。外加剂应以稀释容液加入，其稀释用水和原液中的水量，应从拌和加水量中扣除。拌和引气混凝土时，搅拌楼一次拌和量不应大于其额定搅拌量的90%。拌和物质量检验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6844B16E">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（8）混凝土路面铺筑完成或软作抗滑构造完毕后应立即开始养生，养生时间应根据混凝土弯拉强度增长情况而定，不宜小于设计弯拉强度的80%，养生天数宜为14～21d。面板达到设计弯拉强度后，方可开放交通。</w:t>
      </w:r>
    </w:p>
    <w:p w14:paraId="259B29BE">
      <w:pPr>
        <w:keepNext w:val="0"/>
        <w:keepLines w:val="0"/>
        <w:pageBreakBefore w:val="0"/>
        <w:kinsoku/>
        <w:wordWrap/>
        <w:overflowPunct/>
        <w:topLinePunct w:val="0"/>
        <w:bidi w:val="0"/>
        <w:snapToGrid/>
        <w:spacing w:line="288" w:lineRule="auto"/>
        <w:ind w:firstLine="480" w:firstLineChars="200"/>
        <w:textAlignment w:val="auto"/>
        <w:rPr>
          <w:rFonts w:hint="eastAsia"/>
          <w:sz w:val="24"/>
          <w:highlight w:val="none"/>
        </w:rPr>
      </w:pPr>
      <w:r>
        <w:rPr>
          <w:rFonts w:hint="eastAsia"/>
          <w:sz w:val="24"/>
          <w:highlight w:val="none"/>
        </w:rPr>
        <w:t>混凝土面层铺筑应符合《公路水泥混凝土路面施工技术细则》（JTG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461D2413">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9</w:t>
      </w:r>
      <w:r>
        <w:rPr>
          <w:rFonts w:hint="eastAsia"/>
          <w:color w:val="auto"/>
          <w:sz w:val="24"/>
          <w:highlight w:val="none"/>
          <w:lang w:eastAsia="zh-CN"/>
        </w:rPr>
        <w:t>）</w:t>
      </w:r>
      <w:r>
        <w:rPr>
          <w:rFonts w:hint="eastAsia"/>
          <w:color w:val="auto"/>
          <w:sz w:val="24"/>
          <w:highlight w:val="none"/>
        </w:rPr>
        <w:t>模板应采用钢材、槽钢或方木制成。模板高度应为面层设计厚度，直线段模板长度不宜小于3m，小半径曲线部位可配备长度为3m 的短模板。模板应采用三角形木块调整高度。模板固定后，底部空隙宜采用干硬性砂浆填堵，相邻模板接头应粘贴胶带密封，并不得漏浆。与混凝土拌合物接触的表在应涂脱模剂或隔离剂。</w:t>
      </w:r>
    </w:p>
    <w:p w14:paraId="17924DD5">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eastAsia="zh-CN"/>
        </w:rPr>
      </w:pPr>
      <w:r>
        <w:rPr>
          <w:rFonts w:hint="eastAsia"/>
          <w:color w:val="auto"/>
          <w:sz w:val="24"/>
          <w:highlight w:val="none"/>
          <w:lang w:eastAsia="zh-CN"/>
        </w:rPr>
        <w:t>（</w:t>
      </w:r>
      <w:r>
        <w:rPr>
          <w:rFonts w:hint="eastAsia"/>
          <w:color w:val="auto"/>
          <w:sz w:val="24"/>
          <w:highlight w:val="none"/>
          <w:lang w:val="en-US" w:eastAsia="zh-CN"/>
        </w:rPr>
        <w:t>10</w:t>
      </w:r>
      <w:r>
        <w:rPr>
          <w:rFonts w:hint="eastAsia"/>
          <w:color w:val="auto"/>
          <w:sz w:val="24"/>
          <w:highlight w:val="none"/>
          <w:lang w:eastAsia="zh-CN"/>
        </w:rPr>
        <w:t>）</w:t>
      </w:r>
      <w:r>
        <w:rPr>
          <w:rFonts w:hint="eastAsia"/>
          <w:color w:val="auto"/>
          <w:sz w:val="24"/>
          <w:highlight w:val="none"/>
        </w:rPr>
        <w:t>模板拆除时，模板拆卸应使用专用工具。拆模不得损坏板边、板角，不得造成传力杆和拉杆松动或变形</w:t>
      </w:r>
      <w:r>
        <w:rPr>
          <w:rFonts w:hint="eastAsia"/>
          <w:color w:val="auto"/>
          <w:sz w:val="24"/>
          <w:highlight w:val="none"/>
          <w:lang w:eastAsia="zh-CN"/>
        </w:rPr>
        <w:t>。</w:t>
      </w:r>
    </w:p>
    <w:p w14:paraId="4626293E">
      <w:pPr>
        <w:keepNext w:val="0"/>
        <w:keepLines w:val="0"/>
        <w:pageBreakBefore w:val="0"/>
        <w:kinsoku/>
        <w:wordWrap/>
        <w:overflowPunct/>
        <w:topLinePunct w:val="0"/>
        <w:bidi w:val="0"/>
        <w:snapToGrid/>
        <w:spacing w:line="288" w:lineRule="auto"/>
        <w:ind w:firstLine="480" w:firstLineChars="200"/>
        <w:textAlignment w:val="auto"/>
        <w:rPr>
          <w:rFonts w:hint="default"/>
          <w:color w:val="auto"/>
          <w:sz w:val="24"/>
          <w:highlight w:val="none"/>
          <w:lang w:val="en-US" w:eastAsia="zh-CN"/>
        </w:rPr>
      </w:pPr>
      <w:r>
        <w:rPr>
          <w:rFonts w:hint="eastAsia"/>
          <w:color w:val="auto"/>
          <w:sz w:val="24"/>
          <w:highlight w:val="none"/>
          <w:lang w:eastAsia="zh-CN"/>
        </w:rPr>
        <w:t>（</w:t>
      </w:r>
      <w:r>
        <w:rPr>
          <w:rFonts w:hint="eastAsia"/>
          <w:color w:val="auto"/>
          <w:sz w:val="24"/>
          <w:highlight w:val="none"/>
          <w:lang w:val="en-US" w:eastAsia="zh-CN"/>
        </w:rPr>
        <w:t>11</w:t>
      </w:r>
      <w:r>
        <w:rPr>
          <w:rFonts w:hint="eastAsia"/>
          <w:color w:val="auto"/>
          <w:sz w:val="24"/>
          <w:highlight w:val="none"/>
          <w:lang w:eastAsia="zh-CN"/>
        </w:rPr>
        <w:t>）</w:t>
      </w:r>
      <w:r>
        <w:rPr>
          <w:rFonts w:hint="eastAsia"/>
          <w:color w:val="auto"/>
          <w:sz w:val="24"/>
          <w:highlight w:val="none"/>
          <w:lang w:val="en-US" w:eastAsia="zh-CN"/>
        </w:rPr>
        <w:t>路面切缝按混凝土分板尺寸执行，缝深5cm，缝宽0.5cm，采用沥青橡胶填缝料。</w:t>
      </w:r>
    </w:p>
    <w:p w14:paraId="1B7602B6">
      <w:pPr>
        <w:keepNext w:val="0"/>
        <w:keepLines w:val="0"/>
        <w:pageBreakBefore w:val="0"/>
        <w:kinsoku/>
        <w:wordWrap/>
        <w:overflowPunct/>
        <w:topLinePunct w:val="0"/>
        <w:bidi w:val="0"/>
        <w:adjustRightInd w:val="0"/>
        <w:snapToGrid/>
        <w:spacing w:line="288" w:lineRule="auto"/>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int="eastAsia" w:hAnsi="宋体"/>
          <w:b/>
          <w:bCs/>
          <w:spacing w:val="4"/>
          <w:sz w:val="28"/>
          <w:szCs w:val="28"/>
          <w:highlight w:val="none"/>
          <w:lang w:val="en-US" w:eastAsia="zh-CN"/>
        </w:rPr>
        <w:t>2</w:t>
      </w:r>
      <w:r>
        <w:rPr>
          <w:rFonts w:hAnsi="宋体"/>
          <w:b/>
          <w:bCs/>
          <w:spacing w:val="4"/>
          <w:sz w:val="28"/>
          <w:szCs w:val="28"/>
          <w:highlight w:val="none"/>
        </w:rPr>
        <w:t xml:space="preserve"> </w:t>
      </w:r>
      <w:r>
        <w:rPr>
          <w:rFonts w:hint="eastAsia"/>
          <w:b/>
          <w:bCs/>
          <w:sz w:val="28"/>
          <w:szCs w:val="28"/>
          <w:highlight w:val="none"/>
        </w:rPr>
        <w:t>路基施工要求</w:t>
      </w:r>
    </w:p>
    <w:p w14:paraId="661B9A7B">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bookmarkStart w:id="5" w:name="_Hlk48287428"/>
      <w:r>
        <w:rPr>
          <w:rFonts w:hint="eastAsia" w:ascii="宋体" w:hAnsi="宋体"/>
          <w:spacing w:val="4"/>
          <w:sz w:val="24"/>
          <w:highlight w:val="none"/>
        </w:rPr>
        <w:t>遵照《公路路基施工技术规范》（JTG /T 3610～2019）及其它相关规范、规定进行施工。</w:t>
      </w:r>
    </w:p>
    <w:p w14:paraId="4FA79A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1、路基</w:t>
      </w:r>
      <w:bookmarkStart w:id="6" w:name="OLE_LINK2"/>
      <w:r>
        <w:rPr>
          <w:rFonts w:hint="eastAsia" w:ascii="宋体" w:hAnsi="宋体"/>
          <w:spacing w:val="4"/>
          <w:sz w:val="24"/>
          <w:highlight w:val="none"/>
        </w:rPr>
        <w:t>土方施工采用机械挖土、汽车运输、机械碾压方法施工。</w:t>
      </w:r>
    </w:p>
    <w:p w14:paraId="4C1FC732">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2、路基土方必须分层碾压，严格控制最佳含水量，达到要求的压实度。</w:t>
      </w:r>
    </w:p>
    <w:p w14:paraId="06AF22F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3、路基处理应避开不利季节，在枯水季节进行施工。</w:t>
      </w:r>
    </w:p>
    <w:p w14:paraId="7F9D9F9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4、利用旧路路基段，路基施工应注意保通，在施工时应渠化交通，做好安全预告工作，做好文明施工安排，确保施工及行车安全。</w:t>
      </w:r>
    </w:p>
    <w:p w14:paraId="38DBB99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5、在施工时应按顺序有计划地开展作业面，不宜多开作业面，保证修补路段尽快通车。</w:t>
      </w:r>
      <w:bookmarkEnd w:id="6"/>
    </w:p>
    <w:p w14:paraId="4E0A19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ascii="宋体" w:hAnsi="宋体"/>
          <w:spacing w:val="4"/>
          <w:sz w:val="24"/>
          <w:highlight w:val="none"/>
        </w:rPr>
        <w:t>6</w:t>
      </w:r>
      <w:r>
        <w:rPr>
          <w:rFonts w:hint="eastAsia" w:ascii="宋体" w:hAnsi="宋体"/>
          <w:spacing w:val="4"/>
          <w:sz w:val="24"/>
          <w:highlight w:val="none"/>
        </w:rPr>
        <w:t>、施工单位应严格按照施工图文件施工，不得随意变更设计文件，施工图说明及设计文件中未提及的，均按交通部有关施工技术规范执行；</w:t>
      </w:r>
    </w:p>
    <w:p w14:paraId="7ACA5561">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eastAsia="宋体"/>
          <w:spacing w:val="4"/>
          <w:sz w:val="24"/>
          <w:highlight w:val="none"/>
          <w:lang w:val="en-US" w:eastAsia="zh-CN"/>
        </w:rPr>
      </w:pPr>
      <w:r>
        <w:rPr>
          <w:rFonts w:ascii="宋体" w:hAnsi="宋体"/>
          <w:spacing w:val="4"/>
          <w:sz w:val="24"/>
          <w:highlight w:val="none"/>
        </w:rPr>
        <w:t>7</w:t>
      </w:r>
      <w:r>
        <w:rPr>
          <w:rFonts w:hint="eastAsia" w:ascii="宋体" w:hAnsi="宋体"/>
          <w:spacing w:val="4"/>
          <w:sz w:val="24"/>
          <w:highlight w:val="none"/>
        </w:rPr>
        <w:t>、其他未尽事宜，按相应规范标准执行。</w:t>
      </w:r>
    </w:p>
    <w:p w14:paraId="4251C767">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8</w:t>
      </w:r>
      <w:r>
        <w:rPr>
          <w:rFonts w:hint="eastAsia" w:ascii="宋体" w:hAnsi="宋体"/>
          <w:spacing w:val="4"/>
          <w:sz w:val="24"/>
          <w:highlight w:val="none"/>
          <w:lang w:val="zh-CN"/>
        </w:rPr>
        <w:t>、道路纵向与进户路衔接关系以原土路肩为衔接。</w:t>
      </w:r>
    </w:p>
    <w:p w14:paraId="44A4764B">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9</w:t>
      </w:r>
      <w:r>
        <w:rPr>
          <w:rFonts w:hint="eastAsia" w:ascii="宋体" w:hAnsi="宋体"/>
          <w:spacing w:val="4"/>
          <w:sz w:val="24"/>
          <w:highlight w:val="none"/>
          <w:lang w:val="zh-CN"/>
        </w:rPr>
        <w:t>、涵洞平面、竖向与排水沟衔接处可使路基上游水自然顺势排入排水沟即可。</w:t>
      </w:r>
    </w:p>
    <w:bookmarkEnd w:id="4"/>
    <w:bookmarkEnd w:id="5"/>
    <w:p w14:paraId="20176E62">
      <w:pPr>
        <w:keepNext w:val="0"/>
        <w:keepLines w:val="0"/>
        <w:pageBreakBefore w:val="0"/>
        <w:kinsoku/>
        <w:wordWrap/>
        <w:overflowPunct/>
        <w:topLinePunct w:val="0"/>
        <w:bidi w:val="0"/>
        <w:snapToGrid/>
        <w:spacing w:line="288" w:lineRule="auto"/>
        <w:ind w:right="53" w:rightChars="25"/>
        <w:textAlignment w:val="auto"/>
        <w:outlineLvl w:val="0"/>
        <w:rPr>
          <w:rFonts w:ascii="宋体" w:hAnsi="宋体"/>
          <w:b/>
          <w:color w:val="auto"/>
          <w:spacing w:val="4"/>
          <w:sz w:val="28"/>
          <w:szCs w:val="28"/>
        </w:rPr>
      </w:pPr>
      <w:r>
        <w:rPr>
          <w:rFonts w:hint="eastAsia" w:ascii="宋体" w:hAnsi="宋体"/>
          <w:b/>
          <w:color w:val="auto"/>
          <w:spacing w:val="4"/>
          <w:sz w:val="28"/>
          <w:szCs w:val="28"/>
        </w:rPr>
        <w:t>七、施工组织设计说明</w:t>
      </w:r>
    </w:p>
    <w:p w14:paraId="07B71F37">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7.1建设工期</w:t>
      </w:r>
    </w:p>
    <w:p w14:paraId="2B77E47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根据业主意见，本项目为202</w:t>
      </w:r>
      <w:r>
        <w:rPr>
          <w:rFonts w:hint="eastAsia" w:ascii="宋体" w:hAnsi="宋体"/>
          <w:color w:val="auto"/>
          <w:spacing w:val="4"/>
          <w:sz w:val="24"/>
          <w:lang w:val="en-US" w:eastAsia="zh-CN"/>
        </w:rPr>
        <w:t>5</w:t>
      </w:r>
      <w:r>
        <w:rPr>
          <w:rFonts w:hint="eastAsia" w:ascii="宋体" w:hAnsi="宋体"/>
          <w:color w:val="auto"/>
          <w:spacing w:val="4"/>
          <w:sz w:val="24"/>
        </w:rPr>
        <w:t>年移民项目,本项目建设工期为202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w:t>
      </w:r>
    </w:p>
    <w:p w14:paraId="200B820B">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7.2施工组织、施工期限、主要工程的施工方法、工期、进度及措施</w:t>
      </w:r>
    </w:p>
    <w:p w14:paraId="082E2516">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1</w:t>
      </w:r>
      <w:r>
        <w:rPr>
          <w:rFonts w:hint="eastAsia" w:ascii="宋体" w:hAnsi="宋体"/>
          <w:color w:val="auto"/>
          <w:spacing w:val="4"/>
          <w:sz w:val="24"/>
        </w:rPr>
        <w:t>、路基工程：</w:t>
      </w:r>
    </w:p>
    <w:p w14:paraId="5DDE27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月。为保证工程进度，施工时，可采取多个作业面同时施工。</w:t>
      </w:r>
    </w:p>
    <w:p w14:paraId="441B98EA">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2</w:t>
      </w:r>
      <w:r>
        <w:rPr>
          <w:rFonts w:hint="eastAsia" w:ascii="宋体" w:hAnsi="宋体"/>
          <w:color w:val="auto"/>
          <w:spacing w:val="4"/>
          <w:sz w:val="24"/>
        </w:rPr>
        <w:t>、路面工程：</w:t>
      </w:r>
    </w:p>
    <w:p w14:paraId="5F740B09">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全线面层采用机械摊铺。结构层为20cm水泥混凝土面层，</w:t>
      </w:r>
      <w:r>
        <w:rPr>
          <w:rFonts w:hint="eastAsia" w:ascii="宋体" w:hAnsi="宋体"/>
          <w:color w:val="auto"/>
          <w:spacing w:val="4"/>
          <w:sz w:val="24"/>
          <w:lang w:val="en-US" w:eastAsia="zh-CN"/>
        </w:rPr>
        <w:t>18</w:t>
      </w:r>
      <w:r>
        <w:rPr>
          <w:rFonts w:hint="eastAsia" w:ascii="宋体" w:hAnsi="宋体"/>
          <w:color w:val="auto"/>
          <w:spacing w:val="4"/>
          <w:sz w:val="24"/>
        </w:rPr>
        <w:t>cm</w:t>
      </w:r>
      <w:r>
        <w:rPr>
          <w:rFonts w:hint="eastAsia" w:ascii="宋体" w:hAnsi="宋体"/>
          <w:color w:val="auto"/>
          <w:spacing w:val="4"/>
          <w:sz w:val="24"/>
          <w:lang w:val="en-US" w:eastAsia="zh-CN"/>
        </w:rPr>
        <w:t>白灰土</w:t>
      </w:r>
      <w:r>
        <w:rPr>
          <w:rFonts w:hint="eastAsia" w:ascii="宋体" w:hAnsi="宋体"/>
          <w:color w:val="auto"/>
          <w:spacing w:val="4"/>
          <w:sz w:val="24"/>
        </w:rPr>
        <w:t>基层。</w:t>
      </w:r>
    </w:p>
    <w:p w14:paraId="10DD945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工期安排：基层202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月；路面面层202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月，交叉工程202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w:t>
      </w:r>
    </w:p>
    <w:p w14:paraId="5F0803CB">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hint="eastAsia" w:ascii="宋体" w:hAnsi="宋体"/>
          <w:b/>
          <w:color w:val="auto"/>
          <w:spacing w:val="4"/>
          <w:sz w:val="28"/>
          <w:szCs w:val="28"/>
        </w:rPr>
      </w:pPr>
      <w:r>
        <w:rPr>
          <w:rFonts w:hint="eastAsia" w:ascii="宋体" w:hAnsi="宋体"/>
          <w:b/>
          <w:color w:val="auto"/>
          <w:spacing w:val="4"/>
          <w:sz w:val="28"/>
          <w:szCs w:val="28"/>
        </w:rPr>
        <w:t>7.3主要材料供应、运输方案</w:t>
      </w:r>
    </w:p>
    <w:p w14:paraId="36D3AAFA">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经现场调查，本着就地就近原则对材料质量及价格进行了比较，并进行了取样实验，最后确定主要材料产地。</w:t>
      </w:r>
    </w:p>
    <w:p w14:paraId="01F2C4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1.水泥采用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57</w:t>
      </w:r>
      <w:r>
        <w:rPr>
          <w:rFonts w:hint="eastAsia" w:ascii="宋体" w:hAnsi="宋体"/>
          <w:color w:val="auto"/>
          <w:spacing w:val="4"/>
          <w:sz w:val="24"/>
        </w:rPr>
        <w:t>公里；</w:t>
      </w:r>
    </w:p>
    <w:p w14:paraId="38CE732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2.中、粗砂采用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57</w:t>
      </w:r>
      <w:r>
        <w:rPr>
          <w:rFonts w:hint="eastAsia" w:ascii="宋体" w:hAnsi="宋体"/>
          <w:color w:val="auto"/>
          <w:spacing w:val="4"/>
          <w:sz w:val="24"/>
        </w:rPr>
        <w:t>公里；</w:t>
      </w:r>
    </w:p>
    <w:p w14:paraId="0BA1B32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3.碎石采用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57</w:t>
      </w:r>
      <w:r>
        <w:rPr>
          <w:rFonts w:hint="eastAsia" w:ascii="宋体" w:hAnsi="宋体"/>
          <w:color w:val="auto"/>
          <w:spacing w:val="4"/>
          <w:sz w:val="24"/>
        </w:rPr>
        <w:t>公里；</w:t>
      </w:r>
    </w:p>
    <w:p w14:paraId="62ECB7C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4.</w:t>
      </w:r>
      <w:r>
        <w:rPr>
          <w:rFonts w:hint="eastAsia" w:ascii="宋体" w:hAnsi="宋体"/>
          <w:color w:val="auto"/>
          <w:sz w:val="24"/>
        </w:rPr>
        <w:t>山皮石</w:t>
      </w:r>
      <w:r>
        <w:rPr>
          <w:rFonts w:hint="eastAsia" w:ascii="宋体" w:hAnsi="宋体"/>
          <w:color w:val="auto"/>
          <w:spacing w:val="4"/>
          <w:sz w:val="24"/>
        </w:rPr>
        <w:t>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pacing w:val="4"/>
          <w:sz w:val="24"/>
          <w:lang w:val="en-US" w:eastAsia="zh-CN"/>
        </w:rPr>
        <w:t>57</w:t>
      </w:r>
      <w:r>
        <w:rPr>
          <w:rFonts w:hint="eastAsia" w:ascii="宋体" w:hAnsi="宋体"/>
          <w:color w:val="auto"/>
          <w:spacing w:val="4"/>
          <w:sz w:val="24"/>
        </w:rPr>
        <w:t>公里。</w:t>
      </w:r>
    </w:p>
    <w:p w14:paraId="48178533">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7.4冬季、雨季施工所采取的措施</w:t>
      </w:r>
    </w:p>
    <w:p w14:paraId="7B489A3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1、本工程不宜在冬季期施工。</w:t>
      </w:r>
    </w:p>
    <w:p w14:paraId="0A7ED02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ascii="宋体" w:hAnsi="宋体"/>
          <w:color w:val="auto"/>
          <w:spacing w:val="4"/>
          <w:sz w:val="24"/>
        </w:rPr>
        <w:pict>
          <v:shape id="_x0000_s2050" o:spid="_x0000_s2050" o:spt="202" type="#_x0000_t202" style="position:absolute;left:0pt;margin-left:992.15pt;margin-top:-680.1pt;height:54.85pt;width:81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952B4A6">
                  <w:pPr>
                    <w:rPr>
                      <w:rFonts w:ascii="宋体" w:hAnsi="宋体"/>
                      <w:b/>
                      <w:sz w:val="32"/>
                      <w:szCs w:val="32"/>
                    </w:rPr>
                  </w:pPr>
                  <w:r>
                    <w:rPr>
                      <w:rFonts w:hint="eastAsia" w:ascii="宋体" w:hAnsi="宋体"/>
                      <w:b/>
                      <w:sz w:val="32"/>
                      <w:szCs w:val="32"/>
                    </w:rPr>
                    <w:t>007</w:t>
                  </w:r>
                </w:p>
                <w:p w14:paraId="2A84A933">
                  <w:pPr>
                    <w:rPr>
                      <w:rFonts w:ascii="宋体" w:hAnsi="宋体"/>
                      <w:b/>
                      <w:sz w:val="24"/>
                    </w:rPr>
                  </w:pPr>
                  <w:r>
                    <w:rPr>
                      <w:rFonts w:hint="eastAsia" w:ascii="宋体" w:hAnsi="宋体"/>
                      <w:b/>
                      <w:sz w:val="24"/>
                    </w:rPr>
                    <w:t>C1-2</w:t>
                  </w:r>
                </w:p>
                <w:p w14:paraId="5EE18553">
                  <w:pPr>
                    <w:rPr>
                      <w:rFonts w:ascii="宋体" w:hAnsi="宋体"/>
                      <w:b/>
                      <w:sz w:val="32"/>
                      <w:szCs w:val="32"/>
                    </w:rPr>
                  </w:pPr>
                </w:p>
              </w:txbxContent>
            </v:textbox>
          </v:shape>
        </w:pict>
      </w:r>
      <w:r>
        <w:rPr>
          <w:rFonts w:hint="eastAsia" w:ascii="宋体" w:hAnsi="宋体"/>
          <w:color w:val="auto"/>
          <w:spacing w:val="4"/>
          <w:sz w:val="24"/>
        </w:rPr>
        <w:t>2、雨季施工应综合规划、合理设置现场防排水系统，采取有效措施，及时引排地面水。</w:t>
      </w:r>
    </w:p>
    <w:p w14:paraId="0418E569">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3、对施工临时挤占的沟渠、河道应采取措施保证不降低原有的排水能力。</w:t>
      </w:r>
    </w:p>
    <w:p w14:paraId="7FA50832">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4、在雨季前应将原有路面基层处理好，整平基层，并设纵横排水坡。</w:t>
      </w:r>
    </w:p>
    <w:p w14:paraId="7C8FC726">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5、低洼地段，应在雨季前将原地面处理好。</w:t>
      </w:r>
    </w:p>
    <w:p w14:paraId="249E8E14">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6、结构物基坑在雨季开挖后未能及时施工时，应采取防浸泡措施，必要时雨后应对基坑地基承载力再次检测，以确定是否满足设计要求。</w:t>
      </w:r>
    </w:p>
    <w:p w14:paraId="688C9CDB">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8"/>
          <w:szCs w:val="28"/>
        </w:rPr>
      </w:pPr>
      <w:r>
        <w:rPr>
          <w:rFonts w:hint="eastAsia" w:ascii="宋体" w:hAnsi="宋体"/>
          <w:color w:val="auto"/>
          <w:spacing w:val="4"/>
          <w:sz w:val="24"/>
        </w:rPr>
        <w:t>7、制定雨季施工安全预案，做好防洪抢险的准备工作</w:t>
      </w:r>
      <w:r>
        <w:rPr>
          <w:rFonts w:hint="eastAsia" w:ascii="宋体" w:hAnsi="宋体"/>
          <w:color w:val="auto"/>
          <w:spacing w:val="4"/>
          <w:sz w:val="28"/>
          <w:szCs w:val="28"/>
        </w:rPr>
        <w:t>。</w:t>
      </w:r>
    </w:p>
    <w:p w14:paraId="1DE8A589">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7.5施工准备工作的意见</w:t>
      </w:r>
    </w:p>
    <w:p w14:paraId="69FE8CCF">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1、施工时应设置必要的排水措施，保证不积水。</w:t>
      </w:r>
    </w:p>
    <w:p w14:paraId="4B0DD32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14:paraId="0E06BC6D">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r>
        <w:rPr>
          <w:rFonts w:hint="eastAsia" w:ascii="宋体" w:hAnsi="宋体"/>
          <w:b/>
          <w:spacing w:val="4"/>
          <w:sz w:val="28"/>
          <w:szCs w:val="28"/>
        </w:rPr>
        <w:t>八.环境保护</w:t>
      </w:r>
    </w:p>
    <w:p w14:paraId="390FAE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3A704D2E">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8.1、环境噪声影响及措施</w:t>
      </w:r>
    </w:p>
    <w:p w14:paraId="6F4E281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1、设有大型机械的施工场地尽量设置在远离居民区的位置。</w:t>
      </w:r>
    </w:p>
    <w:p w14:paraId="17288F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2、在工期安排上对产生大的噪声的施工工序，尽量不安排夜间施工。</w:t>
      </w:r>
    </w:p>
    <w:p w14:paraId="010B234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8.2、环境空气影响及措施</w:t>
      </w:r>
    </w:p>
    <w:p w14:paraId="366CC5E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1、路面拌合场地设置在远离居民区处，采用封闭式拌合设备，并采取有效的消烟除尘措施，减少有害气体的排放。</w:t>
      </w:r>
    </w:p>
    <w:p w14:paraId="3BD29563">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2、易于扬尘的建筑材料在运输和堆放过程中，采取可靠的遮盖措施。</w:t>
      </w:r>
    </w:p>
    <w:p w14:paraId="3E6D60D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8.3、水环境的影响及措施</w:t>
      </w:r>
    </w:p>
    <w:p w14:paraId="26B6968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1、在施工场地位置的确定中充分考虑对周围水环境的影响，尽可能远离饮用水源，以免造成对水环境的影响。</w:t>
      </w:r>
    </w:p>
    <w:p w14:paraId="68E4858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2、加强对机械设备的管理及建筑材料的遮挡，避免跑、冒、滴、漏及雨淋，防止对水环境的污染。</w:t>
      </w:r>
    </w:p>
    <w:p w14:paraId="56FE8B25">
      <w:pPr>
        <w:keepNext w:val="0"/>
        <w:keepLines w:val="0"/>
        <w:pageBreakBefore w:val="0"/>
        <w:kinsoku/>
        <w:wordWrap/>
        <w:overflowPunct/>
        <w:topLinePunct w:val="0"/>
        <w:bidi w:val="0"/>
        <w:adjustRightInd w:val="0"/>
        <w:snapToGrid/>
        <w:spacing w:line="288" w:lineRule="auto"/>
        <w:textAlignment w:val="auto"/>
        <w:rPr>
          <w:rFonts w:ascii="宋体" w:hAnsi="宋体"/>
          <w:spacing w:val="4"/>
          <w:sz w:val="24"/>
        </w:rPr>
      </w:pPr>
      <w:r>
        <w:rPr>
          <w:rFonts w:hint="eastAsia" w:ascii="宋体" w:hAnsi="宋体"/>
          <w:spacing w:val="4"/>
          <w:sz w:val="24"/>
        </w:rPr>
        <w:t>上述未尽事宜严格按国家、交通部现行的标准、规范、办法实施。</w:t>
      </w:r>
    </w:p>
    <w:p w14:paraId="5CCDF396">
      <w:pPr>
        <w:keepNext w:val="0"/>
        <w:keepLines w:val="0"/>
        <w:pageBreakBefore w:val="0"/>
        <w:kinsoku/>
        <w:wordWrap/>
        <w:overflowPunct/>
        <w:topLinePunct w:val="0"/>
        <w:bidi w:val="0"/>
        <w:adjustRightInd w:val="0"/>
        <w:snapToGrid/>
        <w:spacing w:line="288" w:lineRule="auto"/>
        <w:ind w:firstLine="480" w:firstLineChars="200"/>
        <w:textAlignment w:val="auto"/>
        <w:rPr>
          <w:rFonts w:hint="default" w:eastAsia="宋体"/>
          <w:sz w:val="24"/>
          <w:lang w:val="en-US" w:eastAsia="zh-CN"/>
        </w:rPr>
      </w:pPr>
    </w:p>
    <w:sectPr>
      <w:headerReference r:id="rId3" w:type="default"/>
      <w:footerReference r:id="rId4" w:type="default"/>
      <w:pgSz w:w="16839" w:h="11907" w:orient="landscape"/>
      <w:pgMar w:top="1418" w:right="1418" w:bottom="1418" w:left="1701" w:header="567" w:footer="851" w:gutter="0"/>
      <w:pgBorders>
        <w:top w:val="none" w:sz="0" w:space="0"/>
        <w:left w:val="none" w:sz="0" w:space="0"/>
        <w:bottom w:val="none" w:sz="0" w:space="0"/>
        <w:right w:val="none" w:sz="0" w:space="0"/>
      </w:pgBorders>
      <w:pgNumType w:fmt="decimal" w:start="3" w:chapStyle="1" w:chapSep="hyphen"/>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99CBF">
    <w:pPr>
      <w:pStyle w:val="4"/>
      <w:jc w:val="right"/>
    </w:pPr>
    <w:r>
      <w:rPr>
        <w:rFonts w:hint="eastAsia"/>
        <w:b/>
        <w:sz w:val="24"/>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BD9D">
    <w:pPr>
      <w:jc w:val="right"/>
      <w:rPr>
        <w:rFonts w:hint="default" w:ascii="宋体" w:hAnsi="宋体"/>
        <w:b/>
        <w:sz w:val="32"/>
        <w:szCs w:val="32"/>
        <w:lang w:val="en-US"/>
      </w:rPr>
    </w:pPr>
    <w:r>
      <w:rPr>
        <w:sz w:val="32"/>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A08A6C6">
                <w:pPr>
                  <w:jc w:val="right"/>
                </w:pPr>
                <w:r>
                  <w:rPr>
                    <w:rFonts w:hint="default" w:ascii="宋体" w:hAnsi="宋体"/>
                    <w:b/>
                    <w:sz w:val="32"/>
                    <w:szCs w:val="32"/>
                    <w:lang w:val="en-US"/>
                  </w:rPr>
                  <w:fldChar w:fldCharType="begin"/>
                </w:r>
                <w:r>
                  <w:rPr>
                    <w:rFonts w:hint="default" w:ascii="宋体" w:hAnsi="宋体"/>
                    <w:b/>
                    <w:sz w:val="32"/>
                    <w:szCs w:val="32"/>
                    <w:lang w:val="en-US"/>
                  </w:rPr>
                  <w:instrText xml:space="preserve">PAGE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000</w:instrText>
                </w:r>
                <w:r>
                  <w:rPr>
                    <w:rFonts w:hint="default" w:ascii="宋体" w:hAnsi="宋体"/>
                    <w:b/>
                    <w:sz w:val="32"/>
                    <w:szCs w:val="32"/>
                    <w:lang w:val="en-US"/>
                  </w:rPr>
                  <w:fldChar w:fldCharType="separate"/>
                </w:r>
                <w:r>
                  <w:rPr>
                    <w:rFonts w:hint="default" w:ascii="宋体" w:hAnsi="宋体"/>
                    <w:b/>
                    <w:sz w:val="32"/>
                    <w:szCs w:val="32"/>
                    <w:lang w:val="en-US"/>
                  </w:rPr>
                  <w:t>错误！图片开关必须是第一个格式编排开关。</w:t>
                </w:r>
                <w:r>
                  <w:rPr>
                    <w:rFonts w:hint="default" w:ascii="宋体" w:hAnsi="宋体"/>
                    <w:b/>
                    <w:sz w:val="32"/>
                    <w:szCs w:val="32"/>
                    <w:lang w:val="en-US"/>
                  </w:rPr>
                  <w:fldChar w:fldCharType="end"/>
                </w:r>
              </w:p>
            </w:txbxContent>
          </v:textbox>
        </v:shape>
      </w:pict>
    </w:r>
  </w:p>
  <w:p w14:paraId="4370413C">
    <w:pPr>
      <w:jc w:val="right"/>
      <w:rPr>
        <w:rFonts w:ascii="宋体" w:hAnsi="宋体"/>
        <w:b/>
        <w:sz w:val="24"/>
      </w:rPr>
    </w:pPr>
    <w:r>
      <w:rPr>
        <w:rFonts w:hint="eastAsia" w:ascii="宋体" w:hAnsi="宋体"/>
        <w:b/>
        <w:sz w:val="24"/>
        <w:lang w:val="en-US" w:eastAsia="zh-CN"/>
      </w:rPr>
      <w:t>C</w:t>
    </w:r>
    <w:r>
      <w:rPr>
        <w:rFonts w:hint="eastAsia" w:ascii="宋体" w:hAnsi="宋体"/>
        <w:b/>
        <w:sz w:val="24"/>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37A8A"/>
    <w:multiLevelType w:val="multilevel"/>
    <w:tmpl w:val="10E37A8A"/>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YwOTkxYTFhNjIzN2VjMzc2ZGY0OTg3N2Q0ZGZlN2IifQ=="/>
  </w:docVars>
  <w:rsids>
    <w:rsidRoot w:val="00172A27"/>
    <w:rsid w:val="00083D7F"/>
    <w:rsid w:val="000A4D83"/>
    <w:rsid w:val="000D4593"/>
    <w:rsid w:val="00105B7B"/>
    <w:rsid w:val="00121DF7"/>
    <w:rsid w:val="00196048"/>
    <w:rsid w:val="001D59D8"/>
    <w:rsid w:val="001E479B"/>
    <w:rsid w:val="001E58A3"/>
    <w:rsid w:val="0022171E"/>
    <w:rsid w:val="002A1678"/>
    <w:rsid w:val="002A24E3"/>
    <w:rsid w:val="002D551F"/>
    <w:rsid w:val="002E4DEA"/>
    <w:rsid w:val="002F6718"/>
    <w:rsid w:val="00332D36"/>
    <w:rsid w:val="00343C6A"/>
    <w:rsid w:val="00355C78"/>
    <w:rsid w:val="003D6D20"/>
    <w:rsid w:val="00407782"/>
    <w:rsid w:val="004D66DF"/>
    <w:rsid w:val="004E7948"/>
    <w:rsid w:val="004F7F45"/>
    <w:rsid w:val="00506834"/>
    <w:rsid w:val="00513B18"/>
    <w:rsid w:val="0057148D"/>
    <w:rsid w:val="00582AC7"/>
    <w:rsid w:val="0059074F"/>
    <w:rsid w:val="005B26A8"/>
    <w:rsid w:val="005D1B85"/>
    <w:rsid w:val="005F1535"/>
    <w:rsid w:val="006517DF"/>
    <w:rsid w:val="006B5B20"/>
    <w:rsid w:val="006C08F4"/>
    <w:rsid w:val="006D559D"/>
    <w:rsid w:val="006E3804"/>
    <w:rsid w:val="007B7FAC"/>
    <w:rsid w:val="007D053F"/>
    <w:rsid w:val="008F7858"/>
    <w:rsid w:val="00951679"/>
    <w:rsid w:val="009770B5"/>
    <w:rsid w:val="00995F5C"/>
    <w:rsid w:val="009E7091"/>
    <w:rsid w:val="00A07F9C"/>
    <w:rsid w:val="00A873C1"/>
    <w:rsid w:val="00B64888"/>
    <w:rsid w:val="00BB0BCD"/>
    <w:rsid w:val="00C01912"/>
    <w:rsid w:val="00C87253"/>
    <w:rsid w:val="00CA4340"/>
    <w:rsid w:val="00CD5AE5"/>
    <w:rsid w:val="00D66FFF"/>
    <w:rsid w:val="00D70EC5"/>
    <w:rsid w:val="00DC07BD"/>
    <w:rsid w:val="00DC2783"/>
    <w:rsid w:val="00DE4A11"/>
    <w:rsid w:val="00E206BE"/>
    <w:rsid w:val="00E7743B"/>
    <w:rsid w:val="00EC7085"/>
    <w:rsid w:val="00ED7C5E"/>
    <w:rsid w:val="00EE62C4"/>
    <w:rsid w:val="00F64875"/>
    <w:rsid w:val="00F94343"/>
    <w:rsid w:val="00FB5D54"/>
    <w:rsid w:val="00FD4FFB"/>
    <w:rsid w:val="01491CA3"/>
    <w:rsid w:val="02066F9F"/>
    <w:rsid w:val="027D45B0"/>
    <w:rsid w:val="0364380A"/>
    <w:rsid w:val="05AA02EA"/>
    <w:rsid w:val="05F57D8E"/>
    <w:rsid w:val="06C136A5"/>
    <w:rsid w:val="06DF196B"/>
    <w:rsid w:val="0803694E"/>
    <w:rsid w:val="0A7634B9"/>
    <w:rsid w:val="0ADB0F46"/>
    <w:rsid w:val="0C25782F"/>
    <w:rsid w:val="0C4A0131"/>
    <w:rsid w:val="0CD47397"/>
    <w:rsid w:val="0D2A62BB"/>
    <w:rsid w:val="0D375E63"/>
    <w:rsid w:val="0DA06F1F"/>
    <w:rsid w:val="0E6070D5"/>
    <w:rsid w:val="114B3083"/>
    <w:rsid w:val="123C030F"/>
    <w:rsid w:val="14553B17"/>
    <w:rsid w:val="14AB1989"/>
    <w:rsid w:val="156825DB"/>
    <w:rsid w:val="161865BC"/>
    <w:rsid w:val="1B523F38"/>
    <w:rsid w:val="1BF3382C"/>
    <w:rsid w:val="1DB1102B"/>
    <w:rsid w:val="1F552C1D"/>
    <w:rsid w:val="1FF43E0E"/>
    <w:rsid w:val="20DF5D59"/>
    <w:rsid w:val="214A24C4"/>
    <w:rsid w:val="233F7553"/>
    <w:rsid w:val="263C0693"/>
    <w:rsid w:val="26EC49CD"/>
    <w:rsid w:val="28870184"/>
    <w:rsid w:val="29BF5862"/>
    <w:rsid w:val="2A111E36"/>
    <w:rsid w:val="2A6C52BE"/>
    <w:rsid w:val="2BF115C7"/>
    <w:rsid w:val="2E1A575D"/>
    <w:rsid w:val="2E9A4BE7"/>
    <w:rsid w:val="2EFA558F"/>
    <w:rsid w:val="30C150A7"/>
    <w:rsid w:val="31992399"/>
    <w:rsid w:val="32A95302"/>
    <w:rsid w:val="34A51AF9"/>
    <w:rsid w:val="35FE25EB"/>
    <w:rsid w:val="36DD63E8"/>
    <w:rsid w:val="379716F4"/>
    <w:rsid w:val="37CB4161"/>
    <w:rsid w:val="39072D82"/>
    <w:rsid w:val="3950484A"/>
    <w:rsid w:val="3CC8106C"/>
    <w:rsid w:val="3EFA10A4"/>
    <w:rsid w:val="42360598"/>
    <w:rsid w:val="425B0F46"/>
    <w:rsid w:val="43757AF8"/>
    <w:rsid w:val="44A43B7B"/>
    <w:rsid w:val="4587669D"/>
    <w:rsid w:val="46875502"/>
    <w:rsid w:val="46CA0522"/>
    <w:rsid w:val="479779C7"/>
    <w:rsid w:val="48226F6F"/>
    <w:rsid w:val="48BC2892"/>
    <w:rsid w:val="48EF3693"/>
    <w:rsid w:val="4AF26180"/>
    <w:rsid w:val="4B10573B"/>
    <w:rsid w:val="4B3A2B43"/>
    <w:rsid w:val="4C9A0AFE"/>
    <w:rsid w:val="4EA533B8"/>
    <w:rsid w:val="4F3D2F4D"/>
    <w:rsid w:val="4F9B5A5F"/>
    <w:rsid w:val="4FF77255"/>
    <w:rsid w:val="507F0B43"/>
    <w:rsid w:val="50FE6FDF"/>
    <w:rsid w:val="515A5E01"/>
    <w:rsid w:val="53185E60"/>
    <w:rsid w:val="531F3F8A"/>
    <w:rsid w:val="543A3BB4"/>
    <w:rsid w:val="54873B95"/>
    <w:rsid w:val="550B3933"/>
    <w:rsid w:val="55CF47D0"/>
    <w:rsid w:val="57631674"/>
    <w:rsid w:val="5771394C"/>
    <w:rsid w:val="5A994AF4"/>
    <w:rsid w:val="5BD448EE"/>
    <w:rsid w:val="5E021B2B"/>
    <w:rsid w:val="5E714792"/>
    <w:rsid w:val="5ECF75EF"/>
    <w:rsid w:val="5F7E2D69"/>
    <w:rsid w:val="624014A4"/>
    <w:rsid w:val="6309552E"/>
    <w:rsid w:val="639C3F43"/>
    <w:rsid w:val="64430F30"/>
    <w:rsid w:val="648D4873"/>
    <w:rsid w:val="659C6834"/>
    <w:rsid w:val="66A51361"/>
    <w:rsid w:val="69C719B0"/>
    <w:rsid w:val="6BD46244"/>
    <w:rsid w:val="6C38760F"/>
    <w:rsid w:val="6C890C39"/>
    <w:rsid w:val="6D4713C4"/>
    <w:rsid w:val="6E060ACE"/>
    <w:rsid w:val="70862003"/>
    <w:rsid w:val="71612C87"/>
    <w:rsid w:val="72360104"/>
    <w:rsid w:val="74F3598D"/>
    <w:rsid w:val="7557416E"/>
    <w:rsid w:val="758A2545"/>
    <w:rsid w:val="764B7999"/>
    <w:rsid w:val="76E31AB4"/>
    <w:rsid w:val="770818D2"/>
    <w:rsid w:val="797F3C93"/>
    <w:rsid w:val="79A02489"/>
    <w:rsid w:val="79C568F7"/>
    <w:rsid w:val="79EA2212"/>
    <w:rsid w:val="7A254B3E"/>
    <w:rsid w:val="7A721A4A"/>
    <w:rsid w:val="7CBC0423"/>
    <w:rsid w:val="7CD15708"/>
    <w:rsid w:val="7DB556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semiHidden/>
    <w:unhideWhenUsed/>
    <w:qFormat/>
    <w:uiPriority w:val="0"/>
    <w:rPr>
      <w:rFonts w:ascii="宋体" w:hAnsi="Courier New" w:cs="Courier New"/>
      <w:szCs w:val="21"/>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0">
    <w:name w:val="纯文本 Char"/>
    <w:basedOn w:val="8"/>
    <w:semiHidden/>
    <w:qFormat/>
    <w:uiPriority w:val="99"/>
    <w:rPr>
      <w:rFonts w:ascii="宋体" w:hAnsi="Courier New" w:eastAsia="宋体" w:cs="Courier New"/>
      <w:szCs w:val="21"/>
    </w:rPr>
  </w:style>
  <w:style w:type="character" w:customStyle="1" w:styleId="11">
    <w:name w:val="纯文本 Char1"/>
    <w:basedOn w:val="8"/>
    <w:link w:val="3"/>
    <w:semiHidden/>
    <w:qFormat/>
    <w:locked/>
    <w:uiPriority w:val="0"/>
    <w:rPr>
      <w:rFonts w:ascii="宋体" w:hAnsi="Courier New" w:eastAsia="宋体" w:cs="Courier New"/>
      <w:szCs w:val="21"/>
    </w:rPr>
  </w:style>
  <w:style w:type="character" w:customStyle="1" w:styleId="12">
    <w:name w:val="页眉 Char"/>
    <w:basedOn w:val="8"/>
    <w:link w:val="5"/>
    <w:qFormat/>
    <w:uiPriority w:val="99"/>
    <w:rPr>
      <w:rFonts w:ascii="Times New Roman" w:hAnsi="Times New Roman" w:eastAsia="宋体" w:cs="Times New Roman"/>
      <w:sz w:val="18"/>
      <w:szCs w:val="18"/>
    </w:rPr>
  </w:style>
  <w:style w:type="character" w:customStyle="1" w:styleId="13">
    <w:name w:val="页脚 Char"/>
    <w:basedOn w:val="8"/>
    <w:link w:val="4"/>
    <w:qFormat/>
    <w:uiPriority w:val="99"/>
    <w:rPr>
      <w:rFonts w:ascii="Times New Roman" w:hAnsi="Times New Roman" w:eastAsia="宋体" w:cs="Times New Roman"/>
      <w:sz w:val="18"/>
      <w:szCs w:val="18"/>
    </w:rPr>
  </w:style>
  <w:style w:type="character" w:customStyle="1" w:styleId="14">
    <w:name w:val="标题 3 Char"/>
    <w:basedOn w:val="8"/>
    <w:link w:val="2"/>
    <w:qFormat/>
    <w:uiPriority w:val="0"/>
    <w:rPr>
      <w:rFonts w:ascii="宋体" w:hAnsi="Times New Roman" w:eastAsia="宋体" w:cs="Times New Roman"/>
      <w:b/>
      <w:bCs/>
      <w:sz w:val="28"/>
      <w:szCs w:val="2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4502</Words>
  <Characters>5646</Characters>
  <Lines>112</Lines>
  <Paragraphs>31</Paragraphs>
  <TotalTime>5</TotalTime>
  <ScaleCrop>false</ScaleCrop>
  <LinksUpToDate>false</LinksUpToDate>
  <CharactersWithSpaces>5744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2025-01-20T06:43:22Z</cp:lastPrinted>
  <dcterms:modified xsi:type="dcterms:W3CDTF">2025-01-20T06:43:28Z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FB699419547449BBBBD6417F626D483B</vt:lpwstr>
  </property>
  <property fmtid="{D5CDD505-2E9C-101B-9397-08002B2CF9AE}" pid="4" name="KSOTemplateDocerSaveRecord">
    <vt:lpwstr>eyJoZGlkIjoiMWYwOTkxYTFhNjIzN2VjMzc2ZGY0OTg3N2Q0ZGZlN2IiLCJ1c2VySWQiOiI3NTM0MTU3MjYifQ==</vt:lpwstr>
  </property>
</Properties>
</file>